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21C52" w14:textId="77777777" w:rsidR="007F4E20" w:rsidRDefault="00FA0CE6" w:rsidP="006C4022">
      <w:pPr>
        <w:jc w:val="center"/>
        <w:rPr>
          <w:b/>
          <w:u w:val="single"/>
        </w:rPr>
      </w:pPr>
      <w:r w:rsidRPr="00FA0CE6">
        <w:rPr>
          <w:b/>
          <w:u w:val="single"/>
        </w:rPr>
        <w:t xml:space="preserve">EXPLANATORY </w:t>
      </w:r>
      <w:r w:rsidR="00FF5C77">
        <w:rPr>
          <w:b/>
          <w:u w:val="single"/>
        </w:rPr>
        <w:t>STATEMENT</w:t>
      </w:r>
    </w:p>
    <w:p w14:paraId="5C014D37" w14:textId="77777777" w:rsidR="00013F76" w:rsidRDefault="00013F76" w:rsidP="006C4022">
      <w:pPr>
        <w:jc w:val="center"/>
        <w:rPr>
          <w:b/>
          <w:u w:val="single"/>
        </w:rPr>
      </w:pPr>
    </w:p>
    <w:p w14:paraId="18219246" w14:textId="01A95CA5" w:rsidR="00013F76" w:rsidRPr="00FA0CE6" w:rsidRDefault="00013F76" w:rsidP="006C4022">
      <w:pPr>
        <w:jc w:val="center"/>
        <w:rPr>
          <w:b/>
          <w:u w:val="single"/>
        </w:rPr>
      </w:pPr>
      <w:r>
        <w:rPr>
          <w:b/>
          <w:u w:val="single"/>
        </w:rPr>
        <w:t>Select Legislative Instrument 2013 No. 224</w:t>
      </w:r>
    </w:p>
    <w:p w14:paraId="469D10FC" w14:textId="3A5A40C2" w:rsidR="00EF6BD5" w:rsidRDefault="00FF5C77" w:rsidP="006C4022">
      <w:pPr>
        <w:widowControl w:val="0"/>
        <w:tabs>
          <w:tab w:val="left" w:pos="1418"/>
        </w:tabs>
        <w:ind w:right="141"/>
        <w:jc w:val="center"/>
        <w:rPr>
          <w:szCs w:val="24"/>
        </w:rPr>
      </w:pPr>
      <w:r w:rsidRPr="00FF5C77">
        <w:rPr>
          <w:szCs w:val="24"/>
        </w:rPr>
        <w:t xml:space="preserve">Issued by the Authority of the </w:t>
      </w:r>
      <w:r w:rsidR="00EF6BD5" w:rsidRPr="00FF5C77">
        <w:rPr>
          <w:szCs w:val="24"/>
        </w:rPr>
        <w:t xml:space="preserve">Minister for </w:t>
      </w:r>
      <w:r w:rsidR="00FF5F4C">
        <w:rPr>
          <w:szCs w:val="24"/>
        </w:rPr>
        <w:t>Innovation, Industry, Science and Research</w:t>
      </w:r>
    </w:p>
    <w:p w14:paraId="12A1763B" w14:textId="10E5C7CA" w:rsidR="00FF5C77" w:rsidRPr="00FF5C77" w:rsidRDefault="00FF5C77" w:rsidP="006C4022">
      <w:pPr>
        <w:widowControl w:val="0"/>
        <w:tabs>
          <w:tab w:val="left" w:pos="1418"/>
        </w:tabs>
        <w:ind w:right="141"/>
        <w:jc w:val="center"/>
        <w:rPr>
          <w:i/>
          <w:szCs w:val="24"/>
        </w:rPr>
      </w:pPr>
      <w:r>
        <w:rPr>
          <w:i/>
          <w:szCs w:val="24"/>
        </w:rPr>
        <w:t xml:space="preserve">Mutual </w:t>
      </w:r>
      <w:r w:rsidR="001A5F92">
        <w:rPr>
          <w:i/>
          <w:szCs w:val="24"/>
        </w:rPr>
        <w:t>R</w:t>
      </w:r>
      <w:r>
        <w:rPr>
          <w:i/>
          <w:szCs w:val="24"/>
        </w:rPr>
        <w:t>ecognition Act 199</w:t>
      </w:r>
      <w:r w:rsidR="00A456BB">
        <w:rPr>
          <w:i/>
          <w:szCs w:val="24"/>
        </w:rPr>
        <w:t>2</w:t>
      </w:r>
    </w:p>
    <w:p w14:paraId="57417160" w14:textId="3F4FB3FD" w:rsidR="00EF6BD5" w:rsidRPr="00D92EE2" w:rsidRDefault="00A456BB" w:rsidP="00FF5C77">
      <w:pPr>
        <w:widowControl w:val="0"/>
        <w:tabs>
          <w:tab w:val="left" w:pos="1276"/>
          <w:tab w:val="left" w:pos="1418"/>
        </w:tabs>
        <w:spacing w:after="240"/>
        <w:ind w:left="1276" w:right="141" w:hanging="1276"/>
        <w:jc w:val="center"/>
        <w:rPr>
          <w:i/>
          <w:szCs w:val="24"/>
        </w:rPr>
      </w:pPr>
      <w:r>
        <w:rPr>
          <w:i/>
          <w:szCs w:val="24"/>
        </w:rPr>
        <w:t>Mutual Recognition</w:t>
      </w:r>
      <w:r w:rsidR="00EF6BD5">
        <w:rPr>
          <w:i/>
          <w:szCs w:val="24"/>
        </w:rPr>
        <w:t xml:space="preserve"> </w:t>
      </w:r>
      <w:r>
        <w:rPr>
          <w:i/>
          <w:szCs w:val="24"/>
        </w:rPr>
        <w:t>(</w:t>
      </w:r>
      <w:r w:rsidR="00EF6BD5">
        <w:rPr>
          <w:i/>
          <w:szCs w:val="24"/>
        </w:rPr>
        <w:t>Am</w:t>
      </w:r>
      <w:r w:rsidR="00013F76">
        <w:rPr>
          <w:i/>
          <w:szCs w:val="24"/>
        </w:rPr>
        <w:t>endment of Act—</w:t>
      </w:r>
      <w:r>
        <w:rPr>
          <w:i/>
          <w:szCs w:val="24"/>
        </w:rPr>
        <w:t>Container Deposit Scheme</w:t>
      </w:r>
      <w:r w:rsidR="00EF6BD5">
        <w:rPr>
          <w:i/>
          <w:szCs w:val="24"/>
        </w:rPr>
        <w:t xml:space="preserve">) </w:t>
      </w:r>
      <w:r w:rsidR="00FF5C77">
        <w:rPr>
          <w:i/>
          <w:szCs w:val="24"/>
        </w:rPr>
        <w:t>R</w:t>
      </w:r>
      <w:r w:rsidR="00EF6BD5">
        <w:rPr>
          <w:i/>
          <w:szCs w:val="24"/>
        </w:rPr>
        <w:t>egulation 2013</w:t>
      </w:r>
    </w:p>
    <w:p w14:paraId="04A755B5" w14:textId="2DE7F5D7" w:rsidR="002D15C3" w:rsidRPr="002D15C3" w:rsidRDefault="002D15C3" w:rsidP="004A25AB">
      <w:pPr>
        <w:spacing w:after="240"/>
        <w:ind w:left="0" w:firstLine="0"/>
        <w:rPr>
          <w:b/>
          <w:szCs w:val="24"/>
          <w:lang w:val="en-US"/>
        </w:rPr>
      </w:pPr>
      <w:r w:rsidRPr="002D15C3">
        <w:rPr>
          <w:b/>
          <w:szCs w:val="24"/>
          <w:lang w:val="en-US"/>
        </w:rPr>
        <w:t>Purpose</w:t>
      </w:r>
      <w:r w:rsidR="007C5E92">
        <w:rPr>
          <w:b/>
          <w:szCs w:val="24"/>
          <w:lang w:val="en-US"/>
        </w:rPr>
        <w:t xml:space="preserve"> and </w:t>
      </w:r>
      <w:r w:rsidR="00837077">
        <w:rPr>
          <w:b/>
          <w:szCs w:val="24"/>
          <w:lang w:val="en-US"/>
        </w:rPr>
        <w:t>Authority</w:t>
      </w:r>
    </w:p>
    <w:p w14:paraId="57692550" w14:textId="1ECB5EFC" w:rsidR="00A456BB" w:rsidRDefault="009929D3" w:rsidP="00A456BB">
      <w:pPr>
        <w:widowControl w:val="0"/>
        <w:tabs>
          <w:tab w:val="left" w:pos="0"/>
          <w:tab w:val="left" w:pos="1418"/>
        </w:tabs>
        <w:spacing w:after="0"/>
        <w:ind w:left="0" w:right="142" w:firstLine="0"/>
        <w:rPr>
          <w:szCs w:val="24"/>
          <w:lang w:val="en-US"/>
        </w:rPr>
      </w:pPr>
      <w:r w:rsidRPr="0039059B">
        <w:rPr>
          <w:szCs w:val="24"/>
          <w:lang w:val="en-US"/>
        </w:rPr>
        <w:t xml:space="preserve">The purpose of the </w:t>
      </w:r>
      <w:r w:rsidR="00A456BB">
        <w:rPr>
          <w:i/>
          <w:szCs w:val="24"/>
        </w:rPr>
        <w:t>Mutual Recognition (Amendment of Act</w:t>
      </w:r>
      <w:r w:rsidR="00013F76">
        <w:rPr>
          <w:i/>
          <w:szCs w:val="24"/>
        </w:rPr>
        <w:t>—</w:t>
      </w:r>
      <w:r w:rsidR="00A456BB">
        <w:rPr>
          <w:i/>
          <w:szCs w:val="24"/>
        </w:rPr>
        <w:t xml:space="preserve">Container Deposit Scheme) Regulation 2013 </w:t>
      </w:r>
      <w:r w:rsidR="000E5F17">
        <w:rPr>
          <w:szCs w:val="24"/>
          <w:lang w:val="en-US"/>
        </w:rPr>
        <w:t xml:space="preserve">(the Regulation) </w:t>
      </w:r>
      <w:r w:rsidRPr="0039059B">
        <w:rPr>
          <w:szCs w:val="24"/>
          <w:lang w:val="en-US"/>
        </w:rPr>
        <w:t>is to permanently exempt the</w:t>
      </w:r>
      <w:r w:rsidR="00A949F5" w:rsidRPr="0039059B">
        <w:rPr>
          <w:szCs w:val="24"/>
          <w:lang w:val="en-US"/>
        </w:rPr>
        <w:t xml:space="preserve"> </w:t>
      </w:r>
      <w:r w:rsidR="00A456BB" w:rsidRPr="00CD0CAA">
        <w:rPr>
          <w:i/>
          <w:szCs w:val="24"/>
          <w:lang w:val="en-US"/>
        </w:rPr>
        <w:t>Environment Protection (Beverage Containers and Plastic Bags) Act (NT)</w:t>
      </w:r>
      <w:r w:rsidR="00A456BB">
        <w:rPr>
          <w:szCs w:val="24"/>
          <w:lang w:val="en-US"/>
        </w:rPr>
        <w:t>, and regulations made under that Act (together known as the Container Deposit Scheme legislation), to the extent that they relate to the container deposit scheme,</w:t>
      </w:r>
      <w:r w:rsidR="00A456BB" w:rsidRPr="00A456BB">
        <w:rPr>
          <w:szCs w:val="24"/>
          <w:lang w:val="en-US"/>
        </w:rPr>
        <w:t xml:space="preserve"> </w:t>
      </w:r>
      <w:r w:rsidR="00A456BB">
        <w:rPr>
          <w:szCs w:val="24"/>
          <w:lang w:val="en-US"/>
        </w:rPr>
        <w:t xml:space="preserve">from the operation of the </w:t>
      </w:r>
      <w:r w:rsidR="00A456BB" w:rsidRPr="00965FDA">
        <w:rPr>
          <w:i/>
          <w:szCs w:val="24"/>
          <w:lang w:val="en-US"/>
        </w:rPr>
        <w:t>Mutual Recognition Act 1992</w:t>
      </w:r>
      <w:r w:rsidR="00A456BB">
        <w:rPr>
          <w:szCs w:val="24"/>
          <w:lang w:val="en-US"/>
        </w:rPr>
        <w:t xml:space="preserve"> (the MR</w:t>
      </w:r>
      <w:r w:rsidR="009442AF">
        <w:rPr>
          <w:szCs w:val="24"/>
          <w:lang w:val="en-US"/>
        </w:rPr>
        <w:t>A</w:t>
      </w:r>
      <w:r w:rsidR="001F78CC">
        <w:rPr>
          <w:szCs w:val="24"/>
          <w:lang w:val="en-US"/>
        </w:rPr>
        <w:t>).</w:t>
      </w:r>
      <w:r w:rsidR="006C3B1D">
        <w:rPr>
          <w:szCs w:val="24"/>
          <w:lang w:val="en-US"/>
        </w:rPr>
        <w:t xml:space="preserve">  This means that containers that are imported into the Northern Territory from another State or Territory will have to comply with the</w:t>
      </w:r>
      <w:r w:rsidR="00A77782">
        <w:rPr>
          <w:szCs w:val="24"/>
          <w:lang w:val="en-US"/>
        </w:rPr>
        <w:t xml:space="preserve"> Northern Territory’s</w:t>
      </w:r>
      <w:r w:rsidR="006C3B1D">
        <w:rPr>
          <w:szCs w:val="24"/>
          <w:lang w:val="en-US"/>
        </w:rPr>
        <w:t xml:space="preserve"> Container Deposit Scheme legislation.</w:t>
      </w:r>
    </w:p>
    <w:p w14:paraId="5A9B1B1E" w14:textId="77777777" w:rsidR="00A456BB" w:rsidRDefault="00A456BB" w:rsidP="00A456BB">
      <w:pPr>
        <w:widowControl w:val="0"/>
        <w:tabs>
          <w:tab w:val="left" w:pos="0"/>
          <w:tab w:val="left" w:pos="1418"/>
        </w:tabs>
        <w:spacing w:after="0"/>
        <w:ind w:left="0" w:right="142" w:firstLine="0"/>
        <w:rPr>
          <w:szCs w:val="24"/>
          <w:lang w:val="en-US"/>
        </w:rPr>
      </w:pPr>
    </w:p>
    <w:p w14:paraId="1BD4C198" w14:textId="12D83A32" w:rsidR="00A456BB" w:rsidRDefault="009442AF" w:rsidP="00A456BB">
      <w:pPr>
        <w:widowControl w:val="0"/>
        <w:tabs>
          <w:tab w:val="left" w:pos="0"/>
          <w:tab w:val="left" w:pos="1418"/>
        </w:tabs>
        <w:spacing w:after="0"/>
        <w:ind w:left="0" w:right="142" w:firstLine="0"/>
        <w:rPr>
          <w:szCs w:val="24"/>
          <w:lang w:val="en-US"/>
        </w:rPr>
      </w:pPr>
      <w:r>
        <w:rPr>
          <w:szCs w:val="24"/>
          <w:lang w:val="en-US"/>
        </w:rPr>
        <w:t xml:space="preserve">Schedules 1 and 2 of the MRA respectively list goods and laws relating to goods that are permanently exempt from the operation of the MRA.  </w:t>
      </w:r>
      <w:r w:rsidR="00A456BB">
        <w:rPr>
          <w:szCs w:val="24"/>
          <w:lang w:val="en-US"/>
        </w:rPr>
        <w:t xml:space="preserve">The Regulation amends </w:t>
      </w:r>
      <w:r w:rsidR="00A456BB" w:rsidRPr="001F78CC">
        <w:rPr>
          <w:szCs w:val="24"/>
          <w:lang w:val="en-US"/>
        </w:rPr>
        <w:t>Schedule 2</w:t>
      </w:r>
      <w:r>
        <w:rPr>
          <w:szCs w:val="24"/>
          <w:lang w:val="en-US"/>
        </w:rPr>
        <w:t xml:space="preserve"> to the MRA</w:t>
      </w:r>
      <w:r w:rsidR="00CD0CAA">
        <w:rPr>
          <w:szCs w:val="24"/>
          <w:lang w:val="en-US"/>
        </w:rPr>
        <w:t xml:space="preserve"> by </w:t>
      </w:r>
      <w:r w:rsidR="007C5E92">
        <w:rPr>
          <w:szCs w:val="24"/>
          <w:lang w:val="en-US"/>
        </w:rPr>
        <w:t xml:space="preserve">providing that </w:t>
      </w:r>
      <w:r w:rsidR="00CD0CAA">
        <w:rPr>
          <w:szCs w:val="24"/>
          <w:lang w:val="en-US"/>
        </w:rPr>
        <w:t>the following</w:t>
      </w:r>
      <w:r w:rsidR="007C5E92">
        <w:rPr>
          <w:szCs w:val="24"/>
          <w:lang w:val="en-US"/>
        </w:rPr>
        <w:t xml:space="preserve"> </w:t>
      </w:r>
      <w:r w:rsidR="0070674F">
        <w:rPr>
          <w:szCs w:val="24"/>
          <w:lang w:val="en-US"/>
        </w:rPr>
        <w:t>are</w:t>
      </w:r>
      <w:r w:rsidR="007C5E92">
        <w:rPr>
          <w:szCs w:val="24"/>
          <w:lang w:val="en-US"/>
        </w:rPr>
        <w:t xml:space="preserve"> permanently exempted from the operation of the MRA</w:t>
      </w:r>
      <w:r w:rsidR="00CD0CAA">
        <w:rPr>
          <w:szCs w:val="24"/>
          <w:lang w:val="en-US"/>
        </w:rPr>
        <w:t>:</w:t>
      </w:r>
    </w:p>
    <w:p w14:paraId="116EAE01" w14:textId="0C3D3C13" w:rsidR="00CD0CAA" w:rsidRDefault="00CD0CAA" w:rsidP="00030089">
      <w:pPr>
        <w:pStyle w:val="ListParagraph"/>
        <w:widowControl w:val="0"/>
        <w:numPr>
          <w:ilvl w:val="0"/>
          <w:numId w:val="1"/>
        </w:numPr>
        <w:tabs>
          <w:tab w:val="left" w:pos="0"/>
          <w:tab w:val="left" w:pos="1418"/>
        </w:tabs>
        <w:spacing w:after="0"/>
        <w:ind w:right="142"/>
        <w:rPr>
          <w:szCs w:val="24"/>
          <w:lang w:val="en-US"/>
        </w:rPr>
      </w:pPr>
      <w:r>
        <w:rPr>
          <w:szCs w:val="24"/>
          <w:lang w:val="en-US"/>
        </w:rPr>
        <w:t xml:space="preserve">Part 2 of the </w:t>
      </w:r>
      <w:r w:rsidRPr="00965FDA">
        <w:rPr>
          <w:i/>
          <w:szCs w:val="24"/>
          <w:lang w:val="en-US"/>
        </w:rPr>
        <w:t>Environment Protection (Beverage Containers and Plastic Bags) Act (NT)</w:t>
      </w:r>
      <w:r>
        <w:rPr>
          <w:szCs w:val="24"/>
          <w:lang w:val="en-US"/>
        </w:rPr>
        <w:t>;</w:t>
      </w:r>
    </w:p>
    <w:p w14:paraId="3A1C8A4F" w14:textId="24366950" w:rsidR="00CD0CAA" w:rsidRDefault="00CD0CAA" w:rsidP="00030089">
      <w:pPr>
        <w:pStyle w:val="ListParagraph"/>
        <w:widowControl w:val="0"/>
        <w:numPr>
          <w:ilvl w:val="0"/>
          <w:numId w:val="1"/>
        </w:numPr>
        <w:tabs>
          <w:tab w:val="left" w:pos="0"/>
          <w:tab w:val="left" w:pos="1418"/>
        </w:tabs>
        <w:spacing w:after="0"/>
        <w:ind w:right="142"/>
        <w:rPr>
          <w:szCs w:val="24"/>
          <w:lang w:val="en-US"/>
        </w:rPr>
      </w:pPr>
      <w:r>
        <w:rPr>
          <w:szCs w:val="24"/>
          <w:lang w:val="en-US"/>
        </w:rPr>
        <w:t>all other provisions of that Act, to the extent that they relate to the container deposit scheme established by that Part; and</w:t>
      </w:r>
    </w:p>
    <w:p w14:paraId="442DB932" w14:textId="5672F5AE" w:rsidR="00CD0CAA" w:rsidRPr="00CD0CAA" w:rsidRDefault="00CD0CAA" w:rsidP="00030089">
      <w:pPr>
        <w:pStyle w:val="ListParagraph"/>
        <w:widowControl w:val="0"/>
        <w:numPr>
          <w:ilvl w:val="0"/>
          <w:numId w:val="1"/>
        </w:numPr>
        <w:tabs>
          <w:tab w:val="left" w:pos="0"/>
          <w:tab w:val="left" w:pos="1418"/>
        </w:tabs>
        <w:spacing w:after="0"/>
        <w:ind w:right="142"/>
        <w:rPr>
          <w:szCs w:val="24"/>
          <w:lang w:val="en-US"/>
        </w:rPr>
      </w:pPr>
      <w:r>
        <w:rPr>
          <w:szCs w:val="24"/>
          <w:lang w:val="en-US"/>
        </w:rPr>
        <w:t>regulations made under that Act, to the extent that they relate to that scheme.</w:t>
      </w:r>
    </w:p>
    <w:p w14:paraId="4C139EBD" w14:textId="77777777" w:rsidR="00A456BB" w:rsidRDefault="00A456BB" w:rsidP="00A456BB">
      <w:pPr>
        <w:widowControl w:val="0"/>
        <w:tabs>
          <w:tab w:val="left" w:pos="0"/>
          <w:tab w:val="left" w:pos="1418"/>
        </w:tabs>
        <w:spacing w:after="0"/>
        <w:ind w:left="0" w:right="142" w:firstLine="0"/>
        <w:rPr>
          <w:szCs w:val="24"/>
          <w:lang w:val="en-US"/>
        </w:rPr>
      </w:pPr>
    </w:p>
    <w:p w14:paraId="640EC72C" w14:textId="7266CF22" w:rsidR="00BC0EB3" w:rsidRDefault="001F78CC" w:rsidP="004A25AB">
      <w:pPr>
        <w:spacing w:after="240"/>
        <w:ind w:left="0" w:firstLine="0"/>
        <w:rPr>
          <w:szCs w:val="24"/>
          <w:lang w:val="en-US"/>
        </w:rPr>
      </w:pPr>
      <w:r w:rsidRPr="00B622FC">
        <w:rPr>
          <w:szCs w:val="24"/>
          <w:lang w:val="en-US"/>
        </w:rPr>
        <w:t>Subs</w:t>
      </w:r>
      <w:r w:rsidR="00BC0EB3" w:rsidRPr="00B622FC">
        <w:rPr>
          <w:szCs w:val="24"/>
          <w:lang w:val="en-US"/>
        </w:rPr>
        <w:t xml:space="preserve">ection </w:t>
      </w:r>
      <w:r w:rsidRPr="00B622FC">
        <w:rPr>
          <w:szCs w:val="24"/>
          <w:lang w:val="en-US"/>
        </w:rPr>
        <w:t>14(2)</w:t>
      </w:r>
      <w:r w:rsidR="009442AF" w:rsidRPr="00B622FC">
        <w:rPr>
          <w:szCs w:val="24"/>
          <w:lang w:val="en-US"/>
        </w:rPr>
        <w:t xml:space="preserve"> of the MRA</w:t>
      </w:r>
      <w:r w:rsidR="00BC0EB3" w:rsidRPr="00B622FC">
        <w:rPr>
          <w:szCs w:val="24"/>
          <w:lang w:val="en-US"/>
        </w:rPr>
        <w:t xml:space="preserve"> </w:t>
      </w:r>
      <w:r w:rsidR="00E254E0" w:rsidRPr="00B622FC">
        <w:rPr>
          <w:szCs w:val="24"/>
          <w:lang w:val="en-US"/>
        </w:rPr>
        <w:t xml:space="preserve">on permanent exemptions </w:t>
      </w:r>
      <w:r w:rsidRPr="00B622FC">
        <w:rPr>
          <w:szCs w:val="24"/>
          <w:lang w:val="en-US"/>
        </w:rPr>
        <w:t xml:space="preserve">notes that </w:t>
      </w:r>
      <w:r w:rsidR="00E254E0" w:rsidRPr="00B622FC">
        <w:rPr>
          <w:szCs w:val="24"/>
          <w:lang w:val="en-US"/>
        </w:rPr>
        <w:t>Part 2 of the MRA (Goods) does not affect the operation of</w:t>
      </w:r>
      <w:r w:rsidRPr="00B622FC">
        <w:rPr>
          <w:szCs w:val="24"/>
          <w:lang w:val="en-US"/>
        </w:rPr>
        <w:t xml:space="preserve"> laws described in Schedule 2</w:t>
      </w:r>
      <w:r w:rsidR="00E254E0" w:rsidRPr="00B622FC">
        <w:rPr>
          <w:szCs w:val="24"/>
          <w:lang w:val="en-US"/>
        </w:rPr>
        <w:t xml:space="preserve"> (</w:t>
      </w:r>
      <w:r w:rsidR="00B02AF9" w:rsidRPr="00B622FC">
        <w:rPr>
          <w:szCs w:val="24"/>
          <w:lang w:val="en-US"/>
        </w:rPr>
        <w:t>i.e.</w:t>
      </w:r>
      <w:r w:rsidR="00E254E0" w:rsidRPr="00B622FC">
        <w:rPr>
          <w:szCs w:val="24"/>
          <w:lang w:val="en-US"/>
        </w:rPr>
        <w:t xml:space="preserve"> these laws are not</w:t>
      </w:r>
      <w:r w:rsidRPr="00B622FC">
        <w:rPr>
          <w:szCs w:val="24"/>
          <w:lang w:val="en-US"/>
        </w:rPr>
        <w:t xml:space="preserve"> subject to the mutual recognition principle</w:t>
      </w:r>
      <w:r w:rsidR="00E254E0" w:rsidRPr="00B622FC">
        <w:rPr>
          <w:szCs w:val="24"/>
          <w:lang w:val="en-US"/>
        </w:rPr>
        <w:t>)</w:t>
      </w:r>
      <w:r w:rsidRPr="00B622FC">
        <w:rPr>
          <w:szCs w:val="24"/>
          <w:lang w:val="en-US"/>
        </w:rPr>
        <w:t>.</w:t>
      </w:r>
      <w:r>
        <w:rPr>
          <w:szCs w:val="24"/>
          <w:lang w:val="en-US"/>
        </w:rPr>
        <w:t xml:space="preserve">  </w:t>
      </w:r>
      <w:r w:rsidR="00BC0EB3" w:rsidRPr="001F78CC">
        <w:rPr>
          <w:szCs w:val="24"/>
          <w:lang w:val="en-US"/>
        </w:rPr>
        <w:t>Subsection 4</w:t>
      </w:r>
      <w:r w:rsidR="004827E3" w:rsidRPr="001F78CC">
        <w:rPr>
          <w:szCs w:val="24"/>
          <w:lang w:val="en-US"/>
        </w:rPr>
        <w:t>7</w:t>
      </w:r>
      <w:r w:rsidR="00BC0EB3" w:rsidRPr="001F78CC">
        <w:rPr>
          <w:szCs w:val="24"/>
          <w:lang w:val="en-US"/>
        </w:rPr>
        <w:t>(</w:t>
      </w:r>
      <w:r w:rsidR="004827E3" w:rsidRPr="001F78CC">
        <w:rPr>
          <w:szCs w:val="24"/>
          <w:lang w:val="en-US"/>
        </w:rPr>
        <w:t>1</w:t>
      </w:r>
      <w:r w:rsidR="00BC0EB3" w:rsidRPr="001F78CC">
        <w:rPr>
          <w:szCs w:val="24"/>
          <w:lang w:val="en-US"/>
        </w:rPr>
        <w:t>)</w:t>
      </w:r>
      <w:r w:rsidR="00BC0EB3">
        <w:rPr>
          <w:szCs w:val="24"/>
          <w:lang w:val="en-US"/>
        </w:rPr>
        <w:t xml:space="preserve"> provides that the Governor-General may make regulations amending </w:t>
      </w:r>
      <w:r w:rsidR="004827E3">
        <w:rPr>
          <w:szCs w:val="24"/>
          <w:lang w:val="en-US"/>
        </w:rPr>
        <w:t>the Schedules</w:t>
      </w:r>
      <w:r w:rsidR="009442AF">
        <w:rPr>
          <w:szCs w:val="24"/>
          <w:lang w:val="en-US"/>
        </w:rPr>
        <w:t xml:space="preserve"> of the MRA</w:t>
      </w:r>
      <w:r w:rsidR="00BC0EB3">
        <w:rPr>
          <w:szCs w:val="24"/>
          <w:lang w:val="en-US"/>
        </w:rPr>
        <w:t>.</w:t>
      </w:r>
      <w:r w:rsidR="00E84AFA">
        <w:rPr>
          <w:szCs w:val="24"/>
          <w:lang w:val="en-US"/>
        </w:rPr>
        <w:t xml:space="preserve">  As required by </w:t>
      </w:r>
      <w:r w:rsidR="00E84AFA" w:rsidRPr="001F78CC">
        <w:rPr>
          <w:szCs w:val="24"/>
          <w:lang w:val="en-US"/>
        </w:rPr>
        <w:t>subsection 4</w:t>
      </w:r>
      <w:r w:rsidR="004827E3" w:rsidRPr="001F78CC">
        <w:rPr>
          <w:szCs w:val="24"/>
          <w:lang w:val="en-US"/>
        </w:rPr>
        <w:t>7</w:t>
      </w:r>
      <w:r w:rsidR="00E84AFA" w:rsidRPr="001F78CC">
        <w:rPr>
          <w:szCs w:val="24"/>
          <w:lang w:val="en-US"/>
        </w:rPr>
        <w:t>(</w:t>
      </w:r>
      <w:r w:rsidR="004827E3" w:rsidRPr="001F78CC">
        <w:rPr>
          <w:szCs w:val="24"/>
          <w:lang w:val="en-US"/>
        </w:rPr>
        <w:t>2</w:t>
      </w:r>
      <w:r w:rsidR="00E84AFA" w:rsidRPr="001F78CC">
        <w:rPr>
          <w:szCs w:val="24"/>
          <w:lang w:val="en-US"/>
        </w:rPr>
        <w:t>)</w:t>
      </w:r>
      <w:r w:rsidR="009442AF">
        <w:rPr>
          <w:szCs w:val="24"/>
          <w:lang w:val="en-US"/>
        </w:rPr>
        <w:t xml:space="preserve"> of the MRA</w:t>
      </w:r>
      <w:r w:rsidR="00E84AFA">
        <w:rPr>
          <w:szCs w:val="24"/>
          <w:lang w:val="en-US"/>
        </w:rPr>
        <w:t xml:space="preserve">, all of the participating jurisdictions </w:t>
      </w:r>
      <w:r w:rsidR="00FC4D74">
        <w:rPr>
          <w:szCs w:val="24"/>
          <w:lang w:val="en-US"/>
        </w:rPr>
        <w:t xml:space="preserve">(the </w:t>
      </w:r>
      <w:r w:rsidR="001A3194">
        <w:rPr>
          <w:szCs w:val="24"/>
          <w:lang w:val="en-US"/>
        </w:rPr>
        <w:t xml:space="preserve">Australian </w:t>
      </w:r>
      <w:r w:rsidR="00FC4D74">
        <w:rPr>
          <w:szCs w:val="24"/>
          <w:lang w:val="en-US"/>
        </w:rPr>
        <w:t xml:space="preserve">State and Territory Governments) </w:t>
      </w:r>
      <w:r w:rsidR="001954E6">
        <w:rPr>
          <w:szCs w:val="24"/>
          <w:lang w:val="en-US"/>
        </w:rPr>
        <w:t xml:space="preserve">have </w:t>
      </w:r>
      <w:r w:rsidR="00E84AFA">
        <w:rPr>
          <w:szCs w:val="24"/>
          <w:lang w:val="en-US"/>
        </w:rPr>
        <w:t>endorsed the Regulation</w:t>
      </w:r>
      <w:r w:rsidR="002E56E5">
        <w:rPr>
          <w:szCs w:val="24"/>
          <w:lang w:val="en-US"/>
        </w:rPr>
        <w:t xml:space="preserve"> and</w:t>
      </w:r>
      <w:r w:rsidR="009442AF">
        <w:rPr>
          <w:szCs w:val="24"/>
          <w:lang w:val="en-US"/>
        </w:rPr>
        <w:t xml:space="preserve"> </w:t>
      </w:r>
      <w:r w:rsidR="001954E6">
        <w:rPr>
          <w:szCs w:val="24"/>
          <w:lang w:val="en-US"/>
        </w:rPr>
        <w:t>have</w:t>
      </w:r>
      <w:r w:rsidR="002E56E5">
        <w:rPr>
          <w:szCs w:val="24"/>
          <w:lang w:val="en-US"/>
        </w:rPr>
        <w:t xml:space="preserve"> published an official notice </w:t>
      </w:r>
      <w:r w:rsidR="000E579A">
        <w:rPr>
          <w:szCs w:val="24"/>
          <w:lang w:val="en-US"/>
        </w:rPr>
        <w:t xml:space="preserve">to that effect </w:t>
      </w:r>
      <w:r w:rsidR="002E56E5">
        <w:rPr>
          <w:szCs w:val="24"/>
          <w:lang w:val="en-US"/>
        </w:rPr>
        <w:t>in their gazettes.</w:t>
      </w:r>
      <w:r w:rsidR="001954E6">
        <w:rPr>
          <w:szCs w:val="24"/>
          <w:lang w:val="en-US"/>
        </w:rPr>
        <w:t xml:space="preserve">  </w:t>
      </w:r>
    </w:p>
    <w:p w14:paraId="654AF0BF" w14:textId="1F835BD5" w:rsidR="00B622FC" w:rsidRDefault="00B622FC" w:rsidP="004A25AB">
      <w:pPr>
        <w:spacing w:after="240"/>
        <w:ind w:left="0" w:firstLine="0"/>
      </w:pPr>
      <w:r w:rsidRPr="00843925">
        <w:rPr>
          <w:szCs w:val="24"/>
          <w:lang w:val="en-US"/>
        </w:rPr>
        <w:t xml:space="preserve">It should be noted that this endorsement should not be seen as pre-empting the outcomes of the analysis and assessment process currently underway through the COAG Standing Council on Environment and Water </w:t>
      </w:r>
      <w:r w:rsidR="00E76CB9" w:rsidRPr="00843925">
        <w:rPr>
          <w:szCs w:val="24"/>
          <w:lang w:val="en-US"/>
        </w:rPr>
        <w:t xml:space="preserve">(SCEW) </w:t>
      </w:r>
      <w:r w:rsidRPr="00843925">
        <w:rPr>
          <w:szCs w:val="24"/>
          <w:lang w:val="en-US"/>
        </w:rPr>
        <w:t>to better address packaging waste and litter nationally.</w:t>
      </w:r>
      <w:r w:rsidR="00BE19D4" w:rsidRPr="00843925">
        <w:rPr>
          <w:szCs w:val="24"/>
          <w:lang w:val="en-US"/>
        </w:rPr>
        <w:t xml:space="preserve"> </w:t>
      </w:r>
      <w:r w:rsidR="004A3B52">
        <w:rPr>
          <w:szCs w:val="24"/>
          <w:lang w:val="en-US"/>
        </w:rPr>
        <w:t xml:space="preserve"> </w:t>
      </w:r>
      <w:r w:rsidR="00BE19D4" w:rsidRPr="00843925">
        <w:rPr>
          <w:szCs w:val="24"/>
          <w:lang w:val="en-US"/>
        </w:rPr>
        <w:t xml:space="preserve">SCEW is developing a </w:t>
      </w:r>
      <w:r w:rsidR="00BE19D4" w:rsidRPr="00843925">
        <w:t>Decision Regulation Impact Statement on the national options</w:t>
      </w:r>
      <w:r w:rsidR="004A3B52">
        <w:t>.</w:t>
      </w:r>
    </w:p>
    <w:p w14:paraId="1A6AA2D4" w14:textId="77777777" w:rsidR="00F2384B" w:rsidRDefault="00F2384B" w:rsidP="004A25AB">
      <w:pPr>
        <w:spacing w:after="240"/>
        <w:ind w:left="0" w:firstLine="0"/>
      </w:pPr>
    </w:p>
    <w:p w14:paraId="07F5586A" w14:textId="77777777" w:rsidR="00F2384B" w:rsidRDefault="00F2384B" w:rsidP="004A25AB">
      <w:pPr>
        <w:spacing w:after="240"/>
        <w:ind w:left="0" w:firstLine="0"/>
        <w:rPr>
          <w:szCs w:val="24"/>
          <w:lang w:val="en-US"/>
        </w:rPr>
      </w:pPr>
    </w:p>
    <w:p w14:paraId="4584DC74" w14:textId="77777777" w:rsidR="00E93292" w:rsidRPr="002B5509" w:rsidRDefault="00E93292" w:rsidP="004A25AB">
      <w:pPr>
        <w:spacing w:after="240"/>
        <w:ind w:left="0" w:firstLine="0"/>
        <w:rPr>
          <w:b/>
          <w:szCs w:val="24"/>
          <w:lang w:val="en-US"/>
        </w:rPr>
      </w:pPr>
      <w:r w:rsidRPr="002B5509">
        <w:rPr>
          <w:b/>
          <w:szCs w:val="24"/>
          <w:lang w:val="en-US"/>
        </w:rPr>
        <w:lastRenderedPageBreak/>
        <w:t>Background</w:t>
      </w:r>
    </w:p>
    <w:p w14:paraId="150A2BA7" w14:textId="491FC3F2" w:rsidR="00FD1D0C" w:rsidRDefault="00C77338" w:rsidP="00C77338">
      <w:pPr>
        <w:spacing w:after="240"/>
        <w:ind w:left="0" w:firstLine="0"/>
        <w:rPr>
          <w:szCs w:val="24"/>
          <w:lang w:val="en-US"/>
        </w:rPr>
      </w:pPr>
      <w:r w:rsidRPr="0039059B">
        <w:rPr>
          <w:szCs w:val="24"/>
          <w:lang w:val="en-US"/>
        </w:rPr>
        <w:t xml:space="preserve">The </w:t>
      </w:r>
      <w:r w:rsidR="005B2A26">
        <w:rPr>
          <w:szCs w:val="24"/>
          <w:lang w:val="en-US"/>
        </w:rPr>
        <w:t>MRA</w:t>
      </w:r>
      <w:r w:rsidRPr="0039059B">
        <w:rPr>
          <w:szCs w:val="24"/>
          <w:lang w:val="en-US"/>
        </w:rPr>
        <w:t xml:space="preserve"> gives effect to the </w:t>
      </w:r>
      <w:r w:rsidR="00C90777">
        <w:rPr>
          <w:szCs w:val="24"/>
          <w:lang w:val="en-US"/>
        </w:rPr>
        <w:t xml:space="preserve">mutual recognition principles adopted by </w:t>
      </w:r>
      <w:r w:rsidRPr="0039059B">
        <w:rPr>
          <w:szCs w:val="24"/>
          <w:lang w:val="en-US"/>
        </w:rPr>
        <w:t xml:space="preserve">the </w:t>
      </w:r>
      <w:r w:rsidR="00AE738A">
        <w:rPr>
          <w:szCs w:val="24"/>
          <w:lang w:val="en-US"/>
        </w:rPr>
        <w:t xml:space="preserve">Commonwealth, </w:t>
      </w:r>
      <w:r w:rsidRPr="0039059B">
        <w:rPr>
          <w:szCs w:val="24"/>
          <w:lang w:val="en-US"/>
        </w:rPr>
        <w:t xml:space="preserve">State and Territory Governments of Australia </w:t>
      </w:r>
      <w:r w:rsidR="00C90777">
        <w:rPr>
          <w:szCs w:val="24"/>
          <w:lang w:val="en-US"/>
        </w:rPr>
        <w:t xml:space="preserve">relating to the sale of goods and the registration of occupations.  </w:t>
      </w:r>
      <w:r w:rsidR="00390109">
        <w:rPr>
          <w:szCs w:val="24"/>
          <w:lang w:val="en-US"/>
        </w:rPr>
        <w:t xml:space="preserve">By way of example with </w:t>
      </w:r>
      <w:r w:rsidR="00C90777" w:rsidRPr="0039059B">
        <w:rPr>
          <w:szCs w:val="24"/>
          <w:lang w:val="en-US"/>
        </w:rPr>
        <w:t xml:space="preserve">respect </w:t>
      </w:r>
      <w:r w:rsidR="00390109">
        <w:rPr>
          <w:szCs w:val="24"/>
          <w:lang w:val="en-US"/>
        </w:rPr>
        <w:t>to</w:t>
      </w:r>
      <w:r w:rsidR="00C90777" w:rsidRPr="0039059B">
        <w:rPr>
          <w:szCs w:val="24"/>
          <w:lang w:val="en-US"/>
        </w:rPr>
        <w:t xml:space="preserve"> goods, </w:t>
      </w:r>
      <w:r w:rsidR="005B2A26">
        <w:rPr>
          <w:szCs w:val="24"/>
          <w:lang w:val="en-US"/>
        </w:rPr>
        <w:t>the MRA</w:t>
      </w:r>
      <w:r w:rsidR="00390109">
        <w:rPr>
          <w:szCs w:val="24"/>
          <w:lang w:val="en-US"/>
        </w:rPr>
        <w:t xml:space="preserve"> applies such that a good that can be sold legally in the State of New South Wales may be imported and sold </w:t>
      </w:r>
      <w:r w:rsidR="00377BB3">
        <w:rPr>
          <w:szCs w:val="24"/>
          <w:lang w:val="en-US"/>
        </w:rPr>
        <w:t xml:space="preserve">legally </w:t>
      </w:r>
      <w:r w:rsidR="00390109">
        <w:rPr>
          <w:szCs w:val="24"/>
          <w:lang w:val="en-US"/>
        </w:rPr>
        <w:t>in the Australian Capital Territory (the ACT) despite the regulatory standards that would otherwise apply to the good in the ACT.</w:t>
      </w:r>
    </w:p>
    <w:p w14:paraId="013D748F" w14:textId="14177388" w:rsidR="00B622FC" w:rsidRDefault="00C77338" w:rsidP="00C77338">
      <w:pPr>
        <w:spacing w:after="240"/>
        <w:ind w:left="0" w:firstLine="0"/>
        <w:rPr>
          <w:szCs w:val="24"/>
          <w:lang w:val="en-US"/>
        </w:rPr>
      </w:pPr>
      <w:r w:rsidRPr="0039059B">
        <w:rPr>
          <w:szCs w:val="24"/>
          <w:lang w:val="en-US"/>
        </w:rPr>
        <w:t xml:space="preserve">The </w:t>
      </w:r>
      <w:r w:rsidR="005B2A26">
        <w:rPr>
          <w:szCs w:val="24"/>
          <w:lang w:val="en-US"/>
        </w:rPr>
        <w:t>MRA</w:t>
      </w:r>
      <w:r w:rsidRPr="0039059B">
        <w:rPr>
          <w:szCs w:val="24"/>
          <w:lang w:val="en-US"/>
        </w:rPr>
        <w:t xml:space="preserve"> overrides any laws that regulate the manufacture or sale of goods</w:t>
      </w:r>
      <w:r w:rsidR="00B70BAD">
        <w:rPr>
          <w:szCs w:val="24"/>
          <w:lang w:val="en-US"/>
        </w:rPr>
        <w:t xml:space="preserve"> in the State or Territory of </w:t>
      </w:r>
      <w:r w:rsidR="00A8142C">
        <w:rPr>
          <w:szCs w:val="24"/>
          <w:lang w:val="en-US"/>
        </w:rPr>
        <w:t>sale</w:t>
      </w:r>
      <w:r w:rsidR="00B70BAD">
        <w:rPr>
          <w:szCs w:val="24"/>
          <w:lang w:val="en-US"/>
        </w:rPr>
        <w:t xml:space="preserve"> where the requirements of the State or Territory of origin are met</w:t>
      </w:r>
      <w:r w:rsidRPr="0039059B">
        <w:rPr>
          <w:szCs w:val="24"/>
          <w:lang w:val="en-US"/>
        </w:rPr>
        <w:t xml:space="preserve">.  </w:t>
      </w:r>
      <w:r w:rsidR="00C90777">
        <w:rPr>
          <w:szCs w:val="24"/>
          <w:lang w:val="en-US"/>
        </w:rPr>
        <w:t>The</w:t>
      </w:r>
      <w:r w:rsidR="00DA1745">
        <w:rPr>
          <w:szCs w:val="24"/>
          <w:lang w:val="en-US"/>
        </w:rPr>
        <w:t xml:space="preserve"> </w:t>
      </w:r>
      <w:r w:rsidR="005B2A26">
        <w:rPr>
          <w:szCs w:val="24"/>
          <w:lang w:val="en-US"/>
        </w:rPr>
        <w:t>MRA</w:t>
      </w:r>
      <w:r w:rsidR="00C90777">
        <w:rPr>
          <w:szCs w:val="24"/>
          <w:lang w:val="en-US"/>
        </w:rPr>
        <w:t xml:space="preserve"> </w:t>
      </w:r>
      <w:r w:rsidRPr="0039059B">
        <w:rPr>
          <w:szCs w:val="24"/>
          <w:lang w:val="en-US"/>
        </w:rPr>
        <w:t xml:space="preserve">does </w:t>
      </w:r>
      <w:r w:rsidR="0039059B">
        <w:rPr>
          <w:szCs w:val="24"/>
          <w:lang w:val="en-US"/>
        </w:rPr>
        <w:t>provide</w:t>
      </w:r>
      <w:r w:rsidR="00C90777">
        <w:rPr>
          <w:szCs w:val="24"/>
          <w:lang w:val="en-US"/>
        </w:rPr>
        <w:t>,</w:t>
      </w:r>
      <w:r w:rsidR="0039059B">
        <w:rPr>
          <w:szCs w:val="24"/>
          <w:lang w:val="en-US"/>
        </w:rPr>
        <w:t xml:space="preserve"> </w:t>
      </w:r>
      <w:r w:rsidR="00C90777">
        <w:rPr>
          <w:szCs w:val="24"/>
          <w:lang w:val="en-US"/>
        </w:rPr>
        <w:t xml:space="preserve">however, </w:t>
      </w:r>
      <w:r w:rsidRPr="0039059B">
        <w:rPr>
          <w:szCs w:val="24"/>
          <w:lang w:val="en-US"/>
        </w:rPr>
        <w:t>for circumstances where the mutual recognition principle will not apply</w:t>
      </w:r>
      <w:r w:rsidR="00C90777">
        <w:rPr>
          <w:szCs w:val="24"/>
          <w:lang w:val="en-US"/>
        </w:rPr>
        <w:t xml:space="preserve">.  These </w:t>
      </w:r>
      <w:r w:rsidR="005B2A26">
        <w:rPr>
          <w:szCs w:val="24"/>
          <w:lang w:val="en-US"/>
        </w:rPr>
        <w:t>circums</w:t>
      </w:r>
      <w:r w:rsidR="00C90777">
        <w:rPr>
          <w:szCs w:val="24"/>
          <w:lang w:val="en-US"/>
        </w:rPr>
        <w:t xml:space="preserve">tances are covered by </w:t>
      </w:r>
      <w:r w:rsidR="00A73396">
        <w:rPr>
          <w:szCs w:val="24"/>
          <w:lang w:val="en-US"/>
        </w:rPr>
        <w:t>exceptions to the principle</w:t>
      </w:r>
      <w:r w:rsidR="00C90777">
        <w:rPr>
          <w:szCs w:val="24"/>
          <w:lang w:val="en-US"/>
        </w:rPr>
        <w:t xml:space="preserve">, </w:t>
      </w:r>
      <w:r w:rsidR="00A73396">
        <w:rPr>
          <w:szCs w:val="24"/>
          <w:lang w:val="en-US"/>
        </w:rPr>
        <w:t xml:space="preserve">as well as provisions for </w:t>
      </w:r>
      <w:r w:rsidR="00C90777">
        <w:rPr>
          <w:szCs w:val="24"/>
          <w:lang w:val="en-US"/>
        </w:rPr>
        <w:t>permanent and temporary exemptions.</w:t>
      </w:r>
      <w:r w:rsidR="00893C06">
        <w:rPr>
          <w:szCs w:val="24"/>
          <w:lang w:val="en-US"/>
        </w:rPr>
        <w:t xml:space="preserve"> </w:t>
      </w:r>
      <w:r w:rsidR="00C90777">
        <w:rPr>
          <w:szCs w:val="24"/>
          <w:lang w:val="en-US"/>
        </w:rPr>
        <w:t xml:space="preserve"> </w:t>
      </w:r>
    </w:p>
    <w:p w14:paraId="1301975E" w14:textId="396AE4D2" w:rsidR="008F5689" w:rsidRDefault="008F5689" w:rsidP="00C77338">
      <w:pPr>
        <w:spacing w:after="240"/>
        <w:ind w:left="0" w:firstLine="0"/>
      </w:pPr>
      <w:r>
        <w:rPr>
          <w:szCs w:val="24"/>
          <w:lang w:val="en-US"/>
        </w:rPr>
        <w:t>The purpose of the Container Deposit Scheme legislation is to prohibit in the Northern Territory the supply of beverages in containers unless the containers are approved or specifically excluded.  Under the Container Deposit Scheme legislation, an approval to supply be</w:t>
      </w:r>
      <w:r w:rsidR="004827E3">
        <w:rPr>
          <w:szCs w:val="24"/>
          <w:lang w:val="en-US"/>
        </w:rPr>
        <w:t xml:space="preserve">verage containers in the Territory is subject to the requirements that the container bear the approved refund marking and an effective waste management arrangement is in place for the container.  A waste </w:t>
      </w:r>
      <w:r w:rsidR="004827E3">
        <w:t>management arrangement for approved containers is an arrangement made by participants in the scheme for the collection, sorting and aggregation of the containers and their reuse, recycling or other appropriate disposal.  Under the scheme, empty containers bearing the approved refund marking can be delivered to an approved collection depot for the consumer to receive a 10¢ refund per container.</w:t>
      </w:r>
    </w:p>
    <w:p w14:paraId="3034AD60" w14:textId="18B2E19C" w:rsidR="003A680C" w:rsidRDefault="00424ADC" w:rsidP="00AA3AA9">
      <w:pPr>
        <w:spacing w:after="240"/>
        <w:ind w:left="0" w:firstLine="0"/>
        <w:rPr>
          <w:szCs w:val="24"/>
          <w:lang w:val="en-US"/>
        </w:rPr>
      </w:pPr>
      <w:r>
        <w:t xml:space="preserve">As provided for under </w:t>
      </w:r>
      <w:r w:rsidR="00B02AF9">
        <w:t>sub</w:t>
      </w:r>
      <w:r w:rsidRPr="00377BB3">
        <w:t xml:space="preserve">section </w:t>
      </w:r>
      <w:r w:rsidR="00581D05" w:rsidRPr="00377BB3">
        <w:t>15</w:t>
      </w:r>
      <w:r w:rsidR="00B02AF9">
        <w:t>(1)</w:t>
      </w:r>
      <w:r>
        <w:t xml:space="preserve"> of the MRA, the </w:t>
      </w:r>
      <w:r w:rsidR="00581D05">
        <w:t xml:space="preserve">Northern </w:t>
      </w:r>
      <w:r w:rsidR="00581D05" w:rsidRPr="00B02AF9">
        <w:t>Territory invoked a temporary exemption</w:t>
      </w:r>
      <w:r w:rsidR="00581D05">
        <w:t xml:space="preserve"> for the </w:t>
      </w:r>
      <w:r>
        <w:t xml:space="preserve">Container Deposit Scheme legislation </w:t>
      </w:r>
      <w:r w:rsidR="00581D05">
        <w:t>from the operation of the MRA for 12 months</w:t>
      </w:r>
      <w:r w:rsidR="00581D05" w:rsidRPr="00581D05">
        <w:t xml:space="preserve"> </w:t>
      </w:r>
      <w:r w:rsidR="00FC4D74">
        <w:t>from</w:t>
      </w:r>
      <w:r w:rsidR="00251A8D">
        <w:t xml:space="preserve"> 3 January 2012</w:t>
      </w:r>
      <w:r w:rsidR="00581D05">
        <w:t>.</w:t>
      </w:r>
      <w:r w:rsidR="002069D6">
        <w:rPr>
          <w:szCs w:val="24"/>
          <w:lang w:val="en-US"/>
        </w:rPr>
        <w:t xml:space="preserve">  </w:t>
      </w:r>
      <w:r w:rsidR="005A1CBD">
        <w:rPr>
          <w:szCs w:val="24"/>
          <w:lang w:val="en-US"/>
        </w:rPr>
        <w:t xml:space="preserve">Under </w:t>
      </w:r>
      <w:r w:rsidR="005A1CBD" w:rsidRPr="00251A8D">
        <w:rPr>
          <w:szCs w:val="24"/>
          <w:lang w:val="en-US"/>
        </w:rPr>
        <w:t xml:space="preserve">subsection </w:t>
      </w:r>
      <w:r w:rsidR="00251A8D" w:rsidRPr="00251A8D">
        <w:rPr>
          <w:szCs w:val="24"/>
          <w:lang w:val="en-US"/>
        </w:rPr>
        <w:t>15</w:t>
      </w:r>
      <w:r w:rsidR="005A1CBD" w:rsidRPr="00251A8D">
        <w:rPr>
          <w:szCs w:val="24"/>
          <w:lang w:val="en-US"/>
        </w:rPr>
        <w:t>(</w:t>
      </w:r>
      <w:r w:rsidR="00251A8D" w:rsidRPr="00251A8D">
        <w:rPr>
          <w:szCs w:val="24"/>
          <w:lang w:val="en-US"/>
        </w:rPr>
        <w:t>3</w:t>
      </w:r>
      <w:r w:rsidR="005A1CBD" w:rsidRPr="00251A8D">
        <w:rPr>
          <w:szCs w:val="24"/>
          <w:lang w:val="en-US"/>
        </w:rPr>
        <w:t>)</w:t>
      </w:r>
      <w:r w:rsidR="00426E2F">
        <w:rPr>
          <w:szCs w:val="24"/>
          <w:lang w:val="en-US"/>
        </w:rPr>
        <w:t xml:space="preserve"> of the MRA</w:t>
      </w:r>
      <w:r w:rsidR="005A1CBD">
        <w:rPr>
          <w:szCs w:val="24"/>
          <w:lang w:val="en-US"/>
        </w:rPr>
        <w:t xml:space="preserve">, temporary exemptions may only operate for a maximum period of 12 months after which the principles of mutual recognition apply.  As the temporary </w:t>
      </w:r>
      <w:r w:rsidR="00946663">
        <w:rPr>
          <w:szCs w:val="24"/>
          <w:lang w:val="en-US"/>
        </w:rPr>
        <w:t>exe</w:t>
      </w:r>
      <w:r w:rsidR="0039059B">
        <w:rPr>
          <w:szCs w:val="24"/>
          <w:lang w:val="en-US"/>
        </w:rPr>
        <w:t xml:space="preserve">mption for the </w:t>
      </w:r>
      <w:r w:rsidR="004827E3">
        <w:rPr>
          <w:szCs w:val="24"/>
          <w:lang w:val="en-US"/>
        </w:rPr>
        <w:t>Container Deposit Scheme</w:t>
      </w:r>
      <w:r w:rsidR="0039059B">
        <w:rPr>
          <w:szCs w:val="24"/>
          <w:lang w:val="en-US"/>
        </w:rPr>
        <w:t xml:space="preserve"> legislation</w:t>
      </w:r>
      <w:r w:rsidR="00946663">
        <w:rPr>
          <w:szCs w:val="24"/>
          <w:lang w:val="en-US"/>
        </w:rPr>
        <w:t xml:space="preserve"> expire</w:t>
      </w:r>
      <w:r w:rsidR="004827E3">
        <w:rPr>
          <w:szCs w:val="24"/>
          <w:lang w:val="en-US"/>
        </w:rPr>
        <w:t>d</w:t>
      </w:r>
      <w:r w:rsidR="00946663">
        <w:rPr>
          <w:szCs w:val="24"/>
          <w:lang w:val="en-US"/>
        </w:rPr>
        <w:t xml:space="preserve"> </w:t>
      </w:r>
      <w:r w:rsidR="00251A8D">
        <w:rPr>
          <w:szCs w:val="24"/>
          <w:lang w:val="en-US"/>
        </w:rPr>
        <w:t>in</w:t>
      </w:r>
      <w:r w:rsidR="00581D05">
        <w:rPr>
          <w:szCs w:val="24"/>
          <w:lang w:val="en-US"/>
        </w:rPr>
        <w:t xml:space="preserve"> January 201</w:t>
      </w:r>
      <w:r w:rsidR="00251A8D">
        <w:rPr>
          <w:szCs w:val="24"/>
          <w:lang w:val="en-US"/>
        </w:rPr>
        <w:t>3</w:t>
      </w:r>
      <w:r w:rsidR="005A1CBD">
        <w:rPr>
          <w:szCs w:val="24"/>
          <w:lang w:val="en-US"/>
        </w:rPr>
        <w:t>, a permanent exemption was sought</w:t>
      </w:r>
      <w:r w:rsidR="00BE19D4">
        <w:rPr>
          <w:szCs w:val="24"/>
          <w:lang w:val="en-US"/>
        </w:rPr>
        <w:t xml:space="preserve"> by the Northern Territory</w:t>
      </w:r>
      <w:r w:rsidR="007C2064">
        <w:rPr>
          <w:szCs w:val="24"/>
          <w:lang w:val="en-US"/>
        </w:rPr>
        <w:t>.</w:t>
      </w:r>
    </w:p>
    <w:p w14:paraId="6FEC0587" w14:textId="77777777" w:rsidR="001F60E1" w:rsidRPr="00C90777" w:rsidRDefault="001F60E1" w:rsidP="004A25AB">
      <w:pPr>
        <w:spacing w:after="240" w:line="240" w:lineRule="auto"/>
        <w:ind w:left="0" w:firstLine="0"/>
        <w:rPr>
          <w:b/>
          <w:szCs w:val="24"/>
          <w:lang w:val="en-US"/>
        </w:rPr>
      </w:pPr>
      <w:r w:rsidRPr="00C90777">
        <w:rPr>
          <w:b/>
          <w:szCs w:val="24"/>
          <w:lang w:val="en-US"/>
        </w:rPr>
        <w:t>Consultation</w:t>
      </w:r>
    </w:p>
    <w:p w14:paraId="54A097B9" w14:textId="54D91DF6" w:rsidR="00B664C6" w:rsidRDefault="001F60E1" w:rsidP="00AA3AA9">
      <w:pPr>
        <w:spacing w:after="240"/>
        <w:ind w:left="0" w:firstLine="0"/>
        <w:rPr>
          <w:szCs w:val="24"/>
          <w:lang w:val="en-US"/>
        </w:rPr>
      </w:pPr>
      <w:r>
        <w:rPr>
          <w:szCs w:val="24"/>
          <w:lang w:val="en-US"/>
        </w:rPr>
        <w:t xml:space="preserve">In </w:t>
      </w:r>
      <w:r w:rsidR="00251A8D">
        <w:rPr>
          <w:szCs w:val="24"/>
          <w:lang w:val="en-US"/>
        </w:rPr>
        <w:t xml:space="preserve">December 2012, the </w:t>
      </w:r>
      <w:r w:rsidR="00CB0FB8">
        <w:rPr>
          <w:szCs w:val="24"/>
          <w:lang w:val="en-US"/>
        </w:rPr>
        <w:t xml:space="preserve">then </w:t>
      </w:r>
      <w:r w:rsidR="00251A8D">
        <w:rPr>
          <w:szCs w:val="24"/>
          <w:lang w:val="en-US"/>
        </w:rPr>
        <w:t xml:space="preserve">Chief Minister of the Northern Territory, the Hon Terry Mills MLA, wrote to </w:t>
      </w:r>
      <w:r w:rsidR="00DB2274">
        <w:rPr>
          <w:szCs w:val="24"/>
          <w:lang w:val="en-US"/>
        </w:rPr>
        <w:t>Premiers and Chief Ministers</w:t>
      </w:r>
      <w:r w:rsidR="00251A8D">
        <w:rPr>
          <w:szCs w:val="24"/>
          <w:lang w:val="en-US"/>
        </w:rPr>
        <w:t xml:space="preserve"> seeking their support for </w:t>
      </w:r>
      <w:r w:rsidR="004B59DF">
        <w:rPr>
          <w:szCs w:val="24"/>
          <w:lang w:val="en-US"/>
        </w:rPr>
        <w:t>a</w:t>
      </w:r>
      <w:r w:rsidR="00251A8D">
        <w:rPr>
          <w:szCs w:val="24"/>
          <w:lang w:val="en-US"/>
        </w:rPr>
        <w:t xml:space="preserve"> </w:t>
      </w:r>
      <w:r w:rsidR="00E63550">
        <w:rPr>
          <w:szCs w:val="24"/>
          <w:lang w:val="en-US"/>
        </w:rPr>
        <w:t xml:space="preserve">permanent exemption of the </w:t>
      </w:r>
      <w:r w:rsidR="00251A8D">
        <w:rPr>
          <w:szCs w:val="24"/>
          <w:lang w:val="en-US"/>
        </w:rPr>
        <w:t xml:space="preserve">Container Deposit Scheme legislation </w:t>
      </w:r>
      <w:r w:rsidR="00E63550">
        <w:rPr>
          <w:szCs w:val="24"/>
          <w:lang w:val="en-US"/>
        </w:rPr>
        <w:t>from the operation of the MRA.  On 1</w:t>
      </w:r>
      <w:r w:rsidR="001A3194">
        <w:rPr>
          <w:szCs w:val="24"/>
          <w:lang w:val="en-US"/>
        </w:rPr>
        <w:t>8</w:t>
      </w:r>
      <w:r w:rsidR="00E63550">
        <w:rPr>
          <w:szCs w:val="24"/>
          <w:lang w:val="en-US"/>
        </w:rPr>
        <w:t xml:space="preserve"> </w:t>
      </w:r>
      <w:r w:rsidRPr="00251A8D">
        <w:rPr>
          <w:szCs w:val="24"/>
          <w:lang w:val="en-US"/>
        </w:rPr>
        <w:t>April 2013</w:t>
      </w:r>
      <w:r>
        <w:rPr>
          <w:szCs w:val="24"/>
          <w:lang w:val="en-US"/>
        </w:rPr>
        <w:t xml:space="preserve">, the </w:t>
      </w:r>
      <w:r w:rsidR="000163E3">
        <w:rPr>
          <w:szCs w:val="24"/>
          <w:lang w:val="en-US"/>
        </w:rPr>
        <w:t>Chief Minister of the Northern Territory</w:t>
      </w:r>
      <w:r w:rsidR="00E63550">
        <w:rPr>
          <w:szCs w:val="24"/>
          <w:lang w:val="en-US"/>
        </w:rPr>
        <w:t>, the Hon Adam Giles MLA,</w:t>
      </w:r>
      <w:r w:rsidR="000163E3">
        <w:rPr>
          <w:szCs w:val="24"/>
          <w:lang w:val="en-US"/>
        </w:rPr>
        <w:t xml:space="preserve"> wrote to the </w:t>
      </w:r>
      <w:r w:rsidR="005619B0">
        <w:rPr>
          <w:szCs w:val="24"/>
          <w:lang w:val="en-US"/>
        </w:rPr>
        <w:t xml:space="preserve">then </w:t>
      </w:r>
      <w:r w:rsidR="000163E3">
        <w:rPr>
          <w:szCs w:val="24"/>
          <w:lang w:val="en-US"/>
        </w:rPr>
        <w:t xml:space="preserve">Prime Minister, the Hon Julia Gillard MP, advising that </w:t>
      </w:r>
      <w:r w:rsidR="00DB2274">
        <w:rPr>
          <w:szCs w:val="24"/>
          <w:lang w:val="en-US"/>
        </w:rPr>
        <w:t>Premiers and Chief Ministers</w:t>
      </w:r>
      <w:r w:rsidR="001A3194">
        <w:rPr>
          <w:szCs w:val="24"/>
          <w:lang w:val="en-US"/>
        </w:rPr>
        <w:t xml:space="preserve"> </w:t>
      </w:r>
      <w:r w:rsidR="00BE19D4">
        <w:rPr>
          <w:szCs w:val="24"/>
          <w:lang w:val="en-US"/>
        </w:rPr>
        <w:t xml:space="preserve">had indicated a willingness to support the permanent exemption </w:t>
      </w:r>
      <w:r w:rsidR="000163E3">
        <w:rPr>
          <w:szCs w:val="24"/>
          <w:lang w:val="en-US"/>
        </w:rPr>
        <w:t xml:space="preserve">and </w:t>
      </w:r>
      <w:r w:rsidR="007E1E21">
        <w:rPr>
          <w:szCs w:val="24"/>
          <w:lang w:val="en-US"/>
        </w:rPr>
        <w:t>request</w:t>
      </w:r>
      <w:r w:rsidR="00E63550">
        <w:rPr>
          <w:szCs w:val="24"/>
          <w:lang w:val="en-US"/>
        </w:rPr>
        <w:t>ed</w:t>
      </w:r>
      <w:r w:rsidR="007E1E21">
        <w:rPr>
          <w:szCs w:val="24"/>
          <w:lang w:val="en-US"/>
        </w:rPr>
        <w:t xml:space="preserve"> that </w:t>
      </w:r>
      <w:r w:rsidR="001A3194">
        <w:rPr>
          <w:szCs w:val="24"/>
          <w:lang w:val="en-US"/>
        </w:rPr>
        <w:t xml:space="preserve">she write to </w:t>
      </w:r>
      <w:r w:rsidR="00BF5BEF">
        <w:rPr>
          <w:szCs w:val="24"/>
          <w:lang w:val="en-US"/>
        </w:rPr>
        <w:t>Premiers and Chief Ministers</w:t>
      </w:r>
      <w:r w:rsidR="00FB6E1E">
        <w:rPr>
          <w:szCs w:val="24"/>
          <w:lang w:val="en-US"/>
        </w:rPr>
        <w:t xml:space="preserve"> </w:t>
      </w:r>
      <w:r w:rsidR="001A3194">
        <w:rPr>
          <w:szCs w:val="24"/>
          <w:lang w:val="en-US"/>
        </w:rPr>
        <w:t xml:space="preserve">seeking their formal </w:t>
      </w:r>
      <w:r w:rsidR="00BE19D4">
        <w:rPr>
          <w:szCs w:val="24"/>
          <w:lang w:val="en-US"/>
        </w:rPr>
        <w:t>agreement.</w:t>
      </w:r>
      <w:r w:rsidR="00FB6E1E">
        <w:rPr>
          <w:szCs w:val="24"/>
          <w:lang w:val="en-US"/>
        </w:rPr>
        <w:t xml:space="preserve">  </w:t>
      </w:r>
      <w:r w:rsidR="001A3194">
        <w:rPr>
          <w:szCs w:val="24"/>
          <w:lang w:val="en-US"/>
        </w:rPr>
        <w:t>Ms Gillard</w:t>
      </w:r>
      <w:r w:rsidR="00FB6E1E">
        <w:rPr>
          <w:szCs w:val="24"/>
          <w:lang w:val="en-US"/>
        </w:rPr>
        <w:t xml:space="preserve"> </w:t>
      </w:r>
      <w:r w:rsidR="002069D6">
        <w:rPr>
          <w:szCs w:val="24"/>
          <w:lang w:val="en-US"/>
        </w:rPr>
        <w:t xml:space="preserve">supported the request and </w:t>
      </w:r>
      <w:r w:rsidR="00B664C6">
        <w:rPr>
          <w:szCs w:val="24"/>
          <w:lang w:val="en-US"/>
        </w:rPr>
        <w:t xml:space="preserve">wrote to </w:t>
      </w:r>
      <w:r w:rsidR="00DB2274">
        <w:rPr>
          <w:szCs w:val="24"/>
          <w:lang w:val="en-US"/>
        </w:rPr>
        <w:t>Premiers and Chief Ministers</w:t>
      </w:r>
      <w:r w:rsidR="00B664C6">
        <w:rPr>
          <w:szCs w:val="24"/>
          <w:lang w:val="en-US"/>
        </w:rPr>
        <w:t xml:space="preserve"> </w:t>
      </w:r>
      <w:r w:rsidR="00E319B2">
        <w:rPr>
          <w:szCs w:val="24"/>
          <w:lang w:val="en-US"/>
        </w:rPr>
        <w:t xml:space="preserve">seeking agreement to the exemption and providing a </w:t>
      </w:r>
      <w:r w:rsidR="00B664C6">
        <w:rPr>
          <w:szCs w:val="24"/>
          <w:lang w:val="en-US"/>
        </w:rPr>
        <w:t>copy of the Northern Territory’s Decision Regulation Impact Statement</w:t>
      </w:r>
      <w:r w:rsidR="00B664C6" w:rsidRPr="005D7CBD">
        <w:rPr>
          <w:szCs w:val="24"/>
          <w:lang w:val="en-US"/>
        </w:rPr>
        <w:t xml:space="preserve"> </w:t>
      </w:r>
      <w:r w:rsidR="00B664C6">
        <w:rPr>
          <w:szCs w:val="24"/>
          <w:lang w:val="en-US"/>
        </w:rPr>
        <w:t>on the Container Deposit Scheme</w:t>
      </w:r>
      <w:r w:rsidR="00E319B2">
        <w:rPr>
          <w:szCs w:val="24"/>
          <w:lang w:val="en-US"/>
        </w:rPr>
        <w:t xml:space="preserve"> to </w:t>
      </w:r>
      <w:r w:rsidR="00407335">
        <w:rPr>
          <w:szCs w:val="24"/>
          <w:lang w:val="en-US"/>
        </w:rPr>
        <w:t>inform</w:t>
      </w:r>
      <w:r w:rsidR="00E319B2">
        <w:rPr>
          <w:szCs w:val="24"/>
          <w:lang w:val="en-US"/>
        </w:rPr>
        <w:t xml:space="preserve"> their decision</w:t>
      </w:r>
      <w:r w:rsidR="00B664C6">
        <w:rPr>
          <w:szCs w:val="24"/>
          <w:lang w:val="en-US"/>
        </w:rPr>
        <w:t>.</w:t>
      </w:r>
      <w:r w:rsidR="004B59DF">
        <w:rPr>
          <w:szCs w:val="24"/>
          <w:lang w:val="en-US"/>
        </w:rPr>
        <w:t xml:space="preserve"> </w:t>
      </w:r>
    </w:p>
    <w:p w14:paraId="14193ECB" w14:textId="3EAD081E" w:rsidR="00B664C6" w:rsidRDefault="00B664C6" w:rsidP="00AA3AA9">
      <w:pPr>
        <w:spacing w:after="240"/>
        <w:ind w:left="0" w:firstLine="0"/>
        <w:rPr>
          <w:szCs w:val="24"/>
          <w:lang w:val="en-US"/>
        </w:rPr>
      </w:pPr>
      <w:r>
        <w:rPr>
          <w:szCs w:val="24"/>
          <w:lang w:val="en-US"/>
        </w:rPr>
        <w:lastRenderedPageBreak/>
        <w:t xml:space="preserve">Ms Gillard also wrote to the </w:t>
      </w:r>
      <w:r w:rsidR="00A77782">
        <w:rPr>
          <w:szCs w:val="24"/>
          <w:lang w:val="en-US"/>
        </w:rPr>
        <w:t xml:space="preserve">then </w:t>
      </w:r>
      <w:r>
        <w:rPr>
          <w:szCs w:val="24"/>
          <w:lang w:val="en-US"/>
        </w:rPr>
        <w:t>Minister for Climate Change, Industry and Innovation, the Ho</w:t>
      </w:r>
      <w:r w:rsidR="004B59DF">
        <w:rPr>
          <w:szCs w:val="24"/>
          <w:lang w:val="en-US"/>
        </w:rPr>
        <w:t xml:space="preserve">n Greg Combet MP, </w:t>
      </w:r>
      <w:r>
        <w:rPr>
          <w:szCs w:val="24"/>
          <w:lang w:val="en-US"/>
        </w:rPr>
        <w:t xml:space="preserve">asking him to undertake the necessary steps for the making of a regulation to effect the exemption, including the gazettal of the regulation by all State and Territory governments.  </w:t>
      </w:r>
    </w:p>
    <w:p w14:paraId="7C05C62D" w14:textId="4943FC84" w:rsidR="00D30C63" w:rsidRDefault="0053189D" w:rsidP="00AA3AA9">
      <w:pPr>
        <w:spacing w:after="240"/>
        <w:ind w:left="0" w:firstLine="0"/>
        <w:rPr>
          <w:szCs w:val="24"/>
          <w:lang w:val="en-US"/>
        </w:rPr>
      </w:pPr>
      <w:r>
        <w:rPr>
          <w:szCs w:val="24"/>
          <w:lang w:val="en-US"/>
        </w:rPr>
        <w:t xml:space="preserve">In accordance with </w:t>
      </w:r>
      <w:r w:rsidR="002F671E" w:rsidRPr="005D7CBD">
        <w:rPr>
          <w:szCs w:val="24"/>
          <w:lang w:val="en-US"/>
        </w:rPr>
        <w:t>subsection 4</w:t>
      </w:r>
      <w:r w:rsidR="000163E3" w:rsidRPr="005D7CBD">
        <w:rPr>
          <w:szCs w:val="24"/>
          <w:lang w:val="en-US"/>
        </w:rPr>
        <w:t>7</w:t>
      </w:r>
      <w:r w:rsidR="002F671E" w:rsidRPr="005D7CBD">
        <w:rPr>
          <w:szCs w:val="24"/>
          <w:lang w:val="en-US"/>
        </w:rPr>
        <w:t>(</w:t>
      </w:r>
      <w:r w:rsidR="000163E3" w:rsidRPr="005D7CBD">
        <w:rPr>
          <w:szCs w:val="24"/>
          <w:lang w:val="en-US"/>
        </w:rPr>
        <w:t>2</w:t>
      </w:r>
      <w:r w:rsidR="002F671E" w:rsidRPr="005D7CBD">
        <w:rPr>
          <w:szCs w:val="24"/>
          <w:lang w:val="en-US"/>
        </w:rPr>
        <w:t>)</w:t>
      </w:r>
      <w:r w:rsidR="002F671E">
        <w:rPr>
          <w:szCs w:val="24"/>
          <w:lang w:val="en-US"/>
        </w:rPr>
        <w:t xml:space="preserve"> of the </w:t>
      </w:r>
      <w:r w:rsidR="000163E3">
        <w:rPr>
          <w:szCs w:val="24"/>
          <w:lang w:val="en-US"/>
        </w:rPr>
        <w:t>MRA</w:t>
      </w:r>
      <w:r>
        <w:rPr>
          <w:szCs w:val="24"/>
          <w:lang w:val="en-US"/>
        </w:rPr>
        <w:t xml:space="preserve">, the </w:t>
      </w:r>
      <w:r w:rsidR="006D495B">
        <w:rPr>
          <w:szCs w:val="24"/>
          <w:lang w:val="en-US"/>
        </w:rPr>
        <w:t xml:space="preserve">designated person </w:t>
      </w:r>
      <w:r w:rsidR="00BF5BEF">
        <w:rPr>
          <w:szCs w:val="24"/>
          <w:lang w:val="en-US"/>
        </w:rPr>
        <w:t xml:space="preserve">in all of the </w:t>
      </w:r>
      <w:r w:rsidR="006D495B">
        <w:rPr>
          <w:szCs w:val="24"/>
          <w:lang w:val="en-US"/>
        </w:rPr>
        <w:t>participating jurisdiction</w:t>
      </w:r>
      <w:r w:rsidR="00BF5BEF">
        <w:rPr>
          <w:szCs w:val="24"/>
          <w:lang w:val="en-US"/>
        </w:rPr>
        <w:t>s</w:t>
      </w:r>
      <w:r w:rsidR="006D495B">
        <w:rPr>
          <w:szCs w:val="24"/>
          <w:lang w:val="en-US"/>
        </w:rPr>
        <w:t xml:space="preserve"> has endorsed the Regulation, and </w:t>
      </w:r>
      <w:r w:rsidR="000B7D79">
        <w:rPr>
          <w:szCs w:val="24"/>
          <w:lang w:val="en-US"/>
        </w:rPr>
        <w:t xml:space="preserve">notices endorsing it </w:t>
      </w:r>
      <w:r w:rsidR="006D495B">
        <w:rPr>
          <w:szCs w:val="24"/>
          <w:lang w:val="en-US"/>
        </w:rPr>
        <w:t>ha</w:t>
      </w:r>
      <w:r w:rsidR="000B7D79">
        <w:rPr>
          <w:szCs w:val="24"/>
          <w:lang w:val="en-US"/>
        </w:rPr>
        <w:t>ve</w:t>
      </w:r>
      <w:r w:rsidR="006D495B">
        <w:rPr>
          <w:szCs w:val="24"/>
          <w:lang w:val="en-US"/>
        </w:rPr>
        <w:t xml:space="preserve"> been published in the official gazette of all participating jurisdictions.</w:t>
      </w:r>
      <w:r w:rsidR="00FB6E1E">
        <w:rPr>
          <w:szCs w:val="24"/>
          <w:lang w:val="en-US"/>
        </w:rPr>
        <w:t xml:space="preserve"> </w:t>
      </w:r>
      <w:r w:rsidR="00D30C63">
        <w:rPr>
          <w:szCs w:val="24"/>
          <w:lang w:val="en-US"/>
        </w:rPr>
        <w:t xml:space="preserve"> </w:t>
      </w:r>
    </w:p>
    <w:p w14:paraId="0490A00A" w14:textId="556A7A1B" w:rsidR="001F60E1" w:rsidRDefault="006D495B" w:rsidP="00AA3AA9">
      <w:pPr>
        <w:spacing w:after="240"/>
        <w:ind w:left="0" w:firstLine="0"/>
        <w:rPr>
          <w:szCs w:val="24"/>
          <w:lang w:val="en-US"/>
        </w:rPr>
      </w:pPr>
      <w:r>
        <w:rPr>
          <w:szCs w:val="24"/>
          <w:lang w:val="en-US"/>
        </w:rPr>
        <w:t xml:space="preserve">The Regulation implements the decision </w:t>
      </w:r>
      <w:r w:rsidR="00407335">
        <w:rPr>
          <w:szCs w:val="24"/>
          <w:lang w:val="en-US"/>
        </w:rPr>
        <w:t xml:space="preserve">of all jurisdictions </w:t>
      </w:r>
      <w:r>
        <w:rPr>
          <w:szCs w:val="24"/>
          <w:lang w:val="en-US"/>
        </w:rPr>
        <w:t>to permanently exempt the</w:t>
      </w:r>
      <w:r w:rsidR="00B70BAD">
        <w:rPr>
          <w:szCs w:val="24"/>
          <w:lang w:val="en-US"/>
        </w:rPr>
        <w:t xml:space="preserve"> Northern </w:t>
      </w:r>
      <w:r w:rsidR="00A8142C">
        <w:rPr>
          <w:szCs w:val="24"/>
          <w:lang w:val="en-US"/>
        </w:rPr>
        <w:t>Territory</w:t>
      </w:r>
      <w:r>
        <w:rPr>
          <w:szCs w:val="24"/>
          <w:lang w:val="en-US"/>
        </w:rPr>
        <w:t xml:space="preserve"> </w:t>
      </w:r>
      <w:r w:rsidR="002069D6">
        <w:rPr>
          <w:szCs w:val="24"/>
          <w:lang w:val="en-US"/>
        </w:rPr>
        <w:t>Container Deposit Scheme</w:t>
      </w:r>
      <w:r>
        <w:rPr>
          <w:szCs w:val="24"/>
          <w:lang w:val="en-US"/>
        </w:rPr>
        <w:t xml:space="preserve"> legislation from the operation of the </w:t>
      </w:r>
      <w:r w:rsidR="00FD3F41">
        <w:rPr>
          <w:szCs w:val="24"/>
          <w:lang w:val="en-US"/>
        </w:rPr>
        <w:t>MRA</w:t>
      </w:r>
      <w:r>
        <w:rPr>
          <w:szCs w:val="24"/>
          <w:lang w:val="en-US"/>
        </w:rPr>
        <w:t>.</w:t>
      </w:r>
    </w:p>
    <w:p w14:paraId="59F59645" w14:textId="6BB82684" w:rsidR="00DB109F" w:rsidRDefault="00DB109F" w:rsidP="00AA3AA9">
      <w:pPr>
        <w:spacing w:after="240"/>
        <w:ind w:left="0" w:firstLine="0"/>
        <w:rPr>
          <w:szCs w:val="24"/>
          <w:lang w:val="en-US"/>
        </w:rPr>
      </w:pPr>
      <w:r>
        <w:rPr>
          <w:szCs w:val="24"/>
          <w:lang w:val="en-US"/>
        </w:rPr>
        <w:t xml:space="preserve">The Regulation has been developed and agreed to in close consultation with the Northern Territory </w:t>
      </w:r>
      <w:r w:rsidRPr="00DB109F">
        <w:rPr>
          <w:szCs w:val="24"/>
          <w:lang w:val="en-US"/>
        </w:rPr>
        <w:t>Department of the Chief Minister</w:t>
      </w:r>
      <w:r>
        <w:rPr>
          <w:szCs w:val="24"/>
          <w:lang w:val="en-US"/>
        </w:rPr>
        <w:t>.</w:t>
      </w:r>
    </w:p>
    <w:p w14:paraId="7E4E15B4" w14:textId="77777777" w:rsidR="006A321B" w:rsidRDefault="006A321B" w:rsidP="00AA3AA9">
      <w:pPr>
        <w:spacing w:after="240"/>
        <w:ind w:left="0" w:firstLine="0"/>
        <w:rPr>
          <w:szCs w:val="24"/>
          <w:lang w:val="en-US"/>
        </w:rPr>
      </w:pPr>
    </w:p>
    <w:p w14:paraId="3B58647E" w14:textId="77777777" w:rsidR="002B68A8" w:rsidRPr="00A31B84" w:rsidRDefault="002B68A8" w:rsidP="00DA0D9C">
      <w:pPr>
        <w:spacing w:after="240"/>
        <w:ind w:left="0" w:firstLine="0"/>
        <w:rPr>
          <w:b/>
          <w:szCs w:val="24"/>
          <w:lang w:val="en-US"/>
        </w:rPr>
      </w:pPr>
      <w:r w:rsidRPr="00A31B84">
        <w:rPr>
          <w:b/>
          <w:szCs w:val="24"/>
          <w:lang w:val="en-US"/>
        </w:rPr>
        <w:t>Regulation Impact Statement</w:t>
      </w:r>
    </w:p>
    <w:p w14:paraId="49140CD7" w14:textId="285F3FC2" w:rsidR="002B68A8" w:rsidRDefault="005D7CBD" w:rsidP="00DA0D9C">
      <w:pPr>
        <w:spacing w:after="240"/>
        <w:ind w:left="0" w:firstLine="0"/>
        <w:rPr>
          <w:szCs w:val="24"/>
        </w:rPr>
      </w:pPr>
      <w:r>
        <w:rPr>
          <w:szCs w:val="24"/>
          <w:lang w:val="en-US"/>
        </w:rPr>
        <w:t>A Regulation Impact Statement has been pr</w:t>
      </w:r>
      <w:r w:rsidR="00A77782">
        <w:rPr>
          <w:szCs w:val="24"/>
          <w:lang w:val="en-US"/>
        </w:rPr>
        <w:t>epared by the Northern Territory</w:t>
      </w:r>
      <w:r>
        <w:rPr>
          <w:szCs w:val="24"/>
          <w:lang w:val="en-US"/>
        </w:rPr>
        <w:t>.</w:t>
      </w:r>
      <w:r w:rsidR="002B68A8">
        <w:rPr>
          <w:szCs w:val="24"/>
          <w:lang w:val="en-US"/>
        </w:rPr>
        <w:t xml:space="preserve">  </w:t>
      </w:r>
      <w:r w:rsidR="004512C0">
        <w:t>The Statement is at Attachment</w:t>
      </w:r>
      <w:r w:rsidR="00F528EF">
        <w:t xml:space="preserve"> </w:t>
      </w:r>
      <w:r w:rsidR="004512C0">
        <w:t>A to this explanatory statement.</w:t>
      </w:r>
    </w:p>
    <w:p w14:paraId="5491F993" w14:textId="7469E5C4" w:rsidR="00426E2F" w:rsidRDefault="00426E2F" w:rsidP="00965FDA">
      <w:pPr>
        <w:ind w:left="0" w:firstLine="0"/>
        <w:rPr>
          <w:b/>
          <w:i/>
          <w:u w:val="single"/>
        </w:rPr>
      </w:pPr>
      <w:r>
        <w:rPr>
          <w:b/>
          <w:u w:val="single"/>
        </w:rPr>
        <w:t xml:space="preserve">Details of the </w:t>
      </w:r>
      <w:r w:rsidRPr="00882B07">
        <w:rPr>
          <w:b/>
          <w:i/>
          <w:u w:val="single"/>
        </w:rPr>
        <w:t>Mutual Recognition (Amendment of Act—Container Deposit Scheme) Regulation 2013</w:t>
      </w:r>
    </w:p>
    <w:p w14:paraId="1AB84ABC" w14:textId="77777777" w:rsidR="00426E2F" w:rsidRDefault="00426E2F" w:rsidP="00965FDA">
      <w:pPr>
        <w:spacing w:before="240"/>
        <w:ind w:left="0" w:firstLine="0"/>
        <w:rPr>
          <w:u w:val="single"/>
        </w:rPr>
      </w:pPr>
      <w:r>
        <w:rPr>
          <w:u w:val="single"/>
        </w:rPr>
        <w:t>Section 1 – Name of Regulation</w:t>
      </w:r>
    </w:p>
    <w:p w14:paraId="2B17D781" w14:textId="3211BB9A" w:rsidR="00426E2F" w:rsidRDefault="00426E2F" w:rsidP="00965FDA">
      <w:pPr>
        <w:spacing w:before="240"/>
        <w:ind w:left="0" w:firstLine="0"/>
      </w:pPr>
      <w:r>
        <w:t>This section provide</w:t>
      </w:r>
      <w:r w:rsidR="00BE5521">
        <w:t>s</w:t>
      </w:r>
      <w:r>
        <w:t xml:space="preserve"> that the name of the Regulation is the </w:t>
      </w:r>
      <w:r w:rsidRPr="00882B07">
        <w:rPr>
          <w:i/>
        </w:rPr>
        <w:t>Mutual Recognition (Amendment of Act—Container Deposit Scheme) Regulation 2013</w:t>
      </w:r>
    </w:p>
    <w:p w14:paraId="4CB33519" w14:textId="77777777" w:rsidR="00426E2F" w:rsidRDefault="00426E2F" w:rsidP="00965FDA">
      <w:pPr>
        <w:spacing w:before="240"/>
        <w:ind w:left="0" w:firstLine="0"/>
        <w:rPr>
          <w:u w:val="single"/>
        </w:rPr>
      </w:pPr>
      <w:r>
        <w:rPr>
          <w:u w:val="single"/>
        </w:rPr>
        <w:t>Section 2 – Commencement</w:t>
      </w:r>
    </w:p>
    <w:p w14:paraId="1208D3A1" w14:textId="3721CB0C" w:rsidR="00426E2F" w:rsidRDefault="00426E2F" w:rsidP="00965FDA">
      <w:pPr>
        <w:spacing w:before="240"/>
        <w:ind w:left="0" w:firstLine="0"/>
      </w:pPr>
      <w:r>
        <w:t>This section provide</w:t>
      </w:r>
      <w:r w:rsidR="00BE5521">
        <w:t>s</w:t>
      </w:r>
      <w:r>
        <w:t xml:space="preserve"> that the Regulation commences on the day after it is registered on the Federal Register of Legislative Instrument</w:t>
      </w:r>
      <w:r w:rsidR="00837077">
        <w:t>s</w:t>
      </w:r>
      <w:r>
        <w:t>.</w:t>
      </w:r>
    </w:p>
    <w:p w14:paraId="77AB8F44" w14:textId="77777777" w:rsidR="00426E2F" w:rsidRDefault="00426E2F" w:rsidP="00965FDA">
      <w:pPr>
        <w:spacing w:before="240"/>
        <w:ind w:left="0" w:firstLine="0"/>
        <w:rPr>
          <w:u w:val="single"/>
        </w:rPr>
      </w:pPr>
      <w:r>
        <w:rPr>
          <w:u w:val="single"/>
        </w:rPr>
        <w:t>Section 3 – Authority</w:t>
      </w:r>
    </w:p>
    <w:p w14:paraId="0BA4245C" w14:textId="267761E7" w:rsidR="00426E2F" w:rsidRDefault="00426E2F" w:rsidP="00965FDA">
      <w:pPr>
        <w:spacing w:before="240"/>
        <w:ind w:left="0" w:firstLine="0"/>
      </w:pPr>
      <w:r>
        <w:t>This section provide</w:t>
      </w:r>
      <w:r w:rsidR="00BE5521">
        <w:t>s</w:t>
      </w:r>
      <w:r>
        <w:t xml:space="preserve"> </w:t>
      </w:r>
      <w:r w:rsidR="00837077">
        <w:t xml:space="preserve">that </w:t>
      </w:r>
      <w:r>
        <w:t xml:space="preserve">the regulation is made under the </w:t>
      </w:r>
      <w:r>
        <w:rPr>
          <w:i/>
        </w:rPr>
        <w:t>Mutual Recognition Act 1992</w:t>
      </w:r>
      <w:r>
        <w:t>.</w:t>
      </w:r>
    </w:p>
    <w:p w14:paraId="33138C41" w14:textId="77777777" w:rsidR="00426E2F" w:rsidRDefault="00426E2F" w:rsidP="00965FDA">
      <w:pPr>
        <w:spacing w:before="240"/>
        <w:ind w:left="0" w:firstLine="0"/>
        <w:rPr>
          <w:u w:val="single"/>
        </w:rPr>
      </w:pPr>
      <w:r>
        <w:rPr>
          <w:u w:val="single"/>
        </w:rPr>
        <w:t>Section 4 – Schedule(s)</w:t>
      </w:r>
    </w:p>
    <w:p w14:paraId="46B77A3D" w14:textId="691DC3B3" w:rsidR="00426E2F" w:rsidRDefault="00426E2F" w:rsidP="00965FDA">
      <w:pPr>
        <w:ind w:left="0" w:firstLine="0"/>
      </w:pPr>
      <w:r w:rsidRPr="00BE6BB8">
        <w:t>This section provide</w:t>
      </w:r>
      <w:r w:rsidR="00BE5521">
        <w:t>s</w:t>
      </w:r>
      <w:r w:rsidRPr="00BE6BB8">
        <w:t xml:space="preserve"> that </w:t>
      </w:r>
      <w:r w:rsidR="007974EE">
        <w:t xml:space="preserve">each </w:t>
      </w:r>
      <w:r w:rsidRPr="00BE6BB8">
        <w:t>Act specified in the Schedule to the Regulation is amended or repealed as set out in the applicable items of the Schedule.</w:t>
      </w:r>
    </w:p>
    <w:p w14:paraId="7A3C89ED" w14:textId="77777777" w:rsidR="00B64DFD" w:rsidRPr="00B64DFD" w:rsidRDefault="00B64DFD" w:rsidP="00426E2F">
      <w:pPr>
        <w:rPr>
          <w:b/>
          <w:u w:val="single"/>
        </w:rPr>
      </w:pPr>
    </w:p>
    <w:p w14:paraId="4EEE8521" w14:textId="397A515F" w:rsidR="00426E2F" w:rsidRPr="00965FDA" w:rsidRDefault="00426E2F" w:rsidP="00426E2F">
      <w:pPr>
        <w:rPr>
          <w:b/>
        </w:rPr>
      </w:pPr>
      <w:r w:rsidRPr="00965FDA">
        <w:rPr>
          <w:b/>
          <w:i/>
        </w:rPr>
        <w:t>Schedule 1 – Amendments</w:t>
      </w:r>
      <w:r w:rsidR="00B64DFD">
        <w:rPr>
          <w:b/>
          <w:i/>
        </w:rPr>
        <w:t xml:space="preserve"> - </w:t>
      </w:r>
      <w:r w:rsidRPr="00965FDA">
        <w:rPr>
          <w:b/>
          <w:i/>
        </w:rPr>
        <w:t>Mutual Recognition Act 1992</w:t>
      </w:r>
    </w:p>
    <w:p w14:paraId="63114D9B" w14:textId="77777777" w:rsidR="00426E2F" w:rsidRPr="00173AC3" w:rsidRDefault="00426E2F" w:rsidP="00426E2F">
      <w:pPr>
        <w:rPr>
          <w:u w:val="single"/>
        </w:rPr>
      </w:pPr>
      <w:r w:rsidRPr="00173AC3">
        <w:rPr>
          <w:u w:val="single"/>
        </w:rPr>
        <w:t>Item 1 – At the end of Schedule 2</w:t>
      </w:r>
    </w:p>
    <w:p w14:paraId="56547CCA" w14:textId="52A05BB4" w:rsidR="00426E2F" w:rsidRDefault="00426E2F" w:rsidP="00965FDA">
      <w:pPr>
        <w:ind w:left="0" w:firstLine="0"/>
      </w:pPr>
      <w:r>
        <w:lastRenderedPageBreak/>
        <w:t>Item 1 amend</w:t>
      </w:r>
      <w:r w:rsidR="00BE5521">
        <w:t>s</w:t>
      </w:r>
      <w:r>
        <w:t xml:space="preserve"> Schedule 2 </w:t>
      </w:r>
      <w:r w:rsidR="00EF783F">
        <w:t xml:space="preserve">to </w:t>
      </w:r>
      <w:r>
        <w:t xml:space="preserve">the </w:t>
      </w:r>
      <w:r w:rsidR="00792802">
        <w:t xml:space="preserve">MRA </w:t>
      </w:r>
      <w:r>
        <w:t xml:space="preserve">so that Part 2 of the </w:t>
      </w:r>
      <w:r w:rsidRPr="00FA6DC7">
        <w:rPr>
          <w:i/>
        </w:rPr>
        <w:t>Environment Protection (Beverage Containers and Plastic Bags) Act (NT)</w:t>
      </w:r>
      <w:r>
        <w:t xml:space="preserve"> as well as all other provisions of that Act that relate to the container deposit scheme </w:t>
      </w:r>
      <w:r w:rsidR="00B70BAD">
        <w:t>are</w:t>
      </w:r>
      <w:r>
        <w:t xml:space="preserve"> permanently exempt from the operation of the </w:t>
      </w:r>
      <w:r w:rsidR="00792802">
        <w:t>MRA</w:t>
      </w:r>
      <w:r>
        <w:t>. Item 1 also exempt</w:t>
      </w:r>
      <w:r w:rsidR="00BE5521">
        <w:t>s</w:t>
      </w:r>
      <w:r>
        <w:t xml:space="preserve"> </w:t>
      </w:r>
      <w:r w:rsidRPr="00327D78">
        <w:rPr>
          <w:b/>
          <w:i/>
        </w:rPr>
        <w:t>any</w:t>
      </w:r>
      <w:r>
        <w:t xml:space="preserve"> regulations made under the </w:t>
      </w:r>
      <w:r w:rsidRPr="00FA6DC7">
        <w:rPr>
          <w:i/>
        </w:rPr>
        <w:t>Environment Protection (Beverage Containers and Plastic Bags) Act (NT)</w:t>
      </w:r>
      <w:r>
        <w:t xml:space="preserve"> to the extent they relate to the </w:t>
      </w:r>
      <w:r w:rsidRPr="00327D78">
        <w:t>container deposit scheme</w:t>
      </w:r>
      <w:r>
        <w:t>. This include</w:t>
      </w:r>
      <w:r w:rsidR="00837077">
        <w:t>s</w:t>
      </w:r>
      <w:r w:rsidR="001E4511">
        <w:t xml:space="preserve"> </w:t>
      </w:r>
      <w:r>
        <w:t xml:space="preserve">the existing </w:t>
      </w:r>
      <w:r w:rsidRPr="00542BCD">
        <w:rPr>
          <w:i/>
        </w:rPr>
        <w:t>Environment Protection (Beverage Containers and Plastic Bags) Regulations</w:t>
      </w:r>
      <w:r>
        <w:t xml:space="preserve"> or any other future </w:t>
      </w:r>
      <w:r w:rsidR="00B21788">
        <w:t>regulations</w:t>
      </w:r>
      <w:r w:rsidR="00606A2B">
        <w:t xml:space="preserve"> </w:t>
      </w:r>
      <w:r>
        <w:t>that</w:t>
      </w:r>
      <w:r w:rsidR="00606A2B">
        <w:t xml:space="preserve"> </w:t>
      </w:r>
      <w:r w:rsidR="00B21788">
        <w:t xml:space="preserve">are </w:t>
      </w:r>
      <w:r>
        <w:t xml:space="preserve">made under that Act to the extent that they relate to the </w:t>
      </w:r>
      <w:r w:rsidRPr="00542BCD">
        <w:t>container deposit scheme</w:t>
      </w:r>
      <w:r>
        <w:t>.</w:t>
      </w:r>
    </w:p>
    <w:p w14:paraId="024444ED" w14:textId="77777777" w:rsidR="00426E2F" w:rsidRDefault="00426E2F" w:rsidP="00426E2F"/>
    <w:p w14:paraId="1118DE1E" w14:textId="6CEAD989" w:rsidR="00030089" w:rsidRDefault="00426E2F" w:rsidP="008647E7">
      <w:pPr>
        <w:ind w:left="0" w:firstLine="0"/>
      </w:pPr>
      <w:r>
        <w:t xml:space="preserve">It is important to note that if either the </w:t>
      </w:r>
      <w:r w:rsidRPr="00FA6DC7">
        <w:rPr>
          <w:i/>
        </w:rPr>
        <w:t>Environment Protection (Beverage Containers and Plastic Bags) Act (NT)</w:t>
      </w:r>
      <w:r>
        <w:t xml:space="preserve"> or the Regulations made under </w:t>
      </w:r>
      <w:r w:rsidR="00792802">
        <w:t xml:space="preserve">that </w:t>
      </w:r>
      <w:r>
        <w:t>Act are amended (</w:t>
      </w:r>
      <w:r w:rsidRPr="005D4120">
        <w:t xml:space="preserve">or in the case of the </w:t>
      </w:r>
      <w:r>
        <w:t>Regulations</w:t>
      </w:r>
      <w:r w:rsidRPr="005D4120">
        <w:t>, revoked and remade</w:t>
      </w:r>
      <w:r>
        <w:t>)</w:t>
      </w:r>
      <w:r w:rsidR="00B21788">
        <w:t>,</w:t>
      </w:r>
      <w:r>
        <w:rPr>
          <w:i/>
        </w:rPr>
        <w:t xml:space="preserve"> </w:t>
      </w:r>
      <w:r>
        <w:t xml:space="preserve">subsection 14(3) of the </w:t>
      </w:r>
      <w:r w:rsidR="00B70BAD">
        <w:t>MRA</w:t>
      </w:r>
      <w:r>
        <w:t xml:space="preserve"> will operate to ensure that </w:t>
      </w:r>
      <w:r w:rsidRPr="009A7D2D">
        <w:t xml:space="preserve">the exemption to the </w:t>
      </w:r>
      <w:r w:rsidR="00B70BAD">
        <w:t>MRA</w:t>
      </w:r>
      <w:r w:rsidRPr="009A7D2D">
        <w:t xml:space="preserve"> provided by the Regulation appl</w:t>
      </w:r>
      <w:r w:rsidR="00BE5521">
        <w:t>ies</w:t>
      </w:r>
      <w:r w:rsidRPr="009A7D2D">
        <w:t xml:space="preserve"> to th</w:t>
      </w:r>
      <w:r>
        <w:t>o</w:t>
      </w:r>
      <w:r w:rsidRPr="009A7D2D">
        <w:t>se amendments or replacements as long as the amendments or replacement</w:t>
      </w:r>
      <w:r w:rsidR="00837077">
        <w:t>s</w:t>
      </w:r>
      <w:r>
        <w:t xml:space="preserve"> </w:t>
      </w:r>
      <w:r w:rsidRPr="009A7D2D">
        <w:t>deal with the same subject</w:t>
      </w:r>
      <w:r>
        <w:t>-</w:t>
      </w:r>
      <w:r w:rsidRPr="009A7D2D">
        <w:t>matter</w:t>
      </w:r>
      <w:r>
        <w:t>.</w:t>
      </w:r>
    </w:p>
    <w:p w14:paraId="5F3A6F2D" w14:textId="77777777" w:rsidR="00030089" w:rsidRDefault="00030089">
      <w:r>
        <w:br w:type="page"/>
      </w:r>
    </w:p>
    <w:p w14:paraId="43347C43" w14:textId="77777777" w:rsidR="00426E2F" w:rsidRDefault="00426E2F" w:rsidP="008647E7">
      <w:pPr>
        <w:ind w:left="0" w:firstLine="0"/>
        <w:rPr>
          <w:b/>
          <w:szCs w:val="24"/>
          <w:lang w:val="en-US"/>
        </w:rPr>
      </w:pPr>
    </w:p>
    <w:p w14:paraId="1036F8BA" w14:textId="77777777" w:rsidR="001F60E1" w:rsidRPr="004A25AB" w:rsidRDefault="001F60E1" w:rsidP="004A25AB">
      <w:pPr>
        <w:ind w:left="0" w:firstLine="0"/>
        <w:jc w:val="center"/>
        <w:rPr>
          <w:szCs w:val="24"/>
          <w:lang w:val="en-US"/>
        </w:rPr>
      </w:pPr>
      <w:r w:rsidRPr="004A25AB">
        <w:rPr>
          <w:b/>
          <w:szCs w:val="24"/>
          <w:lang w:val="en-US"/>
        </w:rPr>
        <w:t>Statement of Compatibility with Human Rights</w:t>
      </w:r>
    </w:p>
    <w:p w14:paraId="27F0AE45" w14:textId="77777777" w:rsidR="001A5F92" w:rsidRPr="009C2CF6" w:rsidRDefault="001A5F92" w:rsidP="001A5F92">
      <w:pPr>
        <w:spacing w:after="240"/>
        <w:rPr>
          <w:szCs w:val="24"/>
        </w:rPr>
      </w:pPr>
      <w:r w:rsidRPr="009C2CF6">
        <w:rPr>
          <w:i/>
          <w:szCs w:val="24"/>
        </w:rPr>
        <w:t>Prepared in accordance with Part 3 of the Human Rights (Parliamentary Scrutiny) Act 2011</w:t>
      </w:r>
    </w:p>
    <w:p w14:paraId="226C73D7" w14:textId="71A09880" w:rsidR="00153AAF" w:rsidRPr="00D92EE2" w:rsidRDefault="00153AAF" w:rsidP="00153AAF">
      <w:pPr>
        <w:widowControl w:val="0"/>
        <w:tabs>
          <w:tab w:val="left" w:pos="1276"/>
          <w:tab w:val="left" w:pos="1418"/>
        </w:tabs>
        <w:spacing w:after="240"/>
        <w:ind w:left="1276" w:right="141" w:hanging="1276"/>
        <w:rPr>
          <w:i/>
          <w:szCs w:val="24"/>
        </w:rPr>
      </w:pPr>
      <w:r>
        <w:rPr>
          <w:i/>
          <w:szCs w:val="24"/>
        </w:rPr>
        <w:t>Mutual Recognition (Amendment of Act</w:t>
      </w:r>
      <w:r w:rsidR="00013F76">
        <w:rPr>
          <w:i/>
          <w:szCs w:val="24"/>
        </w:rPr>
        <w:t>—</w:t>
      </w:r>
      <w:r>
        <w:rPr>
          <w:i/>
          <w:szCs w:val="24"/>
        </w:rPr>
        <w:t>Container Deposit Scheme) Regulation 2013</w:t>
      </w:r>
    </w:p>
    <w:p w14:paraId="3FDA7E98" w14:textId="77777777" w:rsidR="001A5F92" w:rsidRPr="009C2CF6" w:rsidRDefault="001A5F92" w:rsidP="001A5F92">
      <w:pPr>
        <w:spacing w:after="240"/>
        <w:ind w:left="0" w:firstLine="0"/>
        <w:rPr>
          <w:szCs w:val="24"/>
        </w:rPr>
      </w:pPr>
      <w:r w:rsidRPr="009C2CF6">
        <w:rPr>
          <w:szCs w:val="24"/>
        </w:rPr>
        <w:t xml:space="preserve">This Regulation is compatible with the human rights and freedoms recognised or declared in the international instruments listed in section 3 of the </w:t>
      </w:r>
      <w:r w:rsidRPr="009C2CF6">
        <w:rPr>
          <w:i/>
          <w:szCs w:val="24"/>
        </w:rPr>
        <w:t>Human Rights (Parliamentary Scrutiny) Act 2011</w:t>
      </w:r>
      <w:r w:rsidRPr="009C2CF6">
        <w:rPr>
          <w:szCs w:val="24"/>
        </w:rPr>
        <w:t>.</w:t>
      </w:r>
    </w:p>
    <w:p w14:paraId="3C376B8E" w14:textId="1C886644" w:rsidR="001F60E1" w:rsidRDefault="001A5F92" w:rsidP="001A5F92">
      <w:pPr>
        <w:ind w:left="0" w:firstLine="0"/>
        <w:rPr>
          <w:szCs w:val="24"/>
          <w:lang w:val="en-US"/>
        </w:rPr>
      </w:pPr>
      <w:r w:rsidRPr="005D48CD">
        <w:rPr>
          <w:b/>
          <w:szCs w:val="24"/>
        </w:rPr>
        <w:t xml:space="preserve">Overview of the </w:t>
      </w:r>
      <w:r w:rsidR="0049654D">
        <w:rPr>
          <w:b/>
          <w:szCs w:val="24"/>
        </w:rPr>
        <w:t>Regulation</w:t>
      </w:r>
      <w:r w:rsidR="00716C60" w:rsidRPr="005D48CD">
        <w:rPr>
          <w:szCs w:val="24"/>
          <w:lang w:val="en-US"/>
        </w:rPr>
        <w:t xml:space="preserve"> </w:t>
      </w:r>
    </w:p>
    <w:p w14:paraId="64925F76" w14:textId="68F3BC0E" w:rsidR="00745062" w:rsidRDefault="00745062" w:rsidP="00745062">
      <w:pPr>
        <w:widowControl w:val="0"/>
        <w:tabs>
          <w:tab w:val="left" w:pos="0"/>
          <w:tab w:val="left" w:pos="1418"/>
        </w:tabs>
        <w:spacing w:after="0"/>
        <w:ind w:left="0" w:right="142" w:firstLine="0"/>
        <w:rPr>
          <w:szCs w:val="24"/>
          <w:lang w:val="en-US"/>
        </w:rPr>
      </w:pPr>
      <w:r w:rsidRPr="0039059B">
        <w:rPr>
          <w:szCs w:val="24"/>
          <w:lang w:val="en-US"/>
        </w:rPr>
        <w:t xml:space="preserve">The purpose of the </w:t>
      </w:r>
      <w:r>
        <w:rPr>
          <w:i/>
          <w:szCs w:val="24"/>
        </w:rPr>
        <w:t>Mutual Recognition (Amendment of Act</w:t>
      </w:r>
      <w:r w:rsidR="00013F76">
        <w:rPr>
          <w:i/>
          <w:szCs w:val="24"/>
        </w:rPr>
        <w:t>—</w:t>
      </w:r>
      <w:r>
        <w:rPr>
          <w:i/>
          <w:szCs w:val="24"/>
        </w:rPr>
        <w:t xml:space="preserve">Container Deposit Scheme) Regulation 2013 </w:t>
      </w:r>
      <w:r>
        <w:rPr>
          <w:szCs w:val="24"/>
          <w:lang w:val="en-US"/>
        </w:rPr>
        <w:t xml:space="preserve">(the Regulation) </w:t>
      </w:r>
      <w:r w:rsidRPr="0039059B">
        <w:rPr>
          <w:szCs w:val="24"/>
          <w:lang w:val="en-US"/>
        </w:rPr>
        <w:t xml:space="preserve">is to permanently exempt the </w:t>
      </w:r>
      <w:r w:rsidRPr="00CD0CAA">
        <w:rPr>
          <w:i/>
          <w:szCs w:val="24"/>
          <w:lang w:val="en-US"/>
        </w:rPr>
        <w:t>Environment Protection (Beverage Containers and Plastic Bags) Act (NT)</w:t>
      </w:r>
      <w:r>
        <w:rPr>
          <w:szCs w:val="24"/>
          <w:lang w:val="en-US"/>
        </w:rPr>
        <w:t>, and regulations made under that Act (together known as the Container Deposit Scheme legislation), to the extent that they relate to the container deposit scheme,</w:t>
      </w:r>
      <w:r w:rsidRPr="00A456BB">
        <w:rPr>
          <w:szCs w:val="24"/>
          <w:lang w:val="en-US"/>
        </w:rPr>
        <w:t xml:space="preserve"> </w:t>
      </w:r>
      <w:r>
        <w:rPr>
          <w:szCs w:val="24"/>
          <w:lang w:val="en-US"/>
        </w:rPr>
        <w:t xml:space="preserve">from the operation of the </w:t>
      </w:r>
      <w:r w:rsidRPr="0041700C">
        <w:rPr>
          <w:i/>
          <w:szCs w:val="24"/>
          <w:lang w:val="en-US"/>
        </w:rPr>
        <w:t>Mutual Recognition Act 1992</w:t>
      </w:r>
      <w:r>
        <w:rPr>
          <w:szCs w:val="24"/>
          <w:lang w:val="en-US"/>
        </w:rPr>
        <w:t xml:space="preserve"> (the MRA).  This means that containers that are imported into the Northern Territory from another State or Territory will have to comply with the Northern Territory’s Container Deposit Scheme legislation.</w:t>
      </w:r>
    </w:p>
    <w:p w14:paraId="0750BE87" w14:textId="33432CA7" w:rsidR="00D411B6" w:rsidRDefault="00D411B6" w:rsidP="00153AAF">
      <w:pPr>
        <w:widowControl w:val="0"/>
        <w:tabs>
          <w:tab w:val="left" w:pos="0"/>
          <w:tab w:val="left" w:pos="1418"/>
        </w:tabs>
        <w:spacing w:after="0"/>
        <w:ind w:left="0" w:right="142" w:firstLine="0"/>
        <w:rPr>
          <w:szCs w:val="24"/>
          <w:lang w:val="en-US"/>
        </w:rPr>
      </w:pPr>
    </w:p>
    <w:p w14:paraId="3FAA054E" w14:textId="08A8521C" w:rsidR="00D411B6" w:rsidRDefault="00D411B6" w:rsidP="00153AAF">
      <w:pPr>
        <w:widowControl w:val="0"/>
        <w:tabs>
          <w:tab w:val="left" w:pos="0"/>
          <w:tab w:val="left" w:pos="1418"/>
        </w:tabs>
        <w:spacing w:after="0"/>
        <w:ind w:left="0" w:right="142" w:firstLine="0"/>
        <w:rPr>
          <w:szCs w:val="24"/>
          <w:lang w:val="en-US"/>
        </w:rPr>
      </w:pPr>
      <w:r w:rsidRPr="00D411B6">
        <w:rPr>
          <w:szCs w:val="24"/>
          <w:lang w:val="en-US"/>
        </w:rPr>
        <w:t>The purpose of the Container Deposit Scheme legislation is to prohibit in the Northern Territory the supply of beverages in containers unless the containers are approved or specifically excluded.  Under the Container Deposit Scheme legislation, an approval to supply beverage containers in the Territory is subject to the requirements that the container bear the approved refund marking and an effective waste management arrangement is in place for the container.  A waste management arrangement for approved containers is an arrangement made by participants in the scheme for the collection, sorting and aggregation of the containers and their reuse, recycling or other appropriate disposal.  Under the scheme, empty containers bearing the approved refund marking can be delivered to an approved collection depot for the consumer to receive a 10¢ refund per container.</w:t>
      </w:r>
    </w:p>
    <w:p w14:paraId="4B3EB103" w14:textId="77777777" w:rsidR="00153AAF" w:rsidRDefault="00153AAF" w:rsidP="001A5F92">
      <w:pPr>
        <w:ind w:left="0" w:firstLine="0"/>
        <w:rPr>
          <w:szCs w:val="24"/>
          <w:lang w:val="en-US"/>
        </w:rPr>
      </w:pPr>
    </w:p>
    <w:p w14:paraId="68DADCE6" w14:textId="77777777" w:rsidR="001E4511" w:rsidRDefault="001E4511" w:rsidP="001E4511">
      <w:pPr>
        <w:ind w:left="0" w:firstLine="0"/>
        <w:rPr>
          <w:szCs w:val="24"/>
          <w:lang w:val="en-US"/>
        </w:rPr>
      </w:pPr>
      <w:r>
        <w:rPr>
          <w:b/>
          <w:szCs w:val="24"/>
          <w:lang w:val="en-US"/>
        </w:rPr>
        <w:t>Human rights implications</w:t>
      </w:r>
      <w:r>
        <w:rPr>
          <w:szCs w:val="24"/>
          <w:lang w:val="en-US"/>
        </w:rPr>
        <w:t xml:space="preserve"> </w:t>
      </w:r>
    </w:p>
    <w:p w14:paraId="2F5949D5" w14:textId="77777777" w:rsidR="001E4511" w:rsidRDefault="001E4511" w:rsidP="001E4511">
      <w:pPr>
        <w:spacing w:after="240"/>
        <w:ind w:left="0" w:firstLine="0"/>
        <w:rPr>
          <w:color w:val="000000"/>
          <w:szCs w:val="24"/>
        </w:rPr>
      </w:pPr>
      <w:r>
        <w:rPr>
          <w:color w:val="000000"/>
          <w:szCs w:val="24"/>
        </w:rPr>
        <w:t>This Regulation does not engage any of the applicable rights or freedoms.</w:t>
      </w:r>
    </w:p>
    <w:p w14:paraId="0F7247E6" w14:textId="77777777" w:rsidR="001E4511" w:rsidRPr="0068302A" w:rsidRDefault="001E4511" w:rsidP="001E4511">
      <w:pPr>
        <w:ind w:left="0" w:firstLine="0"/>
        <w:rPr>
          <w:b/>
          <w:color w:val="000000"/>
          <w:szCs w:val="24"/>
        </w:rPr>
      </w:pPr>
      <w:r w:rsidRPr="0068302A">
        <w:rPr>
          <w:b/>
          <w:color w:val="000000"/>
          <w:szCs w:val="24"/>
        </w:rPr>
        <w:t>Conclusion</w:t>
      </w:r>
    </w:p>
    <w:p w14:paraId="2E3CFC07" w14:textId="77777777" w:rsidR="001E4511" w:rsidRDefault="001E4511" w:rsidP="001E4511">
      <w:pPr>
        <w:spacing w:after="240"/>
        <w:ind w:left="0" w:firstLine="0"/>
        <w:rPr>
          <w:szCs w:val="24"/>
          <w:lang w:val="en-US"/>
        </w:rPr>
      </w:pPr>
      <w:r>
        <w:rPr>
          <w:color w:val="000000"/>
          <w:szCs w:val="24"/>
        </w:rPr>
        <w:t>The Regulation is compatible with human rights, as it does not raise any human rights issues.</w:t>
      </w:r>
    </w:p>
    <w:p w14:paraId="749D583B" w14:textId="682929B4" w:rsidR="008647E7" w:rsidRDefault="001E4511" w:rsidP="001E4511">
      <w:pPr>
        <w:spacing w:after="240"/>
        <w:ind w:left="0" w:firstLine="0"/>
        <w:jc w:val="center"/>
        <w:rPr>
          <w:b/>
          <w:szCs w:val="24"/>
          <w:lang w:val="en-US"/>
        </w:rPr>
      </w:pPr>
      <w:r>
        <w:rPr>
          <w:b/>
          <w:szCs w:val="24"/>
          <w:lang w:val="en-US"/>
        </w:rPr>
        <w:t>Kim Carr, Minister for Innovation, Industry, Science and Research</w:t>
      </w:r>
    </w:p>
    <w:p w14:paraId="0E31CA4A" w14:textId="77777777" w:rsidR="008647E7" w:rsidRDefault="008647E7">
      <w:pPr>
        <w:rPr>
          <w:b/>
          <w:szCs w:val="24"/>
          <w:lang w:val="en-US"/>
        </w:rPr>
      </w:pPr>
      <w:r>
        <w:rPr>
          <w:b/>
          <w:szCs w:val="24"/>
          <w:lang w:val="en-US"/>
        </w:rPr>
        <w:br w:type="page"/>
      </w:r>
    </w:p>
    <w:p w14:paraId="289E9E3C" w14:textId="183F3354" w:rsidR="001E4511" w:rsidRDefault="00030089" w:rsidP="00030089">
      <w:pPr>
        <w:spacing w:after="240"/>
        <w:ind w:left="0" w:firstLine="0"/>
        <w:jc w:val="right"/>
        <w:rPr>
          <w:b/>
          <w:szCs w:val="24"/>
          <w:lang w:val="en-US"/>
        </w:rPr>
      </w:pPr>
      <w:r>
        <w:rPr>
          <w:b/>
          <w:szCs w:val="24"/>
          <w:lang w:val="en-US"/>
        </w:rPr>
        <w:lastRenderedPageBreak/>
        <w:t>Attachment A</w:t>
      </w:r>
    </w:p>
    <w:p w14:paraId="3BF7DE28" w14:textId="77777777" w:rsidR="00030089" w:rsidRPr="00FE611A" w:rsidRDefault="00030089" w:rsidP="00030089">
      <w:pPr>
        <w:spacing w:line="360" w:lineRule="auto"/>
        <w:rPr>
          <w:rFonts w:ascii="Arial" w:hAnsi="Arial" w:cs="Arial"/>
          <w:noProof/>
          <w:szCs w:val="28"/>
        </w:rPr>
      </w:pPr>
    </w:p>
    <w:p w14:paraId="2F127D9F" w14:textId="77777777" w:rsidR="00030089" w:rsidRPr="00FE611A" w:rsidRDefault="00030089" w:rsidP="00030089">
      <w:pPr>
        <w:spacing w:line="360" w:lineRule="auto"/>
        <w:rPr>
          <w:rFonts w:ascii="Arial" w:hAnsi="Arial" w:cs="Arial"/>
          <w:noProof/>
          <w:szCs w:val="28"/>
        </w:rPr>
      </w:pPr>
    </w:p>
    <w:p w14:paraId="736A1579" w14:textId="77777777" w:rsidR="00030089" w:rsidRDefault="00030089" w:rsidP="00030089">
      <w:pPr>
        <w:spacing w:line="360" w:lineRule="auto"/>
        <w:jc w:val="center"/>
        <w:rPr>
          <w:rFonts w:ascii="Arial" w:hAnsi="Arial" w:cs="Arial"/>
          <w:b/>
          <w:noProof/>
          <w:sz w:val="40"/>
          <w:szCs w:val="40"/>
        </w:rPr>
      </w:pPr>
    </w:p>
    <w:p w14:paraId="47C6C58F" w14:textId="77777777" w:rsidR="00030089" w:rsidRDefault="00030089" w:rsidP="00030089">
      <w:pPr>
        <w:spacing w:line="360" w:lineRule="auto"/>
        <w:jc w:val="center"/>
        <w:rPr>
          <w:rFonts w:ascii="Arial" w:hAnsi="Arial" w:cs="Arial"/>
          <w:b/>
          <w:noProof/>
          <w:sz w:val="40"/>
          <w:szCs w:val="40"/>
        </w:rPr>
      </w:pPr>
    </w:p>
    <w:p w14:paraId="2F95C981" w14:textId="77777777" w:rsidR="00030089" w:rsidRDefault="00030089" w:rsidP="00030089">
      <w:pPr>
        <w:spacing w:line="360" w:lineRule="auto"/>
        <w:jc w:val="center"/>
        <w:rPr>
          <w:rFonts w:ascii="Arial" w:hAnsi="Arial" w:cs="Arial"/>
          <w:b/>
          <w:noProof/>
          <w:sz w:val="40"/>
          <w:szCs w:val="40"/>
        </w:rPr>
      </w:pPr>
    </w:p>
    <w:p w14:paraId="20602970" w14:textId="77777777" w:rsidR="00030089" w:rsidRPr="009845B4" w:rsidRDefault="00030089" w:rsidP="00030089">
      <w:pPr>
        <w:spacing w:line="360" w:lineRule="auto"/>
        <w:jc w:val="center"/>
        <w:rPr>
          <w:rFonts w:ascii="Arial" w:hAnsi="Arial" w:cs="Arial"/>
          <w:b/>
          <w:noProof/>
          <w:sz w:val="40"/>
          <w:szCs w:val="40"/>
        </w:rPr>
      </w:pPr>
      <w:r w:rsidRPr="00560508">
        <w:rPr>
          <w:rFonts w:ascii="Arial" w:hAnsi="Arial" w:cs="Arial"/>
          <w:b/>
          <w:noProof/>
          <w:sz w:val="40"/>
          <w:szCs w:val="40"/>
        </w:rPr>
        <w:t xml:space="preserve">Northern Territory </w:t>
      </w:r>
    </w:p>
    <w:p w14:paraId="242283C8" w14:textId="77777777" w:rsidR="00030089" w:rsidRPr="009845B4" w:rsidRDefault="00030089" w:rsidP="00030089">
      <w:pPr>
        <w:spacing w:line="360" w:lineRule="auto"/>
        <w:jc w:val="center"/>
        <w:rPr>
          <w:rFonts w:ascii="Arial" w:hAnsi="Arial" w:cs="Arial"/>
          <w:b/>
          <w:noProof/>
          <w:sz w:val="40"/>
          <w:szCs w:val="40"/>
        </w:rPr>
      </w:pPr>
      <w:r w:rsidRPr="00560508">
        <w:rPr>
          <w:rFonts w:ascii="Arial" w:hAnsi="Arial" w:cs="Arial"/>
          <w:b/>
          <w:noProof/>
          <w:sz w:val="40"/>
          <w:szCs w:val="40"/>
        </w:rPr>
        <w:t xml:space="preserve">Container Deposit Scheme </w:t>
      </w:r>
    </w:p>
    <w:p w14:paraId="5B265E2E" w14:textId="77777777" w:rsidR="00030089" w:rsidRPr="009845B4" w:rsidRDefault="00030089" w:rsidP="00030089">
      <w:pPr>
        <w:spacing w:line="360" w:lineRule="auto"/>
        <w:jc w:val="center"/>
        <w:rPr>
          <w:rFonts w:ascii="Arial" w:hAnsi="Arial" w:cs="Arial"/>
          <w:b/>
          <w:noProof/>
          <w:sz w:val="40"/>
          <w:szCs w:val="40"/>
        </w:rPr>
      </w:pPr>
      <w:r w:rsidRPr="00560508">
        <w:rPr>
          <w:rFonts w:ascii="Arial" w:hAnsi="Arial" w:cs="Arial"/>
          <w:b/>
          <w:noProof/>
          <w:sz w:val="40"/>
          <w:szCs w:val="40"/>
        </w:rPr>
        <w:t xml:space="preserve">Decision Regulation Impact </w:t>
      </w:r>
      <w:r>
        <w:rPr>
          <w:rFonts w:ascii="Arial" w:hAnsi="Arial" w:cs="Arial"/>
          <w:b/>
          <w:noProof/>
          <w:sz w:val="40"/>
          <w:szCs w:val="40"/>
        </w:rPr>
        <w:t>Statement</w:t>
      </w:r>
    </w:p>
    <w:p w14:paraId="69F7F256" w14:textId="77777777" w:rsidR="00030089" w:rsidRPr="00FE611A" w:rsidRDefault="00030089" w:rsidP="00030089">
      <w:pPr>
        <w:spacing w:line="360" w:lineRule="auto"/>
        <w:rPr>
          <w:rFonts w:ascii="Arial" w:hAnsi="Arial" w:cs="Arial"/>
          <w:noProof/>
          <w:szCs w:val="28"/>
        </w:rPr>
      </w:pPr>
    </w:p>
    <w:p w14:paraId="6818AF19" w14:textId="77777777" w:rsidR="00030089" w:rsidRPr="00FE611A" w:rsidRDefault="00030089" w:rsidP="00030089">
      <w:pPr>
        <w:spacing w:line="360" w:lineRule="auto"/>
        <w:rPr>
          <w:rFonts w:ascii="Arial" w:hAnsi="Arial" w:cs="Arial"/>
          <w:noProof/>
          <w:szCs w:val="28"/>
        </w:rPr>
      </w:pPr>
    </w:p>
    <w:p w14:paraId="16023477" w14:textId="77777777" w:rsidR="00030089" w:rsidRPr="00FE611A" w:rsidRDefault="00030089" w:rsidP="00030089">
      <w:pPr>
        <w:spacing w:line="360" w:lineRule="auto"/>
        <w:rPr>
          <w:rFonts w:ascii="Arial" w:hAnsi="Arial" w:cs="Arial"/>
          <w:noProof/>
          <w:szCs w:val="28"/>
        </w:rPr>
      </w:pPr>
    </w:p>
    <w:p w14:paraId="6DA37FA9" w14:textId="77777777" w:rsidR="00030089" w:rsidRPr="00FE611A" w:rsidRDefault="00030089" w:rsidP="00030089">
      <w:pPr>
        <w:spacing w:line="360" w:lineRule="auto"/>
        <w:rPr>
          <w:rFonts w:ascii="Arial" w:hAnsi="Arial" w:cs="Arial"/>
          <w:noProof/>
          <w:szCs w:val="28"/>
        </w:rPr>
      </w:pPr>
    </w:p>
    <w:p w14:paraId="34656CB5" w14:textId="77777777" w:rsidR="00030089" w:rsidRPr="00FE611A" w:rsidRDefault="00030089" w:rsidP="00030089">
      <w:pPr>
        <w:spacing w:line="360" w:lineRule="auto"/>
        <w:rPr>
          <w:rFonts w:ascii="Arial" w:hAnsi="Arial" w:cs="Arial"/>
          <w:noProof/>
          <w:szCs w:val="28"/>
        </w:rPr>
      </w:pPr>
    </w:p>
    <w:p w14:paraId="32082E67" w14:textId="77777777" w:rsidR="00030089" w:rsidRPr="00FE611A" w:rsidRDefault="00030089" w:rsidP="00030089">
      <w:pPr>
        <w:spacing w:line="360" w:lineRule="auto"/>
        <w:rPr>
          <w:rFonts w:ascii="Arial" w:hAnsi="Arial" w:cs="Arial"/>
          <w:noProof/>
          <w:szCs w:val="28"/>
        </w:rPr>
      </w:pPr>
    </w:p>
    <w:p w14:paraId="7EE8E64D" w14:textId="77777777" w:rsidR="00030089" w:rsidRPr="00FE611A" w:rsidRDefault="00030089" w:rsidP="00030089">
      <w:pPr>
        <w:spacing w:line="360" w:lineRule="auto"/>
        <w:rPr>
          <w:rFonts w:ascii="Arial" w:hAnsi="Arial" w:cs="Arial"/>
          <w:noProof/>
          <w:szCs w:val="28"/>
        </w:rPr>
      </w:pPr>
    </w:p>
    <w:p w14:paraId="47D823B7" w14:textId="77777777" w:rsidR="00030089" w:rsidRPr="00FE611A" w:rsidRDefault="00030089" w:rsidP="00030089">
      <w:pPr>
        <w:spacing w:line="360" w:lineRule="auto"/>
        <w:rPr>
          <w:rFonts w:ascii="Arial" w:hAnsi="Arial" w:cs="Arial"/>
          <w:noProof/>
          <w:szCs w:val="28"/>
        </w:rPr>
      </w:pPr>
    </w:p>
    <w:p w14:paraId="49DEF42E" w14:textId="77777777" w:rsidR="00030089" w:rsidRPr="00FE611A" w:rsidRDefault="00030089" w:rsidP="00030089">
      <w:pPr>
        <w:spacing w:line="360" w:lineRule="auto"/>
        <w:rPr>
          <w:rFonts w:ascii="Arial" w:hAnsi="Arial" w:cs="Arial"/>
          <w:noProof/>
          <w:szCs w:val="28"/>
        </w:rPr>
      </w:pPr>
    </w:p>
    <w:p w14:paraId="094A543E" w14:textId="77777777" w:rsidR="00030089" w:rsidRPr="00FE611A" w:rsidRDefault="00030089" w:rsidP="00030089">
      <w:pPr>
        <w:spacing w:line="360" w:lineRule="auto"/>
        <w:rPr>
          <w:rFonts w:ascii="Arial" w:hAnsi="Arial" w:cs="Arial"/>
          <w:noProof/>
          <w:szCs w:val="28"/>
        </w:rPr>
      </w:pPr>
    </w:p>
    <w:p w14:paraId="038E859A" w14:textId="77777777" w:rsidR="00030089" w:rsidRPr="00FE611A" w:rsidRDefault="00030089" w:rsidP="00030089">
      <w:pPr>
        <w:spacing w:line="360" w:lineRule="auto"/>
        <w:rPr>
          <w:rFonts w:ascii="Arial" w:hAnsi="Arial" w:cs="Arial"/>
          <w:noProof/>
          <w:szCs w:val="28"/>
        </w:rPr>
      </w:pPr>
    </w:p>
    <w:p w14:paraId="0DA80578" w14:textId="77777777" w:rsidR="00030089" w:rsidRPr="00FE611A" w:rsidRDefault="00030089" w:rsidP="00030089">
      <w:pPr>
        <w:spacing w:line="360" w:lineRule="auto"/>
        <w:rPr>
          <w:rFonts w:ascii="Arial" w:hAnsi="Arial" w:cs="Arial"/>
          <w:noProof/>
          <w:szCs w:val="28"/>
        </w:rPr>
      </w:pPr>
    </w:p>
    <w:p w14:paraId="01E679A1" w14:textId="77777777" w:rsidR="00030089" w:rsidRDefault="00030089" w:rsidP="00030089">
      <w:pPr>
        <w:spacing w:line="360" w:lineRule="auto"/>
        <w:rPr>
          <w:rFonts w:ascii="Arial" w:hAnsi="Arial" w:cs="Arial"/>
          <w:noProof/>
          <w:szCs w:val="28"/>
        </w:rPr>
      </w:pPr>
    </w:p>
    <w:p w14:paraId="196B81AC" w14:textId="77777777" w:rsidR="00F16313" w:rsidRPr="00FE611A" w:rsidRDefault="00F16313" w:rsidP="00030089">
      <w:pPr>
        <w:spacing w:line="360" w:lineRule="auto"/>
        <w:rPr>
          <w:rFonts w:ascii="Arial" w:hAnsi="Arial" w:cs="Arial"/>
          <w:noProof/>
          <w:szCs w:val="28"/>
        </w:rPr>
      </w:pPr>
    </w:p>
    <w:p w14:paraId="01D4CF56" w14:textId="77777777" w:rsidR="00030089" w:rsidRPr="00FE611A" w:rsidRDefault="00030089" w:rsidP="00030089">
      <w:pPr>
        <w:spacing w:line="360" w:lineRule="auto"/>
        <w:rPr>
          <w:rFonts w:ascii="Arial" w:hAnsi="Arial" w:cs="Arial"/>
          <w:noProof/>
          <w:szCs w:val="28"/>
        </w:rPr>
      </w:pPr>
    </w:p>
    <w:p w14:paraId="5C22D269" w14:textId="77777777" w:rsidR="00030089" w:rsidRPr="009845B4" w:rsidRDefault="00030089" w:rsidP="00030089">
      <w:pPr>
        <w:autoSpaceDE w:val="0"/>
        <w:autoSpaceDN w:val="0"/>
        <w:adjustRightInd w:val="0"/>
        <w:spacing w:line="360" w:lineRule="auto"/>
        <w:rPr>
          <w:rFonts w:ascii="Arial" w:hAnsi="Arial" w:cs="Arial"/>
          <w:b/>
          <w:color w:val="000000"/>
          <w:sz w:val="20"/>
          <w:szCs w:val="20"/>
        </w:rPr>
      </w:pPr>
      <w:r w:rsidRPr="00560508">
        <w:rPr>
          <w:rFonts w:ascii="Arial" w:hAnsi="Arial" w:cs="Arial"/>
          <w:b/>
          <w:color w:val="000000"/>
          <w:sz w:val="20"/>
          <w:szCs w:val="20"/>
        </w:rPr>
        <w:lastRenderedPageBreak/>
        <w:t xml:space="preserve">ABOUT THIS DECISION REGULATION IMPACT STATEMENT </w:t>
      </w:r>
    </w:p>
    <w:p w14:paraId="3EEEF183" w14:textId="77777777" w:rsidR="00030089" w:rsidRPr="009845B4" w:rsidRDefault="00030089" w:rsidP="00030089">
      <w:pPr>
        <w:autoSpaceDE w:val="0"/>
        <w:autoSpaceDN w:val="0"/>
        <w:adjustRightInd w:val="0"/>
        <w:spacing w:before="160" w:after="160" w:line="360" w:lineRule="auto"/>
        <w:rPr>
          <w:rFonts w:ascii="Arial" w:hAnsi="Arial" w:cs="Arial"/>
          <w:color w:val="000000"/>
          <w:sz w:val="20"/>
          <w:szCs w:val="20"/>
        </w:rPr>
      </w:pPr>
      <w:r w:rsidRPr="00560508">
        <w:rPr>
          <w:rFonts w:ascii="Arial" w:hAnsi="Arial" w:cs="Arial"/>
          <w:sz w:val="20"/>
          <w:szCs w:val="20"/>
        </w:rPr>
        <w:t>The Northern Territory Government has prepared the Northern Territory Container Deposit Scheme</w:t>
      </w:r>
      <w:r>
        <w:rPr>
          <w:rFonts w:ascii="Arial" w:hAnsi="Arial" w:cs="Arial"/>
          <w:sz w:val="20"/>
          <w:szCs w:val="20"/>
        </w:rPr>
        <w:t xml:space="preserve"> (NT CDS) </w:t>
      </w:r>
      <w:r w:rsidRPr="00560508">
        <w:rPr>
          <w:rFonts w:ascii="Arial" w:hAnsi="Arial" w:cs="Arial"/>
          <w:sz w:val="20"/>
          <w:szCs w:val="20"/>
        </w:rPr>
        <w:t xml:space="preserve"> Decision Regulation Impact Statement in order to consider a proposal to permanently exempt the </w:t>
      </w:r>
      <w:r w:rsidRPr="00560508">
        <w:rPr>
          <w:rFonts w:ascii="Arial" w:hAnsi="Arial" w:cs="Arial"/>
          <w:i/>
          <w:sz w:val="20"/>
          <w:szCs w:val="20"/>
        </w:rPr>
        <w:t>Environment Protection (Beverage Containers and Plastic Bags) Act 2011</w:t>
      </w:r>
      <w:r w:rsidRPr="00560508">
        <w:rPr>
          <w:rFonts w:ascii="Arial" w:hAnsi="Arial" w:cs="Arial"/>
          <w:sz w:val="20"/>
          <w:szCs w:val="20"/>
        </w:rPr>
        <w:t xml:space="preserve"> </w:t>
      </w:r>
      <w:r>
        <w:rPr>
          <w:rFonts w:ascii="Arial" w:hAnsi="Arial" w:cs="Arial"/>
          <w:sz w:val="20"/>
          <w:szCs w:val="20"/>
        </w:rPr>
        <w:t xml:space="preserve">(NT) </w:t>
      </w:r>
      <w:r w:rsidRPr="00560508">
        <w:rPr>
          <w:rFonts w:ascii="Arial" w:hAnsi="Arial" w:cs="Arial"/>
          <w:sz w:val="20"/>
          <w:szCs w:val="20"/>
        </w:rPr>
        <w:t xml:space="preserve">from the </w:t>
      </w:r>
      <w:r w:rsidRPr="00560508">
        <w:rPr>
          <w:rFonts w:ascii="Arial" w:hAnsi="Arial" w:cs="Arial"/>
          <w:i/>
          <w:sz w:val="20"/>
          <w:szCs w:val="20"/>
        </w:rPr>
        <w:t>Mutual Recognition Act 1992</w:t>
      </w:r>
      <w:r w:rsidRPr="00560508">
        <w:rPr>
          <w:rFonts w:ascii="Arial" w:hAnsi="Arial" w:cs="Arial"/>
          <w:sz w:val="20"/>
          <w:szCs w:val="20"/>
        </w:rPr>
        <w:t xml:space="preserve"> (Cth) and the </w:t>
      </w:r>
      <w:r w:rsidRPr="00560508">
        <w:rPr>
          <w:rFonts w:ascii="Arial" w:hAnsi="Arial" w:cs="Arial"/>
          <w:i/>
          <w:sz w:val="20"/>
          <w:szCs w:val="20"/>
        </w:rPr>
        <w:t>Trans</w:t>
      </w:r>
      <w:r w:rsidRPr="00560508">
        <w:rPr>
          <w:rFonts w:ascii="Arial" w:hAnsi="Arial" w:cs="Arial"/>
          <w:i/>
          <w:sz w:val="20"/>
          <w:szCs w:val="20"/>
        </w:rPr>
        <w:noBreakHyphen/>
        <w:t>Tasman Mutual Recognition Act 1997</w:t>
      </w:r>
      <w:r w:rsidRPr="00560508">
        <w:rPr>
          <w:rFonts w:ascii="Arial" w:hAnsi="Arial" w:cs="Arial"/>
          <w:sz w:val="20"/>
          <w:szCs w:val="20"/>
        </w:rPr>
        <w:t xml:space="preserve"> (Cth). </w:t>
      </w:r>
    </w:p>
    <w:p w14:paraId="6FB40BF3" w14:textId="77777777" w:rsidR="00030089" w:rsidRPr="00FE611A" w:rsidRDefault="00030089" w:rsidP="00030089">
      <w:pPr>
        <w:spacing w:line="360" w:lineRule="auto"/>
        <w:rPr>
          <w:rFonts w:ascii="Arial" w:hAnsi="Arial" w:cs="Arial"/>
          <w:color w:val="000000"/>
          <w:szCs w:val="28"/>
        </w:rPr>
      </w:pPr>
    </w:p>
    <w:p w14:paraId="693B4F8D" w14:textId="77777777" w:rsidR="00030089" w:rsidRPr="00FE611A" w:rsidRDefault="00030089" w:rsidP="00030089">
      <w:pPr>
        <w:spacing w:line="360" w:lineRule="auto"/>
        <w:rPr>
          <w:rFonts w:ascii="Arial" w:hAnsi="Arial" w:cs="Arial"/>
          <w:color w:val="000000"/>
          <w:szCs w:val="28"/>
        </w:rPr>
      </w:pPr>
    </w:p>
    <w:p w14:paraId="2367D22E" w14:textId="77777777" w:rsidR="00030089" w:rsidRPr="00FE611A" w:rsidRDefault="00030089" w:rsidP="00030089">
      <w:pPr>
        <w:spacing w:line="360" w:lineRule="auto"/>
        <w:rPr>
          <w:rFonts w:ascii="Arial" w:hAnsi="Arial" w:cs="Arial"/>
          <w:color w:val="000000"/>
          <w:szCs w:val="28"/>
        </w:rPr>
      </w:pPr>
    </w:p>
    <w:p w14:paraId="60F6EF26" w14:textId="77777777" w:rsidR="00030089" w:rsidRPr="00FE611A" w:rsidRDefault="00030089" w:rsidP="00030089">
      <w:pPr>
        <w:spacing w:line="360" w:lineRule="auto"/>
        <w:rPr>
          <w:rFonts w:ascii="Arial" w:hAnsi="Arial" w:cs="Arial"/>
          <w:color w:val="000000"/>
          <w:szCs w:val="28"/>
        </w:rPr>
      </w:pPr>
    </w:p>
    <w:p w14:paraId="7C4166BC" w14:textId="77777777" w:rsidR="00030089" w:rsidRPr="00FE611A" w:rsidRDefault="00030089" w:rsidP="00030089">
      <w:pPr>
        <w:spacing w:line="360" w:lineRule="auto"/>
        <w:rPr>
          <w:rFonts w:ascii="Arial" w:hAnsi="Arial" w:cs="Arial"/>
          <w:szCs w:val="28"/>
        </w:rPr>
        <w:sectPr w:rsidR="00030089" w:rsidRPr="00FE611A" w:rsidSect="008547F7">
          <w:footerReference w:type="default" r:id="rId9"/>
          <w:pgSz w:w="11906" w:h="16838" w:code="9"/>
          <w:pgMar w:top="1103" w:right="1440" w:bottom="1440" w:left="1440" w:header="284" w:footer="63" w:gutter="0"/>
          <w:pgNumType w:fmt="lowerRoman" w:start="1"/>
          <w:cols w:space="708"/>
          <w:docGrid w:linePitch="360"/>
        </w:sectPr>
      </w:pPr>
    </w:p>
    <w:p w14:paraId="740F23A5" w14:textId="77777777" w:rsidR="00030089" w:rsidRPr="00FE611A" w:rsidRDefault="00030089" w:rsidP="00030089">
      <w:pPr>
        <w:pStyle w:val="TOC1"/>
        <w:spacing w:after="0" w:line="360" w:lineRule="auto"/>
        <w:rPr>
          <w:rFonts w:ascii="Arial" w:hAnsi="Arial" w:cs="Arial"/>
          <w:sz w:val="22"/>
          <w:szCs w:val="28"/>
        </w:rPr>
      </w:pPr>
      <w:r w:rsidRPr="00FE611A">
        <w:rPr>
          <w:rFonts w:ascii="Arial" w:hAnsi="Arial" w:cs="Arial"/>
          <w:sz w:val="22"/>
          <w:szCs w:val="28"/>
        </w:rPr>
        <w:lastRenderedPageBreak/>
        <w:t>TABLE OF CONTENTS</w:t>
      </w:r>
    </w:p>
    <w:p w14:paraId="03D7599F" w14:textId="77777777" w:rsidR="00030089" w:rsidRPr="0013248D" w:rsidRDefault="00030089" w:rsidP="00030089">
      <w:pPr>
        <w:pStyle w:val="TOC1"/>
        <w:tabs>
          <w:tab w:val="right" w:leader="dot" w:pos="9016"/>
        </w:tabs>
        <w:rPr>
          <w:b w:val="0"/>
          <w:bCs w:val="0"/>
          <w:caps w:val="0"/>
          <w:noProof/>
          <w:sz w:val="22"/>
          <w:szCs w:val="22"/>
        </w:rPr>
      </w:pPr>
      <w:r w:rsidRPr="0013248D">
        <w:rPr>
          <w:rFonts w:ascii="Arial" w:hAnsi="Arial" w:cs="Arial"/>
          <w:b w:val="0"/>
          <w:sz w:val="28"/>
          <w:szCs w:val="28"/>
        </w:rPr>
        <w:fldChar w:fldCharType="begin"/>
      </w:r>
      <w:r w:rsidRPr="0013248D">
        <w:rPr>
          <w:rFonts w:ascii="Arial" w:hAnsi="Arial" w:cs="Arial"/>
          <w:b w:val="0"/>
          <w:sz w:val="28"/>
          <w:szCs w:val="28"/>
        </w:rPr>
        <w:instrText xml:space="preserve"> TOC \o "1-3" \h \z \u </w:instrText>
      </w:r>
      <w:r w:rsidRPr="0013248D">
        <w:rPr>
          <w:rFonts w:ascii="Arial" w:hAnsi="Arial" w:cs="Arial"/>
          <w:b w:val="0"/>
          <w:sz w:val="28"/>
          <w:szCs w:val="28"/>
        </w:rPr>
        <w:fldChar w:fldCharType="separate"/>
      </w:r>
      <w:hyperlink w:anchor="_Toc353562534" w:history="1">
        <w:r w:rsidRPr="0013248D">
          <w:rPr>
            <w:rStyle w:val="Hyperlink"/>
            <w:rFonts w:ascii="Arial" w:hAnsi="Arial" w:cs="Arial"/>
            <w:b w:val="0"/>
            <w:noProof/>
          </w:rPr>
          <w:t>EXECUTIVE SUMMARY</w:t>
        </w:r>
        <w:r w:rsidRPr="0013248D">
          <w:rPr>
            <w:b w:val="0"/>
            <w:noProof/>
            <w:webHidden/>
          </w:rPr>
          <w:tab/>
        </w:r>
        <w:r w:rsidRPr="0013248D">
          <w:rPr>
            <w:b w:val="0"/>
            <w:noProof/>
            <w:webHidden/>
          </w:rPr>
          <w:fldChar w:fldCharType="begin"/>
        </w:r>
        <w:r w:rsidRPr="0013248D">
          <w:rPr>
            <w:b w:val="0"/>
            <w:noProof/>
            <w:webHidden/>
          </w:rPr>
          <w:instrText xml:space="preserve"> PAGEREF _Toc353562534 \h </w:instrText>
        </w:r>
        <w:r w:rsidRPr="0013248D">
          <w:rPr>
            <w:b w:val="0"/>
            <w:noProof/>
            <w:webHidden/>
          </w:rPr>
        </w:r>
        <w:r w:rsidRPr="0013248D">
          <w:rPr>
            <w:b w:val="0"/>
            <w:noProof/>
            <w:webHidden/>
          </w:rPr>
          <w:fldChar w:fldCharType="separate"/>
        </w:r>
        <w:r w:rsidR="00740026">
          <w:rPr>
            <w:b w:val="0"/>
            <w:noProof/>
            <w:webHidden/>
          </w:rPr>
          <w:t>11</w:t>
        </w:r>
        <w:r w:rsidRPr="0013248D">
          <w:rPr>
            <w:b w:val="0"/>
            <w:noProof/>
            <w:webHidden/>
          </w:rPr>
          <w:fldChar w:fldCharType="end"/>
        </w:r>
      </w:hyperlink>
    </w:p>
    <w:p w14:paraId="7795D2CB" w14:textId="77777777" w:rsidR="00030089" w:rsidRPr="0013248D" w:rsidRDefault="00290CD0" w:rsidP="00030089">
      <w:pPr>
        <w:pStyle w:val="TOC1"/>
        <w:tabs>
          <w:tab w:val="left" w:pos="440"/>
          <w:tab w:val="right" w:leader="dot" w:pos="9016"/>
        </w:tabs>
        <w:rPr>
          <w:b w:val="0"/>
          <w:bCs w:val="0"/>
          <w:caps w:val="0"/>
          <w:noProof/>
          <w:sz w:val="22"/>
          <w:szCs w:val="22"/>
        </w:rPr>
      </w:pPr>
      <w:hyperlink w:anchor="_Toc353562535" w:history="1">
        <w:r w:rsidR="00030089" w:rsidRPr="0013248D">
          <w:rPr>
            <w:rStyle w:val="Hyperlink"/>
            <w:rFonts w:ascii="Arial" w:hAnsi="Arial"/>
            <w:b w:val="0"/>
            <w:noProof/>
          </w:rPr>
          <w:t>1.</w:t>
        </w:r>
        <w:r w:rsidR="00030089" w:rsidRPr="0013248D">
          <w:rPr>
            <w:b w:val="0"/>
            <w:bCs w:val="0"/>
            <w:caps w:val="0"/>
            <w:noProof/>
            <w:sz w:val="22"/>
            <w:szCs w:val="22"/>
          </w:rPr>
          <w:tab/>
        </w:r>
        <w:r w:rsidR="00030089" w:rsidRPr="0013248D">
          <w:rPr>
            <w:rStyle w:val="Hyperlink"/>
            <w:rFonts w:ascii="Arial" w:hAnsi="Arial" w:cs="Arial"/>
            <w:b w:val="0"/>
            <w:noProof/>
          </w:rPr>
          <w:t>STATEMENT OF THE PROBLEM</w:t>
        </w:r>
        <w:r w:rsidR="00030089" w:rsidRPr="0013248D">
          <w:rPr>
            <w:b w:val="0"/>
            <w:noProof/>
            <w:webHidden/>
          </w:rPr>
          <w:tab/>
        </w:r>
        <w:r w:rsidR="00030089" w:rsidRPr="0013248D">
          <w:rPr>
            <w:b w:val="0"/>
            <w:noProof/>
            <w:webHidden/>
          </w:rPr>
          <w:fldChar w:fldCharType="begin"/>
        </w:r>
        <w:r w:rsidR="00030089" w:rsidRPr="0013248D">
          <w:rPr>
            <w:b w:val="0"/>
            <w:noProof/>
            <w:webHidden/>
          </w:rPr>
          <w:instrText xml:space="preserve"> PAGEREF _Toc353562535 \h </w:instrText>
        </w:r>
        <w:r w:rsidR="00030089" w:rsidRPr="0013248D">
          <w:rPr>
            <w:b w:val="0"/>
            <w:noProof/>
            <w:webHidden/>
          </w:rPr>
        </w:r>
        <w:r w:rsidR="00030089" w:rsidRPr="0013248D">
          <w:rPr>
            <w:b w:val="0"/>
            <w:noProof/>
            <w:webHidden/>
          </w:rPr>
          <w:fldChar w:fldCharType="separate"/>
        </w:r>
        <w:r w:rsidR="00740026">
          <w:rPr>
            <w:b w:val="0"/>
            <w:noProof/>
            <w:webHidden/>
          </w:rPr>
          <w:t>14</w:t>
        </w:r>
        <w:r w:rsidR="00030089" w:rsidRPr="0013248D">
          <w:rPr>
            <w:b w:val="0"/>
            <w:noProof/>
            <w:webHidden/>
          </w:rPr>
          <w:fldChar w:fldCharType="end"/>
        </w:r>
      </w:hyperlink>
    </w:p>
    <w:p w14:paraId="49C4B220" w14:textId="77777777" w:rsidR="00030089" w:rsidRPr="0013248D" w:rsidRDefault="00290CD0" w:rsidP="00030089">
      <w:pPr>
        <w:pStyle w:val="TOC2"/>
        <w:tabs>
          <w:tab w:val="left" w:pos="880"/>
          <w:tab w:val="right" w:leader="dot" w:pos="9016"/>
        </w:tabs>
        <w:rPr>
          <w:smallCaps w:val="0"/>
          <w:noProof/>
          <w:sz w:val="22"/>
          <w:szCs w:val="22"/>
        </w:rPr>
      </w:pPr>
      <w:hyperlink w:anchor="_Toc353562536" w:history="1">
        <w:r w:rsidR="00030089" w:rsidRPr="0013248D">
          <w:rPr>
            <w:rStyle w:val="Hyperlink"/>
            <w:rFonts w:ascii="Arial" w:hAnsi="Arial"/>
            <w:noProof/>
          </w:rPr>
          <w:t>1.1.</w:t>
        </w:r>
        <w:r w:rsidR="00030089" w:rsidRPr="0013248D">
          <w:rPr>
            <w:smallCaps w:val="0"/>
            <w:noProof/>
            <w:sz w:val="22"/>
            <w:szCs w:val="22"/>
          </w:rPr>
          <w:tab/>
        </w:r>
        <w:r w:rsidR="00030089" w:rsidRPr="0013248D">
          <w:rPr>
            <w:rStyle w:val="Hyperlink"/>
            <w:rFonts w:ascii="Arial" w:hAnsi="Arial" w:cs="Arial"/>
            <w:noProof/>
          </w:rPr>
          <w:t>The NT Recycling Rate</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_Toc353562536 \h </w:instrText>
        </w:r>
        <w:r w:rsidR="00030089" w:rsidRPr="0013248D">
          <w:rPr>
            <w:noProof/>
            <w:webHidden/>
          </w:rPr>
        </w:r>
        <w:r w:rsidR="00030089" w:rsidRPr="0013248D">
          <w:rPr>
            <w:noProof/>
            <w:webHidden/>
          </w:rPr>
          <w:fldChar w:fldCharType="separate"/>
        </w:r>
        <w:r w:rsidR="00740026">
          <w:rPr>
            <w:noProof/>
            <w:webHidden/>
          </w:rPr>
          <w:t>15</w:t>
        </w:r>
        <w:r w:rsidR="00030089" w:rsidRPr="0013248D">
          <w:rPr>
            <w:noProof/>
            <w:webHidden/>
          </w:rPr>
          <w:fldChar w:fldCharType="end"/>
        </w:r>
      </w:hyperlink>
    </w:p>
    <w:p w14:paraId="19F2638C" w14:textId="77777777" w:rsidR="00030089" w:rsidRPr="0013248D" w:rsidRDefault="00290CD0" w:rsidP="00030089">
      <w:pPr>
        <w:pStyle w:val="TOC3"/>
        <w:tabs>
          <w:tab w:val="left" w:pos="1320"/>
          <w:tab w:val="right" w:leader="dot" w:pos="9016"/>
        </w:tabs>
        <w:rPr>
          <w:i w:val="0"/>
          <w:iCs w:val="0"/>
          <w:noProof/>
          <w:sz w:val="22"/>
          <w:szCs w:val="22"/>
        </w:rPr>
      </w:pPr>
      <w:hyperlink w:anchor="_Toc353562537" w:history="1">
        <w:r w:rsidR="00030089" w:rsidRPr="0013248D">
          <w:rPr>
            <w:rStyle w:val="Hyperlink"/>
            <w:rFonts w:ascii="Arial" w:hAnsi="Arial" w:cs="Arial"/>
            <w:noProof/>
          </w:rPr>
          <w:t>1.1.1.</w:t>
        </w:r>
        <w:r w:rsidR="00030089" w:rsidRPr="0013248D">
          <w:rPr>
            <w:i w:val="0"/>
            <w:iCs w:val="0"/>
            <w:noProof/>
            <w:sz w:val="22"/>
            <w:szCs w:val="22"/>
          </w:rPr>
          <w:tab/>
        </w:r>
        <w:r w:rsidR="00030089" w:rsidRPr="0013248D">
          <w:rPr>
            <w:rStyle w:val="Hyperlink"/>
            <w:rFonts w:ascii="Arial" w:hAnsi="Arial" w:cs="Arial"/>
            <w:noProof/>
          </w:rPr>
          <w:t>Recycling of all Waste Types</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_Toc353562537 \h </w:instrText>
        </w:r>
        <w:r w:rsidR="00030089" w:rsidRPr="0013248D">
          <w:rPr>
            <w:noProof/>
            <w:webHidden/>
          </w:rPr>
        </w:r>
        <w:r w:rsidR="00030089" w:rsidRPr="0013248D">
          <w:rPr>
            <w:noProof/>
            <w:webHidden/>
          </w:rPr>
          <w:fldChar w:fldCharType="separate"/>
        </w:r>
        <w:r w:rsidR="00740026">
          <w:rPr>
            <w:noProof/>
            <w:webHidden/>
          </w:rPr>
          <w:t>15</w:t>
        </w:r>
        <w:r w:rsidR="00030089" w:rsidRPr="0013248D">
          <w:rPr>
            <w:noProof/>
            <w:webHidden/>
          </w:rPr>
          <w:fldChar w:fldCharType="end"/>
        </w:r>
      </w:hyperlink>
    </w:p>
    <w:p w14:paraId="02E1B73F" w14:textId="77777777" w:rsidR="00030089" w:rsidRPr="0013248D" w:rsidRDefault="00290CD0" w:rsidP="00030089">
      <w:pPr>
        <w:pStyle w:val="TOC3"/>
        <w:tabs>
          <w:tab w:val="left" w:pos="1320"/>
          <w:tab w:val="right" w:leader="dot" w:pos="9016"/>
        </w:tabs>
        <w:rPr>
          <w:i w:val="0"/>
          <w:iCs w:val="0"/>
          <w:noProof/>
          <w:sz w:val="22"/>
          <w:szCs w:val="22"/>
        </w:rPr>
      </w:pPr>
      <w:hyperlink w:anchor="_Toc353562538" w:history="1">
        <w:r w:rsidR="00030089" w:rsidRPr="0013248D">
          <w:rPr>
            <w:rStyle w:val="Hyperlink"/>
            <w:rFonts w:ascii="Arial" w:hAnsi="Arial" w:cs="Arial"/>
            <w:noProof/>
          </w:rPr>
          <w:t>1.1.2.</w:t>
        </w:r>
        <w:r w:rsidR="00030089" w:rsidRPr="0013248D">
          <w:rPr>
            <w:i w:val="0"/>
            <w:iCs w:val="0"/>
            <w:noProof/>
            <w:sz w:val="22"/>
            <w:szCs w:val="22"/>
          </w:rPr>
          <w:tab/>
        </w:r>
        <w:r w:rsidR="00030089" w:rsidRPr="0013248D">
          <w:rPr>
            <w:rStyle w:val="Hyperlink"/>
            <w:rFonts w:ascii="Arial" w:hAnsi="Arial" w:cs="Arial"/>
            <w:noProof/>
          </w:rPr>
          <w:t>Recycling of Beverage Containers</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_Toc353562538 \h </w:instrText>
        </w:r>
        <w:r w:rsidR="00030089" w:rsidRPr="0013248D">
          <w:rPr>
            <w:noProof/>
            <w:webHidden/>
          </w:rPr>
        </w:r>
        <w:r w:rsidR="00030089" w:rsidRPr="0013248D">
          <w:rPr>
            <w:noProof/>
            <w:webHidden/>
          </w:rPr>
          <w:fldChar w:fldCharType="separate"/>
        </w:r>
        <w:r w:rsidR="00740026">
          <w:rPr>
            <w:noProof/>
            <w:webHidden/>
          </w:rPr>
          <w:t>17</w:t>
        </w:r>
        <w:r w:rsidR="00030089" w:rsidRPr="0013248D">
          <w:rPr>
            <w:noProof/>
            <w:webHidden/>
          </w:rPr>
          <w:fldChar w:fldCharType="end"/>
        </w:r>
      </w:hyperlink>
    </w:p>
    <w:p w14:paraId="283FA702" w14:textId="77777777" w:rsidR="00030089" w:rsidRPr="0013248D" w:rsidRDefault="00290CD0" w:rsidP="00030089">
      <w:pPr>
        <w:pStyle w:val="TOC2"/>
        <w:tabs>
          <w:tab w:val="left" w:pos="880"/>
          <w:tab w:val="right" w:leader="dot" w:pos="9016"/>
        </w:tabs>
        <w:rPr>
          <w:smallCaps w:val="0"/>
          <w:noProof/>
          <w:sz w:val="22"/>
          <w:szCs w:val="22"/>
        </w:rPr>
      </w:pPr>
      <w:hyperlink w:anchor="_Toc353562539" w:history="1">
        <w:r w:rsidR="00030089" w:rsidRPr="0013248D">
          <w:rPr>
            <w:rStyle w:val="Hyperlink"/>
            <w:rFonts w:ascii="Arial" w:hAnsi="Arial"/>
            <w:noProof/>
          </w:rPr>
          <w:t>1.2.</w:t>
        </w:r>
        <w:r w:rsidR="00030089" w:rsidRPr="0013248D">
          <w:rPr>
            <w:smallCaps w:val="0"/>
            <w:noProof/>
            <w:sz w:val="22"/>
            <w:szCs w:val="22"/>
          </w:rPr>
          <w:tab/>
        </w:r>
        <w:r w:rsidR="00030089" w:rsidRPr="0013248D">
          <w:rPr>
            <w:rStyle w:val="Hyperlink"/>
            <w:rFonts w:ascii="Arial" w:hAnsi="Arial" w:cs="Arial"/>
            <w:noProof/>
          </w:rPr>
          <w:t>Importance of Raising the Recycling Rate in the Northern Territory</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_Toc353562539 \h </w:instrText>
        </w:r>
        <w:r w:rsidR="00030089" w:rsidRPr="0013248D">
          <w:rPr>
            <w:noProof/>
            <w:webHidden/>
          </w:rPr>
        </w:r>
        <w:r w:rsidR="00030089" w:rsidRPr="0013248D">
          <w:rPr>
            <w:noProof/>
            <w:webHidden/>
          </w:rPr>
          <w:fldChar w:fldCharType="separate"/>
        </w:r>
        <w:r w:rsidR="00740026">
          <w:rPr>
            <w:noProof/>
            <w:webHidden/>
          </w:rPr>
          <w:t>19</w:t>
        </w:r>
        <w:r w:rsidR="00030089" w:rsidRPr="0013248D">
          <w:rPr>
            <w:noProof/>
            <w:webHidden/>
          </w:rPr>
          <w:fldChar w:fldCharType="end"/>
        </w:r>
      </w:hyperlink>
    </w:p>
    <w:p w14:paraId="2CF6B745" w14:textId="77777777" w:rsidR="00030089" w:rsidRPr="0013248D" w:rsidRDefault="00290CD0" w:rsidP="00030089">
      <w:pPr>
        <w:pStyle w:val="TOC2"/>
        <w:tabs>
          <w:tab w:val="left" w:pos="880"/>
          <w:tab w:val="right" w:leader="dot" w:pos="9016"/>
        </w:tabs>
        <w:rPr>
          <w:smallCaps w:val="0"/>
          <w:noProof/>
          <w:sz w:val="22"/>
          <w:szCs w:val="22"/>
        </w:rPr>
      </w:pPr>
      <w:hyperlink w:anchor="_Toc353562540" w:history="1">
        <w:r w:rsidR="00030089" w:rsidRPr="0013248D">
          <w:rPr>
            <w:rStyle w:val="Hyperlink"/>
            <w:rFonts w:ascii="Arial" w:hAnsi="Arial"/>
            <w:noProof/>
          </w:rPr>
          <w:t>1.3.</w:t>
        </w:r>
        <w:r w:rsidR="00030089" w:rsidRPr="0013248D">
          <w:rPr>
            <w:smallCaps w:val="0"/>
            <w:noProof/>
            <w:sz w:val="22"/>
            <w:szCs w:val="22"/>
          </w:rPr>
          <w:tab/>
        </w:r>
        <w:r w:rsidR="00030089" w:rsidRPr="0013248D">
          <w:rPr>
            <w:rStyle w:val="Hyperlink"/>
            <w:rFonts w:ascii="Arial" w:hAnsi="Arial" w:cs="Arial"/>
            <w:noProof/>
          </w:rPr>
          <w:t>Introduction of the NT CDS</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_Toc353562540 \h </w:instrText>
        </w:r>
        <w:r w:rsidR="00030089" w:rsidRPr="0013248D">
          <w:rPr>
            <w:noProof/>
            <w:webHidden/>
          </w:rPr>
        </w:r>
        <w:r w:rsidR="00030089" w:rsidRPr="0013248D">
          <w:rPr>
            <w:noProof/>
            <w:webHidden/>
          </w:rPr>
          <w:fldChar w:fldCharType="separate"/>
        </w:r>
        <w:r w:rsidR="00740026">
          <w:rPr>
            <w:noProof/>
            <w:webHidden/>
          </w:rPr>
          <w:t>20</w:t>
        </w:r>
        <w:r w:rsidR="00030089" w:rsidRPr="0013248D">
          <w:rPr>
            <w:noProof/>
            <w:webHidden/>
          </w:rPr>
          <w:fldChar w:fldCharType="end"/>
        </w:r>
      </w:hyperlink>
    </w:p>
    <w:p w14:paraId="0FE19DBF" w14:textId="77777777" w:rsidR="00030089" w:rsidRPr="0013248D" w:rsidRDefault="00290CD0" w:rsidP="00030089">
      <w:pPr>
        <w:pStyle w:val="TOC2"/>
        <w:tabs>
          <w:tab w:val="left" w:pos="880"/>
          <w:tab w:val="right" w:leader="dot" w:pos="9016"/>
        </w:tabs>
        <w:rPr>
          <w:smallCaps w:val="0"/>
          <w:noProof/>
          <w:sz w:val="22"/>
          <w:szCs w:val="22"/>
        </w:rPr>
      </w:pPr>
      <w:hyperlink w:anchor="_Toc353562541" w:history="1">
        <w:r w:rsidR="00030089" w:rsidRPr="0013248D">
          <w:rPr>
            <w:rStyle w:val="Hyperlink"/>
            <w:rFonts w:ascii="Arial" w:hAnsi="Arial"/>
            <w:noProof/>
          </w:rPr>
          <w:t>1.4.</w:t>
        </w:r>
        <w:r w:rsidR="00030089" w:rsidRPr="0013248D">
          <w:rPr>
            <w:smallCaps w:val="0"/>
            <w:noProof/>
            <w:sz w:val="22"/>
            <w:szCs w:val="22"/>
          </w:rPr>
          <w:tab/>
        </w:r>
        <w:r w:rsidR="00030089" w:rsidRPr="0013248D">
          <w:rPr>
            <w:rStyle w:val="Hyperlink"/>
            <w:rFonts w:ascii="Arial" w:hAnsi="Arial" w:cs="Arial"/>
            <w:noProof/>
          </w:rPr>
          <w:t>Mutual Recognition Principles</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_Toc353562541 \h </w:instrText>
        </w:r>
        <w:r w:rsidR="00030089" w:rsidRPr="0013248D">
          <w:rPr>
            <w:noProof/>
            <w:webHidden/>
          </w:rPr>
        </w:r>
        <w:r w:rsidR="00030089" w:rsidRPr="0013248D">
          <w:rPr>
            <w:noProof/>
            <w:webHidden/>
          </w:rPr>
          <w:fldChar w:fldCharType="separate"/>
        </w:r>
        <w:r w:rsidR="00740026">
          <w:rPr>
            <w:noProof/>
            <w:webHidden/>
          </w:rPr>
          <w:t>22</w:t>
        </w:r>
        <w:r w:rsidR="00030089" w:rsidRPr="0013248D">
          <w:rPr>
            <w:noProof/>
            <w:webHidden/>
          </w:rPr>
          <w:fldChar w:fldCharType="end"/>
        </w:r>
      </w:hyperlink>
    </w:p>
    <w:p w14:paraId="5D6D6D65" w14:textId="77777777" w:rsidR="00030089" w:rsidRPr="0013248D" w:rsidRDefault="00290CD0" w:rsidP="00030089">
      <w:pPr>
        <w:pStyle w:val="TOC1"/>
        <w:tabs>
          <w:tab w:val="left" w:pos="440"/>
          <w:tab w:val="right" w:leader="dot" w:pos="9016"/>
        </w:tabs>
        <w:rPr>
          <w:b w:val="0"/>
          <w:bCs w:val="0"/>
          <w:caps w:val="0"/>
          <w:noProof/>
          <w:sz w:val="22"/>
          <w:szCs w:val="22"/>
        </w:rPr>
      </w:pPr>
      <w:hyperlink w:anchor="_Toc353562542" w:history="1">
        <w:r w:rsidR="00030089" w:rsidRPr="0013248D">
          <w:rPr>
            <w:rStyle w:val="Hyperlink"/>
            <w:rFonts w:ascii="Arial" w:hAnsi="Arial"/>
            <w:b w:val="0"/>
            <w:noProof/>
          </w:rPr>
          <w:t>2.</w:t>
        </w:r>
        <w:r w:rsidR="00030089" w:rsidRPr="0013248D">
          <w:rPr>
            <w:b w:val="0"/>
            <w:bCs w:val="0"/>
            <w:caps w:val="0"/>
            <w:noProof/>
            <w:sz w:val="22"/>
            <w:szCs w:val="22"/>
          </w:rPr>
          <w:tab/>
        </w:r>
        <w:r w:rsidR="00030089" w:rsidRPr="0013248D">
          <w:rPr>
            <w:rStyle w:val="Hyperlink"/>
            <w:rFonts w:ascii="Arial" w:hAnsi="Arial" w:cs="Arial"/>
            <w:b w:val="0"/>
            <w:noProof/>
          </w:rPr>
          <w:t>OBJECTIVES OF GOVERNMENT ACTION</w:t>
        </w:r>
        <w:r w:rsidR="00030089" w:rsidRPr="0013248D">
          <w:rPr>
            <w:b w:val="0"/>
            <w:noProof/>
            <w:webHidden/>
          </w:rPr>
          <w:tab/>
        </w:r>
        <w:r w:rsidR="00030089" w:rsidRPr="0013248D">
          <w:rPr>
            <w:b w:val="0"/>
            <w:noProof/>
            <w:webHidden/>
          </w:rPr>
          <w:fldChar w:fldCharType="begin"/>
        </w:r>
        <w:r w:rsidR="00030089" w:rsidRPr="0013248D">
          <w:rPr>
            <w:b w:val="0"/>
            <w:noProof/>
            <w:webHidden/>
          </w:rPr>
          <w:instrText xml:space="preserve"> PAGEREF _Toc353562542 \h </w:instrText>
        </w:r>
        <w:r w:rsidR="00030089" w:rsidRPr="0013248D">
          <w:rPr>
            <w:b w:val="0"/>
            <w:noProof/>
            <w:webHidden/>
          </w:rPr>
        </w:r>
        <w:r w:rsidR="00030089" w:rsidRPr="0013248D">
          <w:rPr>
            <w:b w:val="0"/>
            <w:noProof/>
            <w:webHidden/>
          </w:rPr>
          <w:fldChar w:fldCharType="separate"/>
        </w:r>
        <w:r w:rsidR="00740026">
          <w:rPr>
            <w:b w:val="0"/>
            <w:noProof/>
            <w:webHidden/>
          </w:rPr>
          <w:t>24</w:t>
        </w:r>
        <w:r w:rsidR="00030089" w:rsidRPr="0013248D">
          <w:rPr>
            <w:b w:val="0"/>
            <w:noProof/>
            <w:webHidden/>
          </w:rPr>
          <w:fldChar w:fldCharType="end"/>
        </w:r>
      </w:hyperlink>
    </w:p>
    <w:p w14:paraId="4A0AA0B2" w14:textId="77777777" w:rsidR="00030089" w:rsidRPr="0013248D" w:rsidRDefault="00290CD0" w:rsidP="00030089">
      <w:pPr>
        <w:pStyle w:val="TOC1"/>
        <w:tabs>
          <w:tab w:val="left" w:pos="440"/>
          <w:tab w:val="right" w:leader="dot" w:pos="9016"/>
        </w:tabs>
        <w:rPr>
          <w:b w:val="0"/>
          <w:bCs w:val="0"/>
          <w:caps w:val="0"/>
          <w:noProof/>
          <w:sz w:val="22"/>
          <w:szCs w:val="22"/>
        </w:rPr>
      </w:pPr>
      <w:hyperlink w:anchor="_Toc353562543" w:history="1">
        <w:r w:rsidR="00030089" w:rsidRPr="0013248D">
          <w:rPr>
            <w:rStyle w:val="Hyperlink"/>
            <w:rFonts w:ascii="Arial" w:hAnsi="Arial"/>
            <w:b w:val="0"/>
            <w:noProof/>
          </w:rPr>
          <w:t>3.</w:t>
        </w:r>
        <w:r w:rsidR="00030089" w:rsidRPr="0013248D">
          <w:rPr>
            <w:b w:val="0"/>
            <w:bCs w:val="0"/>
            <w:caps w:val="0"/>
            <w:noProof/>
            <w:sz w:val="22"/>
            <w:szCs w:val="22"/>
          </w:rPr>
          <w:tab/>
        </w:r>
        <w:r w:rsidR="00030089" w:rsidRPr="0013248D">
          <w:rPr>
            <w:rStyle w:val="Hyperlink"/>
            <w:rFonts w:ascii="Arial" w:hAnsi="Arial" w:cs="Arial"/>
            <w:b w:val="0"/>
            <w:noProof/>
          </w:rPr>
          <w:t>OPTIONS TO ADDRESS THE PROBLEMS</w:t>
        </w:r>
        <w:r w:rsidR="00030089" w:rsidRPr="0013248D">
          <w:rPr>
            <w:b w:val="0"/>
            <w:noProof/>
            <w:webHidden/>
          </w:rPr>
          <w:tab/>
        </w:r>
        <w:r w:rsidR="00030089" w:rsidRPr="0013248D">
          <w:rPr>
            <w:b w:val="0"/>
            <w:noProof/>
            <w:webHidden/>
          </w:rPr>
          <w:fldChar w:fldCharType="begin"/>
        </w:r>
        <w:r w:rsidR="00030089" w:rsidRPr="0013248D">
          <w:rPr>
            <w:b w:val="0"/>
            <w:noProof/>
            <w:webHidden/>
          </w:rPr>
          <w:instrText xml:space="preserve"> PAGEREF _Toc353562543 \h </w:instrText>
        </w:r>
        <w:r w:rsidR="00030089" w:rsidRPr="0013248D">
          <w:rPr>
            <w:b w:val="0"/>
            <w:noProof/>
            <w:webHidden/>
          </w:rPr>
        </w:r>
        <w:r w:rsidR="00030089" w:rsidRPr="0013248D">
          <w:rPr>
            <w:b w:val="0"/>
            <w:noProof/>
            <w:webHidden/>
          </w:rPr>
          <w:fldChar w:fldCharType="separate"/>
        </w:r>
        <w:r w:rsidR="00740026">
          <w:rPr>
            <w:b w:val="0"/>
            <w:noProof/>
            <w:webHidden/>
          </w:rPr>
          <w:t>25</w:t>
        </w:r>
        <w:r w:rsidR="00030089" w:rsidRPr="0013248D">
          <w:rPr>
            <w:b w:val="0"/>
            <w:noProof/>
            <w:webHidden/>
          </w:rPr>
          <w:fldChar w:fldCharType="end"/>
        </w:r>
      </w:hyperlink>
    </w:p>
    <w:p w14:paraId="14C3A0D0" w14:textId="77777777" w:rsidR="00030089" w:rsidRPr="0013248D" w:rsidRDefault="00290CD0" w:rsidP="00030089">
      <w:pPr>
        <w:pStyle w:val="TOC2"/>
        <w:tabs>
          <w:tab w:val="left" w:pos="880"/>
          <w:tab w:val="right" w:leader="dot" w:pos="9016"/>
        </w:tabs>
        <w:rPr>
          <w:smallCaps w:val="0"/>
          <w:noProof/>
          <w:sz w:val="22"/>
          <w:szCs w:val="22"/>
        </w:rPr>
      </w:pPr>
      <w:hyperlink w:anchor="_Toc353562544" w:history="1">
        <w:r w:rsidR="00030089" w:rsidRPr="0013248D">
          <w:rPr>
            <w:rStyle w:val="Hyperlink"/>
            <w:rFonts w:ascii="Arial" w:hAnsi="Arial"/>
            <w:noProof/>
          </w:rPr>
          <w:t>3.1.</w:t>
        </w:r>
        <w:r w:rsidR="00030089" w:rsidRPr="0013248D">
          <w:rPr>
            <w:smallCaps w:val="0"/>
            <w:noProof/>
            <w:sz w:val="22"/>
            <w:szCs w:val="22"/>
          </w:rPr>
          <w:tab/>
        </w:r>
        <w:r w:rsidR="00030089" w:rsidRPr="0013248D">
          <w:rPr>
            <w:rStyle w:val="Hyperlink"/>
            <w:rFonts w:ascii="Arial" w:hAnsi="Arial" w:cs="Arial"/>
            <w:noProof/>
          </w:rPr>
          <w:t>Option One – the Status Quo</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_Toc353562544 \h </w:instrText>
        </w:r>
        <w:r w:rsidR="00030089" w:rsidRPr="0013248D">
          <w:rPr>
            <w:noProof/>
            <w:webHidden/>
          </w:rPr>
        </w:r>
        <w:r w:rsidR="00030089" w:rsidRPr="0013248D">
          <w:rPr>
            <w:noProof/>
            <w:webHidden/>
          </w:rPr>
          <w:fldChar w:fldCharType="separate"/>
        </w:r>
        <w:r w:rsidR="00740026">
          <w:rPr>
            <w:noProof/>
            <w:webHidden/>
          </w:rPr>
          <w:t>25</w:t>
        </w:r>
        <w:r w:rsidR="00030089" w:rsidRPr="0013248D">
          <w:rPr>
            <w:noProof/>
            <w:webHidden/>
          </w:rPr>
          <w:fldChar w:fldCharType="end"/>
        </w:r>
      </w:hyperlink>
    </w:p>
    <w:p w14:paraId="2FFCFE5D" w14:textId="77777777" w:rsidR="00030089" w:rsidRPr="0013248D" w:rsidRDefault="00290CD0" w:rsidP="00030089">
      <w:pPr>
        <w:pStyle w:val="TOC2"/>
        <w:tabs>
          <w:tab w:val="left" w:pos="880"/>
          <w:tab w:val="right" w:leader="dot" w:pos="9016"/>
        </w:tabs>
        <w:rPr>
          <w:smallCaps w:val="0"/>
          <w:noProof/>
          <w:sz w:val="22"/>
          <w:szCs w:val="22"/>
        </w:rPr>
      </w:pPr>
      <w:hyperlink w:anchor="_Toc353562545" w:history="1">
        <w:r w:rsidR="00030089" w:rsidRPr="0013248D">
          <w:rPr>
            <w:rStyle w:val="Hyperlink"/>
            <w:rFonts w:ascii="Arial" w:hAnsi="Arial"/>
            <w:noProof/>
          </w:rPr>
          <w:t>3.2.</w:t>
        </w:r>
        <w:r w:rsidR="00030089" w:rsidRPr="0013248D">
          <w:rPr>
            <w:smallCaps w:val="0"/>
            <w:noProof/>
            <w:sz w:val="22"/>
            <w:szCs w:val="22"/>
          </w:rPr>
          <w:tab/>
        </w:r>
        <w:r w:rsidR="00030089" w:rsidRPr="0013248D">
          <w:rPr>
            <w:rStyle w:val="Hyperlink"/>
            <w:rFonts w:ascii="Arial" w:hAnsi="Arial" w:cs="Arial"/>
            <w:noProof/>
          </w:rPr>
          <w:t>Option Two – National Packaging Recovery Scheme</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_Toc353562545 \h </w:instrText>
        </w:r>
        <w:r w:rsidR="00030089" w:rsidRPr="0013248D">
          <w:rPr>
            <w:noProof/>
            <w:webHidden/>
          </w:rPr>
        </w:r>
        <w:r w:rsidR="00030089" w:rsidRPr="0013248D">
          <w:rPr>
            <w:noProof/>
            <w:webHidden/>
          </w:rPr>
          <w:fldChar w:fldCharType="separate"/>
        </w:r>
        <w:r w:rsidR="00740026">
          <w:rPr>
            <w:noProof/>
            <w:webHidden/>
          </w:rPr>
          <w:t>25</w:t>
        </w:r>
        <w:r w:rsidR="00030089" w:rsidRPr="0013248D">
          <w:rPr>
            <w:noProof/>
            <w:webHidden/>
          </w:rPr>
          <w:fldChar w:fldCharType="end"/>
        </w:r>
      </w:hyperlink>
    </w:p>
    <w:p w14:paraId="17B71579" w14:textId="77777777" w:rsidR="00030089" w:rsidRPr="0013248D" w:rsidRDefault="00290CD0" w:rsidP="00030089">
      <w:pPr>
        <w:pStyle w:val="TOC2"/>
        <w:tabs>
          <w:tab w:val="left" w:pos="880"/>
          <w:tab w:val="right" w:leader="dot" w:pos="9016"/>
        </w:tabs>
        <w:rPr>
          <w:smallCaps w:val="0"/>
          <w:noProof/>
          <w:sz w:val="22"/>
          <w:szCs w:val="22"/>
        </w:rPr>
      </w:pPr>
      <w:hyperlink w:anchor="_Toc353562546" w:history="1">
        <w:r w:rsidR="00030089" w:rsidRPr="0013248D">
          <w:rPr>
            <w:rStyle w:val="Hyperlink"/>
            <w:rFonts w:ascii="Arial" w:hAnsi="Arial"/>
            <w:noProof/>
          </w:rPr>
          <w:t>3.3.</w:t>
        </w:r>
        <w:r w:rsidR="00030089" w:rsidRPr="0013248D">
          <w:rPr>
            <w:smallCaps w:val="0"/>
            <w:noProof/>
            <w:sz w:val="22"/>
            <w:szCs w:val="22"/>
          </w:rPr>
          <w:tab/>
        </w:r>
        <w:r w:rsidR="00030089" w:rsidRPr="0013248D">
          <w:rPr>
            <w:rStyle w:val="Hyperlink"/>
            <w:rFonts w:ascii="Arial" w:hAnsi="Arial" w:cs="Arial"/>
            <w:noProof/>
          </w:rPr>
          <w:t>Option Three – Permanent Exemption From the MRA is Granted</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_Toc353562546 \h </w:instrText>
        </w:r>
        <w:r w:rsidR="00030089" w:rsidRPr="0013248D">
          <w:rPr>
            <w:noProof/>
            <w:webHidden/>
          </w:rPr>
        </w:r>
        <w:r w:rsidR="00030089" w:rsidRPr="0013248D">
          <w:rPr>
            <w:noProof/>
            <w:webHidden/>
          </w:rPr>
          <w:fldChar w:fldCharType="separate"/>
        </w:r>
        <w:r w:rsidR="00740026">
          <w:rPr>
            <w:noProof/>
            <w:webHidden/>
          </w:rPr>
          <w:t>26</w:t>
        </w:r>
        <w:r w:rsidR="00030089" w:rsidRPr="0013248D">
          <w:rPr>
            <w:noProof/>
            <w:webHidden/>
          </w:rPr>
          <w:fldChar w:fldCharType="end"/>
        </w:r>
      </w:hyperlink>
    </w:p>
    <w:p w14:paraId="65BF74B5" w14:textId="77777777" w:rsidR="00030089" w:rsidRPr="0013248D" w:rsidRDefault="00290CD0" w:rsidP="00030089">
      <w:pPr>
        <w:pStyle w:val="TOC2"/>
        <w:tabs>
          <w:tab w:val="left" w:pos="880"/>
          <w:tab w:val="right" w:leader="dot" w:pos="9016"/>
        </w:tabs>
        <w:rPr>
          <w:smallCaps w:val="0"/>
          <w:noProof/>
          <w:sz w:val="22"/>
          <w:szCs w:val="22"/>
        </w:rPr>
      </w:pPr>
      <w:hyperlink w:anchor="_Toc353562547" w:history="1">
        <w:r w:rsidR="00030089" w:rsidRPr="0013248D">
          <w:rPr>
            <w:rStyle w:val="Hyperlink"/>
            <w:rFonts w:ascii="Arial" w:hAnsi="Arial"/>
            <w:noProof/>
          </w:rPr>
          <w:t>3.4.</w:t>
        </w:r>
        <w:r w:rsidR="00030089" w:rsidRPr="0013248D">
          <w:rPr>
            <w:smallCaps w:val="0"/>
            <w:noProof/>
            <w:sz w:val="22"/>
            <w:szCs w:val="22"/>
          </w:rPr>
          <w:tab/>
        </w:r>
        <w:r w:rsidR="00030089" w:rsidRPr="0013248D">
          <w:rPr>
            <w:rStyle w:val="Hyperlink"/>
            <w:rFonts w:ascii="Arial" w:hAnsi="Arial" w:cs="Arial"/>
            <w:noProof/>
          </w:rPr>
          <w:t>Option Four – Other Less Trade-restrictive Approaches</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_Toc353562547 \h </w:instrText>
        </w:r>
        <w:r w:rsidR="00030089" w:rsidRPr="0013248D">
          <w:rPr>
            <w:noProof/>
            <w:webHidden/>
          </w:rPr>
        </w:r>
        <w:r w:rsidR="00030089" w:rsidRPr="0013248D">
          <w:rPr>
            <w:noProof/>
            <w:webHidden/>
          </w:rPr>
          <w:fldChar w:fldCharType="separate"/>
        </w:r>
        <w:r w:rsidR="00740026">
          <w:rPr>
            <w:noProof/>
            <w:webHidden/>
          </w:rPr>
          <w:t>26</w:t>
        </w:r>
        <w:r w:rsidR="00030089" w:rsidRPr="0013248D">
          <w:rPr>
            <w:noProof/>
            <w:webHidden/>
          </w:rPr>
          <w:fldChar w:fldCharType="end"/>
        </w:r>
      </w:hyperlink>
    </w:p>
    <w:p w14:paraId="7CED34F8" w14:textId="77777777" w:rsidR="00030089" w:rsidRPr="0013248D" w:rsidRDefault="00290CD0" w:rsidP="00030089">
      <w:pPr>
        <w:pStyle w:val="TOC1"/>
        <w:tabs>
          <w:tab w:val="left" w:pos="440"/>
          <w:tab w:val="right" w:leader="dot" w:pos="9016"/>
        </w:tabs>
        <w:rPr>
          <w:b w:val="0"/>
          <w:bCs w:val="0"/>
          <w:caps w:val="0"/>
          <w:noProof/>
          <w:sz w:val="22"/>
          <w:szCs w:val="22"/>
        </w:rPr>
      </w:pPr>
      <w:hyperlink w:anchor="_Toc353562548" w:history="1">
        <w:r w:rsidR="00030089" w:rsidRPr="0013248D">
          <w:rPr>
            <w:rStyle w:val="Hyperlink"/>
            <w:rFonts w:ascii="Arial" w:hAnsi="Arial"/>
            <w:b w:val="0"/>
            <w:noProof/>
          </w:rPr>
          <w:t>4.</w:t>
        </w:r>
        <w:r w:rsidR="00030089" w:rsidRPr="0013248D">
          <w:rPr>
            <w:b w:val="0"/>
            <w:bCs w:val="0"/>
            <w:caps w:val="0"/>
            <w:noProof/>
            <w:sz w:val="22"/>
            <w:szCs w:val="22"/>
          </w:rPr>
          <w:tab/>
        </w:r>
        <w:r w:rsidR="00030089" w:rsidRPr="0013248D">
          <w:rPr>
            <w:rStyle w:val="Hyperlink"/>
            <w:rFonts w:ascii="Arial" w:hAnsi="Arial" w:cs="Arial"/>
            <w:b w:val="0"/>
            <w:noProof/>
          </w:rPr>
          <w:t>IMPACT ANALYSIS</w:t>
        </w:r>
        <w:r w:rsidR="00030089" w:rsidRPr="0013248D">
          <w:rPr>
            <w:b w:val="0"/>
            <w:noProof/>
            <w:webHidden/>
          </w:rPr>
          <w:tab/>
        </w:r>
        <w:r w:rsidR="00030089" w:rsidRPr="0013248D">
          <w:rPr>
            <w:b w:val="0"/>
            <w:noProof/>
            <w:webHidden/>
          </w:rPr>
          <w:fldChar w:fldCharType="begin"/>
        </w:r>
        <w:r w:rsidR="00030089" w:rsidRPr="0013248D">
          <w:rPr>
            <w:b w:val="0"/>
            <w:noProof/>
            <w:webHidden/>
          </w:rPr>
          <w:instrText xml:space="preserve"> PAGEREF _Toc353562548 \h </w:instrText>
        </w:r>
        <w:r w:rsidR="00030089" w:rsidRPr="0013248D">
          <w:rPr>
            <w:b w:val="0"/>
            <w:noProof/>
            <w:webHidden/>
          </w:rPr>
        </w:r>
        <w:r w:rsidR="00030089" w:rsidRPr="0013248D">
          <w:rPr>
            <w:b w:val="0"/>
            <w:noProof/>
            <w:webHidden/>
          </w:rPr>
          <w:fldChar w:fldCharType="separate"/>
        </w:r>
        <w:r w:rsidR="00740026">
          <w:rPr>
            <w:b w:val="0"/>
            <w:noProof/>
            <w:webHidden/>
          </w:rPr>
          <w:t>27</w:t>
        </w:r>
        <w:r w:rsidR="00030089" w:rsidRPr="0013248D">
          <w:rPr>
            <w:b w:val="0"/>
            <w:noProof/>
            <w:webHidden/>
          </w:rPr>
          <w:fldChar w:fldCharType="end"/>
        </w:r>
      </w:hyperlink>
    </w:p>
    <w:p w14:paraId="3315F98B" w14:textId="77777777" w:rsidR="00030089" w:rsidRPr="0013248D" w:rsidRDefault="00290CD0" w:rsidP="00030089">
      <w:pPr>
        <w:pStyle w:val="TOC2"/>
        <w:tabs>
          <w:tab w:val="left" w:pos="880"/>
          <w:tab w:val="right" w:leader="dot" w:pos="9016"/>
        </w:tabs>
        <w:rPr>
          <w:smallCaps w:val="0"/>
          <w:noProof/>
          <w:sz w:val="22"/>
          <w:szCs w:val="22"/>
        </w:rPr>
      </w:pPr>
      <w:hyperlink w:anchor="_Toc353562549" w:history="1">
        <w:r w:rsidR="00030089" w:rsidRPr="0013248D">
          <w:rPr>
            <w:rStyle w:val="Hyperlink"/>
            <w:rFonts w:ascii="Arial" w:hAnsi="Arial"/>
            <w:noProof/>
          </w:rPr>
          <w:t>4.1.</w:t>
        </w:r>
        <w:r w:rsidR="00030089" w:rsidRPr="0013248D">
          <w:rPr>
            <w:smallCaps w:val="0"/>
            <w:noProof/>
            <w:sz w:val="22"/>
            <w:szCs w:val="22"/>
          </w:rPr>
          <w:tab/>
        </w:r>
        <w:r w:rsidR="00030089" w:rsidRPr="0013248D">
          <w:rPr>
            <w:rStyle w:val="Hyperlink"/>
            <w:rFonts w:ascii="Arial" w:hAnsi="Arial" w:cs="Arial"/>
            <w:noProof/>
          </w:rPr>
          <w:t>Cost Benefit Analysis</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_Toc353562549 \h </w:instrText>
        </w:r>
        <w:r w:rsidR="00030089" w:rsidRPr="0013248D">
          <w:rPr>
            <w:noProof/>
            <w:webHidden/>
          </w:rPr>
        </w:r>
        <w:r w:rsidR="00030089" w:rsidRPr="0013248D">
          <w:rPr>
            <w:noProof/>
            <w:webHidden/>
          </w:rPr>
          <w:fldChar w:fldCharType="separate"/>
        </w:r>
        <w:r w:rsidR="00740026">
          <w:rPr>
            <w:noProof/>
            <w:webHidden/>
          </w:rPr>
          <w:t>29</w:t>
        </w:r>
        <w:r w:rsidR="00030089" w:rsidRPr="0013248D">
          <w:rPr>
            <w:noProof/>
            <w:webHidden/>
          </w:rPr>
          <w:fldChar w:fldCharType="end"/>
        </w:r>
      </w:hyperlink>
    </w:p>
    <w:p w14:paraId="6D130F1A" w14:textId="77777777" w:rsidR="00030089" w:rsidRPr="0013248D" w:rsidRDefault="00290CD0" w:rsidP="00030089">
      <w:pPr>
        <w:pStyle w:val="TOC3"/>
        <w:tabs>
          <w:tab w:val="left" w:pos="1320"/>
          <w:tab w:val="right" w:leader="dot" w:pos="9016"/>
        </w:tabs>
        <w:rPr>
          <w:i w:val="0"/>
          <w:iCs w:val="0"/>
          <w:noProof/>
          <w:sz w:val="22"/>
          <w:szCs w:val="22"/>
        </w:rPr>
      </w:pPr>
      <w:hyperlink w:anchor="_Toc353562550" w:history="1">
        <w:r w:rsidR="00030089" w:rsidRPr="0013248D">
          <w:rPr>
            <w:rStyle w:val="Hyperlink"/>
            <w:rFonts w:ascii="Arial" w:hAnsi="Arial" w:cs="Arial"/>
            <w:noProof/>
          </w:rPr>
          <w:t>4.1.1.</w:t>
        </w:r>
        <w:r w:rsidR="00030089" w:rsidRPr="0013248D">
          <w:rPr>
            <w:i w:val="0"/>
            <w:iCs w:val="0"/>
            <w:noProof/>
            <w:sz w:val="22"/>
            <w:szCs w:val="22"/>
          </w:rPr>
          <w:tab/>
        </w:r>
        <w:r w:rsidR="00030089" w:rsidRPr="0013248D">
          <w:rPr>
            <w:rStyle w:val="Hyperlink"/>
            <w:rFonts w:ascii="Arial" w:hAnsi="Arial" w:cs="Arial"/>
            <w:noProof/>
          </w:rPr>
          <w:t>Key Results</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_Toc353562550 \h </w:instrText>
        </w:r>
        <w:r w:rsidR="00030089" w:rsidRPr="0013248D">
          <w:rPr>
            <w:noProof/>
            <w:webHidden/>
          </w:rPr>
        </w:r>
        <w:r w:rsidR="00030089" w:rsidRPr="0013248D">
          <w:rPr>
            <w:noProof/>
            <w:webHidden/>
          </w:rPr>
          <w:fldChar w:fldCharType="separate"/>
        </w:r>
        <w:r w:rsidR="00740026">
          <w:rPr>
            <w:noProof/>
            <w:webHidden/>
          </w:rPr>
          <w:t>30</w:t>
        </w:r>
        <w:r w:rsidR="00030089" w:rsidRPr="0013248D">
          <w:rPr>
            <w:noProof/>
            <w:webHidden/>
          </w:rPr>
          <w:fldChar w:fldCharType="end"/>
        </w:r>
      </w:hyperlink>
    </w:p>
    <w:p w14:paraId="0F374ED6" w14:textId="77777777" w:rsidR="00030089" w:rsidRPr="0013248D" w:rsidRDefault="00290CD0" w:rsidP="00030089">
      <w:pPr>
        <w:pStyle w:val="TOC3"/>
        <w:tabs>
          <w:tab w:val="left" w:pos="1320"/>
          <w:tab w:val="right" w:leader="dot" w:pos="9016"/>
        </w:tabs>
        <w:rPr>
          <w:i w:val="0"/>
          <w:iCs w:val="0"/>
          <w:noProof/>
          <w:sz w:val="22"/>
          <w:szCs w:val="22"/>
        </w:rPr>
      </w:pPr>
      <w:hyperlink w:anchor="_Toc353562551" w:history="1">
        <w:r w:rsidR="00030089" w:rsidRPr="0013248D">
          <w:rPr>
            <w:rStyle w:val="Hyperlink"/>
            <w:rFonts w:ascii="Arial" w:hAnsi="Arial" w:cs="Arial"/>
            <w:noProof/>
          </w:rPr>
          <w:t>4.1.2.</w:t>
        </w:r>
        <w:r w:rsidR="00030089" w:rsidRPr="0013248D">
          <w:rPr>
            <w:i w:val="0"/>
            <w:iCs w:val="0"/>
            <w:noProof/>
            <w:sz w:val="22"/>
            <w:szCs w:val="22"/>
          </w:rPr>
          <w:tab/>
        </w:r>
        <w:r w:rsidR="00030089" w:rsidRPr="0013248D">
          <w:rPr>
            <w:rStyle w:val="Hyperlink"/>
            <w:rFonts w:ascii="Arial" w:hAnsi="Arial" w:cs="Arial"/>
            <w:noProof/>
          </w:rPr>
          <w:t>Sensitivity Testing</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_Toc353562551 \h </w:instrText>
        </w:r>
        <w:r w:rsidR="00030089" w:rsidRPr="0013248D">
          <w:rPr>
            <w:noProof/>
            <w:webHidden/>
          </w:rPr>
        </w:r>
        <w:r w:rsidR="00030089" w:rsidRPr="0013248D">
          <w:rPr>
            <w:noProof/>
            <w:webHidden/>
          </w:rPr>
          <w:fldChar w:fldCharType="separate"/>
        </w:r>
        <w:r w:rsidR="00740026">
          <w:rPr>
            <w:noProof/>
            <w:webHidden/>
          </w:rPr>
          <w:t>31</w:t>
        </w:r>
        <w:r w:rsidR="00030089" w:rsidRPr="0013248D">
          <w:rPr>
            <w:noProof/>
            <w:webHidden/>
          </w:rPr>
          <w:fldChar w:fldCharType="end"/>
        </w:r>
      </w:hyperlink>
    </w:p>
    <w:p w14:paraId="57D81AEB" w14:textId="77777777" w:rsidR="00030089" w:rsidRPr="0013248D" w:rsidRDefault="00290CD0" w:rsidP="00030089">
      <w:pPr>
        <w:pStyle w:val="TOC3"/>
        <w:tabs>
          <w:tab w:val="left" w:pos="1320"/>
          <w:tab w:val="right" w:leader="dot" w:pos="9016"/>
        </w:tabs>
        <w:rPr>
          <w:i w:val="0"/>
          <w:iCs w:val="0"/>
          <w:noProof/>
          <w:sz w:val="22"/>
          <w:szCs w:val="22"/>
        </w:rPr>
      </w:pPr>
      <w:hyperlink w:anchor="_Toc353562552" w:history="1">
        <w:r w:rsidR="00030089" w:rsidRPr="0013248D">
          <w:rPr>
            <w:rStyle w:val="Hyperlink"/>
            <w:rFonts w:ascii="Arial" w:hAnsi="Arial" w:cs="Arial"/>
            <w:noProof/>
          </w:rPr>
          <w:t>4.1.3.</w:t>
        </w:r>
        <w:r w:rsidR="00030089" w:rsidRPr="0013248D">
          <w:rPr>
            <w:i w:val="0"/>
            <w:iCs w:val="0"/>
            <w:noProof/>
            <w:sz w:val="22"/>
            <w:szCs w:val="22"/>
          </w:rPr>
          <w:tab/>
        </w:r>
        <w:r w:rsidR="00030089" w:rsidRPr="0013248D">
          <w:rPr>
            <w:rStyle w:val="Hyperlink"/>
            <w:rFonts w:ascii="Arial" w:hAnsi="Arial" w:cs="Arial"/>
            <w:noProof/>
          </w:rPr>
          <w:t>Costs</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_Toc353562552 \h </w:instrText>
        </w:r>
        <w:r w:rsidR="00030089" w:rsidRPr="0013248D">
          <w:rPr>
            <w:noProof/>
            <w:webHidden/>
          </w:rPr>
        </w:r>
        <w:r w:rsidR="00030089" w:rsidRPr="0013248D">
          <w:rPr>
            <w:noProof/>
            <w:webHidden/>
          </w:rPr>
          <w:fldChar w:fldCharType="separate"/>
        </w:r>
        <w:r w:rsidR="00740026">
          <w:rPr>
            <w:noProof/>
            <w:webHidden/>
          </w:rPr>
          <w:t>33</w:t>
        </w:r>
        <w:r w:rsidR="00030089" w:rsidRPr="0013248D">
          <w:rPr>
            <w:noProof/>
            <w:webHidden/>
          </w:rPr>
          <w:fldChar w:fldCharType="end"/>
        </w:r>
      </w:hyperlink>
    </w:p>
    <w:p w14:paraId="188D8589" w14:textId="77777777" w:rsidR="00030089" w:rsidRPr="0013248D" w:rsidRDefault="00290CD0" w:rsidP="00030089">
      <w:pPr>
        <w:pStyle w:val="TOC3"/>
        <w:tabs>
          <w:tab w:val="left" w:pos="1320"/>
          <w:tab w:val="right" w:leader="dot" w:pos="9016"/>
        </w:tabs>
        <w:rPr>
          <w:i w:val="0"/>
          <w:iCs w:val="0"/>
          <w:noProof/>
          <w:sz w:val="22"/>
          <w:szCs w:val="22"/>
        </w:rPr>
      </w:pPr>
      <w:hyperlink w:anchor="_Toc353562553" w:history="1">
        <w:r w:rsidR="00030089" w:rsidRPr="0013248D">
          <w:rPr>
            <w:rStyle w:val="Hyperlink"/>
            <w:rFonts w:ascii="Arial" w:hAnsi="Arial" w:cs="Arial"/>
            <w:noProof/>
          </w:rPr>
          <w:t>4.1.4.</w:t>
        </w:r>
        <w:r w:rsidR="00030089" w:rsidRPr="0013248D">
          <w:rPr>
            <w:i w:val="0"/>
            <w:iCs w:val="0"/>
            <w:noProof/>
            <w:sz w:val="22"/>
            <w:szCs w:val="22"/>
          </w:rPr>
          <w:tab/>
        </w:r>
        <w:r w:rsidR="00030089" w:rsidRPr="0013248D">
          <w:rPr>
            <w:rStyle w:val="Hyperlink"/>
            <w:rFonts w:ascii="Arial" w:hAnsi="Arial" w:cs="Arial"/>
            <w:noProof/>
          </w:rPr>
          <w:t>Market Benefits</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_Toc353562553 \h </w:instrText>
        </w:r>
        <w:r w:rsidR="00030089" w:rsidRPr="0013248D">
          <w:rPr>
            <w:noProof/>
            <w:webHidden/>
          </w:rPr>
        </w:r>
        <w:r w:rsidR="00030089" w:rsidRPr="0013248D">
          <w:rPr>
            <w:noProof/>
            <w:webHidden/>
          </w:rPr>
          <w:fldChar w:fldCharType="separate"/>
        </w:r>
        <w:r w:rsidR="00740026">
          <w:rPr>
            <w:noProof/>
            <w:webHidden/>
          </w:rPr>
          <w:t>35</w:t>
        </w:r>
        <w:r w:rsidR="00030089" w:rsidRPr="0013248D">
          <w:rPr>
            <w:noProof/>
            <w:webHidden/>
          </w:rPr>
          <w:fldChar w:fldCharType="end"/>
        </w:r>
      </w:hyperlink>
    </w:p>
    <w:p w14:paraId="08489C49" w14:textId="77777777" w:rsidR="00030089" w:rsidRPr="0013248D" w:rsidRDefault="00290CD0" w:rsidP="00030089">
      <w:pPr>
        <w:pStyle w:val="TOC2"/>
        <w:tabs>
          <w:tab w:val="left" w:pos="880"/>
          <w:tab w:val="right" w:leader="dot" w:pos="9016"/>
        </w:tabs>
        <w:rPr>
          <w:smallCaps w:val="0"/>
          <w:noProof/>
          <w:sz w:val="22"/>
          <w:szCs w:val="22"/>
        </w:rPr>
      </w:pPr>
      <w:hyperlink w:anchor="_Toc353562554" w:history="1">
        <w:r w:rsidR="00030089" w:rsidRPr="0013248D">
          <w:rPr>
            <w:rStyle w:val="Hyperlink"/>
            <w:rFonts w:ascii="Arial" w:hAnsi="Arial"/>
            <w:noProof/>
          </w:rPr>
          <w:t>4.2.</w:t>
        </w:r>
        <w:r w:rsidR="00030089" w:rsidRPr="0013248D">
          <w:rPr>
            <w:smallCaps w:val="0"/>
            <w:noProof/>
            <w:sz w:val="22"/>
            <w:szCs w:val="22"/>
          </w:rPr>
          <w:tab/>
        </w:r>
        <w:r w:rsidR="00030089" w:rsidRPr="0013248D">
          <w:rPr>
            <w:rStyle w:val="Hyperlink"/>
            <w:rFonts w:ascii="Arial" w:hAnsi="Arial" w:cs="Arial"/>
            <w:noProof/>
          </w:rPr>
          <w:t>Individual Option Analyses</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_Toc353562554 \h </w:instrText>
        </w:r>
        <w:r w:rsidR="00030089" w:rsidRPr="0013248D">
          <w:rPr>
            <w:noProof/>
            <w:webHidden/>
          </w:rPr>
        </w:r>
        <w:r w:rsidR="00030089" w:rsidRPr="0013248D">
          <w:rPr>
            <w:noProof/>
            <w:webHidden/>
          </w:rPr>
          <w:fldChar w:fldCharType="separate"/>
        </w:r>
        <w:r w:rsidR="00740026">
          <w:rPr>
            <w:noProof/>
            <w:webHidden/>
          </w:rPr>
          <w:t>36</w:t>
        </w:r>
        <w:r w:rsidR="00030089" w:rsidRPr="0013248D">
          <w:rPr>
            <w:noProof/>
            <w:webHidden/>
          </w:rPr>
          <w:fldChar w:fldCharType="end"/>
        </w:r>
      </w:hyperlink>
    </w:p>
    <w:p w14:paraId="64A042E2" w14:textId="77777777" w:rsidR="00030089" w:rsidRPr="0013248D" w:rsidRDefault="00290CD0" w:rsidP="00030089">
      <w:pPr>
        <w:pStyle w:val="TOC3"/>
        <w:tabs>
          <w:tab w:val="left" w:pos="1320"/>
          <w:tab w:val="right" w:leader="dot" w:pos="9016"/>
        </w:tabs>
        <w:rPr>
          <w:i w:val="0"/>
          <w:iCs w:val="0"/>
          <w:noProof/>
          <w:sz w:val="22"/>
          <w:szCs w:val="22"/>
        </w:rPr>
      </w:pPr>
      <w:hyperlink w:anchor="_Toc353562555" w:history="1">
        <w:r w:rsidR="00030089" w:rsidRPr="0013248D">
          <w:rPr>
            <w:rStyle w:val="Hyperlink"/>
            <w:rFonts w:ascii="Arial" w:hAnsi="Arial" w:cs="Arial"/>
            <w:noProof/>
          </w:rPr>
          <w:t>4.2.1.</w:t>
        </w:r>
        <w:r w:rsidR="00030089" w:rsidRPr="0013248D">
          <w:rPr>
            <w:i w:val="0"/>
            <w:iCs w:val="0"/>
            <w:noProof/>
            <w:sz w:val="22"/>
            <w:szCs w:val="22"/>
          </w:rPr>
          <w:tab/>
        </w:r>
        <w:r w:rsidR="00030089" w:rsidRPr="0013248D">
          <w:rPr>
            <w:rStyle w:val="Hyperlink"/>
            <w:rFonts w:ascii="Arial" w:hAnsi="Arial" w:cs="Arial"/>
            <w:noProof/>
          </w:rPr>
          <w:t>Background</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_Toc353562555 \h </w:instrText>
        </w:r>
        <w:r w:rsidR="00030089" w:rsidRPr="0013248D">
          <w:rPr>
            <w:noProof/>
            <w:webHidden/>
          </w:rPr>
        </w:r>
        <w:r w:rsidR="00030089" w:rsidRPr="0013248D">
          <w:rPr>
            <w:noProof/>
            <w:webHidden/>
          </w:rPr>
          <w:fldChar w:fldCharType="separate"/>
        </w:r>
        <w:r w:rsidR="00740026">
          <w:rPr>
            <w:noProof/>
            <w:webHidden/>
          </w:rPr>
          <w:t>36</w:t>
        </w:r>
        <w:r w:rsidR="00030089" w:rsidRPr="0013248D">
          <w:rPr>
            <w:noProof/>
            <w:webHidden/>
          </w:rPr>
          <w:fldChar w:fldCharType="end"/>
        </w:r>
      </w:hyperlink>
    </w:p>
    <w:p w14:paraId="7332B1F0" w14:textId="77777777" w:rsidR="00030089" w:rsidRPr="0013248D" w:rsidRDefault="00290CD0" w:rsidP="00030089">
      <w:pPr>
        <w:pStyle w:val="TOC3"/>
        <w:tabs>
          <w:tab w:val="left" w:pos="1320"/>
          <w:tab w:val="right" w:leader="dot" w:pos="9016"/>
        </w:tabs>
        <w:rPr>
          <w:i w:val="0"/>
          <w:iCs w:val="0"/>
          <w:noProof/>
          <w:sz w:val="22"/>
          <w:szCs w:val="22"/>
        </w:rPr>
      </w:pPr>
      <w:hyperlink w:anchor="_Toc353562556" w:history="1">
        <w:r w:rsidR="00030089" w:rsidRPr="0013248D">
          <w:rPr>
            <w:rStyle w:val="Hyperlink"/>
            <w:rFonts w:ascii="Arial" w:hAnsi="Arial" w:cs="Arial"/>
            <w:noProof/>
          </w:rPr>
          <w:t>4.2.2.</w:t>
        </w:r>
        <w:r w:rsidR="00030089" w:rsidRPr="0013248D">
          <w:rPr>
            <w:i w:val="0"/>
            <w:iCs w:val="0"/>
            <w:noProof/>
            <w:sz w:val="22"/>
            <w:szCs w:val="22"/>
          </w:rPr>
          <w:tab/>
        </w:r>
        <w:r w:rsidR="00030089" w:rsidRPr="0013248D">
          <w:rPr>
            <w:rStyle w:val="Hyperlink"/>
            <w:rFonts w:ascii="Arial" w:hAnsi="Arial" w:cs="Arial"/>
            <w:noProof/>
          </w:rPr>
          <w:t>Option One – the Status Quo</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_Toc353562556 \h </w:instrText>
        </w:r>
        <w:r w:rsidR="00030089" w:rsidRPr="0013248D">
          <w:rPr>
            <w:noProof/>
            <w:webHidden/>
          </w:rPr>
        </w:r>
        <w:r w:rsidR="00030089" w:rsidRPr="0013248D">
          <w:rPr>
            <w:noProof/>
            <w:webHidden/>
          </w:rPr>
          <w:fldChar w:fldCharType="separate"/>
        </w:r>
        <w:r w:rsidR="00740026">
          <w:rPr>
            <w:noProof/>
            <w:webHidden/>
          </w:rPr>
          <w:t>49</w:t>
        </w:r>
        <w:r w:rsidR="00030089" w:rsidRPr="0013248D">
          <w:rPr>
            <w:noProof/>
            <w:webHidden/>
          </w:rPr>
          <w:fldChar w:fldCharType="end"/>
        </w:r>
      </w:hyperlink>
    </w:p>
    <w:p w14:paraId="7AE13C38" w14:textId="77777777" w:rsidR="00030089" w:rsidRPr="0013248D" w:rsidRDefault="00290CD0" w:rsidP="00030089">
      <w:pPr>
        <w:pStyle w:val="TOC3"/>
        <w:tabs>
          <w:tab w:val="left" w:pos="1320"/>
          <w:tab w:val="right" w:leader="dot" w:pos="9016"/>
        </w:tabs>
        <w:rPr>
          <w:i w:val="0"/>
          <w:iCs w:val="0"/>
          <w:noProof/>
          <w:sz w:val="22"/>
          <w:szCs w:val="22"/>
        </w:rPr>
      </w:pPr>
      <w:hyperlink w:anchor="_Toc353562557" w:history="1">
        <w:r w:rsidR="00030089" w:rsidRPr="0013248D">
          <w:rPr>
            <w:rStyle w:val="Hyperlink"/>
            <w:rFonts w:ascii="Arial" w:hAnsi="Arial" w:cs="Arial"/>
            <w:noProof/>
          </w:rPr>
          <w:t>4.2.3.</w:t>
        </w:r>
        <w:r w:rsidR="00030089" w:rsidRPr="0013248D">
          <w:rPr>
            <w:i w:val="0"/>
            <w:iCs w:val="0"/>
            <w:noProof/>
            <w:sz w:val="22"/>
            <w:szCs w:val="22"/>
          </w:rPr>
          <w:tab/>
        </w:r>
        <w:r w:rsidR="00030089" w:rsidRPr="0013248D">
          <w:rPr>
            <w:rStyle w:val="Hyperlink"/>
            <w:rFonts w:ascii="Arial" w:hAnsi="Arial" w:cs="Arial"/>
            <w:noProof/>
          </w:rPr>
          <w:t>Option Two – National Packaging Recovery Scheme</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_Toc353562557 \h </w:instrText>
        </w:r>
        <w:r w:rsidR="00030089" w:rsidRPr="0013248D">
          <w:rPr>
            <w:noProof/>
            <w:webHidden/>
          </w:rPr>
        </w:r>
        <w:r w:rsidR="00030089" w:rsidRPr="0013248D">
          <w:rPr>
            <w:noProof/>
            <w:webHidden/>
          </w:rPr>
          <w:fldChar w:fldCharType="separate"/>
        </w:r>
        <w:r w:rsidR="00740026">
          <w:rPr>
            <w:noProof/>
            <w:webHidden/>
          </w:rPr>
          <w:t>50</w:t>
        </w:r>
        <w:r w:rsidR="00030089" w:rsidRPr="0013248D">
          <w:rPr>
            <w:noProof/>
            <w:webHidden/>
          </w:rPr>
          <w:fldChar w:fldCharType="end"/>
        </w:r>
      </w:hyperlink>
    </w:p>
    <w:p w14:paraId="2DD03019" w14:textId="77777777" w:rsidR="00030089" w:rsidRPr="0013248D" w:rsidRDefault="00290CD0" w:rsidP="00030089">
      <w:pPr>
        <w:pStyle w:val="TOC3"/>
        <w:tabs>
          <w:tab w:val="left" w:pos="1320"/>
          <w:tab w:val="right" w:leader="dot" w:pos="9016"/>
        </w:tabs>
        <w:rPr>
          <w:i w:val="0"/>
          <w:iCs w:val="0"/>
          <w:noProof/>
          <w:sz w:val="22"/>
          <w:szCs w:val="22"/>
        </w:rPr>
      </w:pPr>
      <w:hyperlink w:anchor="_Toc353562558" w:history="1">
        <w:r w:rsidR="00030089" w:rsidRPr="0013248D">
          <w:rPr>
            <w:rStyle w:val="Hyperlink"/>
            <w:rFonts w:ascii="Arial" w:hAnsi="Arial" w:cs="Arial"/>
            <w:noProof/>
          </w:rPr>
          <w:t>4.2.4.</w:t>
        </w:r>
        <w:r w:rsidR="00030089" w:rsidRPr="0013248D">
          <w:rPr>
            <w:i w:val="0"/>
            <w:iCs w:val="0"/>
            <w:noProof/>
            <w:sz w:val="22"/>
            <w:szCs w:val="22"/>
          </w:rPr>
          <w:tab/>
        </w:r>
        <w:r w:rsidR="00030089" w:rsidRPr="0013248D">
          <w:rPr>
            <w:rStyle w:val="Hyperlink"/>
            <w:rFonts w:ascii="Arial" w:hAnsi="Arial" w:cs="Arial"/>
            <w:noProof/>
          </w:rPr>
          <w:t>Option Three – Permanent Exemption from the MRA and TTMRA is Granted</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_Toc353562558 \h </w:instrText>
        </w:r>
        <w:r w:rsidR="00030089" w:rsidRPr="0013248D">
          <w:rPr>
            <w:noProof/>
            <w:webHidden/>
          </w:rPr>
        </w:r>
        <w:r w:rsidR="00030089" w:rsidRPr="0013248D">
          <w:rPr>
            <w:noProof/>
            <w:webHidden/>
          </w:rPr>
          <w:fldChar w:fldCharType="separate"/>
        </w:r>
        <w:r w:rsidR="00740026">
          <w:rPr>
            <w:noProof/>
            <w:webHidden/>
          </w:rPr>
          <w:t>55</w:t>
        </w:r>
        <w:r w:rsidR="00030089" w:rsidRPr="0013248D">
          <w:rPr>
            <w:noProof/>
            <w:webHidden/>
          </w:rPr>
          <w:fldChar w:fldCharType="end"/>
        </w:r>
      </w:hyperlink>
    </w:p>
    <w:p w14:paraId="26D1FD62" w14:textId="77777777" w:rsidR="00030089" w:rsidRPr="0013248D" w:rsidRDefault="00290CD0" w:rsidP="00030089">
      <w:pPr>
        <w:pStyle w:val="TOC3"/>
        <w:tabs>
          <w:tab w:val="left" w:pos="1320"/>
          <w:tab w:val="right" w:leader="dot" w:pos="9016"/>
        </w:tabs>
        <w:rPr>
          <w:i w:val="0"/>
          <w:iCs w:val="0"/>
          <w:noProof/>
          <w:sz w:val="22"/>
          <w:szCs w:val="22"/>
        </w:rPr>
      </w:pPr>
      <w:hyperlink w:anchor="_Toc353562559" w:history="1">
        <w:r w:rsidR="00030089" w:rsidRPr="0013248D">
          <w:rPr>
            <w:rStyle w:val="Hyperlink"/>
            <w:rFonts w:ascii="Arial" w:hAnsi="Arial" w:cs="Arial"/>
            <w:noProof/>
          </w:rPr>
          <w:t>4.2.5.</w:t>
        </w:r>
        <w:r w:rsidR="00030089" w:rsidRPr="0013248D">
          <w:rPr>
            <w:i w:val="0"/>
            <w:iCs w:val="0"/>
            <w:noProof/>
            <w:sz w:val="22"/>
            <w:szCs w:val="22"/>
          </w:rPr>
          <w:tab/>
        </w:r>
        <w:r w:rsidR="00030089" w:rsidRPr="0013248D">
          <w:rPr>
            <w:rStyle w:val="Hyperlink"/>
            <w:rFonts w:ascii="Arial" w:hAnsi="Arial" w:cs="Arial"/>
            <w:noProof/>
          </w:rPr>
          <w:t>Option Four – Other Less Trade-restrictive Approaches</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_Toc353562559 \h </w:instrText>
        </w:r>
        <w:r w:rsidR="00030089" w:rsidRPr="0013248D">
          <w:rPr>
            <w:noProof/>
            <w:webHidden/>
          </w:rPr>
        </w:r>
        <w:r w:rsidR="00030089" w:rsidRPr="0013248D">
          <w:rPr>
            <w:noProof/>
            <w:webHidden/>
          </w:rPr>
          <w:fldChar w:fldCharType="separate"/>
        </w:r>
        <w:r w:rsidR="00740026">
          <w:rPr>
            <w:noProof/>
            <w:webHidden/>
          </w:rPr>
          <w:t>57</w:t>
        </w:r>
        <w:r w:rsidR="00030089" w:rsidRPr="0013248D">
          <w:rPr>
            <w:noProof/>
            <w:webHidden/>
          </w:rPr>
          <w:fldChar w:fldCharType="end"/>
        </w:r>
      </w:hyperlink>
    </w:p>
    <w:p w14:paraId="60F26B52" w14:textId="77777777" w:rsidR="00030089" w:rsidRPr="0013248D" w:rsidRDefault="00290CD0" w:rsidP="00030089">
      <w:pPr>
        <w:pStyle w:val="TOC3"/>
        <w:tabs>
          <w:tab w:val="left" w:pos="1320"/>
          <w:tab w:val="right" w:leader="dot" w:pos="9016"/>
        </w:tabs>
        <w:rPr>
          <w:i w:val="0"/>
          <w:iCs w:val="0"/>
          <w:noProof/>
          <w:sz w:val="22"/>
          <w:szCs w:val="22"/>
        </w:rPr>
      </w:pPr>
      <w:hyperlink w:anchor="_Toc353562560" w:history="1">
        <w:r w:rsidR="00030089" w:rsidRPr="0013248D">
          <w:rPr>
            <w:rStyle w:val="Hyperlink"/>
            <w:rFonts w:ascii="Arial" w:hAnsi="Arial" w:cs="Arial"/>
            <w:noProof/>
          </w:rPr>
          <w:t>4.2.6.</w:t>
        </w:r>
        <w:r w:rsidR="00030089" w:rsidRPr="0013248D">
          <w:rPr>
            <w:i w:val="0"/>
            <w:iCs w:val="0"/>
            <w:noProof/>
            <w:sz w:val="22"/>
            <w:szCs w:val="22"/>
          </w:rPr>
          <w:tab/>
        </w:r>
        <w:r w:rsidR="00030089" w:rsidRPr="0013248D">
          <w:rPr>
            <w:rStyle w:val="Hyperlink"/>
            <w:rFonts w:ascii="Arial" w:hAnsi="Arial" w:cs="Arial"/>
            <w:noProof/>
          </w:rPr>
          <w:t>National Impacts</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_Toc353562560 \h </w:instrText>
        </w:r>
        <w:r w:rsidR="00030089" w:rsidRPr="0013248D">
          <w:rPr>
            <w:noProof/>
            <w:webHidden/>
          </w:rPr>
        </w:r>
        <w:r w:rsidR="00030089" w:rsidRPr="0013248D">
          <w:rPr>
            <w:noProof/>
            <w:webHidden/>
          </w:rPr>
          <w:fldChar w:fldCharType="separate"/>
        </w:r>
        <w:r w:rsidR="00740026">
          <w:rPr>
            <w:noProof/>
            <w:webHidden/>
          </w:rPr>
          <w:t>58</w:t>
        </w:r>
        <w:r w:rsidR="00030089" w:rsidRPr="0013248D">
          <w:rPr>
            <w:noProof/>
            <w:webHidden/>
          </w:rPr>
          <w:fldChar w:fldCharType="end"/>
        </w:r>
      </w:hyperlink>
    </w:p>
    <w:p w14:paraId="4F0C1702" w14:textId="77777777" w:rsidR="00030089" w:rsidRPr="0013248D" w:rsidRDefault="00290CD0" w:rsidP="00030089">
      <w:pPr>
        <w:pStyle w:val="TOC1"/>
        <w:tabs>
          <w:tab w:val="left" w:pos="440"/>
          <w:tab w:val="right" w:leader="dot" w:pos="9016"/>
        </w:tabs>
        <w:rPr>
          <w:b w:val="0"/>
          <w:bCs w:val="0"/>
          <w:caps w:val="0"/>
          <w:noProof/>
          <w:sz w:val="22"/>
          <w:szCs w:val="22"/>
        </w:rPr>
      </w:pPr>
      <w:hyperlink w:anchor="_Toc353562561" w:history="1">
        <w:r w:rsidR="00030089" w:rsidRPr="0013248D">
          <w:rPr>
            <w:rStyle w:val="Hyperlink"/>
            <w:rFonts w:ascii="Arial" w:hAnsi="Arial"/>
            <w:b w:val="0"/>
            <w:noProof/>
          </w:rPr>
          <w:t>5.</w:t>
        </w:r>
        <w:r w:rsidR="00030089" w:rsidRPr="0013248D">
          <w:rPr>
            <w:b w:val="0"/>
            <w:bCs w:val="0"/>
            <w:caps w:val="0"/>
            <w:noProof/>
            <w:sz w:val="22"/>
            <w:szCs w:val="22"/>
          </w:rPr>
          <w:tab/>
        </w:r>
        <w:r w:rsidR="00030089" w:rsidRPr="0013248D">
          <w:rPr>
            <w:rStyle w:val="Hyperlink"/>
            <w:rFonts w:ascii="Arial" w:hAnsi="Arial" w:cs="Arial"/>
            <w:b w:val="0"/>
            <w:noProof/>
          </w:rPr>
          <w:t>Consultation</w:t>
        </w:r>
        <w:r w:rsidR="00030089" w:rsidRPr="0013248D">
          <w:rPr>
            <w:b w:val="0"/>
            <w:noProof/>
            <w:webHidden/>
          </w:rPr>
          <w:tab/>
        </w:r>
        <w:r w:rsidR="00030089" w:rsidRPr="0013248D">
          <w:rPr>
            <w:b w:val="0"/>
            <w:noProof/>
            <w:webHidden/>
          </w:rPr>
          <w:fldChar w:fldCharType="begin"/>
        </w:r>
        <w:r w:rsidR="00030089" w:rsidRPr="0013248D">
          <w:rPr>
            <w:b w:val="0"/>
            <w:noProof/>
            <w:webHidden/>
          </w:rPr>
          <w:instrText xml:space="preserve"> PAGEREF _Toc353562561 \h </w:instrText>
        </w:r>
        <w:r w:rsidR="00030089" w:rsidRPr="0013248D">
          <w:rPr>
            <w:b w:val="0"/>
            <w:noProof/>
            <w:webHidden/>
          </w:rPr>
        </w:r>
        <w:r w:rsidR="00030089" w:rsidRPr="0013248D">
          <w:rPr>
            <w:b w:val="0"/>
            <w:noProof/>
            <w:webHidden/>
          </w:rPr>
          <w:fldChar w:fldCharType="separate"/>
        </w:r>
        <w:r w:rsidR="00740026">
          <w:rPr>
            <w:b w:val="0"/>
            <w:noProof/>
            <w:webHidden/>
          </w:rPr>
          <w:t>61</w:t>
        </w:r>
        <w:r w:rsidR="00030089" w:rsidRPr="0013248D">
          <w:rPr>
            <w:b w:val="0"/>
            <w:noProof/>
            <w:webHidden/>
          </w:rPr>
          <w:fldChar w:fldCharType="end"/>
        </w:r>
      </w:hyperlink>
    </w:p>
    <w:p w14:paraId="1DDB88FC" w14:textId="77777777" w:rsidR="00030089" w:rsidRPr="0013248D" w:rsidRDefault="00290CD0" w:rsidP="00030089">
      <w:pPr>
        <w:pStyle w:val="TOC2"/>
        <w:tabs>
          <w:tab w:val="left" w:pos="880"/>
          <w:tab w:val="right" w:leader="dot" w:pos="9016"/>
        </w:tabs>
        <w:rPr>
          <w:smallCaps w:val="0"/>
          <w:noProof/>
          <w:sz w:val="22"/>
          <w:szCs w:val="22"/>
        </w:rPr>
      </w:pPr>
      <w:hyperlink w:anchor="_Toc353562562" w:history="1">
        <w:r w:rsidR="00030089" w:rsidRPr="0013248D">
          <w:rPr>
            <w:rStyle w:val="Hyperlink"/>
            <w:rFonts w:ascii="Arial" w:hAnsi="Arial"/>
            <w:noProof/>
          </w:rPr>
          <w:t>5.1.</w:t>
        </w:r>
        <w:r w:rsidR="00030089" w:rsidRPr="0013248D">
          <w:rPr>
            <w:smallCaps w:val="0"/>
            <w:noProof/>
            <w:sz w:val="22"/>
            <w:szCs w:val="22"/>
          </w:rPr>
          <w:tab/>
        </w:r>
        <w:r w:rsidR="00030089" w:rsidRPr="0013248D">
          <w:rPr>
            <w:rStyle w:val="Hyperlink"/>
            <w:rFonts w:ascii="Arial" w:hAnsi="Arial" w:cs="Arial"/>
            <w:noProof/>
          </w:rPr>
          <w:t>Consultation Regulation Impact Statement</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_Toc353562562 \h </w:instrText>
        </w:r>
        <w:r w:rsidR="00030089" w:rsidRPr="0013248D">
          <w:rPr>
            <w:noProof/>
            <w:webHidden/>
          </w:rPr>
        </w:r>
        <w:r w:rsidR="00030089" w:rsidRPr="0013248D">
          <w:rPr>
            <w:noProof/>
            <w:webHidden/>
          </w:rPr>
          <w:fldChar w:fldCharType="separate"/>
        </w:r>
        <w:r w:rsidR="00740026">
          <w:rPr>
            <w:noProof/>
            <w:webHidden/>
          </w:rPr>
          <w:t>61</w:t>
        </w:r>
        <w:r w:rsidR="00030089" w:rsidRPr="0013248D">
          <w:rPr>
            <w:noProof/>
            <w:webHidden/>
          </w:rPr>
          <w:fldChar w:fldCharType="end"/>
        </w:r>
      </w:hyperlink>
    </w:p>
    <w:p w14:paraId="0A22FC8C" w14:textId="77777777" w:rsidR="00030089" w:rsidRPr="0013248D" w:rsidRDefault="00290CD0" w:rsidP="00030089">
      <w:pPr>
        <w:pStyle w:val="TOC2"/>
        <w:tabs>
          <w:tab w:val="left" w:pos="880"/>
          <w:tab w:val="right" w:leader="dot" w:pos="9016"/>
        </w:tabs>
        <w:rPr>
          <w:smallCaps w:val="0"/>
          <w:noProof/>
          <w:sz w:val="22"/>
          <w:szCs w:val="22"/>
        </w:rPr>
      </w:pPr>
      <w:hyperlink w:anchor="_Toc353562564" w:history="1">
        <w:r w:rsidR="00030089" w:rsidRPr="0013248D">
          <w:rPr>
            <w:rStyle w:val="Hyperlink"/>
            <w:rFonts w:ascii="Arial" w:hAnsi="Arial"/>
            <w:noProof/>
          </w:rPr>
          <w:t>5.2.</w:t>
        </w:r>
        <w:r w:rsidR="00030089" w:rsidRPr="0013248D">
          <w:rPr>
            <w:smallCaps w:val="0"/>
            <w:noProof/>
            <w:sz w:val="22"/>
            <w:szCs w:val="22"/>
          </w:rPr>
          <w:tab/>
        </w:r>
        <w:r w:rsidR="00030089" w:rsidRPr="0013248D">
          <w:rPr>
            <w:rStyle w:val="Hyperlink"/>
            <w:rFonts w:ascii="Arial" w:hAnsi="Arial" w:cs="Arial"/>
            <w:noProof/>
          </w:rPr>
          <w:t>Submissions</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_Toc353562564 \h </w:instrText>
        </w:r>
        <w:r w:rsidR="00030089" w:rsidRPr="0013248D">
          <w:rPr>
            <w:noProof/>
            <w:webHidden/>
          </w:rPr>
        </w:r>
        <w:r w:rsidR="00030089" w:rsidRPr="0013248D">
          <w:rPr>
            <w:noProof/>
            <w:webHidden/>
          </w:rPr>
          <w:fldChar w:fldCharType="separate"/>
        </w:r>
        <w:r w:rsidR="00740026">
          <w:rPr>
            <w:noProof/>
            <w:webHidden/>
          </w:rPr>
          <w:t>61</w:t>
        </w:r>
        <w:r w:rsidR="00030089" w:rsidRPr="0013248D">
          <w:rPr>
            <w:noProof/>
            <w:webHidden/>
          </w:rPr>
          <w:fldChar w:fldCharType="end"/>
        </w:r>
      </w:hyperlink>
    </w:p>
    <w:p w14:paraId="7B3F47E5" w14:textId="77777777" w:rsidR="00030089" w:rsidRPr="0013248D" w:rsidRDefault="00290CD0" w:rsidP="00030089">
      <w:pPr>
        <w:pStyle w:val="TOC2"/>
        <w:tabs>
          <w:tab w:val="left" w:pos="880"/>
          <w:tab w:val="right" w:leader="dot" w:pos="9016"/>
        </w:tabs>
        <w:rPr>
          <w:smallCaps w:val="0"/>
          <w:noProof/>
          <w:sz w:val="22"/>
          <w:szCs w:val="22"/>
        </w:rPr>
      </w:pPr>
      <w:hyperlink w:anchor="_Toc353562565" w:history="1">
        <w:r w:rsidR="00030089" w:rsidRPr="0013248D">
          <w:rPr>
            <w:rStyle w:val="Hyperlink"/>
            <w:rFonts w:ascii="Arial" w:hAnsi="Arial"/>
            <w:noProof/>
          </w:rPr>
          <w:t>5.3.</w:t>
        </w:r>
        <w:r w:rsidR="00030089" w:rsidRPr="0013248D">
          <w:rPr>
            <w:smallCaps w:val="0"/>
            <w:noProof/>
            <w:sz w:val="22"/>
            <w:szCs w:val="22"/>
          </w:rPr>
          <w:tab/>
        </w:r>
        <w:r w:rsidR="00030089" w:rsidRPr="0013248D">
          <w:rPr>
            <w:rStyle w:val="Hyperlink"/>
            <w:rFonts w:ascii="Arial" w:hAnsi="Arial" w:cs="Arial"/>
            <w:noProof/>
          </w:rPr>
          <w:t>Summary of stakeholder comments and responses by Northern Territory Government</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_Toc353562565 \h </w:instrText>
        </w:r>
        <w:r w:rsidR="00030089" w:rsidRPr="0013248D">
          <w:rPr>
            <w:noProof/>
            <w:webHidden/>
          </w:rPr>
        </w:r>
        <w:r w:rsidR="00030089" w:rsidRPr="0013248D">
          <w:rPr>
            <w:noProof/>
            <w:webHidden/>
          </w:rPr>
          <w:fldChar w:fldCharType="separate"/>
        </w:r>
        <w:r w:rsidR="00740026">
          <w:rPr>
            <w:noProof/>
            <w:webHidden/>
          </w:rPr>
          <w:t>63</w:t>
        </w:r>
        <w:r w:rsidR="00030089" w:rsidRPr="0013248D">
          <w:rPr>
            <w:noProof/>
            <w:webHidden/>
          </w:rPr>
          <w:fldChar w:fldCharType="end"/>
        </w:r>
      </w:hyperlink>
    </w:p>
    <w:p w14:paraId="45B60F82" w14:textId="77777777" w:rsidR="00030089" w:rsidRPr="0013248D" w:rsidRDefault="00290CD0" w:rsidP="00030089">
      <w:pPr>
        <w:pStyle w:val="TOC3"/>
        <w:tabs>
          <w:tab w:val="left" w:pos="1320"/>
          <w:tab w:val="right" w:leader="dot" w:pos="9016"/>
        </w:tabs>
        <w:rPr>
          <w:i w:val="0"/>
          <w:iCs w:val="0"/>
          <w:noProof/>
          <w:sz w:val="22"/>
          <w:szCs w:val="22"/>
        </w:rPr>
      </w:pPr>
      <w:hyperlink w:anchor="_Toc353562566" w:history="1">
        <w:r w:rsidR="00030089" w:rsidRPr="0013248D">
          <w:rPr>
            <w:rStyle w:val="Hyperlink"/>
            <w:rFonts w:ascii="Arial" w:hAnsi="Arial" w:cs="Arial"/>
            <w:noProof/>
          </w:rPr>
          <w:t>5.3.1.</w:t>
        </w:r>
        <w:r w:rsidR="00030089" w:rsidRPr="0013248D">
          <w:rPr>
            <w:i w:val="0"/>
            <w:iCs w:val="0"/>
            <w:noProof/>
            <w:sz w:val="22"/>
            <w:szCs w:val="22"/>
          </w:rPr>
          <w:tab/>
        </w:r>
        <w:r w:rsidR="00030089" w:rsidRPr="0013248D">
          <w:rPr>
            <w:rStyle w:val="Hyperlink"/>
            <w:rFonts w:ascii="Arial" w:hAnsi="Arial" w:cs="Arial"/>
            <w:noProof/>
          </w:rPr>
          <w:t>Beverage Industry</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_Toc353562566 \h </w:instrText>
        </w:r>
        <w:r w:rsidR="00030089" w:rsidRPr="0013248D">
          <w:rPr>
            <w:noProof/>
            <w:webHidden/>
          </w:rPr>
        </w:r>
        <w:r w:rsidR="00030089" w:rsidRPr="0013248D">
          <w:rPr>
            <w:noProof/>
            <w:webHidden/>
          </w:rPr>
          <w:fldChar w:fldCharType="separate"/>
        </w:r>
        <w:r w:rsidR="00740026">
          <w:rPr>
            <w:noProof/>
            <w:webHidden/>
          </w:rPr>
          <w:t>63</w:t>
        </w:r>
        <w:r w:rsidR="00030089" w:rsidRPr="0013248D">
          <w:rPr>
            <w:noProof/>
            <w:webHidden/>
          </w:rPr>
          <w:fldChar w:fldCharType="end"/>
        </w:r>
      </w:hyperlink>
    </w:p>
    <w:p w14:paraId="747DB6AE" w14:textId="77777777" w:rsidR="00030089" w:rsidRPr="0013248D" w:rsidRDefault="00290CD0" w:rsidP="00030089">
      <w:pPr>
        <w:pStyle w:val="TOC3"/>
        <w:tabs>
          <w:tab w:val="left" w:pos="1320"/>
          <w:tab w:val="right" w:leader="dot" w:pos="9016"/>
        </w:tabs>
        <w:rPr>
          <w:i w:val="0"/>
          <w:iCs w:val="0"/>
          <w:noProof/>
          <w:sz w:val="22"/>
          <w:szCs w:val="22"/>
        </w:rPr>
      </w:pPr>
      <w:hyperlink w:anchor="_Toc353562567" w:history="1">
        <w:r w:rsidR="00030089" w:rsidRPr="0013248D">
          <w:rPr>
            <w:rStyle w:val="Hyperlink"/>
            <w:rFonts w:ascii="Arial" w:hAnsi="Arial" w:cs="Arial"/>
            <w:noProof/>
          </w:rPr>
          <w:t>5.3.2.</w:t>
        </w:r>
        <w:r w:rsidR="00030089" w:rsidRPr="0013248D">
          <w:rPr>
            <w:i w:val="0"/>
            <w:iCs w:val="0"/>
            <w:noProof/>
            <w:sz w:val="22"/>
            <w:szCs w:val="22"/>
          </w:rPr>
          <w:tab/>
        </w:r>
        <w:r w:rsidR="00030089" w:rsidRPr="0013248D">
          <w:rPr>
            <w:rStyle w:val="Hyperlink"/>
            <w:rFonts w:ascii="Arial" w:hAnsi="Arial" w:cs="Arial"/>
            <w:noProof/>
          </w:rPr>
          <w:t>Local Government</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_Toc353562567 \h </w:instrText>
        </w:r>
        <w:r w:rsidR="00030089" w:rsidRPr="0013248D">
          <w:rPr>
            <w:noProof/>
            <w:webHidden/>
          </w:rPr>
        </w:r>
        <w:r w:rsidR="00030089" w:rsidRPr="0013248D">
          <w:rPr>
            <w:noProof/>
            <w:webHidden/>
          </w:rPr>
          <w:fldChar w:fldCharType="separate"/>
        </w:r>
        <w:r w:rsidR="00740026">
          <w:rPr>
            <w:noProof/>
            <w:webHidden/>
          </w:rPr>
          <w:t>68</w:t>
        </w:r>
        <w:r w:rsidR="00030089" w:rsidRPr="0013248D">
          <w:rPr>
            <w:noProof/>
            <w:webHidden/>
          </w:rPr>
          <w:fldChar w:fldCharType="end"/>
        </w:r>
      </w:hyperlink>
    </w:p>
    <w:p w14:paraId="15D623DB" w14:textId="77777777" w:rsidR="00030089" w:rsidRPr="0013248D" w:rsidRDefault="00290CD0" w:rsidP="00030089">
      <w:pPr>
        <w:pStyle w:val="TOC3"/>
        <w:tabs>
          <w:tab w:val="left" w:pos="1320"/>
          <w:tab w:val="right" w:leader="dot" w:pos="9016"/>
        </w:tabs>
        <w:rPr>
          <w:i w:val="0"/>
          <w:iCs w:val="0"/>
          <w:noProof/>
          <w:sz w:val="22"/>
          <w:szCs w:val="22"/>
        </w:rPr>
      </w:pPr>
      <w:hyperlink w:anchor="_Toc353562568" w:history="1">
        <w:r w:rsidR="00030089" w:rsidRPr="0013248D">
          <w:rPr>
            <w:rStyle w:val="Hyperlink"/>
            <w:rFonts w:ascii="Arial" w:hAnsi="Arial" w:cs="Arial"/>
            <w:noProof/>
          </w:rPr>
          <w:t>5.3.3.</w:t>
        </w:r>
        <w:r w:rsidR="00030089" w:rsidRPr="0013248D">
          <w:rPr>
            <w:i w:val="0"/>
            <w:iCs w:val="0"/>
            <w:noProof/>
            <w:sz w:val="22"/>
            <w:szCs w:val="22"/>
          </w:rPr>
          <w:tab/>
        </w:r>
        <w:r w:rsidR="00030089" w:rsidRPr="0013248D">
          <w:rPr>
            <w:rStyle w:val="Hyperlink"/>
            <w:rFonts w:ascii="Arial" w:hAnsi="Arial" w:cs="Arial"/>
            <w:noProof/>
          </w:rPr>
          <w:t>Collection Depots</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_Toc353562568 \h </w:instrText>
        </w:r>
        <w:r w:rsidR="00030089" w:rsidRPr="0013248D">
          <w:rPr>
            <w:noProof/>
            <w:webHidden/>
          </w:rPr>
        </w:r>
        <w:r w:rsidR="00030089" w:rsidRPr="0013248D">
          <w:rPr>
            <w:noProof/>
            <w:webHidden/>
          </w:rPr>
          <w:fldChar w:fldCharType="separate"/>
        </w:r>
        <w:r w:rsidR="00740026">
          <w:rPr>
            <w:noProof/>
            <w:webHidden/>
          </w:rPr>
          <w:t>69</w:t>
        </w:r>
        <w:r w:rsidR="00030089" w:rsidRPr="0013248D">
          <w:rPr>
            <w:noProof/>
            <w:webHidden/>
          </w:rPr>
          <w:fldChar w:fldCharType="end"/>
        </w:r>
      </w:hyperlink>
    </w:p>
    <w:p w14:paraId="532A3896" w14:textId="77777777" w:rsidR="00030089" w:rsidRPr="0013248D" w:rsidRDefault="00290CD0" w:rsidP="00030089">
      <w:pPr>
        <w:pStyle w:val="TOC3"/>
        <w:tabs>
          <w:tab w:val="left" w:pos="1320"/>
          <w:tab w:val="right" w:leader="dot" w:pos="9016"/>
        </w:tabs>
        <w:rPr>
          <w:i w:val="0"/>
          <w:iCs w:val="0"/>
          <w:noProof/>
          <w:sz w:val="22"/>
          <w:szCs w:val="22"/>
        </w:rPr>
      </w:pPr>
      <w:hyperlink w:anchor="_Toc353562569" w:history="1">
        <w:r w:rsidR="00030089" w:rsidRPr="0013248D">
          <w:rPr>
            <w:rStyle w:val="Hyperlink"/>
            <w:rFonts w:ascii="Arial" w:hAnsi="Arial" w:cs="Arial"/>
            <w:noProof/>
          </w:rPr>
          <w:t>5.3.4.</w:t>
        </w:r>
        <w:r w:rsidR="00030089" w:rsidRPr="0013248D">
          <w:rPr>
            <w:i w:val="0"/>
            <w:iCs w:val="0"/>
            <w:noProof/>
            <w:sz w:val="22"/>
            <w:szCs w:val="22"/>
          </w:rPr>
          <w:tab/>
        </w:r>
        <w:r w:rsidR="00030089" w:rsidRPr="0013248D">
          <w:rPr>
            <w:rStyle w:val="Hyperlink"/>
            <w:rFonts w:ascii="Arial" w:hAnsi="Arial" w:cs="Arial"/>
            <w:noProof/>
          </w:rPr>
          <w:t>Environmental NGOs</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_Toc353562569 \h </w:instrText>
        </w:r>
        <w:r w:rsidR="00030089" w:rsidRPr="0013248D">
          <w:rPr>
            <w:noProof/>
            <w:webHidden/>
          </w:rPr>
        </w:r>
        <w:r w:rsidR="00030089" w:rsidRPr="0013248D">
          <w:rPr>
            <w:noProof/>
            <w:webHidden/>
          </w:rPr>
          <w:fldChar w:fldCharType="separate"/>
        </w:r>
        <w:r w:rsidR="00740026">
          <w:rPr>
            <w:noProof/>
            <w:webHidden/>
          </w:rPr>
          <w:t>73</w:t>
        </w:r>
        <w:r w:rsidR="00030089" w:rsidRPr="0013248D">
          <w:rPr>
            <w:noProof/>
            <w:webHidden/>
          </w:rPr>
          <w:fldChar w:fldCharType="end"/>
        </w:r>
      </w:hyperlink>
    </w:p>
    <w:p w14:paraId="15C9BCE5" w14:textId="77777777" w:rsidR="00030089" w:rsidRPr="0013248D" w:rsidRDefault="00290CD0" w:rsidP="00030089">
      <w:pPr>
        <w:pStyle w:val="TOC3"/>
        <w:tabs>
          <w:tab w:val="left" w:pos="1320"/>
          <w:tab w:val="right" w:leader="dot" w:pos="9016"/>
        </w:tabs>
        <w:rPr>
          <w:i w:val="0"/>
          <w:iCs w:val="0"/>
          <w:noProof/>
          <w:sz w:val="22"/>
          <w:szCs w:val="22"/>
        </w:rPr>
      </w:pPr>
      <w:hyperlink w:anchor="_Toc353562570" w:history="1">
        <w:r w:rsidR="00030089" w:rsidRPr="0013248D">
          <w:rPr>
            <w:rStyle w:val="Hyperlink"/>
            <w:rFonts w:ascii="Arial" w:hAnsi="Arial" w:cs="Arial"/>
            <w:noProof/>
          </w:rPr>
          <w:t>5.3.5.</w:t>
        </w:r>
        <w:r w:rsidR="00030089" w:rsidRPr="0013248D">
          <w:rPr>
            <w:i w:val="0"/>
            <w:iCs w:val="0"/>
            <w:noProof/>
            <w:sz w:val="22"/>
            <w:szCs w:val="22"/>
          </w:rPr>
          <w:tab/>
        </w:r>
        <w:r w:rsidR="00030089" w:rsidRPr="0013248D">
          <w:rPr>
            <w:rStyle w:val="Hyperlink"/>
            <w:rFonts w:ascii="Arial" w:hAnsi="Arial" w:cs="Arial"/>
            <w:noProof/>
          </w:rPr>
          <w:t>Private Party Submissions</w:t>
        </w:r>
        <w:r w:rsidR="00030089" w:rsidRPr="0013248D">
          <w:rPr>
            <w:noProof/>
            <w:webHidden/>
          </w:rPr>
          <w:tab/>
        </w:r>
        <w:r w:rsidR="00030089" w:rsidRPr="0013248D">
          <w:rPr>
            <w:noProof/>
            <w:webHidden/>
          </w:rPr>
          <w:fldChar w:fldCharType="begin"/>
        </w:r>
        <w:r w:rsidR="00030089" w:rsidRPr="0013248D">
          <w:rPr>
            <w:noProof/>
            <w:webHidden/>
          </w:rPr>
          <w:instrText xml:space="preserve"> PAGEREF _Toc353562570 \h </w:instrText>
        </w:r>
        <w:r w:rsidR="00030089" w:rsidRPr="0013248D">
          <w:rPr>
            <w:noProof/>
            <w:webHidden/>
          </w:rPr>
        </w:r>
        <w:r w:rsidR="00030089" w:rsidRPr="0013248D">
          <w:rPr>
            <w:noProof/>
            <w:webHidden/>
          </w:rPr>
          <w:fldChar w:fldCharType="separate"/>
        </w:r>
        <w:r w:rsidR="00740026">
          <w:rPr>
            <w:noProof/>
            <w:webHidden/>
          </w:rPr>
          <w:t>76</w:t>
        </w:r>
        <w:r w:rsidR="00030089" w:rsidRPr="0013248D">
          <w:rPr>
            <w:noProof/>
            <w:webHidden/>
          </w:rPr>
          <w:fldChar w:fldCharType="end"/>
        </w:r>
      </w:hyperlink>
    </w:p>
    <w:p w14:paraId="77604DF7" w14:textId="77777777" w:rsidR="00030089" w:rsidRPr="0013248D" w:rsidRDefault="00290CD0" w:rsidP="00030089">
      <w:pPr>
        <w:pStyle w:val="TOC1"/>
        <w:tabs>
          <w:tab w:val="left" w:pos="440"/>
          <w:tab w:val="right" w:leader="dot" w:pos="9016"/>
        </w:tabs>
        <w:rPr>
          <w:b w:val="0"/>
          <w:bCs w:val="0"/>
          <w:caps w:val="0"/>
          <w:noProof/>
          <w:sz w:val="22"/>
          <w:szCs w:val="22"/>
        </w:rPr>
      </w:pPr>
      <w:hyperlink w:anchor="_Toc353562571" w:history="1">
        <w:r w:rsidR="00030089" w:rsidRPr="0013248D">
          <w:rPr>
            <w:rStyle w:val="Hyperlink"/>
            <w:rFonts w:ascii="Arial" w:hAnsi="Arial"/>
            <w:b w:val="0"/>
            <w:noProof/>
          </w:rPr>
          <w:t>6.</w:t>
        </w:r>
        <w:r w:rsidR="00030089" w:rsidRPr="0013248D">
          <w:rPr>
            <w:b w:val="0"/>
            <w:bCs w:val="0"/>
            <w:caps w:val="0"/>
            <w:noProof/>
            <w:sz w:val="22"/>
            <w:szCs w:val="22"/>
          </w:rPr>
          <w:tab/>
        </w:r>
        <w:r w:rsidR="00030089" w:rsidRPr="0013248D">
          <w:rPr>
            <w:rStyle w:val="Hyperlink"/>
            <w:rFonts w:ascii="Arial" w:hAnsi="Arial" w:cs="Arial"/>
            <w:b w:val="0"/>
            <w:noProof/>
          </w:rPr>
          <w:t>EVALUATION AND CONCLUSION</w:t>
        </w:r>
        <w:r w:rsidR="00030089" w:rsidRPr="0013248D">
          <w:rPr>
            <w:b w:val="0"/>
            <w:noProof/>
            <w:webHidden/>
          </w:rPr>
          <w:tab/>
        </w:r>
        <w:r w:rsidR="00030089" w:rsidRPr="0013248D">
          <w:rPr>
            <w:b w:val="0"/>
            <w:noProof/>
            <w:webHidden/>
          </w:rPr>
          <w:fldChar w:fldCharType="begin"/>
        </w:r>
        <w:r w:rsidR="00030089" w:rsidRPr="0013248D">
          <w:rPr>
            <w:b w:val="0"/>
            <w:noProof/>
            <w:webHidden/>
          </w:rPr>
          <w:instrText xml:space="preserve"> PAGEREF _Toc353562571 \h </w:instrText>
        </w:r>
        <w:r w:rsidR="00030089" w:rsidRPr="0013248D">
          <w:rPr>
            <w:b w:val="0"/>
            <w:noProof/>
            <w:webHidden/>
          </w:rPr>
        </w:r>
        <w:r w:rsidR="00030089" w:rsidRPr="0013248D">
          <w:rPr>
            <w:b w:val="0"/>
            <w:noProof/>
            <w:webHidden/>
          </w:rPr>
          <w:fldChar w:fldCharType="separate"/>
        </w:r>
        <w:r w:rsidR="00740026">
          <w:rPr>
            <w:b w:val="0"/>
            <w:noProof/>
            <w:webHidden/>
          </w:rPr>
          <w:t>77</w:t>
        </w:r>
        <w:r w:rsidR="00030089" w:rsidRPr="0013248D">
          <w:rPr>
            <w:b w:val="0"/>
            <w:noProof/>
            <w:webHidden/>
          </w:rPr>
          <w:fldChar w:fldCharType="end"/>
        </w:r>
      </w:hyperlink>
    </w:p>
    <w:p w14:paraId="449C0673" w14:textId="77777777" w:rsidR="00030089" w:rsidRPr="0013248D" w:rsidRDefault="00290CD0" w:rsidP="00030089">
      <w:pPr>
        <w:pStyle w:val="TOC1"/>
        <w:tabs>
          <w:tab w:val="left" w:pos="440"/>
          <w:tab w:val="right" w:leader="dot" w:pos="9016"/>
        </w:tabs>
        <w:rPr>
          <w:b w:val="0"/>
          <w:bCs w:val="0"/>
          <w:caps w:val="0"/>
          <w:noProof/>
          <w:sz w:val="22"/>
          <w:szCs w:val="22"/>
        </w:rPr>
      </w:pPr>
      <w:hyperlink w:anchor="_Toc353562572" w:history="1">
        <w:r w:rsidR="00030089" w:rsidRPr="0013248D">
          <w:rPr>
            <w:rStyle w:val="Hyperlink"/>
            <w:rFonts w:ascii="Arial" w:hAnsi="Arial"/>
            <w:b w:val="0"/>
            <w:noProof/>
          </w:rPr>
          <w:t>7.</w:t>
        </w:r>
        <w:r w:rsidR="00030089" w:rsidRPr="0013248D">
          <w:rPr>
            <w:b w:val="0"/>
            <w:bCs w:val="0"/>
            <w:caps w:val="0"/>
            <w:noProof/>
            <w:sz w:val="22"/>
            <w:szCs w:val="22"/>
          </w:rPr>
          <w:tab/>
        </w:r>
        <w:r w:rsidR="00030089" w:rsidRPr="0013248D">
          <w:rPr>
            <w:rStyle w:val="Hyperlink"/>
            <w:rFonts w:ascii="Arial" w:hAnsi="Arial" w:cs="Arial"/>
            <w:b w:val="0"/>
            <w:noProof/>
          </w:rPr>
          <w:t>IMPLEMENTATION AND REVIEW</w:t>
        </w:r>
        <w:r w:rsidR="00030089" w:rsidRPr="0013248D">
          <w:rPr>
            <w:b w:val="0"/>
            <w:noProof/>
            <w:webHidden/>
          </w:rPr>
          <w:tab/>
        </w:r>
        <w:r w:rsidR="00030089" w:rsidRPr="0013248D">
          <w:rPr>
            <w:b w:val="0"/>
            <w:noProof/>
            <w:webHidden/>
          </w:rPr>
          <w:fldChar w:fldCharType="begin"/>
        </w:r>
        <w:r w:rsidR="00030089" w:rsidRPr="0013248D">
          <w:rPr>
            <w:b w:val="0"/>
            <w:noProof/>
            <w:webHidden/>
          </w:rPr>
          <w:instrText xml:space="preserve"> PAGEREF _Toc353562572 \h </w:instrText>
        </w:r>
        <w:r w:rsidR="00030089" w:rsidRPr="0013248D">
          <w:rPr>
            <w:b w:val="0"/>
            <w:noProof/>
            <w:webHidden/>
          </w:rPr>
        </w:r>
        <w:r w:rsidR="00030089" w:rsidRPr="0013248D">
          <w:rPr>
            <w:b w:val="0"/>
            <w:noProof/>
            <w:webHidden/>
          </w:rPr>
          <w:fldChar w:fldCharType="separate"/>
        </w:r>
        <w:r w:rsidR="00740026">
          <w:rPr>
            <w:b w:val="0"/>
            <w:noProof/>
            <w:webHidden/>
          </w:rPr>
          <w:t>78</w:t>
        </w:r>
        <w:r w:rsidR="00030089" w:rsidRPr="0013248D">
          <w:rPr>
            <w:b w:val="0"/>
            <w:noProof/>
            <w:webHidden/>
          </w:rPr>
          <w:fldChar w:fldCharType="end"/>
        </w:r>
      </w:hyperlink>
    </w:p>
    <w:p w14:paraId="30B03E13" w14:textId="77777777" w:rsidR="00030089" w:rsidRPr="0013248D" w:rsidRDefault="00290CD0" w:rsidP="00030089">
      <w:pPr>
        <w:pStyle w:val="TOC1"/>
        <w:tabs>
          <w:tab w:val="left" w:pos="440"/>
          <w:tab w:val="right" w:leader="dot" w:pos="9016"/>
        </w:tabs>
        <w:rPr>
          <w:b w:val="0"/>
          <w:bCs w:val="0"/>
          <w:caps w:val="0"/>
          <w:noProof/>
          <w:sz w:val="22"/>
          <w:szCs w:val="22"/>
        </w:rPr>
      </w:pPr>
      <w:hyperlink w:anchor="_Toc353562573" w:history="1">
        <w:r w:rsidR="00030089" w:rsidRPr="0013248D">
          <w:rPr>
            <w:rStyle w:val="Hyperlink"/>
            <w:rFonts w:ascii="Arial" w:hAnsi="Arial"/>
            <w:b w:val="0"/>
            <w:noProof/>
          </w:rPr>
          <w:t>8.</w:t>
        </w:r>
        <w:r w:rsidR="00030089" w:rsidRPr="0013248D">
          <w:rPr>
            <w:b w:val="0"/>
            <w:bCs w:val="0"/>
            <w:caps w:val="0"/>
            <w:noProof/>
            <w:sz w:val="22"/>
            <w:szCs w:val="22"/>
          </w:rPr>
          <w:tab/>
        </w:r>
        <w:r w:rsidR="00030089" w:rsidRPr="0013248D">
          <w:rPr>
            <w:rStyle w:val="Hyperlink"/>
            <w:rFonts w:ascii="Arial" w:hAnsi="Arial" w:cs="Arial"/>
            <w:b w:val="0"/>
            <w:noProof/>
          </w:rPr>
          <w:t>BIBLIOGRAHY</w:t>
        </w:r>
        <w:r w:rsidR="00030089" w:rsidRPr="0013248D">
          <w:rPr>
            <w:b w:val="0"/>
            <w:noProof/>
            <w:webHidden/>
          </w:rPr>
          <w:tab/>
        </w:r>
        <w:r w:rsidR="00030089" w:rsidRPr="0013248D">
          <w:rPr>
            <w:b w:val="0"/>
            <w:noProof/>
            <w:webHidden/>
          </w:rPr>
          <w:fldChar w:fldCharType="begin"/>
        </w:r>
        <w:r w:rsidR="00030089" w:rsidRPr="0013248D">
          <w:rPr>
            <w:b w:val="0"/>
            <w:noProof/>
            <w:webHidden/>
          </w:rPr>
          <w:instrText xml:space="preserve"> PAGEREF _Toc353562573 \h </w:instrText>
        </w:r>
        <w:r w:rsidR="00030089" w:rsidRPr="0013248D">
          <w:rPr>
            <w:b w:val="0"/>
            <w:noProof/>
            <w:webHidden/>
          </w:rPr>
        </w:r>
        <w:r w:rsidR="00030089" w:rsidRPr="0013248D">
          <w:rPr>
            <w:b w:val="0"/>
            <w:noProof/>
            <w:webHidden/>
          </w:rPr>
          <w:fldChar w:fldCharType="separate"/>
        </w:r>
        <w:r w:rsidR="00740026">
          <w:rPr>
            <w:b w:val="0"/>
            <w:noProof/>
            <w:webHidden/>
          </w:rPr>
          <w:t>79</w:t>
        </w:r>
        <w:r w:rsidR="00030089" w:rsidRPr="0013248D">
          <w:rPr>
            <w:b w:val="0"/>
            <w:noProof/>
            <w:webHidden/>
          </w:rPr>
          <w:fldChar w:fldCharType="end"/>
        </w:r>
      </w:hyperlink>
    </w:p>
    <w:p w14:paraId="744A1FA3" w14:textId="77777777" w:rsidR="00030089" w:rsidRDefault="00030089" w:rsidP="00030089">
      <w:pPr>
        <w:rPr>
          <w:rFonts w:ascii="Arial" w:hAnsi="Arial" w:cs="Arial"/>
          <w:sz w:val="28"/>
          <w:szCs w:val="28"/>
        </w:rPr>
      </w:pPr>
      <w:r w:rsidRPr="0013248D">
        <w:rPr>
          <w:rFonts w:ascii="Arial" w:hAnsi="Arial" w:cs="Arial"/>
          <w:sz w:val="28"/>
          <w:szCs w:val="28"/>
        </w:rPr>
        <w:fldChar w:fldCharType="end"/>
      </w:r>
      <w:bookmarkStart w:id="0" w:name="_Toc347315437"/>
    </w:p>
    <w:p w14:paraId="5AACAE05" w14:textId="77777777" w:rsidR="00030089" w:rsidRPr="00825165" w:rsidRDefault="00030089" w:rsidP="00030089">
      <w:pPr>
        <w:rPr>
          <w:rFonts w:ascii="Arial" w:hAnsi="Arial" w:cs="Arial"/>
          <w:b/>
          <w:szCs w:val="28"/>
        </w:rPr>
      </w:pPr>
      <w:r>
        <w:rPr>
          <w:rFonts w:ascii="Arial" w:hAnsi="Arial" w:cs="Arial"/>
          <w:b/>
          <w:szCs w:val="28"/>
        </w:rPr>
        <w:lastRenderedPageBreak/>
        <w:t>TABLE OF FIGURES</w:t>
      </w:r>
    </w:p>
    <w:p w14:paraId="2D9CCEC2" w14:textId="77777777" w:rsidR="00030089" w:rsidRDefault="00030089" w:rsidP="00030089">
      <w:pPr>
        <w:pStyle w:val="TableofFigures"/>
        <w:tabs>
          <w:tab w:val="right" w:leader="dot" w:pos="9016"/>
        </w:tabs>
        <w:rPr>
          <w:noProof/>
        </w:rPr>
      </w:pPr>
      <w:r>
        <w:rPr>
          <w:rFonts w:ascii="Arial" w:hAnsi="Arial" w:cs="Arial"/>
          <w:b/>
          <w:szCs w:val="28"/>
        </w:rPr>
        <w:fldChar w:fldCharType="begin"/>
      </w:r>
      <w:r>
        <w:rPr>
          <w:rFonts w:ascii="Arial" w:hAnsi="Arial" w:cs="Arial"/>
          <w:b/>
          <w:szCs w:val="28"/>
        </w:rPr>
        <w:instrText xml:space="preserve"> TOC \h \z \c "Figure" </w:instrText>
      </w:r>
      <w:r>
        <w:rPr>
          <w:rFonts w:ascii="Arial" w:hAnsi="Arial" w:cs="Arial"/>
          <w:b/>
          <w:szCs w:val="28"/>
        </w:rPr>
        <w:fldChar w:fldCharType="separate"/>
      </w:r>
      <w:hyperlink w:anchor="_Toc353562482" w:history="1">
        <w:r w:rsidRPr="001B4D2F">
          <w:rPr>
            <w:rStyle w:val="Hyperlink"/>
            <w:noProof/>
          </w:rPr>
          <w:t>1</w:t>
        </w:r>
        <w:r w:rsidRPr="001B4D2F">
          <w:rPr>
            <w:rStyle w:val="Hyperlink"/>
            <w:rFonts w:ascii="Arial" w:hAnsi="Arial" w:cs="Arial"/>
            <w:noProof/>
          </w:rPr>
          <w:t xml:space="preserve"> Table ES.1: Cost and benefit analysis for NT CDS after first 12 months of operation</w:t>
        </w:r>
        <w:r>
          <w:rPr>
            <w:noProof/>
            <w:webHidden/>
          </w:rPr>
          <w:tab/>
        </w:r>
        <w:r>
          <w:rPr>
            <w:noProof/>
            <w:webHidden/>
          </w:rPr>
          <w:fldChar w:fldCharType="begin"/>
        </w:r>
        <w:r>
          <w:rPr>
            <w:noProof/>
            <w:webHidden/>
          </w:rPr>
          <w:instrText xml:space="preserve"> PAGEREF _Toc353562482 \h </w:instrText>
        </w:r>
        <w:r>
          <w:rPr>
            <w:noProof/>
            <w:webHidden/>
          </w:rPr>
        </w:r>
        <w:r>
          <w:rPr>
            <w:noProof/>
            <w:webHidden/>
          </w:rPr>
          <w:fldChar w:fldCharType="separate"/>
        </w:r>
        <w:r w:rsidR="00740026">
          <w:rPr>
            <w:noProof/>
            <w:webHidden/>
          </w:rPr>
          <w:t>11</w:t>
        </w:r>
        <w:r>
          <w:rPr>
            <w:noProof/>
            <w:webHidden/>
          </w:rPr>
          <w:fldChar w:fldCharType="end"/>
        </w:r>
      </w:hyperlink>
    </w:p>
    <w:p w14:paraId="73B4B341" w14:textId="77777777" w:rsidR="00030089" w:rsidRDefault="00290CD0" w:rsidP="00030089">
      <w:pPr>
        <w:pStyle w:val="TableofFigures"/>
        <w:tabs>
          <w:tab w:val="right" w:leader="dot" w:pos="9016"/>
        </w:tabs>
        <w:rPr>
          <w:noProof/>
        </w:rPr>
      </w:pPr>
      <w:hyperlink w:anchor="_Toc353562483" w:history="1">
        <w:r w:rsidR="00030089" w:rsidRPr="001B4D2F">
          <w:rPr>
            <w:rStyle w:val="Hyperlink"/>
            <w:noProof/>
          </w:rPr>
          <w:t>2 Table ES.2: Net Present Value (NPV) of key market costs and benefits over 25 years</w:t>
        </w:r>
        <w:r w:rsidR="00030089">
          <w:rPr>
            <w:noProof/>
            <w:webHidden/>
          </w:rPr>
          <w:tab/>
        </w:r>
        <w:r w:rsidR="00030089">
          <w:rPr>
            <w:noProof/>
            <w:webHidden/>
          </w:rPr>
          <w:fldChar w:fldCharType="begin"/>
        </w:r>
        <w:r w:rsidR="00030089">
          <w:rPr>
            <w:noProof/>
            <w:webHidden/>
          </w:rPr>
          <w:instrText xml:space="preserve"> PAGEREF _Toc353562483 \h </w:instrText>
        </w:r>
        <w:r w:rsidR="00030089">
          <w:rPr>
            <w:noProof/>
            <w:webHidden/>
          </w:rPr>
        </w:r>
        <w:r w:rsidR="00030089">
          <w:rPr>
            <w:noProof/>
            <w:webHidden/>
          </w:rPr>
          <w:fldChar w:fldCharType="separate"/>
        </w:r>
        <w:r w:rsidR="00740026">
          <w:rPr>
            <w:noProof/>
            <w:webHidden/>
          </w:rPr>
          <w:t>13</w:t>
        </w:r>
        <w:r w:rsidR="00030089">
          <w:rPr>
            <w:noProof/>
            <w:webHidden/>
          </w:rPr>
          <w:fldChar w:fldCharType="end"/>
        </w:r>
      </w:hyperlink>
    </w:p>
    <w:p w14:paraId="764DA917" w14:textId="77777777" w:rsidR="00030089" w:rsidRDefault="00290CD0" w:rsidP="00030089">
      <w:pPr>
        <w:pStyle w:val="TableofFigures"/>
        <w:tabs>
          <w:tab w:val="right" w:leader="dot" w:pos="9016"/>
        </w:tabs>
        <w:rPr>
          <w:noProof/>
        </w:rPr>
      </w:pPr>
      <w:hyperlink w:anchor="_Toc353562484" w:history="1">
        <w:r w:rsidR="00030089" w:rsidRPr="001B4D2F">
          <w:rPr>
            <w:rStyle w:val="Hyperlink"/>
            <w:noProof/>
          </w:rPr>
          <w:t>3 Table 1.1: Australian kilograms of waste generated, recycled and landfilled per person 2006-7</w:t>
        </w:r>
        <w:r w:rsidR="00030089">
          <w:rPr>
            <w:noProof/>
            <w:webHidden/>
          </w:rPr>
          <w:tab/>
        </w:r>
        <w:r w:rsidR="00030089">
          <w:rPr>
            <w:noProof/>
            <w:webHidden/>
          </w:rPr>
          <w:fldChar w:fldCharType="begin"/>
        </w:r>
        <w:r w:rsidR="00030089">
          <w:rPr>
            <w:noProof/>
            <w:webHidden/>
          </w:rPr>
          <w:instrText xml:space="preserve"> PAGEREF _Toc353562484 \h </w:instrText>
        </w:r>
        <w:r w:rsidR="00030089">
          <w:rPr>
            <w:noProof/>
            <w:webHidden/>
          </w:rPr>
        </w:r>
        <w:r w:rsidR="00030089">
          <w:rPr>
            <w:noProof/>
            <w:webHidden/>
          </w:rPr>
          <w:fldChar w:fldCharType="separate"/>
        </w:r>
        <w:r w:rsidR="00740026">
          <w:rPr>
            <w:noProof/>
            <w:webHidden/>
          </w:rPr>
          <w:t>16</w:t>
        </w:r>
        <w:r w:rsidR="00030089">
          <w:rPr>
            <w:noProof/>
            <w:webHidden/>
          </w:rPr>
          <w:fldChar w:fldCharType="end"/>
        </w:r>
      </w:hyperlink>
    </w:p>
    <w:p w14:paraId="1C5CC787" w14:textId="77777777" w:rsidR="00030089" w:rsidRDefault="00290CD0" w:rsidP="00030089">
      <w:pPr>
        <w:pStyle w:val="TableofFigures"/>
        <w:tabs>
          <w:tab w:val="right" w:leader="dot" w:pos="9016"/>
        </w:tabs>
        <w:rPr>
          <w:noProof/>
        </w:rPr>
      </w:pPr>
      <w:hyperlink w:anchor="_Toc353562485" w:history="1">
        <w:r w:rsidR="00030089" w:rsidRPr="001B4D2F">
          <w:rPr>
            <w:rStyle w:val="Hyperlink"/>
            <w:noProof/>
          </w:rPr>
          <w:t>4 Figure 1.1: NT Waste generated, recycled and landfilled, 2006-7</w:t>
        </w:r>
        <w:r w:rsidR="00030089">
          <w:rPr>
            <w:noProof/>
            <w:webHidden/>
          </w:rPr>
          <w:tab/>
        </w:r>
        <w:r w:rsidR="00030089">
          <w:rPr>
            <w:noProof/>
            <w:webHidden/>
          </w:rPr>
          <w:fldChar w:fldCharType="begin"/>
        </w:r>
        <w:r w:rsidR="00030089">
          <w:rPr>
            <w:noProof/>
            <w:webHidden/>
          </w:rPr>
          <w:instrText xml:space="preserve"> PAGEREF _Toc353562485 \h </w:instrText>
        </w:r>
        <w:r w:rsidR="00030089">
          <w:rPr>
            <w:noProof/>
            <w:webHidden/>
          </w:rPr>
        </w:r>
        <w:r w:rsidR="00030089">
          <w:rPr>
            <w:noProof/>
            <w:webHidden/>
          </w:rPr>
          <w:fldChar w:fldCharType="separate"/>
        </w:r>
        <w:r w:rsidR="00740026">
          <w:rPr>
            <w:noProof/>
            <w:webHidden/>
          </w:rPr>
          <w:t>16</w:t>
        </w:r>
        <w:r w:rsidR="00030089">
          <w:rPr>
            <w:noProof/>
            <w:webHidden/>
          </w:rPr>
          <w:fldChar w:fldCharType="end"/>
        </w:r>
      </w:hyperlink>
    </w:p>
    <w:p w14:paraId="2E5F3660" w14:textId="77777777" w:rsidR="00030089" w:rsidRDefault="00290CD0" w:rsidP="00030089">
      <w:pPr>
        <w:pStyle w:val="TableofFigures"/>
        <w:tabs>
          <w:tab w:val="right" w:leader="dot" w:pos="9016"/>
        </w:tabs>
        <w:rPr>
          <w:noProof/>
        </w:rPr>
      </w:pPr>
      <w:hyperlink w:anchor="_Toc353562486" w:history="1">
        <w:r w:rsidR="00030089" w:rsidRPr="001B4D2F">
          <w:rPr>
            <w:rStyle w:val="Hyperlink"/>
            <w:noProof/>
          </w:rPr>
          <w:t>5 Table 1.2: NT waste recovery (from NEPC Annual Report 2010/11)</w:t>
        </w:r>
        <w:r w:rsidR="00030089">
          <w:rPr>
            <w:noProof/>
            <w:webHidden/>
          </w:rPr>
          <w:tab/>
        </w:r>
        <w:r w:rsidR="00030089">
          <w:rPr>
            <w:noProof/>
            <w:webHidden/>
          </w:rPr>
          <w:fldChar w:fldCharType="begin"/>
        </w:r>
        <w:r w:rsidR="00030089">
          <w:rPr>
            <w:noProof/>
            <w:webHidden/>
          </w:rPr>
          <w:instrText xml:space="preserve"> PAGEREF _Toc353562486 \h </w:instrText>
        </w:r>
        <w:r w:rsidR="00030089">
          <w:rPr>
            <w:noProof/>
            <w:webHidden/>
          </w:rPr>
        </w:r>
        <w:r w:rsidR="00030089">
          <w:rPr>
            <w:noProof/>
            <w:webHidden/>
          </w:rPr>
          <w:fldChar w:fldCharType="separate"/>
        </w:r>
        <w:r w:rsidR="00740026">
          <w:rPr>
            <w:noProof/>
            <w:webHidden/>
          </w:rPr>
          <w:t>17</w:t>
        </w:r>
        <w:r w:rsidR="00030089">
          <w:rPr>
            <w:noProof/>
            <w:webHidden/>
          </w:rPr>
          <w:fldChar w:fldCharType="end"/>
        </w:r>
      </w:hyperlink>
    </w:p>
    <w:p w14:paraId="15B5BA6C" w14:textId="77777777" w:rsidR="00030089" w:rsidRDefault="00290CD0" w:rsidP="00030089">
      <w:pPr>
        <w:pStyle w:val="TableofFigures"/>
        <w:tabs>
          <w:tab w:val="right" w:leader="dot" w:pos="9016"/>
        </w:tabs>
        <w:rPr>
          <w:noProof/>
        </w:rPr>
      </w:pPr>
      <w:hyperlink w:anchor="_Toc353562487" w:history="1">
        <w:r w:rsidR="00030089" w:rsidRPr="001B4D2F">
          <w:rPr>
            <w:rStyle w:val="Hyperlink"/>
            <w:noProof/>
          </w:rPr>
          <w:t>6 Table 1.3: Proportion of beverage containers to other forms of rigid packaging</w:t>
        </w:r>
        <w:r w:rsidR="00030089">
          <w:rPr>
            <w:noProof/>
            <w:webHidden/>
          </w:rPr>
          <w:tab/>
        </w:r>
        <w:r w:rsidR="00030089">
          <w:rPr>
            <w:noProof/>
            <w:webHidden/>
          </w:rPr>
          <w:fldChar w:fldCharType="begin"/>
        </w:r>
        <w:r w:rsidR="00030089">
          <w:rPr>
            <w:noProof/>
            <w:webHidden/>
          </w:rPr>
          <w:instrText xml:space="preserve"> PAGEREF _Toc353562487 \h </w:instrText>
        </w:r>
        <w:r w:rsidR="00030089">
          <w:rPr>
            <w:noProof/>
            <w:webHidden/>
          </w:rPr>
        </w:r>
        <w:r w:rsidR="00030089">
          <w:rPr>
            <w:noProof/>
            <w:webHidden/>
          </w:rPr>
          <w:fldChar w:fldCharType="separate"/>
        </w:r>
        <w:r w:rsidR="00740026">
          <w:rPr>
            <w:noProof/>
            <w:webHidden/>
          </w:rPr>
          <w:t>18</w:t>
        </w:r>
        <w:r w:rsidR="00030089">
          <w:rPr>
            <w:noProof/>
            <w:webHidden/>
          </w:rPr>
          <w:fldChar w:fldCharType="end"/>
        </w:r>
      </w:hyperlink>
    </w:p>
    <w:p w14:paraId="77BD87E4" w14:textId="77777777" w:rsidR="00030089" w:rsidRDefault="00290CD0" w:rsidP="00030089">
      <w:pPr>
        <w:pStyle w:val="TableofFigures"/>
        <w:tabs>
          <w:tab w:val="right" w:leader="dot" w:pos="9016"/>
        </w:tabs>
        <w:rPr>
          <w:noProof/>
        </w:rPr>
      </w:pPr>
      <w:hyperlink w:anchor="_Toc353562488" w:history="1">
        <w:r w:rsidR="00030089" w:rsidRPr="001B4D2F">
          <w:rPr>
            <w:rStyle w:val="Hyperlink"/>
            <w:noProof/>
          </w:rPr>
          <w:t>7 Table 1.4: CDS proportion of NT waste recovered</w:t>
        </w:r>
        <w:r w:rsidR="00030089">
          <w:rPr>
            <w:noProof/>
            <w:webHidden/>
          </w:rPr>
          <w:tab/>
        </w:r>
        <w:r w:rsidR="00030089">
          <w:rPr>
            <w:noProof/>
            <w:webHidden/>
          </w:rPr>
          <w:fldChar w:fldCharType="begin"/>
        </w:r>
        <w:r w:rsidR="00030089">
          <w:rPr>
            <w:noProof/>
            <w:webHidden/>
          </w:rPr>
          <w:instrText xml:space="preserve"> PAGEREF _Toc353562488 \h </w:instrText>
        </w:r>
        <w:r w:rsidR="00030089">
          <w:rPr>
            <w:noProof/>
            <w:webHidden/>
          </w:rPr>
        </w:r>
        <w:r w:rsidR="00030089">
          <w:rPr>
            <w:noProof/>
            <w:webHidden/>
          </w:rPr>
          <w:fldChar w:fldCharType="separate"/>
        </w:r>
        <w:r w:rsidR="00740026">
          <w:rPr>
            <w:noProof/>
            <w:webHidden/>
          </w:rPr>
          <w:t>18</w:t>
        </w:r>
        <w:r w:rsidR="00030089">
          <w:rPr>
            <w:noProof/>
            <w:webHidden/>
          </w:rPr>
          <w:fldChar w:fldCharType="end"/>
        </w:r>
      </w:hyperlink>
    </w:p>
    <w:p w14:paraId="3D131AAF" w14:textId="77777777" w:rsidR="00030089" w:rsidRDefault="00290CD0" w:rsidP="00030089">
      <w:pPr>
        <w:pStyle w:val="TableofFigures"/>
        <w:tabs>
          <w:tab w:val="right" w:leader="dot" w:pos="9016"/>
        </w:tabs>
        <w:rPr>
          <w:noProof/>
        </w:rPr>
      </w:pPr>
      <w:hyperlink w:anchor="_Toc353562489" w:history="1">
        <w:r w:rsidR="00030089" w:rsidRPr="001B4D2F">
          <w:rPr>
            <w:rStyle w:val="Hyperlink"/>
            <w:noProof/>
          </w:rPr>
          <w:t>8 Table 1. 5: Beverage containers sold (tonnes)</w:t>
        </w:r>
        <w:r w:rsidR="00030089">
          <w:rPr>
            <w:noProof/>
            <w:webHidden/>
          </w:rPr>
          <w:tab/>
        </w:r>
        <w:r w:rsidR="00030089">
          <w:rPr>
            <w:noProof/>
            <w:webHidden/>
          </w:rPr>
          <w:fldChar w:fldCharType="begin"/>
        </w:r>
        <w:r w:rsidR="00030089">
          <w:rPr>
            <w:noProof/>
            <w:webHidden/>
          </w:rPr>
          <w:instrText xml:space="preserve"> PAGEREF _Toc353562489 \h </w:instrText>
        </w:r>
        <w:r w:rsidR="00030089">
          <w:rPr>
            <w:noProof/>
            <w:webHidden/>
          </w:rPr>
        </w:r>
        <w:r w:rsidR="00030089">
          <w:rPr>
            <w:noProof/>
            <w:webHidden/>
          </w:rPr>
          <w:fldChar w:fldCharType="separate"/>
        </w:r>
        <w:r w:rsidR="00740026">
          <w:rPr>
            <w:noProof/>
            <w:webHidden/>
          </w:rPr>
          <w:t>19</w:t>
        </w:r>
        <w:r w:rsidR="00030089">
          <w:rPr>
            <w:noProof/>
            <w:webHidden/>
          </w:rPr>
          <w:fldChar w:fldCharType="end"/>
        </w:r>
      </w:hyperlink>
    </w:p>
    <w:p w14:paraId="20F371C9" w14:textId="77777777" w:rsidR="00030089" w:rsidRDefault="00290CD0" w:rsidP="00030089">
      <w:pPr>
        <w:pStyle w:val="TableofFigures"/>
        <w:tabs>
          <w:tab w:val="right" w:leader="dot" w:pos="9016"/>
        </w:tabs>
        <w:rPr>
          <w:noProof/>
        </w:rPr>
      </w:pPr>
      <w:hyperlink w:anchor="_Toc353562490" w:history="1">
        <w:r w:rsidR="00030089" w:rsidRPr="001B4D2F">
          <w:rPr>
            <w:rStyle w:val="Hyperlink"/>
            <w:noProof/>
          </w:rPr>
          <w:t>9 Figure 4.1: Packaging Impacts CRIS’s key assumptions and estimates</w:t>
        </w:r>
        <w:r w:rsidR="00030089">
          <w:rPr>
            <w:noProof/>
            <w:webHidden/>
          </w:rPr>
          <w:tab/>
        </w:r>
        <w:r w:rsidR="00030089">
          <w:rPr>
            <w:noProof/>
            <w:webHidden/>
          </w:rPr>
          <w:fldChar w:fldCharType="begin"/>
        </w:r>
        <w:r w:rsidR="00030089">
          <w:rPr>
            <w:noProof/>
            <w:webHidden/>
          </w:rPr>
          <w:instrText xml:space="preserve"> PAGEREF _Toc353562490 \h </w:instrText>
        </w:r>
        <w:r w:rsidR="00030089">
          <w:rPr>
            <w:noProof/>
            <w:webHidden/>
          </w:rPr>
        </w:r>
        <w:r w:rsidR="00030089">
          <w:rPr>
            <w:noProof/>
            <w:webHidden/>
          </w:rPr>
          <w:fldChar w:fldCharType="separate"/>
        </w:r>
        <w:r w:rsidR="00740026">
          <w:rPr>
            <w:noProof/>
            <w:webHidden/>
          </w:rPr>
          <w:t>30</w:t>
        </w:r>
        <w:r w:rsidR="00030089">
          <w:rPr>
            <w:noProof/>
            <w:webHidden/>
          </w:rPr>
          <w:fldChar w:fldCharType="end"/>
        </w:r>
      </w:hyperlink>
    </w:p>
    <w:p w14:paraId="3660E710" w14:textId="77777777" w:rsidR="00030089" w:rsidRDefault="00290CD0" w:rsidP="00030089">
      <w:pPr>
        <w:pStyle w:val="TableofFigures"/>
        <w:tabs>
          <w:tab w:val="right" w:leader="dot" w:pos="9016"/>
        </w:tabs>
        <w:rPr>
          <w:noProof/>
        </w:rPr>
      </w:pPr>
      <w:hyperlink w:anchor="_Toc353562491" w:history="1">
        <w:r w:rsidR="00030089" w:rsidRPr="001B4D2F">
          <w:rPr>
            <w:rStyle w:val="Hyperlink"/>
            <w:noProof/>
          </w:rPr>
          <w:t>10 Table 4.1: Key market costs and benefits over 25 years discounted at 7 per cent</w:t>
        </w:r>
        <w:r w:rsidR="00030089">
          <w:rPr>
            <w:noProof/>
            <w:webHidden/>
          </w:rPr>
          <w:tab/>
        </w:r>
        <w:r w:rsidR="00030089">
          <w:rPr>
            <w:noProof/>
            <w:webHidden/>
          </w:rPr>
          <w:fldChar w:fldCharType="begin"/>
        </w:r>
        <w:r w:rsidR="00030089">
          <w:rPr>
            <w:noProof/>
            <w:webHidden/>
          </w:rPr>
          <w:instrText xml:space="preserve"> PAGEREF _Toc353562491 \h </w:instrText>
        </w:r>
        <w:r w:rsidR="00030089">
          <w:rPr>
            <w:noProof/>
            <w:webHidden/>
          </w:rPr>
        </w:r>
        <w:r w:rsidR="00030089">
          <w:rPr>
            <w:noProof/>
            <w:webHidden/>
          </w:rPr>
          <w:fldChar w:fldCharType="separate"/>
        </w:r>
        <w:r w:rsidR="00740026">
          <w:rPr>
            <w:noProof/>
            <w:webHidden/>
          </w:rPr>
          <w:t>30</w:t>
        </w:r>
        <w:r w:rsidR="00030089">
          <w:rPr>
            <w:noProof/>
            <w:webHidden/>
          </w:rPr>
          <w:fldChar w:fldCharType="end"/>
        </w:r>
      </w:hyperlink>
    </w:p>
    <w:p w14:paraId="3E8D2FBF" w14:textId="77777777" w:rsidR="00030089" w:rsidRDefault="00290CD0" w:rsidP="00030089">
      <w:pPr>
        <w:pStyle w:val="TableofFigures"/>
        <w:tabs>
          <w:tab w:val="right" w:leader="dot" w:pos="9016"/>
        </w:tabs>
        <w:rPr>
          <w:noProof/>
        </w:rPr>
      </w:pPr>
      <w:hyperlink w:anchor="_Toc353562492" w:history="1">
        <w:r w:rsidR="00030089" w:rsidRPr="001B4D2F">
          <w:rPr>
            <w:rStyle w:val="Hyperlink"/>
            <w:noProof/>
          </w:rPr>
          <w:t>11 4.2 Net Present Value (NPV) of key market costs and benefits over 25 years (10% sensitivity)</w:t>
        </w:r>
        <w:r w:rsidR="00030089">
          <w:rPr>
            <w:noProof/>
            <w:webHidden/>
          </w:rPr>
          <w:tab/>
        </w:r>
        <w:r w:rsidR="00030089">
          <w:rPr>
            <w:noProof/>
            <w:webHidden/>
          </w:rPr>
          <w:fldChar w:fldCharType="begin"/>
        </w:r>
        <w:r w:rsidR="00030089">
          <w:rPr>
            <w:noProof/>
            <w:webHidden/>
          </w:rPr>
          <w:instrText xml:space="preserve"> PAGEREF _Toc353562492 \h </w:instrText>
        </w:r>
        <w:r w:rsidR="00030089">
          <w:rPr>
            <w:noProof/>
            <w:webHidden/>
          </w:rPr>
        </w:r>
        <w:r w:rsidR="00030089">
          <w:rPr>
            <w:noProof/>
            <w:webHidden/>
          </w:rPr>
          <w:fldChar w:fldCharType="separate"/>
        </w:r>
        <w:r w:rsidR="00740026">
          <w:rPr>
            <w:noProof/>
            <w:webHidden/>
          </w:rPr>
          <w:t>31</w:t>
        </w:r>
        <w:r w:rsidR="00030089">
          <w:rPr>
            <w:noProof/>
            <w:webHidden/>
          </w:rPr>
          <w:fldChar w:fldCharType="end"/>
        </w:r>
      </w:hyperlink>
    </w:p>
    <w:p w14:paraId="496D918C" w14:textId="77777777" w:rsidR="00030089" w:rsidRDefault="00290CD0" w:rsidP="00030089">
      <w:pPr>
        <w:pStyle w:val="TableofFigures"/>
        <w:tabs>
          <w:tab w:val="right" w:leader="dot" w:pos="9016"/>
        </w:tabs>
        <w:rPr>
          <w:noProof/>
        </w:rPr>
      </w:pPr>
      <w:hyperlink w:anchor="_Toc353562493" w:history="1">
        <w:r w:rsidR="00030089" w:rsidRPr="001B4D2F">
          <w:rPr>
            <w:rStyle w:val="Hyperlink"/>
            <w:noProof/>
          </w:rPr>
          <w:t>12 Table 4.3 Net Present Value (NPV) of key market costs and benefits over 25 years (3% sensitivity)</w:t>
        </w:r>
        <w:r w:rsidR="00030089">
          <w:rPr>
            <w:noProof/>
            <w:webHidden/>
          </w:rPr>
          <w:tab/>
        </w:r>
        <w:r w:rsidR="00030089">
          <w:rPr>
            <w:noProof/>
            <w:webHidden/>
          </w:rPr>
          <w:fldChar w:fldCharType="begin"/>
        </w:r>
        <w:r w:rsidR="00030089">
          <w:rPr>
            <w:noProof/>
            <w:webHidden/>
          </w:rPr>
          <w:instrText xml:space="preserve"> PAGEREF _Toc353562493 \h </w:instrText>
        </w:r>
        <w:r w:rsidR="00030089">
          <w:rPr>
            <w:noProof/>
            <w:webHidden/>
          </w:rPr>
        </w:r>
        <w:r w:rsidR="00030089">
          <w:rPr>
            <w:noProof/>
            <w:webHidden/>
          </w:rPr>
          <w:fldChar w:fldCharType="separate"/>
        </w:r>
        <w:r w:rsidR="00740026">
          <w:rPr>
            <w:noProof/>
            <w:webHidden/>
          </w:rPr>
          <w:t>31</w:t>
        </w:r>
        <w:r w:rsidR="00030089">
          <w:rPr>
            <w:noProof/>
            <w:webHidden/>
          </w:rPr>
          <w:fldChar w:fldCharType="end"/>
        </w:r>
      </w:hyperlink>
    </w:p>
    <w:p w14:paraId="0B757590" w14:textId="77777777" w:rsidR="00030089" w:rsidRDefault="00290CD0" w:rsidP="00030089">
      <w:pPr>
        <w:pStyle w:val="TableofFigures"/>
        <w:tabs>
          <w:tab w:val="right" w:leader="dot" w:pos="9016"/>
        </w:tabs>
        <w:rPr>
          <w:noProof/>
        </w:rPr>
      </w:pPr>
      <w:hyperlink w:anchor="_Toc353562494" w:history="1">
        <w:r w:rsidR="00030089" w:rsidRPr="001B4D2F">
          <w:rPr>
            <w:rStyle w:val="Hyperlink"/>
            <w:noProof/>
          </w:rPr>
          <w:t>13  Table 4.4 Net Present Value (NPV) of key market costs and benefits over 10 years (discounted 7%)</w:t>
        </w:r>
        <w:r w:rsidR="00030089">
          <w:rPr>
            <w:noProof/>
            <w:webHidden/>
          </w:rPr>
          <w:tab/>
        </w:r>
        <w:r w:rsidR="00030089">
          <w:rPr>
            <w:noProof/>
            <w:webHidden/>
          </w:rPr>
          <w:fldChar w:fldCharType="begin"/>
        </w:r>
        <w:r w:rsidR="00030089">
          <w:rPr>
            <w:noProof/>
            <w:webHidden/>
          </w:rPr>
          <w:instrText xml:space="preserve"> PAGEREF _Toc353562494 \h </w:instrText>
        </w:r>
        <w:r w:rsidR="00030089">
          <w:rPr>
            <w:noProof/>
            <w:webHidden/>
          </w:rPr>
        </w:r>
        <w:r w:rsidR="00030089">
          <w:rPr>
            <w:noProof/>
            <w:webHidden/>
          </w:rPr>
          <w:fldChar w:fldCharType="separate"/>
        </w:r>
        <w:r w:rsidR="00740026">
          <w:rPr>
            <w:noProof/>
            <w:webHidden/>
          </w:rPr>
          <w:t>31</w:t>
        </w:r>
        <w:r w:rsidR="00030089">
          <w:rPr>
            <w:noProof/>
            <w:webHidden/>
          </w:rPr>
          <w:fldChar w:fldCharType="end"/>
        </w:r>
      </w:hyperlink>
    </w:p>
    <w:p w14:paraId="342BD6A7" w14:textId="77777777" w:rsidR="00030089" w:rsidRDefault="00290CD0" w:rsidP="00030089">
      <w:pPr>
        <w:pStyle w:val="TableofFigures"/>
        <w:tabs>
          <w:tab w:val="right" w:leader="dot" w:pos="9016"/>
        </w:tabs>
        <w:rPr>
          <w:noProof/>
        </w:rPr>
      </w:pPr>
      <w:hyperlink w:anchor="_Toc353562495" w:history="1">
        <w:r w:rsidR="00030089" w:rsidRPr="001B4D2F">
          <w:rPr>
            <w:rStyle w:val="Hyperlink"/>
            <w:noProof/>
          </w:rPr>
          <w:t>14 Table 4.5 Net Present Value (NPV) of key market costs and benefits over 10  years (10% sensitivity)</w:t>
        </w:r>
        <w:r w:rsidR="00030089">
          <w:rPr>
            <w:noProof/>
            <w:webHidden/>
          </w:rPr>
          <w:tab/>
        </w:r>
        <w:r w:rsidR="00030089">
          <w:rPr>
            <w:noProof/>
            <w:webHidden/>
          </w:rPr>
          <w:fldChar w:fldCharType="begin"/>
        </w:r>
        <w:r w:rsidR="00030089">
          <w:rPr>
            <w:noProof/>
            <w:webHidden/>
          </w:rPr>
          <w:instrText xml:space="preserve"> PAGEREF _Toc353562495 \h </w:instrText>
        </w:r>
        <w:r w:rsidR="00030089">
          <w:rPr>
            <w:noProof/>
            <w:webHidden/>
          </w:rPr>
        </w:r>
        <w:r w:rsidR="00030089">
          <w:rPr>
            <w:noProof/>
            <w:webHidden/>
          </w:rPr>
          <w:fldChar w:fldCharType="separate"/>
        </w:r>
        <w:r w:rsidR="00740026">
          <w:rPr>
            <w:noProof/>
            <w:webHidden/>
          </w:rPr>
          <w:t>32</w:t>
        </w:r>
        <w:r w:rsidR="00030089">
          <w:rPr>
            <w:noProof/>
            <w:webHidden/>
          </w:rPr>
          <w:fldChar w:fldCharType="end"/>
        </w:r>
      </w:hyperlink>
    </w:p>
    <w:p w14:paraId="10D68722" w14:textId="77777777" w:rsidR="00030089" w:rsidRDefault="00290CD0" w:rsidP="00030089">
      <w:pPr>
        <w:pStyle w:val="TableofFigures"/>
        <w:tabs>
          <w:tab w:val="right" w:leader="dot" w:pos="9016"/>
        </w:tabs>
        <w:rPr>
          <w:noProof/>
        </w:rPr>
      </w:pPr>
      <w:hyperlink w:anchor="_Toc353562496" w:history="1">
        <w:r w:rsidR="00030089" w:rsidRPr="001B4D2F">
          <w:rPr>
            <w:rStyle w:val="Hyperlink"/>
            <w:noProof/>
          </w:rPr>
          <w:t>15 Table 4.6 Net Present Value (NPV) of key market costs and benefits over 10 years (3% sensitivity)</w:t>
        </w:r>
        <w:r w:rsidR="00030089">
          <w:rPr>
            <w:noProof/>
            <w:webHidden/>
          </w:rPr>
          <w:tab/>
        </w:r>
        <w:r w:rsidR="00030089">
          <w:rPr>
            <w:noProof/>
            <w:webHidden/>
          </w:rPr>
          <w:fldChar w:fldCharType="begin"/>
        </w:r>
        <w:r w:rsidR="00030089">
          <w:rPr>
            <w:noProof/>
            <w:webHidden/>
          </w:rPr>
          <w:instrText xml:space="preserve"> PAGEREF _Toc353562496 \h </w:instrText>
        </w:r>
        <w:r w:rsidR="00030089">
          <w:rPr>
            <w:noProof/>
            <w:webHidden/>
          </w:rPr>
        </w:r>
        <w:r w:rsidR="00030089">
          <w:rPr>
            <w:noProof/>
            <w:webHidden/>
          </w:rPr>
          <w:fldChar w:fldCharType="separate"/>
        </w:r>
        <w:r w:rsidR="00740026">
          <w:rPr>
            <w:noProof/>
            <w:webHidden/>
          </w:rPr>
          <w:t>32</w:t>
        </w:r>
        <w:r w:rsidR="00030089">
          <w:rPr>
            <w:noProof/>
            <w:webHidden/>
          </w:rPr>
          <w:fldChar w:fldCharType="end"/>
        </w:r>
      </w:hyperlink>
    </w:p>
    <w:p w14:paraId="110ADB40" w14:textId="77777777" w:rsidR="00030089" w:rsidRDefault="00290CD0" w:rsidP="00030089">
      <w:pPr>
        <w:pStyle w:val="TableofFigures"/>
        <w:tabs>
          <w:tab w:val="right" w:leader="dot" w:pos="9016"/>
        </w:tabs>
        <w:rPr>
          <w:noProof/>
        </w:rPr>
      </w:pPr>
      <w:hyperlink w:anchor="_Toc353562497" w:history="1">
        <w:r w:rsidR="00030089" w:rsidRPr="001B4D2F">
          <w:rPr>
            <w:rStyle w:val="Hyperlink"/>
            <w:noProof/>
          </w:rPr>
          <w:t>16 Table 4.7 Net Present Value (NPV) of key market costs and benefits at a 2% return rate increase pa to 58% over 10 years (3% and 10% sensitivity)</w:t>
        </w:r>
        <w:r w:rsidR="00030089">
          <w:rPr>
            <w:noProof/>
            <w:webHidden/>
          </w:rPr>
          <w:tab/>
        </w:r>
        <w:r w:rsidR="00030089">
          <w:rPr>
            <w:noProof/>
            <w:webHidden/>
          </w:rPr>
          <w:fldChar w:fldCharType="begin"/>
        </w:r>
        <w:r w:rsidR="00030089">
          <w:rPr>
            <w:noProof/>
            <w:webHidden/>
          </w:rPr>
          <w:instrText xml:space="preserve"> PAGEREF _Toc353562497 \h </w:instrText>
        </w:r>
        <w:r w:rsidR="00030089">
          <w:rPr>
            <w:noProof/>
            <w:webHidden/>
          </w:rPr>
        </w:r>
        <w:r w:rsidR="00030089">
          <w:rPr>
            <w:noProof/>
            <w:webHidden/>
          </w:rPr>
          <w:fldChar w:fldCharType="separate"/>
        </w:r>
        <w:r w:rsidR="00740026">
          <w:rPr>
            <w:noProof/>
            <w:webHidden/>
          </w:rPr>
          <w:t>32</w:t>
        </w:r>
        <w:r w:rsidR="00030089">
          <w:rPr>
            <w:noProof/>
            <w:webHidden/>
          </w:rPr>
          <w:fldChar w:fldCharType="end"/>
        </w:r>
      </w:hyperlink>
    </w:p>
    <w:p w14:paraId="6889ED0E" w14:textId="77777777" w:rsidR="00030089" w:rsidRDefault="00290CD0" w:rsidP="00030089">
      <w:pPr>
        <w:pStyle w:val="TableofFigures"/>
        <w:tabs>
          <w:tab w:val="right" w:leader="dot" w:pos="9016"/>
        </w:tabs>
        <w:rPr>
          <w:noProof/>
        </w:rPr>
      </w:pPr>
      <w:hyperlink w:anchor="_Toc353562498" w:history="1">
        <w:r w:rsidR="00030089" w:rsidRPr="001B4D2F">
          <w:rPr>
            <w:rStyle w:val="Hyperlink"/>
            <w:noProof/>
          </w:rPr>
          <w:t>17 Table 4.8 Net Present Value (NPV) of key market costs and benefits at a 2% return rate increase pa to 58% over 25 years ( 3% and 10% sensitivity)</w:t>
        </w:r>
        <w:r w:rsidR="00030089">
          <w:rPr>
            <w:noProof/>
            <w:webHidden/>
          </w:rPr>
          <w:tab/>
        </w:r>
        <w:r w:rsidR="00030089">
          <w:rPr>
            <w:noProof/>
            <w:webHidden/>
          </w:rPr>
          <w:fldChar w:fldCharType="begin"/>
        </w:r>
        <w:r w:rsidR="00030089">
          <w:rPr>
            <w:noProof/>
            <w:webHidden/>
          </w:rPr>
          <w:instrText xml:space="preserve"> PAGEREF _Toc353562498 \h </w:instrText>
        </w:r>
        <w:r w:rsidR="00030089">
          <w:rPr>
            <w:noProof/>
            <w:webHidden/>
          </w:rPr>
        </w:r>
        <w:r w:rsidR="00030089">
          <w:rPr>
            <w:noProof/>
            <w:webHidden/>
          </w:rPr>
          <w:fldChar w:fldCharType="separate"/>
        </w:r>
        <w:r w:rsidR="00740026">
          <w:rPr>
            <w:noProof/>
            <w:webHidden/>
          </w:rPr>
          <w:t>33</w:t>
        </w:r>
        <w:r w:rsidR="00030089">
          <w:rPr>
            <w:noProof/>
            <w:webHidden/>
          </w:rPr>
          <w:fldChar w:fldCharType="end"/>
        </w:r>
      </w:hyperlink>
    </w:p>
    <w:p w14:paraId="0E5824E1" w14:textId="77777777" w:rsidR="00030089" w:rsidRDefault="00290CD0" w:rsidP="00030089">
      <w:pPr>
        <w:pStyle w:val="TableofFigures"/>
        <w:tabs>
          <w:tab w:val="right" w:leader="dot" w:pos="9016"/>
        </w:tabs>
        <w:rPr>
          <w:noProof/>
        </w:rPr>
      </w:pPr>
      <w:hyperlink w:anchor="_Toc353562499" w:history="1">
        <w:r w:rsidR="00030089" w:rsidRPr="001B4D2F">
          <w:rPr>
            <w:rStyle w:val="Hyperlink"/>
            <w:noProof/>
          </w:rPr>
          <w:t>18Table 4.9 Net Present Value (NPV) of key market costs and benefits at a flat 34% return rate over 10 years (3% and 10% sensitivity)</w:t>
        </w:r>
        <w:r w:rsidR="00030089">
          <w:rPr>
            <w:noProof/>
            <w:webHidden/>
          </w:rPr>
          <w:tab/>
        </w:r>
        <w:r w:rsidR="00030089">
          <w:rPr>
            <w:noProof/>
            <w:webHidden/>
          </w:rPr>
          <w:fldChar w:fldCharType="begin"/>
        </w:r>
        <w:r w:rsidR="00030089">
          <w:rPr>
            <w:noProof/>
            <w:webHidden/>
          </w:rPr>
          <w:instrText xml:space="preserve"> PAGEREF _Toc353562499 \h </w:instrText>
        </w:r>
        <w:r w:rsidR="00030089">
          <w:rPr>
            <w:noProof/>
            <w:webHidden/>
          </w:rPr>
        </w:r>
        <w:r w:rsidR="00030089">
          <w:rPr>
            <w:noProof/>
            <w:webHidden/>
          </w:rPr>
          <w:fldChar w:fldCharType="separate"/>
        </w:r>
        <w:r w:rsidR="00740026">
          <w:rPr>
            <w:noProof/>
            <w:webHidden/>
          </w:rPr>
          <w:t>33</w:t>
        </w:r>
        <w:r w:rsidR="00030089">
          <w:rPr>
            <w:noProof/>
            <w:webHidden/>
          </w:rPr>
          <w:fldChar w:fldCharType="end"/>
        </w:r>
      </w:hyperlink>
    </w:p>
    <w:p w14:paraId="668B89B4" w14:textId="77777777" w:rsidR="00030089" w:rsidRDefault="00290CD0" w:rsidP="00030089">
      <w:pPr>
        <w:pStyle w:val="TableofFigures"/>
        <w:tabs>
          <w:tab w:val="right" w:leader="dot" w:pos="9016"/>
        </w:tabs>
        <w:rPr>
          <w:noProof/>
        </w:rPr>
      </w:pPr>
      <w:hyperlink w:anchor="_Toc353562500" w:history="1">
        <w:r w:rsidR="00030089" w:rsidRPr="001B4D2F">
          <w:rPr>
            <w:rStyle w:val="Hyperlink"/>
            <w:noProof/>
          </w:rPr>
          <w:t>19Table 4.10 Net Present Value (NPV) of key market costs and benefits at  a flat 34% return rate over 25 years (3% and 10% sensitivity)</w:t>
        </w:r>
        <w:r w:rsidR="00030089">
          <w:rPr>
            <w:noProof/>
            <w:webHidden/>
          </w:rPr>
          <w:tab/>
        </w:r>
        <w:r w:rsidR="00030089">
          <w:rPr>
            <w:noProof/>
            <w:webHidden/>
          </w:rPr>
          <w:fldChar w:fldCharType="begin"/>
        </w:r>
        <w:r w:rsidR="00030089">
          <w:rPr>
            <w:noProof/>
            <w:webHidden/>
          </w:rPr>
          <w:instrText xml:space="preserve"> PAGEREF _Toc353562500 \h </w:instrText>
        </w:r>
        <w:r w:rsidR="00030089">
          <w:rPr>
            <w:noProof/>
            <w:webHidden/>
          </w:rPr>
        </w:r>
        <w:r w:rsidR="00030089">
          <w:rPr>
            <w:noProof/>
            <w:webHidden/>
          </w:rPr>
          <w:fldChar w:fldCharType="separate"/>
        </w:r>
        <w:r w:rsidR="00740026">
          <w:rPr>
            <w:noProof/>
            <w:webHidden/>
          </w:rPr>
          <w:t>33</w:t>
        </w:r>
        <w:r w:rsidR="00030089">
          <w:rPr>
            <w:noProof/>
            <w:webHidden/>
          </w:rPr>
          <w:fldChar w:fldCharType="end"/>
        </w:r>
      </w:hyperlink>
    </w:p>
    <w:p w14:paraId="122EA08D" w14:textId="77777777" w:rsidR="00030089" w:rsidRDefault="00290CD0" w:rsidP="00030089">
      <w:pPr>
        <w:pStyle w:val="TableofFigures"/>
        <w:tabs>
          <w:tab w:val="right" w:leader="dot" w:pos="9016"/>
        </w:tabs>
        <w:rPr>
          <w:noProof/>
        </w:rPr>
      </w:pPr>
      <w:hyperlink w:anchor="_Toc353562501" w:history="1">
        <w:r w:rsidR="00030089" w:rsidRPr="001B4D2F">
          <w:rPr>
            <w:rStyle w:val="Hyperlink"/>
            <w:noProof/>
          </w:rPr>
          <w:t>20 Table 4.11: Summary of costs for all options over 25 years (discounted 7%)</w:t>
        </w:r>
        <w:r w:rsidR="00030089">
          <w:rPr>
            <w:noProof/>
            <w:webHidden/>
          </w:rPr>
          <w:tab/>
        </w:r>
        <w:r w:rsidR="00030089">
          <w:rPr>
            <w:noProof/>
            <w:webHidden/>
          </w:rPr>
          <w:fldChar w:fldCharType="begin"/>
        </w:r>
        <w:r w:rsidR="00030089">
          <w:rPr>
            <w:noProof/>
            <w:webHidden/>
          </w:rPr>
          <w:instrText xml:space="preserve"> PAGEREF _Toc353562501 \h </w:instrText>
        </w:r>
        <w:r w:rsidR="00030089">
          <w:rPr>
            <w:noProof/>
            <w:webHidden/>
          </w:rPr>
        </w:r>
        <w:r w:rsidR="00030089">
          <w:rPr>
            <w:noProof/>
            <w:webHidden/>
          </w:rPr>
          <w:fldChar w:fldCharType="separate"/>
        </w:r>
        <w:r w:rsidR="00740026">
          <w:rPr>
            <w:noProof/>
            <w:webHidden/>
          </w:rPr>
          <w:t>34</w:t>
        </w:r>
        <w:r w:rsidR="00030089">
          <w:rPr>
            <w:noProof/>
            <w:webHidden/>
          </w:rPr>
          <w:fldChar w:fldCharType="end"/>
        </w:r>
      </w:hyperlink>
    </w:p>
    <w:p w14:paraId="21D1F2C1" w14:textId="77777777" w:rsidR="00030089" w:rsidRDefault="00290CD0" w:rsidP="00030089">
      <w:pPr>
        <w:pStyle w:val="TableofFigures"/>
        <w:tabs>
          <w:tab w:val="right" w:leader="dot" w:pos="9016"/>
        </w:tabs>
        <w:rPr>
          <w:noProof/>
        </w:rPr>
      </w:pPr>
      <w:hyperlink w:anchor="_Toc353562502" w:history="1">
        <w:r w:rsidR="00030089" w:rsidRPr="001B4D2F">
          <w:rPr>
            <w:rStyle w:val="Hyperlink"/>
            <w:noProof/>
          </w:rPr>
          <w:t>21 Table 4.12: Summary of benefits for all options over 25 years  (discounted 7%)</w:t>
        </w:r>
        <w:r w:rsidR="00030089">
          <w:rPr>
            <w:noProof/>
            <w:webHidden/>
          </w:rPr>
          <w:tab/>
        </w:r>
        <w:r w:rsidR="00030089">
          <w:rPr>
            <w:noProof/>
            <w:webHidden/>
          </w:rPr>
          <w:fldChar w:fldCharType="begin"/>
        </w:r>
        <w:r w:rsidR="00030089">
          <w:rPr>
            <w:noProof/>
            <w:webHidden/>
          </w:rPr>
          <w:instrText xml:space="preserve"> PAGEREF _Toc353562502 \h </w:instrText>
        </w:r>
        <w:r w:rsidR="00030089">
          <w:rPr>
            <w:noProof/>
            <w:webHidden/>
          </w:rPr>
        </w:r>
        <w:r w:rsidR="00030089">
          <w:rPr>
            <w:noProof/>
            <w:webHidden/>
          </w:rPr>
          <w:fldChar w:fldCharType="separate"/>
        </w:r>
        <w:r w:rsidR="00740026">
          <w:rPr>
            <w:noProof/>
            <w:webHidden/>
          </w:rPr>
          <w:t>36</w:t>
        </w:r>
        <w:r w:rsidR="00030089">
          <w:rPr>
            <w:noProof/>
            <w:webHidden/>
          </w:rPr>
          <w:fldChar w:fldCharType="end"/>
        </w:r>
      </w:hyperlink>
    </w:p>
    <w:p w14:paraId="0E5A8C11" w14:textId="77777777" w:rsidR="00030089" w:rsidRDefault="00290CD0" w:rsidP="00030089">
      <w:pPr>
        <w:pStyle w:val="TableofFigures"/>
        <w:tabs>
          <w:tab w:val="right" w:leader="dot" w:pos="9016"/>
        </w:tabs>
        <w:rPr>
          <w:noProof/>
        </w:rPr>
      </w:pPr>
      <w:hyperlink w:anchor="_Toc353562503" w:history="1">
        <w:r w:rsidR="00030089" w:rsidRPr="001B4D2F">
          <w:rPr>
            <w:rStyle w:val="Hyperlink"/>
            <w:noProof/>
          </w:rPr>
          <w:t>22 Table 4.13: Cost and benefit analysis for NT CDS after first 12 months operation</w:t>
        </w:r>
        <w:r w:rsidR="00030089">
          <w:rPr>
            <w:noProof/>
            <w:webHidden/>
          </w:rPr>
          <w:tab/>
        </w:r>
        <w:r w:rsidR="00030089">
          <w:rPr>
            <w:noProof/>
            <w:webHidden/>
          </w:rPr>
          <w:fldChar w:fldCharType="begin"/>
        </w:r>
        <w:r w:rsidR="00030089">
          <w:rPr>
            <w:noProof/>
            <w:webHidden/>
          </w:rPr>
          <w:instrText xml:space="preserve"> PAGEREF _Toc353562503 \h </w:instrText>
        </w:r>
        <w:r w:rsidR="00030089">
          <w:rPr>
            <w:noProof/>
            <w:webHidden/>
          </w:rPr>
        </w:r>
        <w:r w:rsidR="00030089">
          <w:rPr>
            <w:noProof/>
            <w:webHidden/>
          </w:rPr>
          <w:fldChar w:fldCharType="separate"/>
        </w:r>
        <w:r w:rsidR="00740026">
          <w:rPr>
            <w:noProof/>
            <w:webHidden/>
          </w:rPr>
          <w:t>36</w:t>
        </w:r>
        <w:r w:rsidR="00030089">
          <w:rPr>
            <w:noProof/>
            <w:webHidden/>
          </w:rPr>
          <w:fldChar w:fldCharType="end"/>
        </w:r>
      </w:hyperlink>
    </w:p>
    <w:p w14:paraId="42BC1342" w14:textId="77777777" w:rsidR="00030089" w:rsidRDefault="00290CD0" w:rsidP="00030089">
      <w:pPr>
        <w:pStyle w:val="TableofFigures"/>
        <w:tabs>
          <w:tab w:val="right" w:leader="dot" w:pos="9016"/>
        </w:tabs>
        <w:rPr>
          <w:noProof/>
        </w:rPr>
      </w:pPr>
      <w:hyperlink w:anchor="_Toc353562504" w:history="1">
        <w:r w:rsidR="00030089" w:rsidRPr="001B4D2F">
          <w:rPr>
            <w:rStyle w:val="Hyperlink"/>
            <w:noProof/>
          </w:rPr>
          <w:t>23 Figure 4.1: NT CDS containers returned to CDS Coordinators in 2012</w:t>
        </w:r>
        <w:r w:rsidR="00030089">
          <w:rPr>
            <w:noProof/>
            <w:webHidden/>
          </w:rPr>
          <w:tab/>
        </w:r>
        <w:r w:rsidR="00030089">
          <w:rPr>
            <w:noProof/>
            <w:webHidden/>
          </w:rPr>
          <w:fldChar w:fldCharType="begin"/>
        </w:r>
        <w:r w:rsidR="00030089">
          <w:rPr>
            <w:noProof/>
            <w:webHidden/>
          </w:rPr>
          <w:instrText xml:space="preserve"> PAGEREF _Toc353562504 \h </w:instrText>
        </w:r>
        <w:r w:rsidR="00030089">
          <w:rPr>
            <w:noProof/>
            <w:webHidden/>
          </w:rPr>
        </w:r>
        <w:r w:rsidR="00030089">
          <w:rPr>
            <w:noProof/>
            <w:webHidden/>
          </w:rPr>
          <w:fldChar w:fldCharType="separate"/>
        </w:r>
        <w:r w:rsidR="00740026">
          <w:rPr>
            <w:noProof/>
            <w:webHidden/>
          </w:rPr>
          <w:t>38</w:t>
        </w:r>
        <w:r w:rsidR="00030089">
          <w:rPr>
            <w:noProof/>
            <w:webHidden/>
          </w:rPr>
          <w:fldChar w:fldCharType="end"/>
        </w:r>
      </w:hyperlink>
    </w:p>
    <w:p w14:paraId="443BB5D3" w14:textId="77777777" w:rsidR="00030089" w:rsidRDefault="00290CD0" w:rsidP="00030089">
      <w:pPr>
        <w:pStyle w:val="TableofFigures"/>
        <w:tabs>
          <w:tab w:val="right" w:leader="dot" w:pos="9016"/>
        </w:tabs>
        <w:rPr>
          <w:noProof/>
        </w:rPr>
      </w:pPr>
      <w:hyperlink w:anchor="_Toc353562505" w:history="1">
        <w:r w:rsidR="00030089" w:rsidRPr="001B4D2F">
          <w:rPr>
            <w:rStyle w:val="Hyperlink"/>
            <w:noProof/>
          </w:rPr>
          <w:t>24 Table 4.14: Tonnes of beverage containers recycled pre and post CDS</w:t>
        </w:r>
        <w:r w:rsidR="00030089">
          <w:rPr>
            <w:noProof/>
            <w:webHidden/>
          </w:rPr>
          <w:tab/>
        </w:r>
        <w:r w:rsidR="00030089">
          <w:rPr>
            <w:noProof/>
            <w:webHidden/>
          </w:rPr>
          <w:fldChar w:fldCharType="begin"/>
        </w:r>
        <w:r w:rsidR="00030089">
          <w:rPr>
            <w:noProof/>
            <w:webHidden/>
          </w:rPr>
          <w:instrText xml:space="preserve"> PAGEREF _Toc353562505 \h </w:instrText>
        </w:r>
        <w:r w:rsidR="00030089">
          <w:rPr>
            <w:noProof/>
            <w:webHidden/>
          </w:rPr>
        </w:r>
        <w:r w:rsidR="00030089">
          <w:rPr>
            <w:noProof/>
            <w:webHidden/>
          </w:rPr>
          <w:fldChar w:fldCharType="separate"/>
        </w:r>
        <w:r w:rsidR="00740026">
          <w:rPr>
            <w:noProof/>
            <w:webHidden/>
          </w:rPr>
          <w:t>38</w:t>
        </w:r>
        <w:r w:rsidR="00030089">
          <w:rPr>
            <w:noProof/>
            <w:webHidden/>
          </w:rPr>
          <w:fldChar w:fldCharType="end"/>
        </w:r>
      </w:hyperlink>
    </w:p>
    <w:p w14:paraId="41BB3A3E" w14:textId="77777777" w:rsidR="00030089" w:rsidRDefault="00290CD0" w:rsidP="00030089">
      <w:pPr>
        <w:pStyle w:val="TableofFigures"/>
        <w:tabs>
          <w:tab w:val="right" w:leader="dot" w:pos="9016"/>
        </w:tabs>
        <w:rPr>
          <w:noProof/>
        </w:rPr>
      </w:pPr>
      <w:hyperlink w:anchor="_Toc353562506" w:history="1">
        <w:r w:rsidR="00030089" w:rsidRPr="001B4D2F">
          <w:rPr>
            <w:rStyle w:val="Hyperlink"/>
            <w:noProof/>
          </w:rPr>
          <w:t>25 Table 4.15: Market value of NT CDS recycling over and above existing kerbside</w:t>
        </w:r>
        <w:r w:rsidR="00030089">
          <w:rPr>
            <w:noProof/>
            <w:webHidden/>
          </w:rPr>
          <w:tab/>
        </w:r>
        <w:r w:rsidR="00030089">
          <w:rPr>
            <w:noProof/>
            <w:webHidden/>
          </w:rPr>
          <w:fldChar w:fldCharType="begin"/>
        </w:r>
        <w:r w:rsidR="00030089">
          <w:rPr>
            <w:noProof/>
            <w:webHidden/>
          </w:rPr>
          <w:instrText xml:space="preserve"> PAGEREF _Toc353562506 \h </w:instrText>
        </w:r>
        <w:r w:rsidR="00030089">
          <w:rPr>
            <w:noProof/>
            <w:webHidden/>
          </w:rPr>
        </w:r>
        <w:r w:rsidR="00030089">
          <w:rPr>
            <w:noProof/>
            <w:webHidden/>
          </w:rPr>
          <w:fldChar w:fldCharType="separate"/>
        </w:r>
        <w:r w:rsidR="00740026">
          <w:rPr>
            <w:noProof/>
            <w:webHidden/>
          </w:rPr>
          <w:t>42</w:t>
        </w:r>
        <w:r w:rsidR="00030089">
          <w:rPr>
            <w:noProof/>
            <w:webHidden/>
          </w:rPr>
          <w:fldChar w:fldCharType="end"/>
        </w:r>
      </w:hyperlink>
    </w:p>
    <w:p w14:paraId="46B62727" w14:textId="77777777" w:rsidR="00030089" w:rsidRDefault="00290CD0" w:rsidP="00030089">
      <w:pPr>
        <w:pStyle w:val="TableofFigures"/>
        <w:tabs>
          <w:tab w:val="right" w:leader="dot" w:pos="9016"/>
        </w:tabs>
        <w:rPr>
          <w:noProof/>
        </w:rPr>
      </w:pPr>
      <w:hyperlink w:anchor="_Toc353562507" w:history="1">
        <w:r w:rsidR="00030089" w:rsidRPr="001B4D2F">
          <w:rPr>
            <w:rStyle w:val="Hyperlink"/>
            <w:noProof/>
          </w:rPr>
          <w:t>26 Table 4.16: Operating costs of landfill ($/tonne)</w:t>
        </w:r>
        <w:r w:rsidR="00030089">
          <w:rPr>
            <w:noProof/>
            <w:webHidden/>
          </w:rPr>
          <w:tab/>
        </w:r>
        <w:r w:rsidR="00030089">
          <w:rPr>
            <w:noProof/>
            <w:webHidden/>
          </w:rPr>
          <w:fldChar w:fldCharType="begin"/>
        </w:r>
        <w:r w:rsidR="00030089">
          <w:rPr>
            <w:noProof/>
            <w:webHidden/>
          </w:rPr>
          <w:instrText xml:space="preserve"> PAGEREF _Toc353562507 \h </w:instrText>
        </w:r>
        <w:r w:rsidR="00030089">
          <w:rPr>
            <w:noProof/>
            <w:webHidden/>
          </w:rPr>
        </w:r>
        <w:r w:rsidR="00030089">
          <w:rPr>
            <w:noProof/>
            <w:webHidden/>
          </w:rPr>
          <w:fldChar w:fldCharType="separate"/>
        </w:r>
        <w:r w:rsidR="00740026">
          <w:rPr>
            <w:noProof/>
            <w:webHidden/>
          </w:rPr>
          <w:t>43</w:t>
        </w:r>
        <w:r w:rsidR="00030089">
          <w:rPr>
            <w:noProof/>
            <w:webHidden/>
          </w:rPr>
          <w:fldChar w:fldCharType="end"/>
        </w:r>
      </w:hyperlink>
    </w:p>
    <w:p w14:paraId="5508D9B6" w14:textId="77777777" w:rsidR="00030089" w:rsidRDefault="00290CD0" w:rsidP="00030089">
      <w:pPr>
        <w:pStyle w:val="TableofFigures"/>
        <w:tabs>
          <w:tab w:val="right" w:leader="dot" w:pos="9016"/>
        </w:tabs>
        <w:rPr>
          <w:noProof/>
        </w:rPr>
      </w:pPr>
      <w:hyperlink w:anchor="_Toc353562508" w:history="1">
        <w:r w:rsidR="00030089" w:rsidRPr="001B4D2F">
          <w:rPr>
            <w:rStyle w:val="Hyperlink"/>
            <w:noProof/>
          </w:rPr>
          <w:t>27 Table 4.17: Keep Australia Beautiful (KAB) Annual Results Tabulations: plastic bags 2011-12</w:t>
        </w:r>
        <w:r w:rsidR="00030089">
          <w:rPr>
            <w:noProof/>
            <w:webHidden/>
          </w:rPr>
          <w:tab/>
        </w:r>
        <w:r w:rsidR="00030089">
          <w:rPr>
            <w:noProof/>
            <w:webHidden/>
          </w:rPr>
          <w:fldChar w:fldCharType="begin"/>
        </w:r>
        <w:r w:rsidR="00030089">
          <w:rPr>
            <w:noProof/>
            <w:webHidden/>
          </w:rPr>
          <w:instrText xml:space="preserve"> PAGEREF _Toc353562508 \h </w:instrText>
        </w:r>
        <w:r w:rsidR="00030089">
          <w:rPr>
            <w:noProof/>
            <w:webHidden/>
          </w:rPr>
        </w:r>
        <w:r w:rsidR="00030089">
          <w:rPr>
            <w:noProof/>
            <w:webHidden/>
          </w:rPr>
          <w:fldChar w:fldCharType="separate"/>
        </w:r>
        <w:r w:rsidR="00740026">
          <w:rPr>
            <w:noProof/>
            <w:webHidden/>
          </w:rPr>
          <w:t>43</w:t>
        </w:r>
        <w:r w:rsidR="00030089">
          <w:rPr>
            <w:noProof/>
            <w:webHidden/>
          </w:rPr>
          <w:fldChar w:fldCharType="end"/>
        </w:r>
      </w:hyperlink>
    </w:p>
    <w:p w14:paraId="4F94ED17" w14:textId="77777777" w:rsidR="00030089" w:rsidRDefault="00290CD0" w:rsidP="00030089">
      <w:pPr>
        <w:pStyle w:val="TableofFigures"/>
        <w:tabs>
          <w:tab w:val="right" w:leader="dot" w:pos="9016"/>
        </w:tabs>
        <w:rPr>
          <w:noProof/>
        </w:rPr>
      </w:pPr>
      <w:hyperlink w:anchor="_Toc353562509" w:history="1">
        <w:r w:rsidR="00030089" w:rsidRPr="001B4D2F">
          <w:rPr>
            <w:rStyle w:val="Hyperlink"/>
            <w:noProof/>
          </w:rPr>
          <w:t>28 Table 4.18: Beverage container litter by item</w:t>
        </w:r>
        <w:r w:rsidR="00030089">
          <w:rPr>
            <w:noProof/>
            <w:webHidden/>
          </w:rPr>
          <w:tab/>
        </w:r>
        <w:r w:rsidR="00030089">
          <w:rPr>
            <w:noProof/>
            <w:webHidden/>
          </w:rPr>
          <w:fldChar w:fldCharType="begin"/>
        </w:r>
        <w:r w:rsidR="00030089">
          <w:rPr>
            <w:noProof/>
            <w:webHidden/>
          </w:rPr>
          <w:instrText xml:space="preserve"> PAGEREF _Toc353562509 \h </w:instrText>
        </w:r>
        <w:r w:rsidR="00030089">
          <w:rPr>
            <w:noProof/>
            <w:webHidden/>
          </w:rPr>
        </w:r>
        <w:r w:rsidR="00030089">
          <w:rPr>
            <w:noProof/>
            <w:webHidden/>
          </w:rPr>
          <w:fldChar w:fldCharType="separate"/>
        </w:r>
        <w:r w:rsidR="00740026">
          <w:rPr>
            <w:noProof/>
            <w:webHidden/>
          </w:rPr>
          <w:t>44</w:t>
        </w:r>
        <w:r w:rsidR="00030089">
          <w:rPr>
            <w:noProof/>
            <w:webHidden/>
          </w:rPr>
          <w:fldChar w:fldCharType="end"/>
        </w:r>
      </w:hyperlink>
    </w:p>
    <w:p w14:paraId="1F585A42" w14:textId="77777777" w:rsidR="00030089" w:rsidRDefault="00290CD0" w:rsidP="00030089">
      <w:pPr>
        <w:pStyle w:val="TableofFigures"/>
        <w:tabs>
          <w:tab w:val="right" w:leader="dot" w:pos="9016"/>
        </w:tabs>
        <w:rPr>
          <w:noProof/>
        </w:rPr>
      </w:pPr>
      <w:hyperlink w:anchor="_Toc353562510" w:history="1">
        <w:r w:rsidR="00030089" w:rsidRPr="001B4D2F">
          <w:rPr>
            <w:rStyle w:val="Hyperlink"/>
            <w:noProof/>
          </w:rPr>
          <w:t>29 Table 4.19: KAB annual results tabulations 2011-12 data for beverage-related litter</w:t>
        </w:r>
        <w:r w:rsidR="00030089">
          <w:rPr>
            <w:noProof/>
            <w:webHidden/>
          </w:rPr>
          <w:tab/>
        </w:r>
        <w:r w:rsidR="00030089">
          <w:rPr>
            <w:noProof/>
            <w:webHidden/>
          </w:rPr>
          <w:fldChar w:fldCharType="begin"/>
        </w:r>
        <w:r w:rsidR="00030089">
          <w:rPr>
            <w:noProof/>
            <w:webHidden/>
          </w:rPr>
          <w:instrText xml:space="preserve"> PAGEREF _Toc353562510 \h </w:instrText>
        </w:r>
        <w:r w:rsidR="00030089">
          <w:rPr>
            <w:noProof/>
            <w:webHidden/>
          </w:rPr>
        </w:r>
        <w:r w:rsidR="00030089">
          <w:rPr>
            <w:noProof/>
            <w:webHidden/>
          </w:rPr>
          <w:fldChar w:fldCharType="separate"/>
        </w:r>
        <w:r w:rsidR="00740026">
          <w:rPr>
            <w:noProof/>
            <w:webHidden/>
          </w:rPr>
          <w:t>44</w:t>
        </w:r>
        <w:r w:rsidR="00030089">
          <w:rPr>
            <w:noProof/>
            <w:webHidden/>
          </w:rPr>
          <w:fldChar w:fldCharType="end"/>
        </w:r>
      </w:hyperlink>
    </w:p>
    <w:p w14:paraId="1B8B53B8" w14:textId="77777777" w:rsidR="00030089" w:rsidRDefault="00290CD0" w:rsidP="00030089">
      <w:pPr>
        <w:pStyle w:val="TableofFigures"/>
        <w:tabs>
          <w:tab w:val="right" w:leader="dot" w:pos="9016"/>
        </w:tabs>
        <w:rPr>
          <w:noProof/>
        </w:rPr>
      </w:pPr>
      <w:hyperlink w:anchor="_Toc353562511" w:history="1">
        <w:r w:rsidR="00030089" w:rsidRPr="001B4D2F">
          <w:rPr>
            <w:rStyle w:val="Hyperlink"/>
            <w:noProof/>
          </w:rPr>
          <w:t>30 Table 4.20: KA total litter and cigarette butt litter</w:t>
        </w:r>
        <w:r w:rsidR="00030089">
          <w:rPr>
            <w:noProof/>
            <w:webHidden/>
          </w:rPr>
          <w:tab/>
        </w:r>
        <w:r w:rsidR="00030089">
          <w:rPr>
            <w:noProof/>
            <w:webHidden/>
          </w:rPr>
          <w:fldChar w:fldCharType="begin"/>
        </w:r>
        <w:r w:rsidR="00030089">
          <w:rPr>
            <w:noProof/>
            <w:webHidden/>
          </w:rPr>
          <w:instrText xml:space="preserve"> PAGEREF _Toc353562511 \h </w:instrText>
        </w:r>
        <w:r w:rsidR="00030089">
          <w:rPr>
            <w:noProof/>
            <w:webHidden/>
          </w:rPr>
        </w:r>
        <w:r w:rsidR="00030089">
          <w:rPr>
            <w:noProof/>
            <w:webHidden/>
          </w:rPr>
          <w:fldChar w:fldCharType="separate"/>
        </w:r>
        <w:r w:rsidR="00740026">
          <w:rPr>
            <w:noProof/>
            <w:webHidden/>
          </w:rPr>
          <w:t>45</w:t>
        </w:r>
        <w:r w:rsidR="00030089">
          <w:rPr>
            <w:noProof/>
            <w:webHidden/>
          </w:rPr>
          <w:fldChar w:fldCharType="end"/>
        </w:r>
      </w:hyperlink>
    </w:p>
    <w:p w14:paraId="4B178718" w14:textId="77777777" w:rsidR="00030089" w:rsidRDefault="00290CD0" w:rsidP="00030089">
      <w:pPr>
        <w:pStyle w:val="TableofFigures"/>
        <w:tabs>
          <w:tab w:val="right" w:leader="dot" w:pos="9016"/>
        </w:tabs>
        <w:rPr>
          <w:noProof/>
        </w:rPr>
      </w:pPr>
      <w:hyperlink w:anchor="_Toc353562512" w:history="1">
        <w:r w:rsidR="00030089" w:rsidRPr="001B4D2F">
          <w:rPr>
            <w:rStyle w:val="Hyperlink"/>
            <w:noProof/>
          </w:rPr>
          <w:t>31 Table 4.21: KAB beverage container litter covered by NT CDS volume (in litres)</w:t>
        </w:r>
        <w:r w:rsidR="00030089">
          <w:rPr>
            <w:noProof/>
            <w:webHidden/>
          </w:rPr>
          <w:tab/>
        </w:r>
        <w:r w:rsidR="00030089">
          <w:rPr>
            <w:noProof/>
            <w:webHidden/>
          </w:rPr>
          <w:fldChar w:fldCharType="begin"/>
        </w:r>
        <w:r w:rsidR="00030089">
          <w:rPr>
            <w:noProof/>
            <w:webHidden/>
          </w:rPr>
          <w:instrText xml:space="preserve"> PAGEREF _Toc353562512 \h </w:instrText>
        </w:r>
        <w:r w:rsidR="00030089">
          <w:rPr>
            <w:noProof/>
            <w:webHidden/>
          </w:rPr>
        </w:r>
        <w:r w:rsidR="00030089">
          <w:rPr>
            <w:noProof/>
            <w:webHidden/>
          </w:rPr>
          <w:fldChar w:fldCharType="separate"/>
        </w:r>
        <w:r w:rsidR="00740026">
          <w:rPr>
            <w:noProof/>
            <w:webHidden/>
          </w:rPr>
          <w:t>45</w:t>
        </w:r>
        <w:r w:rsidR="00030089">
          <w:rPr>
            <w:noProof/>
            <w:webHidden/>
          </w:rPr>
          <w:fldChar w:fldCharType="end"/>
        </w:r>
      </w:hyperlink>
    </w:p>
    <w:p w14:paraId="60A687F9" w14:textId="77777777" w:rsidR="00030089" w:rsidRDefault="00290CD0" w:rsidP="00030089">
      <w:pPr>
        <w:pStyle w:val="TableofFigures"/>
        <w:tabs>
          <w:tab w:val="right" w:leader="dot" w:pos="9016"/>
        </w:tabs>
        <w:rPr>
          <w:noProof/>
        </w:rPr>
      </w:pPr>
      <w:hyperlink w:anchor="_Toc353562513" w:history="1">
        <w:r w:rsidR="00030089" w:rsidRPr="001B4D2F">
          <w:rPr>
            <w:rStyle w:val="Hyperlink"/>
            <w:noProof/>
          </w:rPr>
          <w:t>32 Table 4.22: NT CDS impact on litter clean-up employment costs in the NT</w:t>
        </w:r>
        <w:r w:rsidR="00030089">
          <w:rPr>
            <w:noProof/>
            <w:webHidden/>
          </w:rPr>
          <w:tab/>
        </w:r>
        <w:r w:rsidR="00030089">
          <w:rPr>
            <w:noProof/>
            <w:webHidden/>
          </w:rPr>
          <w:fldChar w:fldCharType="begin"/>
        </w:r>
        <w:r w:rsidR="00030089">
          <w:rPr>
            <w:noProof/>
            <w:webHidden/>
          </w:rPr>
          <w:instrText xml:space="preserve"> PAGEREF _Toc353562513 \h </w:instrText>
        </w:r>
        <w:r w:rsidR="00030089">
          <w:rPr>
            <w:noProof/>
            <w:webHidden/>
          </w:rPr>
        </w:r>
        <w:r w:rsidR="00030089">
          <w:rPr>
            <w:noProof/>
            <w:webHidden/>
          </w:rPr>
          <w:fldChar w:fldCharType="separate"/>
        </w:r>
        <w:r w:rsidR="00740026">
          <w:rPr>
            <w:noProof/>
            <w:webHidden/>
          </w:rPr>
          <w:t>46</w:t>
        </w:r>
        <w:r w:rsidR="00030089">
          <w:rPr>
            <w:noProof/>
            <w:webHidden/>
          </w:rPr>
          <w:fldChar w:fldCharType="end"/>
        </w:r>
      </w:hyperlink>
    </w:p>
    <w:p w14:paraId="6FBB36A4" w14:textId="77777777" w:rsidR="00030089" w:rsidRDefault="00290CD0" w:rsidP="00030089">
      <w:pPr>
        <w:pStyle w:val="TableofFigures"/>
        <w:tabs>
          <w:tab w:val="right" w:leader="dot" w:pos="9016"/>
        </w:tabs>
        <w:rPr>
          <w:noProof/>
        </w:rPr>
      </w:pPr>
      <w:hyperlink w:anchor="_Toc353562514" w:history="1">
        <w:r w:rsidR="00030089" w:rsidRPr="001B4D2F">
          <w:rPr>
            <w:rStyle w:val="Hyperlink"/>
            <w:noProof/>
          </w:rPr>
          <w:t>33 Table 4.23: Environmental benefit of recycling increase generated by the NT CDS</w:t>
        </w:r>
        <w:r w:rsidR="00030089">
          <w:rPr>
            <w:noProof/>
            <w:webHidden/>
          </w:rPr>
          <w:tab/>
        </w:r>
        <w:r w:rsidR="00030089">
          <w:rPr>
            <w:noProof/>
            <w:webHidden/>
          </w:rPr>
          <w:fldChar w:fldCharType="begin"/>
        </w:r>
        <w:r w:rsidR="00030089">
          <w:rPr>
            <w:noProof/>
            <w:webHidden/>
          </w:rPr>
          <w:instrText xml:space="preserve"> PAGEREF _Toc353562514 \h </w:instrText>
        </w:r>
        <w:r w:rsidR="00030089">
          <w:rPr>
            <w:noProof/>
            <w:webHidden/>
          </w:rPr>
        </w:r>
        <w:r w:rsidR="00030089">
          <w:rPr>
            <w:noProof/>
            <w:webHidden/>
          </w:rPr>
          <w:fldChar w:fldCharType="separate"/>
        </w:r>
        <w:r w:rsidR="00740026">
          <w:rPr>
            <w:noProof/>
            <w:webHidden/>
          </w:rPr>
          <w:t>47</w:t>
        </w:r>
        <w:r w:rsidR="00030089">
          <w:rPr>
            <w:noProof/>
            <w:webHidden/>
          </w:rPr>
          <w:fldChar w:fldCharType="end"/>
        </w:r>
      </w:hyperlink>
    </w:p>
    <w:p w14:paraId="7C2C33F3" w14:textId="77777777" w:rsidR="00030089" w:rsidRDefault="00290CD0" w:rsidP="00030089">
      <w:pPr>
        <w:pStyle w:val="TableofFigures"/>
        <w:tabs>
          <w:tab w:val="right" w:leader="dot" w:pos="9016"/>
        </w:tabs>
        <w:rPr>
          <w:noProof/>
        </w:rPr>
      </w:pPr>
      <w:hyperlink w:anchor="_Toc353562515" w:history="1">
        <w:r w:rsidR="00030089" w:rsidRPr="001B4D2F">
          <w:rPr>
            <w:rStyle w:val="Hyperlink"/>
            <w:noProof/>
          </w:rPr>
          <w:t>34  Table 4.24: CDS proportion of NT kerbside collection</w:t>
        </w:r>
        <w:r w:rsidR="00030089">
          <w:rPr>
            <w:noProof/>
            <w:webHidden/>
          </w:rPr>
          <w:tab/>
        </w:r>
        <w:r w:rsidR="00030089">
          <w:rPr>
            <w:noProof/>
            <w:webHidden/>
          </w:rPr>
          <w:fldChar w:fldCharType="begin"/>
        </w:r>
        <w:r w:rsidR="00030089">
          <w:rPr>
            <w:noProof/>
            <w:webHidden/>
          </w:rPr>
          <w:instrText xml:space="preserve"> PAGEREF _Toc353562515 \h </w:instrText>
        </w:r>
        <w:r w:rsidR="00030089">
          <w:rPr>
            <w:noProof/>
            <w:webHidden/>
          </w:rPr>
        </w:r>
        <w:r w:rsidR="00030089">
          <w:rPr>
            <w:noProof/>
            <w:webHidden/>
          </w:rPr>
          <w:fldChar w:fldCharType="separate"/>
        </w:r>
        <w:r w:rsidR="00740026">
          <w:rPr>
            <w:noProof/>
            <w:webHidden/>
          </w:rPr>
          <w:t>48</w:t>
        </w:r>
        <w:r w:rsidR="00030089">
          <w:rPr>
            <w:noProof/>
            <w:webHidden/>
          </w:rPr>
          <w:fldChar w:fldCharType="end"/>
        </w:r>
      </w:hyperlink>
    </w:p>
    <w:p w14:paraId="46D1F394" w14:textId="77777777" w:rsidR="00030089" w:rsidRDefault="00290CD0" w:rsidP="00030089">
      <w:pPr>
        <w:pStyle w:val="TableofFigures"/>
        <w:tabs>
          <w:tab w:val="right" w:leader="dot" w:pos="9016"/>
        </w:tabs>
        <w:rPr>
          <w:noProof/>
        </w:rPr>
      </w:pPr>
      <w:hyperlink w:anchor="_Toc353562516" w:history="1">
        <w:r w:rsidR="00030089" w:rsidRPr="001B4D2F">
          <w:rPr>
            <w:rStyle w:val="Hyperlink"/>
            <w:noProof/>
          </w:rPr>
          <w:t>35 Table 4.25: Beverage container consumption, recovery and recycling</w:t>
        </w:r>
        <w:r w:rsidR="00030089">
          <w:rPr>
            <w:noProof/>
            <w:webHidden/>
          </w:rPr>
          <w:tab/>
        </w:r>
        <w:r w:rsidR="00030089">
          <w:rPr>
            <w:noProof/>
            <w:webHidden/>
          </w:rPr>
          <w:fldChar w:fldCharType="begin"/>
        </w:r>
        <w:r w:rsidR="00030089">
          <w:rPr>
            <w:noProof/>
            <w:webHidden/>
          </w:rPr>
          <w:instrText xml:space="preserve"> PAGEREF _Toc353562516 \h </w:instrText>
        </w:r>
        <w:r w:rsidR="00030089">
          <w:rPr>
            <w:noProof/>
            <w:webHidden/>
          </w:rPr>
        </w:r>
        <w:r w:rsidR="00030089">
          <w:rPr>
            <w:noProof/>
            <w:webHidden/>
          </w:rPr>
          <w:fldChar w:fldCharType="separate"/>
        </w:r>
        <w:r w:rsidR="00740026">
          <w:rPr>
            <w:noProof/>
            <w:webHidden/>
          </w:rPr>
          <w:t>48</w:t>
        </w:r>
        <w:r w:rsidR="00030089">
          <w:rPr>
            <w:noProof/>
            <w:webHidden/>
          </w:rPr>
          <w:fldChar w:fldCharType="end"/>
        </w:r>
      </w:hyperlink>
    </w:p>
    <w:p w14:paraId="7F7A49CE" w14:textId="77777777" w:rsidR="00030089" w:rsidRDefault="00290CD0" w:rsidP="00030089">
      <w:pPr>
        <w:pStyle w:val="TableofFigures"/>
        <w:tabs>
          <w:tab w:val="right" w:leader="dot" w:pos="9016"/>
        </w:tabs>
        <w:rPr>
          <w:noProof/>
        </w:rPr>
      </w:pPr>
      <w:hyperlink w:anchor="_Toc353562517" w:history="1">
        <w:r w:rsidR="00030089" w:rsidRPr="001B4D2F">
          <w:rPr>
            <w:rStyle w:val="Hyperlink"/>
            <w:noProof/>
          </w:rPr>
          <w:t>36 Table 4.26: Cost benefit results for NT CDS after 25 years (discounted)</w:t>
        </w:r>
        <w:r w:rsidR="00030089">
          <w:rPr>
            <w:noProof/>
            <w:webHidden/>
          </w:rPr>
          <w:tab/>
        </w:r>
        <w:r w:rsidR="00030089">
          <w:rPr>
            <w:noProof/>
            <w:webHidden/>
          </w:rPr>
          <w:fldChar w:fldCharType="begin"/>
        </w:r>
        <w:r w:rsidR="00030089">
          <w:rPr>
            <w:noProof/>
            <w:webHidden/>
          </w:rPr>
          <w:instrText xml:space="preserve"> PAGEREF _Toc353562517 \h </w:instrText>
        </w:r>
        <w:r w:rsidR="00030089">
          <w:rPr>
            <w:noProof/>
            <w:webHidden/>
          </w:rPr>
        </w:r>
        <w:r w:rsidR="00030089">
          <w:rPr>
            <w:noProof/>
            <w:webHidden/>
          </w:rPr>
          <w:fldChar w:fldCharType="separate"/>
        </w:r>
        <w:r w:rsidR="00740026">
          <w:rPr>
            <w:noProof/>
            <w:webHidden/>
          </w:rPr>
          <w:t>49</w:t>
        </w:r>
        <w:r w:rsidR="00030089">
          <w:rPr>
            <w:noProof/>
            <w:webHidden/>
          </w:rPr>
          <w:fldChar w:fldCharType="end"/>
        </w:r>
      </w:hyperlink>
    </w:p>
    <w:p w14:paraId="116E6A43" w14:textId="77777777" w:rsidR="00030089" w:rsidRDefault="00290CD0" w:rsidP="00030089">
      <w:pPr>
        <w:pStyle w:val="TableofFigures"/>
        <w:tabs>
          <w:tab w:val="right" w:leader="dot" w:pos="9016"/>
        </w:tabs>
        <w:rPr>
          <w:noProof/>
        </w:rPr>
      </w:pPr>
      <w:hyperlink w:anchor="_Toc353562518" w:history="1">
        <w:r w:rsidR="00030089" w:rsidRPr="001B4D2F">
          <w:rPr>
            <w:rStyle w:val="Hyperlink"/>
            <w:noProof/>
          </w:rPr>
          <w:t>37 Table 4.27: Packaging Impacts CRIS’s results of Cost Benefit Analysis (CBA); excluding non-use values ($2011; $ millions; discounted) for all options</w:t>
        </w:r>
        <w:r w:rsidR="00030089">
          <w:rPr>
            <w:noProof/>
            <w:webHidden/>
          </w:rPr>
          <w:tab/>
        </w:r>
        <w:r w:rsidR="00030089">
          <w:rPr>
            <w:noProof/>
            <w:webHidden/>
          </w:rPr>
          <w:fldChar w:fldCharType="begin"/>
        </w:r>
        <w:r w:rsidR="00030089">
          <w:rPr>
            <w:noProof/>
            <w:webHidden/>
          </w:rPr>
          <w:instrText xml:space="preserve"> PAGEREF _Toc353562518 \h </w:instrText>
        </w:r>
        <w:r w:rsidR="00030089">
          <w:rPr>
            <w:noProof/>
            <w:webHidden/>
          </w:rPr>
        </w:r>
        <w:r w:rsidR="00030089">
          <w:rPr>
            <w:noProof/>
            <w:webHidden/>
          </w:rPr>
          <w:fldChar w:fldCharType="separate"/>
        </w:r>
        <w:r w:rsidR="00740026">
          <w:rPr>
            <w:noProof/>
            <w:webHidden/>
          </w:rPr>
          <w:t>52</w:t>
        </w:r>
        <w:r w:rsidR="00030089">
          <w:rPr>
            <w:noProof/>
            <w:webHidden/>
          </w:rPr>
          <w:fldChar w:fldCharType="end"/>
        </w:r>
      </w:hyperlink>
    </w:p>
    <w:p w14:paraId="53EF3A92" w14:textId="77777777" w:rsidR="00030089" w:rsidRDefault="00290CD0" w:rsidP="00030089">
      <w:pPr>
        <w:pStyle w:val="TableofFigures"/>
        <w:tabs>
          <w:tab w:val="right" w:leader="dot" w:pos="9016"/>
        </w:tabs>
        <w:rPr>
          <w:noProof/>
        </w:rPr>
      </w:pPr>
      <w:hyperlink w:anchor="_Toc353562519" w:history="1">
        <w:r w:rsidR="00030089" w:rsidRPr="001B4D2F">
          <w:rPr>
            <w:rStyle w:val="Hyperlink"/>
            <w:noProof/>
          </w:rPr>
          <w:t xml:space="preserve">38 Table 4.28: </w:t>
        </w:r>
        <w:bookmarkStart w:id="1" w:name="_GoBack"/>
        <w:bookmarkEnd w:id="1"/>
        <w:r w:rsidR="00030089" w:rsidRPr="001B4D2F">
          <w:rPr>
            <w:rStyle w:val="Hyperlink"/>
            <w:noProof/>
          </w:rPr>
          <w:t>Packaging Impacts CRIS’s incremental costs; annual and present values over 25 year analysis period ($ millions) for all options</w:t>
        </w:r>
        <w:r w:rsidR="00030089">
          <w:rPr>
            <w:noProof/>
            <w:webHidden/>
          </w:rPr>
          <w:tab/>
        </w:r>
        <w:r w:rsidR="00030089">
          <w:rPr>
            <w:noProof/>
            <w:webHidden/>
          </w:rPr>
          <w:fldChar w:fldCharType="begin"/>
        </w:r>
        <w:r w:rsidR="00030089">
          <w:rPr>
            <w:noProof/>
            <w:webHidden/>
          </w:rPr>
          <w:instrText xml:space="preserve"> PAGEREF _Toc353562519 \h </w:instrText>
        </w:r>
        <w:r w:rsidR="00030089">
          <w:rPr>
            <w:noProof/>
            <w:webHidden/>
          </w:rPr>
        </w:r>
        <w:r w:rsidR="00030089">
          <w:rPr>
            <w:noProof/>
            <w:webHidden/>
          </w:rPr>
          <w:fldChar w:fldCharType="separate"/>
        </w:r>
        <w:r w:rsidR="00740026">
          <w:rPr>
            <w:noProof/>
            <w:webHidden/>
          </w:rPr>
          <w:t>52</w:t>
        </w:r>
        <w:r w:rsidR="00030089">
          <w:rPr>
            <w:noProof/>
            <w:webHidden/>
          </w:rPr>
          <w:fldChar w:fldCharType="end"/>
        </w:r>
      </w:hyperlink>
    </w:p>
    <w:p w14:paraId="1BA6CFA7" w14:textId="77777777" w:rsidR="00030089" w:rsidRDefault="00290CD0" w:rsidP="00030089">
      <w:pPr>
        <w:pStyle w:val="TableofFigures"/>
        <w:tabs>
          <w:tab w:val="right" w:leader="dot" w:pos="9016"/>
        </w:tabs>
        <w:rPr>
          <w:noProof/>
        </w:rPr>
      </w:pPr>
      <w:hyperlink w:anchor="_Toc353562520" w:history="1">
        <w:r w:rsidR="00030089" w:rsidRPr="001B4D2F">
          <w:rPr>
            <w:rStyle w:val="Hyperlink"/>
            <w:noProof/>
          </w:rPr>
          <w:t>39 Table 4.29: Packaging Impacts CRIS’s incremental benefits; annual and present values over 25 year analysis period ($ millions) for all options</w:t>
        </w:r>
        <w:r w:rsidR="00030089">
          <w:rPr>
            <w:noProof/>
            <w:webHidden/>
          </w:rPr>
          <w:tab/>
        </w:r>
        <w:r w:rsidR="00030089">
          <w:rPr>
            <w:noProof/>
            <w:webHidden/>
          </w:rPr>
          <w:fldChar w:fldCharType="begin"/>
        </w:r>
        <w:r w:rsidR="00030089">
          <w:rPr>
            <w:noProof/>
            <w:webHidden/>
          </w:rPr>
          <w:instrText xml:space="preserve"> PAGEREF _Toc353562520 \h </w:instrText>
        </w:r>
        <w:r w:rsidR="00030089">
          <w:rPr>
            <w:noProof/>
            <w:webHidden/>
          </w:rPr>
        </w:r>
        <w:r w:rsidR="00030089">
          <w:rPr>
            <w:noProof/>
            <w:webHidden/>
          </w:rPr>
          <w:fldChar w:fldCharType="separate"/>
        </w:r>
        <w:r w:rsidR="00740026">
          <w:rPr>
            <w:noProof/>
            <w:webHidden/>
          </w:rPr>
          <w:t>53</w:t>
        </w:r>
        <w:r w:rsidR="00030089">
          <w:rPr>
            <w:noProof/>
            <w:webHidden/>
          </w:rPr>
          <w:fldChar w:fldCharType="end"/>
        </w:r>
      </w:hyperlink>
    </w:p>
    <w:p w14:paraId="6979009F" w14:textId="77777777" w:rsidR="00030089" w:rsidRDefault="00290CD0" w:rsidP="00030089">
      <w:pPr>
        <w:pStyle w:val="TableofFigures"/>
        <w:tabs>
          <w:tab w:val="right" w:leader="dot" w:pos="9016"/>
        </w:tabs>
        <w:rPr>
          <w:noProof/>
        </w:rPr>
      </w:pPr>
      <w:hyperlink w:anchor="_Toc353562521" w:history="1">
        <w:r w:rsidR="00030089" w:rsidRPr="001B4D2F">
          <w:rPr>
            <w:rStyle w:val="Hyperlink"/>
            <w:noProof/>
          </w:rPr>
          <w:t>40 Table 4.30: Summary of key factors driving the results of the CBA</w:t>
        </w:r>
        <w:r w:rsidR="00030089">
          <w:rPr>
            <w:noProof/>
            <w:webHidden/>
          </w:rPr>
          <w:tab/>
        </w:r>
        <w:r w:rsidR="00030089">
          <w:rPr>
            <w:noProof/>
            <w:webHidden/>
          </w:rPr>
          <w:fldChar w:fldCharType="begin"/>
        </w:r>
        <w:r w:rsidR="00030089">
          <w:rPr>
            <w:noProof/>
            <w:webHidden/>
          </w:rPr>
          <w:instrText xml:space="preserve"> PAGEREF _Toc353562521 \h </w:instrText>
        </w:r>
        <w:r w:rsidR="00030089">
          <w:rPr>
            <w:noProof/>
            <w:webHidden/>
          </w:rPr>
        </w:r>
        <w:r w:rsidR="00030089">
          <w:rPr>
            <w:noProof/>
            <w:webHidden/>
          </w:rPr>
          <w:fldChar w:fldCharType="separate"/>
        </w:r>
        <w:r w:rsidR="00740026">
          <w:rPr>
            <w:noProof/>
            <w:webHidden/>
          </w:rPr>
          <w:t>53</w:t>
        </w:r>
        <w:r w:rsidR="00030089">
          <w:rPr>
            <w:noProof/>
            <w:webHidden/>
          </w:rPr>
          <w:fldChar w:fldCharType="end"/>
        </w:r>
      </w:hyperlink>
    </w:p>
    <w:p w14:paraId="6219D47D" w14:textId="77777777" w:rsidR="00030089" w:rsidRDefault="00290CD0" w:rsidP="00030089">
      <w:pPr>
        <w:pStyle w:val="TableofFigures"/>
        <w:tabs>
          <w:tab w:val="right" w:leader="dot" w:pos="9016"/>
        </w:tabs>
        <w:rPr>
          <w:noProof/>
        </w:rPr>
      </w:pPr>
      <w:hyperlink w:anchor="_Toc353562522" w:history="1">
        <w:r w:rsidR="00030089" w:rsidRPr="001B4D2F">
          <w:rPr>
            <w:rStyle w:val="Hyperlink"/>
            <w:noProof/>
          </w:rPr>
          <w:t>41 Table 4.31: Summary of Willingness to Pay for Increased Recycling; total benefits ($ Millions) resulting from projected increase in recycling</w:t>
        </w:r>
        <w:r w:rsidR="00030089">
          <w:rPr>
            <w:noProof/>
            <w:webHidden/>
          </w:rPr>
          <w:tab/>
        </w:r>
        <w:r w:rsidR="00030089">
          <w:rPr>
            <w:noProof/>
            <w:webHidden/>
          </w:rPr>
          <w:fldChar w:fldCharType="begin"/>
        </w:r>
        <w:r w:rsidR="00030089">
          <w:rPr>
            <w:noProof/>
            <w:webHidden/>
          </w:rPr>
          <w:instrText xml:space="preserve"> PAGEREF _Toc353562522 \h </w:instrText>
        </w:r>
        <w:r w:rsidR="00030089">
          <w:rPr>
            <w:noProof/>
            <w:webHidden/>
          </w:rPr>
        </w:r>
        <w:r w:rsidR="00030089">
          <w:rPr>
            <w:noProof/>
            <w:webHidden/>
          </w:rPr>
          <w:fldChar w:fldCharType="separate"/>
        </w:r>
        <w:r w:rsidR="00740026">
          <w:rPr>
            <w:noProof/>
            <w:webHidden/>
          </w:rPr>
          <w:t>54</w:t>
        </w:r>
        <w:r w:rsidR="00030089">
          <w:rPr>
            <w:noProof/>
            <w:webHidden/>
          </w:rPr>
          <w:fldChar w:fldCharType="end"/>
        </w:r>
      </w:hyperlink>
    </w:p>
    <w:p w14:paraId="13F99B80" w14:textId="77777777" w:rsidR="00030089" w:rsidRDefault="00290CD0" w:rsidP="00030089">
      <w:pPr>
        <w:pStyle w:val="TableofFigures"/>
        <w:tabs>
          <w:tab w:val="right" w:leader="dot" w:pos="9016"/>
        </w:tabs>
        <w:rPr>
          <w:noProof/>
        </w:rPr>
      </w:pPr>
      <w:hyperlink w:anchor="_Toc353562523" w:history="1">
        <w:r w:rsidR="00030089" w:rsidRPr="001B4D2F">
          <w:rPr>
            <w:rStyle w:val="Hyperlink"/>
            <w:noProof/>
          </w:rPr>
          <w:t>42 Table 4.32: Market costs and benefits of the operation of a Boomerang Alliance CDS over a 25 year analysis period</w:t>
        </w:r>
        <w:r w:rsidR="00030089">
          <w:rPr>
            <w:noProof/>
            <w:webHidden/>
          </w:rPr>
          <w:tab/>
        </w:r>
        <w:r w:rsidR="00030089">
          <w:rPr>
            <w:noProof/>
            <w:webHidden/>
          </w:rPr>
          <w:fldChar w:fldCharType="begin"/>
        </w:r>
        <w:r w:rsidR="00030089">
          <w:rPr>
            <w:noProof/>
            <w:webHidden/>
          </w:rPr>
          <w:instrText xml:space="preserve"> PAGEREF _Toc353562523 \h </w:instrText>
        </w:r>
        <w:r w:rsidR="00030089">
          <w:rPr>
            <w:noProof/>
            <w:webHidden/>
          </w:rPr>
        </w:r>
        <w:r w:rsidR="00030089">
          <w:rPr>
            <w:noProof/>
            <w:webHidden/>
          </w:rPr>
          <w:fldChar w:fldCharType="separate"/>
        </w:r>
        <w:r w:rsidR="00740026">
          <w:rPr>
            <w:noProof/>
            <w:webHidden/>
          </w:rPr>
          <w:t>54</w:t>
        </w:r>
        <w:r w:rsidR="00030089">
          <w:rPr>
            <w:noProof/>
            <w:webHidden/>
          </w:rPr>
          <w:fldChar w:fldCharType="end"/>
        </w:r>
      </w:hyperlink>
    </w:p>
    <w:p w14:paraId="69CF3A0A" w14:textId="77777777" w:rsidR="00030089" w:rsidRDefault="00290CD0" w:rsidP="00030089">
      <w:pPr>
        <w:pStyle w:val="TableofFigures"/>
        <w:tabs>
          <w:tab w:val="right" w:leader="dot" w:pos="9016"/>
        </w:tabs>
        <w:rPr>
          <w:noProof/>
        </w:rPr>
      </w:pPr>
      <w:hyperlink w:anchor="_Toc353562524" w:history="1">
        <w:r w:rsidR="00030089" w:rsidRPr="001B4D2F">
          <w:rPr>
            <w:rStyle w:val="Hyperlink"/>
            <w:noProof/>
          </w:rPr>
          <w:t>43 Table 4.33: Non-market benefits of the operation of a Boomerang Alliance CDS over a 25 year analysis period</w:t>
        </w:r>
        <w:r w:rsidR="00030089">
          <w:rPr>
            <w:noProof/>
            <w:webHidden/>
          </w:rPr>
          <w:tab/>
        </w:r>
        <w:r w:rsidR="00030089">
          <w:rPr>
            <w:noProof/>
            <w:webHidden/>
          </w:rPr>
          <w:fldChar w:fldCharType="begin"/>
        </w:r>
        <w:r w:rsidR="00030089">
          <w:rPr>
            <w:noProof/>
            <w:webHidden/>
          </w:rPr>
          <w:instrText xml:space="preserve"> PAGEREF _Toc353562524 \h </w:instrText>
        </w:r>
        <w:r w:rsidR="00030089">
          <w:rPr>
            <w:noProof/>
            <w:webHidden/>
          </w:rPr>
        </w:r>
        <w:r w:rsidR="00030089">
          <w:rPr>
            <w:noProof/>
            <w:webHidden/>
          </w:rPr>
          <w:fldChar w:fldCharType="separate"/>
        </w:r>
        <w:r w:rsidR="00740026">
          <w:rPr>
            <w:noProof/>
            <w:webHidden/>
          </w:rPr>
          <w:t>55</w:t>
        </w:r>
        <w:r w:rsidR="00030089">
          <w:rPr>
            <w:noProof/>
            <w:webHidden/>
          </w:rPr>
          <w:fldChar w:fldCharType="end"/>
        </w:r>
      </w:hyperlink>
    </w:p>
    <w:p w14:paraId="4DF288D8" w14:textId="77777777" w:rsidR="00030089" w:rsidRDefault="00290CD0" w:rsidP="00030089">
      <w:pPr>
        <w:pStyle w:val="TableofFigures"/>
        <w:tabs>
          <w:tab w:val="right" w:leader="dot" w:pos="9016"/>
        </w:tabs>
        <w:rPr>
          <w:noProof/>
        </w:rPr>
      </w:pPr>
      <w:hyperlink w:anchor="_Toc353562525" w:history="1">
        <w:r w:rsidR="00030089" w:rsidRPr="001B4D2F">
          <w:rPr>
            <w:rStyle w:val="Hyperlink"/>
            <w:noProof/>
          </w:rPr>
          <w:t>44 Figure 4.3:  NT CDS projected return-rate over 25 years, based on the Hawai’i CDS</w:t>
        </w:r>
        <w:r w:rsidR="00030089">
          <w:rPr>
            <w:noProof/>
            <w:webHidden/>
          </w:rPr>
          <w:tab/>
        </w:r>
        <w:r w:rsidR="00030089">
          <w:rPr>
            <w:noProof/>
            <w:webHidden/>
          </w:rPr>
          <w:fldChar w:fldCharType="begin"/>
        </w:r>
        <w:r w:rsidR="00030089">
          <w:rPr>
            <w:noProof/>
            <w:webHidden/>
          </w:rPr>
          <w:instrText xml:space="preserve"> PAGEREF _Toc353562525 \h </w:instrText>
        </w:r>
        <w:r w:rsidR="00030089">
          <w:rPr>
            <w:noProof/>
            <w:webHidden/>
          </w:rPr>
        </w:r>
        <w:r w:rsidR="00030089">
          <w:rPr>
            <w:noProof/>
            <w:webHidden/>
          </w:rPr>
          <w:fldChar w:fldCharType="separate"/>
        </w:r>
        <w:r w:rsidR="00740026">
          <w:rPr>
            <w:noProof/>
            <w:webHidden/>
          </w:rPr>
          <w:t>56</w:t>
        </w:r>
        <w:r w:rsidR="00030089">
          <w:rPr>
            <w:noProof/>
            <w:webHidden/>
          </w:rPr>
          <w:fldChar w:fldCharType="end"/>
        </w:r>
      </w:hyperlink>
    </w:p>
    <w:p w14:paraId="6C789FEE" w14:textId="77777777" w:rsidR="00030089" w:rsidRDefault="00290CD0" w:rsidP="00030089">
      <w:pPr>
        <w:pStyle w:val="TableofFigures"/>
        <w:tabs>
          <w:tab w:val="right" w:leader="dot" w:pos="9016"/>
        </w:tabs>
        <w:rPr>
          <w:noProof/>
        </w:rPr>
      </w:pPr>
      <w:hyperlink w:anchor="_Toc353562526" w:history="1">
        <w:r w:rsidR="00030089" w:rsidRPr="001B4D2F">
          <w:rPr>
            <w:rStyle w:val="Hyperlink"/>
            <w:noProof/>
          </w:rPr>
          <w:t>45 Table 4.34: Option Three: cost benefit results after 25 years based upon return rate in Figure 4.3 (discounted at 7%)</w:t>
        </w:r>
        <w:r w:rsidR="00030089">
          <w:rPr>
            <w:noProof/>
            <w:webHidden/>
          </w:rPr>
          <w:tab/>
        </w:r>
        <w:r w:rsidR="00030089">
          <w:rPr>
            <w:noProof/>
            <w:webHidden/>
          </w:rPr>
          <w:fldChar w:fldCharType="begin"/>
        </w:r>
        <w:r w:rsidR="00030089">
          <w:rPr>
            <w:noProof/>
            <w:webHidden/>
          </w:rPr>
          <w:instrText xml:space="preserve"> PAGEREF _Toc353562526 \h </w:instrText>
        </w:r>
        <w:r w:rsidR="00030089">
          <w:rPr>
            <w:noProof/>
            <w:webHidden/>
          </w:rPr>
        </w:r>
        <w:r w:rsidR="00030089">
          <w:rPr>
            <w:noProof/>
            <w:webHidden/>
          </w:rPr>
          <w:fldChar w:fldCharType="separate"/>
        </w:r>
        <w:r w:rsidR="00740026">
          <w:rPr>
            <w:noProof/>
            <w:webHidden/>
          </w:rPr>
          <w:t>56</w:t>
        </w:r>
        <w:r w:rsidR="00030089">
          <w:rPr>
            <w:noProof/>
            <w:webHidden/>
          </w:rPr>
          <w:fldChar w:fldCharType="end"/>
        </w:r>
      </w:hyperlink>
    </w:p>
    <w:p w14:paraId="6A9C6904" w14:textId="77777777" w:rsidR="00030089" w:rsidRDefault="00290CD0" w:rsidP="00030089">
      <w:pPr>
        <w:pStyle w:val="TableofFigures"/>
        <w:tabs>
          <w:tab w:val="right" w:leader="dot" w:pos="9016"/>
        </w:tabs>
        <w:rPr>
          <w:noProof/>
        </w:rPr>
      </w:pPr>
      <w:hyperlink w:anchor="_Toc353562527" w:history="1">
        <w:r w:rsidR="00030089" w:rsidRPr="001B4D2F">
          <w:rPr>
            <w:rStyle w:val="Hyperlink"/>
            <w:noProof/>
          </w:rPr>
          <w:t>46 Table 4.35: Market costs and benefits of the operation of co-regulatory Stewardship over a 25 year analysis period</w:t>
        </w:r>
        <w:r w:rsidR="00030089">
          <w:rPr>
            <w:noProof/>
            <w:webHidden/>
          </w:rPr>
          <w:tab/>
        </w:r>
        <w:r w:rsidR="00030089">
          <w:rPr>
            <w:noProof/>
            <w:webHidden/>
          </w:rPr>
          <w:fldChar w:fldCharType="begin"/>
        </w:r>
        <w:r w:rsidR="00030089">
          <w:rPr>
            <w:noProof/>
            <w:webHidden/>
          </w:rPr>
          <w:instrText xml:space="preserve"> PAGEREF _Toc353562527 \h </w:instrText>
        </w:r>
        <w:r w:rsidR="00030089">
          <w:rPr>
            <w:noProof/>
            <w:webHidden/>
          </w:rPr>
        </w:r>
        <w:r w:rsidR="00030089">
          <w:rPr>
            <w:noProof/>
            <w:webHidden/>
          </w:rPr>
          <w:fldChar w:fldCharType="separate"/>
        </w:r>
        <w:r w:rsidR="00740026">
          <w:rPr>
            <w:noProof/>
            <w:webHidden/>
          </w:rPr>
          <w:t>58</w:t>
        </w:r>
        <w:r w:rsidR="00030089">
          <w:rPr>
            <w:noProof/>
            <w:webHidden/>
          </w:rPr>
          <w:fldChar w:fldCharType="end"/>
        </w:r>
      </w:hyperlink>
    </w:p>
    <w:p w14:paraId="0D75AC87" w14:textId="77777777" w:rsidR="00030089" w:rsidRDefault="00290CD0" w:rsidP="00030089">
      <w:pPr>
        <w:pStyle w:val="TableofFigures"/>
        <w:tabs>
          <w:tab w:val="right" w:leader="dot" w:pos="9016"/>
        </w:tabs>
        <w:rPr>
          <w:noProof/>
        </w:rPr>
      </w:pPr>
      <w:hyperlink w:anchor="_Toc353562528" w:history="1">
        <w:r w:rsidR="00030089" w:rsidRPr="001B4D2F">
          <w:rPr>
            <w:rStyle w:val="Hyperlink"/>
            <w:noProof/>
          </w:rPr>
          <w:t>47 Table 4.36: Non-market benefits of the operation of co-regulatory Stewardship over a 25 year analysis period</w:t>
        </w:r>
        <w:r w:rsidR="00030089">
          <w:rPr>
            <w:noProof/>
            <w:webHidden/>
          </w:rPr>
          <w:tab/>
        </w:r>
        <w:r w:rsidR="00030089">
          <w:rPr>
            <w:noProof/>
            <w:webHidden/>
          </w:rPr>
          <w:fldChar w:fldCharType="begin"/>
        </w:r>
        <w:r w:rsidR="00030089">
          <w:rPr>
            <w:noProof/>
            <w:webHidden/>
          </w:rPr>
          <w:instrText xml:space="preserve"> PAGEREF _Toc353562528 \h </w:instrText>
        </w:r>
        <w:r w:rsidR="00030089">
          <w:rPr>
            <w:noProof/>
            <w:webHidden/>
          </w:rPr>
        </w:r>
        <w:r w:rsidR="00030089">
          <w:rPr>
            <w:noProof/>
            <w:webHidden/>
          </w:rPr>
          <w:fldChar w:fldCharType="separate"/>
        </w:r>
        <w:r w:rsidR="00740026">
          <w:rPr>
            <w:noProof/>
            <w:webHidden/>
          </w:rPr>
          <w:t>58</w:t>
        </w:r>
        <w:r w:rsidR="00030089">
          <w:rPr>
            <w:noProof/>
            <w:webHidden/>
          </w:rPr>
          <w:fldChar w:fldCharType="end"/>
        </w:r>
      </w:hyperlink>
    </w:p>
    <w:p w14:paraId="766863FF" w14:textId="77777777" w:rsidR="00030089" w:rsidRDefault="00290CD0" w:rsidP="00030089">
      <w:pPr>
        <w:pStyle w:val="TableofFigures"/>
        <w:tabs>
          <w:tab w:val="right" w:leader="dot" w:pos="9016"/>
        </w:tabs>
        <w:rPr>
          <w:noProof/>
        </w:rPr>
      </w:pPr>
      <w:hyperlink w:anchor="_Toc353562529" w:history="1">
        <w:r w:rsidR="00030089" w:rsidRPr="001B4D2F">
          <w:rPr>
            <w:rStyle w:val="Hyperlink"/>
            <w:noProof/>
          </w:rPr>
          <w:t>48 Table 4.37: Costs and benefits of NT CDS</w:t>
        </w:r>
        <w:r w:rsidR="00030089">
          <w:rPr>
            <w:noProof/>
            <w:webHidden/>
          </w:rPr>
          <w:tab/>
        </w:r>
        <w:r w:rsidR="00030089">
          <w:rPr>
            <w:noProof/>
            <w:webHidden/>
          </w:rPr>
          <w:fldChar w:fldCharType="begin"/>
        </w:r>
        <w:r w:rsidR="00030089">
          <w:rPr>
            <w:noProof/>
            <w:webHidden/>
          </w:rPr>
          <w:instrText xml:space="preserve"> PAGEREF _Toc353562529 \h </w:instrText>
        </w:r>
        <w:r w:rsidR="00030089">
          <w:rPr>
            <w:noProof/>
            <w:webHidden/>
          </w:rPr>
        </w:r>
        <w:r w:rsidR="00030089">
          <w:rPr>
            <w:noProof/>
            <w:webHidden/>
          </w:rPr>
          <w:fldChar w:fldCharType="separate"/>
        </w:r>
        <w:r w:rsidR="00740026">
          <w:rPr>
            <w:noProof/>
            <w:webHidden/>
          </w:rPr>
          <w:t>59</w:t>
        </w:r>
        <w:r w:rsidR="00030089">
          <w:rPr>
            <w:noProof/>
            <w:webHidden/>
          </w:rPr>
          <w:fldChar w:fldCharType="end"/>
        </w:r>
      </w:hyperlink>
    </w:p>
    <w:p w14:paraId="1DD12D3E" w14:textId="77777777" w:rsidR="00030089" w:rsidRDefault="00290CD0" w:rsidP="00030089">
      <w:pPr>
        <w:pStyle w:val="TableofFigures"/>
        <w:tabs>
          <w:tab w:val="right" w:leader="dot" w:pos="9016"/>
        </w:tabs>
        <w:rPr>
          <w:noProof/>
        </w:rPr>
      </w:pPr>
      <w:hyperlink w:anchor="_Toc353562530" w:history="1">
        <w:r w:rsidR="00030089" w:rsidRPr="001B4D2F">
          <w:rPr>
            <w:rStyle w:val="Hyperlink"/>
            <w:noProof/>
          </w:rPr>
          <w:t>49 Table 4.38 Total scheme operation and compliance costs borne by beverage industry nationally ($, discounted; over 25 years)</w:t>
        </w:r>
        <w:r w:rsidR="00030089">
          <w:rPr>
            <w:noProof/>
            <w:webHidden/>
          </w:rPr>
          <w:tab/>
        </w:r>
        <w:r w:rsidR="00030089">
          <w:rPr>
            <w:noProof/>
            <w:webHidden/>
          </w:rPr>
          <w:fldChar w:fldCharType="begin"/>
        </w:r>
        <w:r w:rsidR="00030089">
          <w:rPr>
            <w:noProof/>
            <w:webHidden/>
          </w:rPr>
          <w:instrText xml:space="preserve"> PAGEREF _Toc353562530 \h </w:instrText>
        </w:r>
        <w:r w:rsidR="00030089">
          <w:rPr>
            <w:noProof/>
            <w:webHidden/>
          </w:rPr>
        </w:r>
        <w:r w:rsidR="00030089">
          <w:rPr>
            <w:noProof/>
            <w:webHidden/>
          </w:rPr>
          <w:fldChar w:fldCharType="separate"/>
        </w:r>
        <w:r w:rsidR="00740026">
          <w:rPr>
            <w:noProof/>
            <w:webHidden/>
          </w:rPr>
          <w:t>60</w:t>
        </w:r>
        <w:r w:rsidR="00030089">
          <w:rPr>
            <w:noProof/>
            <w:webHidden/>
          </w:rPr>
          <w:fldChar w:fldCharType="end"/>
        </w:r>
      </w:hyperlink>
    </w:p>
    <w:p w14:paraId="7CC163E2" w14:textId="77777777" w:rsidR="00030089" w:rsidRDefault="00290CD0" w:rsidP="00030089">
      <w:pPr>
        <w:pStyle w:val="TableofFigures"/>
        <w:tabs>
          <w:tab w:val="right" w:leader="dot" w:pos="9016"/>
        </w:tabs>
        <w:rPr>
          <w:noProof/>
        </w:rPr>
      </w:pPr>
      <w:hyperlink w:anchor="_Toc353562531" w:history="1">
        <w:r w:rsidR="00030089" w:rsidRPr="001B4D2F">
          <w:rPr>
            <w:rStyle w:val="Hyperlink"/>
            <w:noProof/>
          </w:rPr>
          <w:t>50 Table 5.1: Summary of Submissions</w:t>
        </w:r>
        <w:r w:rsidR="00030089">
          <w:rPr>
            <w:noProof/>
            <w:webHidden/>
          </w:rPr>
          <w:tab/>
        </w:r>
        <w:r w:rsidR="00030089">
          <w:rPr>
            <w:noProof/>
            <w:webHidden/>
          </w:rPr>
          <w:fldChar w:fldCharType="begin"/>
        </w:r>
        <w:r w:rsidR="00030089">
          <w:rPr>
            <w:noProof/>
            <w:webHidden/>
          </w:rPr>
          <w:instrText xml:space="preserve"> PAGEREF _Toc353562531 \h </w:instrText>
        </w:r>
        <w:r w:rsidR="00030089">
          <w:rPr>
            <w:noProof/>
            <w:webHidden/>
          </w:rPr>
        </w:r>
        <w:r w:rsidR="00030089">
          <w:rPr>
            <w:noProof/>
            <w:webHidden/>
          </w:rPr>
          <w:fldChar w:fldCharType="separate"/>
        </w:r>
        <w:r w:rsidR="00740026">
          <w:rPr>
            <w:noProof/>
            <w:webHidden/>
          </w:rPr>
          <w:t>61</w:t>
        </w:r>
        <w:r w:rsidR="00030089">
          <w:rPr>
            <w:noProof/>
            <w:webHidden/>
          </w:rPr>
          <w:fldChar w:fldCharType="end"/>
        </w:r>
      </w:hyperlink>
    </w:p>
    <w:p w14:paraId="2221D66E" w14:textId="77777777" w:rsidR="00030089" w:rsidRDefault="00290CD0" w:rsidP="00030089">
      <w:pPr>
        <w:pStyle w:val="TableofFigures"/>
        <w:tabs>
          <w:tab w:val="right" w:leader="dot" w:pos="9016"/>
        </w:tabs>
        <w:rPr>
          <w:noProof/>
        </w:rPr>
      </w:pPr>
      <w:hyperlink w:anchor="_Toc353562532" w:history="1">
        <w:r w:rsidR="00030089" w:rsidRPr="001B4D2F">
          <w:rPr>
            <w:rStyle w:val="Hyperlink"/>
            <w:noProof/>
          </w:rPr>
          <w:t>51 Table 5.2: Resource recovery rate within 12 months of CDS</w:t>
        </w:r>
        <w:r w:rsidR="00030089">
          <w:rPr>
            <w:noProof/>
            <w:webHidden/>
          </w:rPr>
          <w:tab/>
        </w:r>
        <w:r w:rsidR="00030089">
          <w:rPr>
            <w:noProof/>
            <w:webHidden/>
          </w:rPr>
          <w:fldChar w:fldCharType="begin"/>
        </w:r>
        <w:r w:rsidR="00030089">
          <w:rPr>
            <w:noProof/>
            <w:webHidden/>
          </w:rPr>
          <w:instrText xml:space="preserve"> PAGEREF _Toc353562532 \h </w:instrText>
        </w:r>
        <w:r w:rsidR="00030089">
          <w:rPr>
            <w:noProof/>
            <w:webHidden/>
          </w:rPr>
        </w:r>
        <w:r w:rsidR="00030089">
          <w:rPr>
            <w:noProof/>
            <w:webHidden/>
          </w:rPr>
          <w:fldChar w:fldCharType="separate"/>
        </w:r>
        <w:r w:rsidR="00740026">
          <w:rPr>
            <w:noProof/>
            <w:webHidden/>
          </w:rPr>
          <w:t>75</w:t>
        </w:r>
        <w:r w:rsidR="00030089">
          <w:rPr>
            <w:noProof/>
            <w:webHidden/>
          </w:rPr>
          <w:fldChar w:fldCharType="end"/>
        </w:r>
      </w:hyperlink>
    </w:p>
    <w:p w14:paraId="072C0112" w14:textId="77777777" w:rsidR="00030089" w:rsidRPr="00035311" w:rsidRDefault="00290CD0" w:rsidP="00030089">
      <w:pPr>
        <w:pStyle w:val="TableofFigures"/>
        <w:tabs>
          <w:tab w:val="right" w:leader="dot" w:pos="9016"/>
        </w:tabs>
        <w:rPr>
          <w:noProof/>
        </w:rPr>
      </w:pPr>
      <w:hyperlink w:anchor="_Toc353562533" w:history="1">
        <w:r w:rsidR="00030089" w:rsidRPr="00035311">
          <w:rPr>
            <w:rStyle w:val="Hyperlink"/>
            <w:bCs/>
            <w:noProof/>
          </w:rPr>
          <w:t>52 Table 6</w:t>
        </w:r>
        <w:r w:rsidR="00030089">
          <w:rPr>
            <w:rStyle w:val="Hyperlink"/>
            <w:bCs/>
            <w:noProof/>
          </w:rPr>
          <w:t>.</w:t>
        </w:r>
        <w:r w:rsidR="00030089" w:rsidRPr="00035311">
          <w:rPr>
            <w:rStyle w:val="Hyperlink"/>
            <w:bCs/>
            <w:noProof/>
          </w:rPr>
          <w:t>1: Key market costs and benefits</w:t>
        </w:r>
        <w:r w:rsidR="00030089" w:rsidRPr="00035311">
          <w:rPr>
            <w:noProof/>
            <w:webHidden/>
          </w:rPr>
          <w:tab/>
        </w:r>
        <w:r w:rsidR="00030089" w:rsidRPr="00035311">
          <w:rPr>
            <w:noProof/>
            <w:webHidden/>
          </w:rPr>
          <w:fldChar w:fldCharType="begin"/>
        </w:r>
        <w:r w:rsidR="00030089" w:rsidRPr="00035311">
          <w:rPr>
            <w:noProof/>
            <w:webHidden/>
          </w:rPr>
          <w:instrText xml:space="preserve"> PAGEREF _Toc353562533 \h </w:instrText>
        </w:r>
        <w:r w:rsidR="00030089" w:rsidRPr="00035311">
          <w:rPr>
            <w:noProof/>
            <w:webHidden/>
          </w:rPr>
        </w:r>
        <w:r w:rsidR="00030089" w:rsidRPr="00035311">
          <w:rPr>
            <w:noProof/>
            <w:webHidden/>
          </w:rPr>
          <w:fldChar w:fldCharType="separate"/>
        </w:r>
        <w:r w:rsidR="00740026">
          <w:rPr>
            <w:noProof/>
            <w:webHidden/>
          </w:rPr>
          <w:t>77</w:t>
        </w:r>
        <w:r w:rsidR="00030089" w:rsidRPr="00035311">
          <w:rPr>
            <w:noProof/>
            <w:webHidden/>
          </w:rPr>
          <w:fldChar w:fldCharType="end"/>
        </w:r>
      </w:hyperlink>
    </w:p>
    <w:p w14:paraId="3E31D17A" w14:textId="77777777" w:rsidR="00030089" w:rsidRDefault="00030089" w:rsidP="00030089">
      <w:pPr>
        <w:rPr>
          <w:rFonts w:ascii="Arial" w:hAnsi="Arial" w:cs="Arial"/>
          <w:b/>
          <w:szCs w:val="28"/>
        </w:rPr>
      </w:pPr>
      <w:r>
        <w:rPr>
          <w:rFonts w:ascii="Arial" w:hAnsi="Arial" w:cs="Arial"/>
          <w:b/>
          <w:szCs w:val="28"/>
        </w:rPr>
        <w:fldChar w:fldCharType="end"/>
      </w:r>
    </w:p>
    <w:p w14:paraId="183E092B" w14:textId="77777777" w:rsidR="00030089" w:rsidRDefault="00030089" w:rsidP="00030089">
      <w:pPr>
        <w:rPr>
          <w:rFonts w:ascii="Arial" w:hAnsi="Arial" w:cs="Arial"/>
          <w:b/>
          <w:szCs w:val="28"/>
        </w:rPr>
        <w:sectPr w:rsidR="00030089" w:rsidSect="008547F7">
          <w:pgSz w:w="11906" w:h="16838"/>
          <w:pgMar w:top="1440" w:right="1440" w:bottom="1440" w:left="1440" w:header="708" w:footer="708" w:gutter="0"/>
          <w:cols w:space="708"/>
          <w:docGrid w:linePitch="360"/>
        </w:sectPr>
      </w:pPr>
    </w:p>
    <w:p w14:paraId="1EF273EA" w14:textId="77777777" w:rsidR="00030089" w:rsidRPr="005E57F6" w:rsidRDefault="00030089" w:rsidP="00030089">
      <w:pPr>
        <w:spacing w:line="360" w:lineRule="auto"/>
        <w:outlineLvl w:val="0"/>
        <w:rPr>
          <w:rFonts w:ascii="Arial" w:hAnsi="Arial" w:cs="Arial"/>
          <w:b/>
          <w:szCs w:val="28"/>
        </w:rPr>
      </w:pPr>
      <w:bookmarkStart w:id="2" w:name="_Toc353562534"/>
      <w:r>
        <w:rPr>
          <w:rFonts w:ascii="Arial" w:hAnsi="Arial" w:cs="Arial"/>
          <w:b/>
          <w:szCs w:val="28"/>
        </w:rPr>
        <w:lastRenderedPageBreak/>
        <w:t>E</w:t>
      </w:r>
      <w:r w:rsidRPr="005E57F6">
        <w:rPr>
          <w:rFonts w:ascii="Arial" w:hAnsi="Arial" w:cs="Arial"/>
          <w:b/>
          <w:szCs w:val="28"/>
        </w:rPr>
        <w:t>XECUTIVE SUMMARY</w:t>
      </w:r>
      <w:bookmarkEnd w:id="0"/>
      <w:bookmarkEnd w:id="2"/>
    </w:p>
    <w:p w14:paraId="5655A1D0" w14:textId="77777777" w:rsidR="00030089" w:rsidRDefault="00030089" w:rsidP="00030089">
      <w:pPr>
        <w:keepNext/>
        <w:spacing w:line="360" w:lineRule="auto"/>
        <w:jc w:val="both"/>
        <w:rPr>
          <w:rFonts w:ascii="Arial" w:hAnsi="Arial" w:cs="Arial"/>
          <w:szCs w:val="28"/>
        </w:rPr>
      </w:pPr>
      <w:r>
        <w:rPr>
          <w:rFonts w:ascii="Arial" w:hAnsi="Arial" w:cs="Arial"/>
          <w:szCs w:val="28"/>
        </w:rPr>
        <w:t>T</w:t>
      </w:r>
      <w:r w:rsidRPr="00C67089">
        <w:rPr>
          <w:rFonts w:ascii="Arial" w:hAnsi="Arial" w:cs="Arial"/>
          <w:szCs w:val="28"/>
        </w:rPr>
        <w:t xml:space="preserve">his </w:t>
      </w:r>
      <w:r>
        <w:rPr>
          <w:rFonts w:ascii="Arial" w:hAnsi="Arial" w:cs="Arial"/>
          <w:szCs w:val="28"/>
        </w:rPr>
        <w:t>Decision Regulation Impact Statement (</w:t>
      </w:r>
      <w:r w:rsidRPr="00C67089">
        <w:rPr>
          <w:rFonts w:ascii="Arial" w:hAnsi="Arial" w:cs="Arial"/>
          <w:szCs w:val="28"/>
        </w:rPr>
        <w:t>DRIS</w:t>
      </w:r>
      <w:r>
        <w:rPr>
          <w:rFonts w:ascii="Arial" w:hAnsi="Arial" w:cs="Arial"/>
          <w:szCs w:val="28"/>
        </w:rPr>
        <w:t>)</w:t>
      </w:r>
      <w:r w:rsidRPr="00C67089">
        <w:rPr>
          <w:rFonts w:ascii="Arial" w:hAnsi="Arial" w:cs="Arial"/>
          <w:szCs w:val="28"/>
        </w:rPr>
        <w:t xml:space="preserve"> </w:t>
      </w:r>
      <w:r>
        <w:rPr>
          <w:rFonts w:ascii="Arial" w:hAnsi="Arial" w:cs="Arial"/>
          <w:szCs w:val="28"/>
        </w:rPr>
        <w:t xml:space="preserve">addresses the Northern Territory (NT) </w:t>
      </w:r>
      <w:r w:rsidRPr="00C67089">
        <w:rPr>
          <w:rFonts w:ascii="Arial" w:hAnsi="Arial" w:cs="Arial"/>
          <w:szCs w:val="28"/>
        </w:rPr>
        <w:t>Government</w:t>
      </w:r>
      <w:r>
        <w:rPr>
          <w:rFonts w:ascii="Arial" w:hAnsi="Arial" w:cs="Arial"/>
          <w:szCs w:val="28"/>
        </w:rPr>
        <w:t>’s</w:t>
      </w:r>
      <w:r w:rsidRPr="00C67089">
        <w:rPr>
          <w:rFonts w:ascii="Arial" w:hAnsi="Arial" w:cs="Arial"/>
          <w:szCs w:val="28"/>
        </w:rPr>
        <w:t xml:space="preserve"> objective </w:t>
      </w:r>
      <w:r>
        <w:rPr>
          <w:rFonts w:ascii="Arial" w:hAnsi="Arial" w:cs="Arial"/>
          <w:szCs w:val="28"/>
        </w:rPr>
        <w:t xml:space="preserve">of determining how NT recycling can be made more efficient. </w:t>
      </w:r>
      <w:r w:rsidRPr="00C67089">
        <w:rPr>
          <w:rFonts w:ascii="Arial" w:hAnsi="Arial" w:cs="Arial"/>
          <w:szCs w:val="28"/>
        </w:rPr>
        <w:t>Prior to the introduction of the</w:t>
      </w:r>
      <w:r>
        <w:rPr>
          <w:rFonts w:ascii="Arial" w:hAnsi="Arial" w:cs="Arial"/>
          <w:szCs w:val="28"/>
        </w:rPr>
        <w:t xml:space="preserve"> Northern Territory Container Deposit Scheme (</w:t>
      </w:r>
      <w:r w:rsidRPr="00C67089">
        <w:rPr>
          <w:rFonts w:ascii="Arial" w:hAnsi="Arial" w:cs="Arial"/>
          <w:szCs w:val="28"/>
        </w:rPr>
        <w:t>NT CDS</w:t>
      </w:r>
      <w:r>
        <w:rPr>
          <w:rFonts w:ascii="Arial" w:hAnsi="Arial" w:cs="Arial"/>
          <w:szCs w:val="28"/>
        </w:rPr>
        <w:t>)</w:t>
      </w:r>
      <w:r w:rsidRPr="00C67089">
        <w:rPr>
          <w:rFonts w:ascii="Arial" w:hAnsi="Arial" w:cs="Arial"/>
          <w:szCs w:val="28"/>
        </w:rPr>
        <w:t xml:space="preserve"> </w:t>
      </w:r>
      <w:r>
        <w:rPr>
          <w:rFonts w:ascii="Arial" w:hAnsi="Arial" w:cs="Arial"/>
          <w:szCs w:val="28"/>
        </w:rPr>
        <w:t>the NT had a particularly low</w:t>
      </w:r>
      <w:r w:rsidRPr="00C67089">
        <w:rPr>
          <w:rFonts w:ascii="Arial" w:hAnsi="Arial" w:cs="Arial"/>
          <w:szCs w:val="28"/>
        </w:rPr>
        <w:t xml:space="preserve"> rate of recycling</w:t>
      </w:r>
      <w:r>
        <w:rPr>
          <w:rFonts w:ascii="Arial" w:hAnsi="Arial" w:cs="Arial"/>
          <w:szCs w:val="28"/>
        </w:rPr>
        <w:t xml:space="preserve"> by national standards,</w:t>
      </w:r>
      <w:r w:rsidRPr="00C67089">
        <w:rPr>
          <w:rFonts w:ascii="Arial" w:hAnsi="Arial" w:cs="Arial"/>
          <w:szCs w:val="28"/>
        </w:rPr>
        <w:t xml:space="preserve"> </w:t>
      </w:r>
      <w:r>
        <w:rPr>
          <w:rFonts w:ascii="Arial" w:hAnsi="Arial" w:cs="Arial"/>
          <w:szCs w:val="28"/>
        </w:rPr>
        <w:t xml:space="preserve">in the municipal (domestic – at home) sector and </w:t>
      </w:r>
      <w:r w:rsidRPr="00C67089">
        <w:rPr>
          <w:rFonts w:ascii="Arial" w:hAnsi="Arial" w:cs="Arial"/>
          <w:szCs w:val="28"/>
        </w:rPr>
        <w:t xml:space="preserve">in the commercial, hospitality and institutional sectors (away-from-home). </w:t>
      </w:r>
      <w:r>
        <w:rPr>
          <w:rFonts w:ascii="Arial" w:hAnsi="Arial" w:cs="Arial"/>
          <w:szCs w:val="28"/>
        </w:rPr>
        <w:t xml:space="preserve">The NT’s recycling rate was approximately 3.5 per cent while the national rate is approximately 48 per cent. </w:t>
      </w:r>
      <w:r w:rsidRPr="00C67089">
        <w:rPr>
          <w:rFonts w:ascii="Arial" w:hAnsi="Arial" w:cs="Arial"/>
          <w:szCs w:val="28"/>
        </w:rPr>
        <w:t xml:space="preserve">Poor recycling leads to environmental </w:t>
      </w:r>
      <w:r>
        <w:rPr>
          <w:rFonts w:ascii="Arial" w:hAnsi="Arial" w:cs="Arial"/>
          <w:szCs w:val="28"/>
        </w:rPr>
        <w:t>impacts such as</w:t>
      </w:r>
      <w:r w:rsidRPr="00C67089">
        <w:rPr>
          <w:rFonts w:ascii="Arial" w:hAnsi="Arial" w:cs="Arial"/>
          <w:szCs w:val="28"/>
        </w:rPr>
        <w:t xml:space="preserve"> litter and high litter-clean-up costs</w:t>
      </w:r>
      <w:r>
        <w:rPr>
          <w:rFonts w:ascii="Arial" w:hAnsi="Arial" w:cs="Arial"/>
          <w:szCs w:val="28"/>
        </w:rPr>
        <w:t>,</w:t>
      </w:r>
      <w:r w:rsidRPr="00C67089">
        <w:rPr>
          <w:rFonts w:ascii="Arial" w:hAnsi="Arial" w:cs="Arial"/>
          <w:szCs w:val="28"/>
        </w:rPr>
        <w:t xml:space="preserve"> loss of finite resources</w:t>
      </w:r>
      <w:r>
        <w:rPr>
          <w:rFonts w:ascii="Arial" w:hAnsi="Arial" w:cs="Arial"/>
          <w:szCs w:val="28"/>
        </w:rPr>
        <w:t>,</w:t>
      </w:r>
      <w:r w:rsidRPr="00C67089">
        <w:rPr>
          <w:rFonts w:ascii="Arial" w:hAnsi="Arial" w:cs="Arial"/>
          <w:szCs w:val="28"/>
        </w:rPr>
        <w:t xml:space="preserve"> elevated landfill costs</w:t>
      </w:r>
      <w:r>
        <w:rPr>
          <w:rFonts w:ascii="Arial" w:hAnsi="Arial" w:cs="Arial"/>
          <w:szCs w:val="28"/>
        </w:rPr>
        <w:t xml:space="preserve"> and</w:t>
      </w:r>
      <w:r w:rsidRPr="00A832CE">
        <w:rPr>
          <w:rFonts w:ascii="Arial" w:hAnsi="Arial" w:cs="Arial"/>
          <w:szCs w:val="28"/>
        </w:rPr>
        <w:t xml:space="preserve"> </w:t>
      </w:r>
      <w:r w:rsidRPr="00C67089">
        <w:rPr>
          <w:rFonts w:ascii="Arial" w:hAnsi="Arial" w:cs="Arial"/>
          <w:szCs w:val="28"/>
        </w:rPr>
        <w:t xml:space="preserve">elevated </w:t>
      </w:r>
      <w:r>
        <w:rPr>
          <w:rFonts w:ascii="Arial" w:hAnsi="Arial" w:cs="Arial"/>
          <w:szCs w:val="28"/>
        </w:rPr>
        <w:t>environmental impacts in general</w:t>
      </w:r>
      <w:r w:rsidRPr="00C67089">
        <w:rPr>
          <w:rFonts w:ascii="Arial" w:hAnsi="Arial" w:cs="Arial"/>
          <w:szCs w:val="28"/>
        </w:rPr>
        <w:t xml:space="preserve">. </w:t>
      </w:r>
    </w:p>
    <w:p w14:paraId="2E2D7F2E" w14:textId="77777777" w:rsidR="00030089" w:rsidRDefault="00030089" w:rsidP="00030089">
      <w:pPr>
        <w:tabs>
          <w:tab w:val="left" w:pos="-709"/>
        </w:tabs>
        <w:spacing w:line="360" w:lineRule="auto"/>
        <w:jc w:val="both"/>
        <w:rPr>
          <w:rFonts w:ascii="Arial" w:hAnsi="Arial" w:cs="Arial"/>
          <w:b/>
          <w:bCs/>
          <w:color w:val="000000"/>
          <w:szCs w:val="28"/>
        </w:rPr>
      </w:pPr>
      <w:r w:rsidRPr="006D7FC4">
        <w:rPr>
          <w:rFonts w:ascii="Arial" w:hAnsi="Arial" w:cs="Arial"/>
          <w:b/>
          <w:bCs/>
          <w:color w:val="000000"/>
          <w:szCs w:val="28"/>
        </w:rPr>
        <w:t xml:space="preserve">Introduction of the </w:t>
      </w:r>
      <w:r>
        <w:rPr>
          <w:rFonts w:ascii="Arial" w:hAnsi="Arial" w:cs="Arial"/>
          <w:b/>
          <w:bCs/>
          <w:color w:val="000000"/>
          <w:szCs w:val="28"/>
        </w:rPr>
        <w:t>Northern Territory Container Deposit Scheme</w:t>
      </w:r>
    </w:p>
    <w:p w14:paraId="2274E0A7" w14:textId="77777777" w:rsidR="00030089" w:rsidRDefault="00030089" w:rsidP="00030089">
      <w:pPr>
        <w:tabs>
          <w:tab w:val="left" w:pos="-709"/>
        </w:tabs>
        <w:spacing w:line="360" w:lineRule="auto"/>
        <w:jc w:val="both"/>
        <w:rPr>
          <w:rFonts w:ascii="Arial" w:hAnsi="Arial" w:cs="Arial"/>
          <w:szCs w:val="28"/>
        </w:rPr>
      </w:pPr>
      <w:r w:rsidRPr="00C67089">
        <w:rPr>
          <w:rFonts w:ascii="Arial" w:hAnsi="Arial" w:cs="Arial"/>
          <w:szCs w:val="28"/>
        </w:rPr>
        <w:t xml:space="preserve">In light of the above considerations, the </w:t>
      </w:r>
      <w:r>
        <w:rPr>
          <w:rFonts w:ascii="Arial" w:hAnsi="Arial" w:cs="Arial"/>
          <w:szCs w:val="28"/>
        </w:rPr>
        <w:t>NT Government</w:t>
      </w:r>
      <w:r w:rsidRPr="00C67089">
        <w:rPr>
          <w:rFonts w:ascii="Arial" w:hAnsi="Arial" w:cs="Arial"/>
          <w:szCs w:val="28"/>
        </w:rPr>
        <w:t xml:space="preserve"> investigated </w:t>
      </w:r>
      <w:r>
        <w:rPr>
          <w:rFonts w:ascii="Arial" w:hAnsi="Arial" w:cs="Arial"/>
          <w:szCs w:val="28"/>
        </w:rPr>
        <w:t xml:space="preserve">options to increase recycling in the NT. The NT Government compiled a Regulatory Impact Statement (RIS), which recommended that a </w:t>
      </w:r>
      <w:r w:rsidRPr="00C67089">
        <w:rPr>
          <w:rFonts w:ascii="Arial" w:hAnsi="Arial" w:cs="Arial"/>
          <w:szCs w:val="28"/>
        </w:rPr>
        <w:t>N</w:t>
      </w:r>
      <w:r>
        <w:rPr>
          <w:rFonts w:ascii="Arial" w:hAnsi="Arial" w:cs="Arial"/>
          <w:szCs w:val="28"/>
        </w:rPr>
        <w:t xml:space="preserve">orthern </w:t>
      </w:r>
      <w:r w:rsidRPr="00C67089">
        <w:rPr>
          <w:rFonts w:ascii="Arial" w:hAnsi="Arial" w:cs="Arial"/>
          <w:szCs w:val="28"/>
        </w:rPr>
        <w:t>T</w:t>
      </w:r>
      <w:r>
        <w:rPr>
          <w:rFonts w:ascii="Arial" w:hAnsi="Arial" w:cs="Arial"/>
          <w:szCs w:val="28"/>
        </w:rPr>
        <w:t>erritory</w:t>
      </w:r>
      <w:r w:rsidRPr="00C67089">
        <w:rPr>
          <w:rFonts w:ascii="Arial" w:hAnsi="Arial" w:cs="Arial"/>
          <w:szCs w:val="28"/>
        </w:rPr>
        <w:t xml:space="preserve"> Container Deposit Scheme (</w:t>
      </w:r>
      <w:r>
        <w:rPr>
          <w:rFonts w:ascii="Arial" w:hAnsi="Arial" w:cs="Arial"/>
          <w:szCs w:val="28"/>
        </w:rPr>
        <w:t xml:space="preserve">NT </w:t>
      </w:r>
      <w:r w:rsidRPr="00C67089">
        <w:rPr>
          <w:rFonts w:ascii="Arial" w:hAnsi="Arial" w:cs="Arial"/>
          <w:szCs w:val="28"/>
        </w:rPr>
        <w:t>CDS)</w:t>
      </w:r>
      <w:r>
        <w:rPr>
          <w:rFonts w:ascii="Arial" w:hAnsi="Arial" w:cs="Arial"/>
          <w:szCs w:val="28"/>
        </w:rPr>
        <w:t xml:space="preserve"> be introduced. An NT CDS was subsequently rolled out. The scheme began operating from</w:t>
      </w:r>
      <w:r w:rsidRPr="00C67089">
        <w:rPr>
          <w:rFonts w:ascii="Arial" w:hAnsi="Arial" w:cs="Arial"/>
          <w:szCs w:val="28"/>
        </w:rPr>
        <w:t xml:space="preserve"> </w:t>
      </w:r>
      <w:r>
        <w:rPr>
          <w:rFonts w:ascii="Arial" w:hAnsi="Arial" w:cs="Arial"/>
          <w:szCs w:val="28"/>
        </w:rPr>
        <w:t xml:space="preserve">     </w:t>
      </w:r>
      <w:r w:rsidRPr="00C67089">
        <w:rPr>
          <w:rFonts w:ascii="Arial" w:hAnsi="Arial" w:cs="Arial"/>
          <w:szCs w:val="28"/>
        </w:rPr>
        <w:t xml:space="preserve">3 January 2012. </w:t>
      </w:r>
      <w:r>
        <w:rPr>
          <w:rFonts w:ascii="Arial" w:hAnsi="Arial" w:cs="Arial"/>
          <w:szCs w:val="28"/>
        </w:rPr>
        <w:t xml:space="preserve">Upon commencement the NT Government enacted a temporary exemption from the </w:t>
      </w:r>
      <w:r w:rsidRPr="00C67089">
        <w:rPr>
          <w:rFonts w:ascii="Arial" w:hAnsi="Arial" w:cs="Arial"/>
          <w:i/>
          <w:szCs w:val="28"/>
        </w:rPr>
        <w:t>Mutual Recognition Act 1992</w:t>
      </w:r>
      <w:r w:rsidRPr="00C67089">
        <w:rPr>
          <w:rFonts w:ascii="Arial" w:hAnsi="Arial" w:cs="Arial"/>
          <w:szCs w:val="28"/>
        </w:rPr>
        <w:t xml:space="preserve"> (Cth)</w:t>
      </w:r>
      <w:r>
        <w:rPr>
          <w:rFonts w:ascii="Arial" w:hAnsi="Arial" w:cs="Arial"/>
          <w:szCs w:val="28"/>
        </w:rPr>
        <w:t xml:space="preserve"> (MRA)</w:t>
      </w:r>
      <w:r w:rsidRPr="00C67089">
        <w:rPr>
          <w:rFonts w:ascii="Arial" w:hAnsi="Arial" w:cs="Arial"/>
          <w:szCs w:val="28"/>
        </w:rPr>
        <w:t xml:space="preserve"> and the </w:t>
      </w:r>
      <w:r w:rsidRPr="00C67089">
        <w:rPr>
          <w:rFonts w:ascii="Arial" w:hAnsi="Arial" w:cs="Arial"/>
          <w:i/>
          <w:szCs w:val="28"/>
        </w:rPr>
        <w:t>Trans-Tasman Mutual Recognition Act 1997</w:t>
      </w:r>
      <w:r>
        <w:rPr>
          <w:rFonts w:ascii="Arial" w:hAnsi="Arial" w:cs="Arial"/>
          <w:szCs w:val="28"/>
        </w:rPr>
        <w:t xml:space="preserve"> (Cth) (</w:t>
      </w:r>
      <w:r w:rsidRPr="00C67089">
        <w:rPr>
          <w:rFonts w:ascii="Arial" w:hAnsi="Arial" w:cs="Arial"/>
          <w:szCs w:val="28"/>
        </w:rPr>
        <w:t>TTMRA)</w:t>
      </w:r>
      <w:r>
        <w:rPr>
          <w:rFonts w:ascii="Arial" w:hAnsi="Arial" w:cs="Arial"/>
          <w:szCs w:val="28"/>
        </w:rPr>
        <w:t>.</w:t>
      </w:r>
    </w:p>
    <w:p w14:paraId="78DB3171" w14:textId="77777777" w:rsidR="00030089" w:rsidRDefault="00030089" w:rsidP="00030089">
      <w:pPr>
        <w:tabs>
          <w:tab w:val="left" w:pos="-709"/>
        </w:tabs>
        <w:spacing w:line="360" w:lineRule="auto"/>
        <w:jc w:val="both"/>
        <w:rPr>
          <w:rFonts w:ascii="Arial" w:hAnsi="Arial" w:cs="Arial"/>
          <w:szCs w:val="28"/>
        </w:rPr>
      </w:pPr>
      <w:r>
        <w:rPr>
          <w:rFonts w:ascii="Arial" w:hAnsi="Arial" w:cs="Arial"/>
          <w:szCs w:val="28"/>
        </w:rPr>
        <w:t>Since the introduction of the scheme a successful court challenge has rendered some aspects of the scheme invalid in relation to the MRA. To counteract the impact of this the NT Government has moved to underwrite the scheme until a decision on the granting of a permanent exemption from the MRA has been determined. In addition to this an appeal to the declaration in the Federal Court is also being prepared.</w:t>
      </w:r>
    </w:p>
    <w:p w14:paraId="0C04C6E5" w14:textId="77777777" w:rsidR="00030089" w:rsidRDefault="00030089" w:rsidP="00030089">
      <w:pPr>
        <w:tabs>
          <w:tab w:val="left" w:pos="-709"/>
        </w:tabs>
        <w:spacing w:line="360" w:lineRule="auto"/>
        <w:jc w:val="both"/>
        <w:rPr>
          <w:rFonts w:ascii="Arial" w:hAnsi="Arial" w:cs="Arial"/>
          <w:b/>
          <w:bCs/>
          <w:color w:val="000000"/>
          <w:szCs w:val="28"/>
        </w:rPr>
      </w:pPr>
      <w:r w:rsidRPr="00293B49">
        <w:rPr>
          <w:rFonts w:ascii="Arial" w:hAnsi="Arial" w:cs="Arial"/>
          <w:b/>
          <w:bCs/>
          <w:color w:val="000000"/>
          <w:szCs w:val="28"/>
        </w:rPr>
        <w:t>Operation of the N</w:t>
      </w:r>
      <w:r>
        <w:rPr>
          <w:rFonts w:ascii="Arial" w:hAnsi="Arial" w:cs="Arial"/>
          <w:b/>
          <w:bCs/>
          <w:color w:val="000000"/>
          <w:szCs w:val="28"/>
        </w:rPr>
        <w:t>T CDS to Date</w:t>
      </w:r>
    </w:p>
    <w:p w14:paraId="2E4F08FF" w14:textId="77777777" w:rsidR="00030089" w:rsidRDefault="00030089" w:rsidP="00030089">
      <w:pPr>
        <w:tabs>
          <w:tab w:val="left" w:pos="-709"/>
        </w:tabs>
        <w:spacing w:line="360" w:lineRule="auto"/>
        <w:jc w:val="both"/>
        <w:rPr>
          <w:rFonts w:ascii="Arial" w:hAnsi="Arial" w:cs="Arial"/>
        </w:rPr>
      </w:pPr>
      <w:r>
        <w:rPr>
          <w:rFonts w:ascii="Arial" w:hAnsi="Arial" w:cs="Arial"/>
        </w:rPr>
        <w:t>Table ES.1</w:t>
      </w:r>
      <w:r w:rsidRPr="00560508">
        <w:rPr>
          <w:rFonts w:ascii="Arial" w:hAnsi="Arial" w:cs="Arial"/>
        </w:rPr>
        <w:t xml:space="preserve"> summarises the</w:t>
      </w:r>
      <w:r>
        <w:rPr>
          <w:rFonts w:ascii="Arial" w:hAnsi="Arial" w:cs="Arial"/>
        </w:rPr>
        <w:t xml:space="preserve"> </w:t>
      </w:r>
      <w:r w:rsidRPr="000729A4">
        <w:rPr>
          <w:rFonts w:ascii="Arial" w:hAnsi="Arial" w:cs="Arial"/>
        </w:rPr>
        <w:t>market</w:t>
      </w:r>
      <w:r w:rsidRPr="00560508">
        <w:rPr>
          <w:rFonts w:ascii="Arial" w:hAnsi="Arial" w:cs="Arial"/>
        </w:rPr>
        <w:t xml:space="preserve"> costs and benefits </w:t>
      </w:r>
      <w:r>
        <w:rPr>
          <w:rFonts w:ascii="Arial" w:hAnsi="Arial" w:cs="Arial"/>
        </w:rPr>
        <w:t>for the NT CDS after its first 12 months of operation</w:t>
      </w:r>
      <w:r w:rsidRPr="00560508">
        <w:rPr>
          <w:rFonts w:ascii="Arial" w:hAnsi="Arial" w:cs="Arial"/>
        </w:rPr>
        <w:t>.</w:t>
      </w:r>
      <w:r w:rsidRPr="00560508">
        <w:rPr>
          <w:rFonts w:ascii="Arial" w:hAnsi="Arial" w:cs="Arial"/>
          <w:b/>
          <w:color w:val="0070C0"/>
        </w:rPr>
        <w:t xml:space="preserve"> </w:t>
      </w:r>
    </w:p>
    <w:p w14:paraId="2918F541" w14:textId="77777777" w:rsidR="00030089" w:rsidRPr="00682556" w:rsidRDefault="00030089" w:rsidP="00030089">
      <w:pPr>
        <w:pStyle w:val="Caption"/>
        <w:keepNext/>
        <w:rPr>
          <w:rFonts w:ascii="Arial" w:hAnsi="Arial" w:cs="Arial"/>
          <w:b w:val="0"/>
          <w:bCs w:val="0"/>
          <w:color w:val="auto"/>
          <w:szCs w:val="28"/>
        </w:rPr>
      </w:pPr>
      <w:r w:rsidRPr="00682556">
        <w:rPr>
          <w:color w:val="auto"/>
        </w:rPr>
        <w:fldChar w:fldCharType="begin"/>
      </w:r>
      <w:r w:rsidRPr="00682556">
        <w:rPr>
          <w:color w:val="auto"/>
        </w:rPr>
        <w:instrText xml:space="preserve"> SEQ Figure \* ARABIC </w:instrText>
      </w:r>
      <w:r w:rsidRPr="00682556">
        <w:rPr>
          <w:color w:val="auto"/>
        </w:rPr>
        <w:fldChar w:fldCharType="separate"/>
      </w:r>
      <w:bookmarkStart w:id="3" w:name="_Toc353562482"/>
      <w:r w:rsidR="00740026">
        <w:rPr>
          <w:noProof/>
          <w:color w:val="auto"/>
        </w:rPr>
        <w:t>1</w:t>
      </w:r>
      <w:r w:rsidRPr="00682556">
        <w:rPr>
          <w:color w:val="auto"/>
        </w:rPr>
        <w:fldChar w:fldCharType="end"/>
      </w:r>
      <w:r w:rsidRPr="00682556">
        <w:rPr>
          <w:rFonts w:ascii="Arial" w:hAnsi="Arial" w:cs="Arial"/>
          <w:color w:val="auto"/>
        </w:rPr>
        <w:t xml:space="preserve"> Table ES.1: Cost and benefit analysis for NT CDS after first 12 months of operation</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84"/>
        <w:gridCol w:w="1795"/>
      </w:tblGrid>
      <w:tr w:rsidR="00030089" w:rsidRPr="003D324F" w14:paraId="1C85ED44" w14:textId="77777777" w:rsidTr="008547F7">
        <w:trPr>
          <w:tblHeader/>
        </w:trPr>
        <w:tc>
          <w:tcPr>
            <w:tcW w:w="4584" w:type="dxa"/>
            <w:shd w:val="pct10" w:color="auto" w:fill="FFFFFF" w:themeFill="background1"/>
          </w:tcPr>
          <w:p w14:paraId="3D85978E" w14:textId="77777777" w:rsidR="00030089" w:rsidRPr="001505FD" w:rsidRDefault="00030089" w:rsidP="008547F7">
            <w:pPr>
              <w:pStyle w:val="NoSpacing"/>
              <w:spacing w:before="60" w:line="360" w:lineRule="auto"/>
              <w:rPr>
                <w:rFonts w:ascii="Arial" w:hAnsi="Arial" w:cs="Arial"/>
                <w:b/>
                <w:sz w:val="18"/>
                <w:szCs w:val="18"/>
              </w:rPr>
            </w:pPr>
            <w:r w:rsidRPr="001505FD">
              <w:rPr>
                <w:rFonts w:ascii="Arial" w:hAnsi="Arial" w:cs="Arial"/>
                <w:b/>
                <w:sz w:val="18"/>
                <w:szCs w:val="18"/>
              </w:rPr>
              <w:t>Description of Costs / Benefits</w:t>
            </w:r>
          </w:p>
        </w:tc>
        <w:tc>
          <w:tcPr>
            <w:tcW w:w="1795" w:type="dxa"/>
            <w:shd w:val="pct10" w:color="auto" w:fill="FFFFFF" w:themeFill="background1"/>
          </w:tcPr>
          <w:p w14:paraId="4913ED5D" w14:textId="77777777" w:rsidR="00030089" w:rsidRPr="001505FD" w:rsidRDefault="00030089" w:rsidP="008547F7">
            <w:pPr>
              <w:pStyle w:val="NoSpacing"/>
              <w:spacing w:before="60" w:line="360" w:lineRule="auto"/>
              <w:jc w:val="right"/>
              <w:rPr>
                <w:rFonts w:ascii="Arial" w:hAnsi="Arial" w:cs="Arial"/>
                <w:b/>
                <w:sz w:val="18"/>
                <w:szCs w:val="18"/>
              </w:rPr>
            </w:pPr>
            <w:r w:rsidRPr="001505FD">
              <w:rPr>
                <w:rFonts w:ascii="Arial" w:hAnsi="Arial" w:cs="Arial"/>
                <w:b/>
                <w:sz w:val="18"/>
                <w:szCs w:val="18"/>
              </w:rPr>
              <w:t>Value</w:t>
            </w:r>
          </w:p>
        </w:tc>
      </w:tr>
      <w:tr w:rsidR="00030089" w:rsidRPr="003D324F" w14:paraId="1C0C2585" w14:textId="77777777" w:rsidTr="008547F7">
        <w:tc>
          <w:tcPr>
            <w:tcW w:w="4584" w:type="dxa"/>
            <w:shd w:val="clear" w:color="auto" w:fill="FFFFFF" w:themeFill="background1"/>
          </w:tcPr>
          <w:p w14:paraId="58EC136E" w14:textId="77777777" w:rsidR="00030089" w:rsidRPr="001505FD" w:rsidRDefault="00030089" w:rsidP="008547F7">
            <w:pPr>
              <w:pStyle w:val="NoSpacing"/>
              <w:spacing w:before="60" w:line="360" w:lineRule="auto"/>
              <w:rPr>
                <w:rFonts w:ascii="Arial" w:hAnsi="Arial" w:cs="Arial"/>
                <w:sz w:val="18"/>
                <w:szCs w:val="18"/>
              </w:rPr>
            </w:pPr>
            <w:r>
              <w:rPr>
                <w:rFonts w:ascii="Arial" w:hAnsi="Arial" w:cs="Arial"/>
                <w:sz w:val="18"/>
                <w:szCs w:val="18"/>
              </w:rPr>
              <w:t>T</w:t>
            </w:r>
            <w:r w:rsidRPr="001505FD">
              <w:rPr>
                <w:rFonts w:ascii="Arial" w:hAnsi="Arial" w:cs="Arial"/>
                <w:sz w:val="18"/>
                <w:szCs w:val="18"/>
              </w:rPr>
              <w:t>otal costs</w:t>
            </w:r>
          </w:p>
        </w:tc>
        <w:tc>
          <w:tcPr>
            <w:tcW w:w="1795" w:type="dxa"/>
            <w:shd w:val="clear" w:color="auto" w:fill="FFFFFF" w:themeFill="background1"/>
          </w:tcPr>
          <w:p w14:paraId="73B258F8" w14:textId="77777777" w:rsidR="00030089" w:rsidRPr="001505FD" w:rsidRDefault="00030089" w:rsidP="008547F7">
            <w:pPr>
              <w:pStyle w:val="NoSpacing"/>
              <w:spacing w:before="60" w:line="360" w:lineRule="auto"/>
              <w:jc w:val="right"/>
              <w:rPr>
                <w:rFonts w:ascii="Arial" w:hAnsi="Arial" w:cs="Arial"/>
                <w:sz w:val="18"/>
                <w:szCs w:val="18"/>
              </w:rPr>
            </w:pPr>
            <w:r w:rsidRPr="001505FD">
              <w:rPr>
                <w:rFonts w:ascii="Arial" w:hAnsi="Arial" w:cs="Arial"/>
                <w:sz w:val="18"/>
                <w:szCs w:val="18"/>
              </w:rPr>
              <w:t>$</w:t>
            </w:r>
            <w:r>
              <w:rPr>
                <w:rFonts w:ascii="Arial" w:hAnsi="Arial" w:cs="Arial"/>
                <w:sz w:val="18"/>
                <w:szCs w:val="18"/>
              </w:rPr>
              <w:t>2 653 524</w:t>
            </w:r>
          </w:p>
        </w:tc>
      </w:tr>
      <w:tr w:rsidR="00030089" w:rsidRPr="003D324F" w14:paraId="3FAABFCE" w14:textId="77777777" w:rsidTr="008547F7">
        <w:tc>
          <w:tcPr>
            <w:tcW w:w="4584" w:type="dxa"/>
            <w:shd w:val="clear" w:color="auto" w:fill="FFFFFF" w:themeFill="background1"/>
          </w:tcPr>
          <w:p w14:paraId="190829B9" w14:textId="77777777" w:rsidR="00030089" w:rsidRPr="001505FD" w:rsidRDefault="00030089" w:rsidP="008547F7">
            <w:pPr>
              <w:pStyle w:val="NoSpacing"/>
              <w:spacing w:before="60" w:line="360" w:lineRule="auto"/>
              <w:rPr>
                <w:rFonts w:ascii="Arial" w:hAnsi="Arial" w:cs="Arial"/>
                <w:sz w:val="18"/>
                <w:szCs w:val="18"/>
              </w:rPr>
            </w:pPr>
            <w:r>
              <w:rPr>
                <w:rFonts w:ascii="Arial" w:hAnsi="Arial" w:cs="Arial"/>
                <w:sz w:val="18"/>
                <w:szCs w:val="18"/>
              </w:rPr>
              <w:t>T</w:t>
            </w:r>
            <w:r w:rsidRPr="001505FD">
              <w:rPr>
                <w:rFonts w:ascii="Arial" w:hAnsi="Arial" w:cs="Arial"/>
                <w:sz w:val="18"/>
                <w:szCs w:val="18"/>
              </w:rPr>
              <w:t>otal market benefits</w:t>
            </w:r>
          </w:p>
        </w:tc>
        <w:tc>
          <w:tcPr>
            <w:tcW w:w="1795" w:type="dxa"/>
            <w:shd w:val="clear" w:color="auto" w:fill="FFFFFF" w:themeFill="background1"/>
          </w:tcPr>
          <w:p w14:paraId="69355FD8" w14:textId="77777777" w:rsidR="00030089" w:rsidRPr="001505FD" w:rsidRDefault="00030089" w:rsidP="008547F7">
            <w:pPr>
              <w:pStyle w:val="NoSpacing"/>
              <w:spacing w:before="60" w:line="360" w:lineRule="auto"/>
              <w:jc w:val="right"/>
              <w:rPr>
                <w:rFonts w:ascii="Arial" w:hAnsi="Arial" w:cs="Arial"/>
                <w:sz w:val="18"/>
                <w:szCs w:val="18"/>
              </w:rPr>
            </w:pPr>
            <w:r>
              <w:rPr>
                <w:rFonts w:ascii="Arial" w:hAnsi="Arial" w:cs="Arial"/>
                <w:sz w:val="18"/>
                <w:szCs w:val="18"/>
              </w:rPr>
              <w:t>$3 072 362</w:t>
            </w:r>
          </w:p>
        </w:tc>
      </w:tr>
      <w:tr w:rsidR="00030089" w:rsidRPr="00174C36" w14:paraId="52D8684F" w14:textId="77777777" w:rsidTr="008547F7">
        <w:tc>
          <w:tcPr>
            <w:tcW w:w="4584" w:type="dxa"/>
            <w:shd w:val="clear" w:color="auto" w:fill="FFFFFF" w:themeFill="background1"/>
          </w:tcPr>
          <w:p w14:paraId="148D0F9D" w14:textId="77777777" w:rsidR="00030089" w:rsidRPr="00174C36" w:rsidRDefault="00030089" w:rsidP="008547F7">
            <w:pPr>
              <w:pStyle w:val="NoSpacing"/>
              <w:spacing w:before="60" w:line="360" w:lineRule="auto"/>
              <w:rPr>
                <w:rFonts w:ascii="Arial" w:hAnsi="Arial" w:cs="Arial"/>
                <w:b/>
                <w:sz w:val="18"/>
                <w:szCs w:val="18"/>
              </w:rPr>
            </w:pPr>
            <w:r w:rsidRPr="00174C36">
              <w:rPr>
                <w:rFonts w:ascii="Arial" w:hAnsi="Arial" w:cs="Arial"/>
                <w:b/>
                <w:sz w:val="18"/>
                <w:szCs w:val="18"/>
              </w:rPr>
              <w:t xml:space="preserve">Net Present Value </w:t>
            </w:r>
          </w:p>
        </w:tc>
        <w:tc>
          <w:tcPr>
            <w:tcW w:w="1795" w:type="dxa"/>
            <w:shd w:val="clear" w:color="auto" w:fill="FFFFFF" w:themeFill="background1"/>
          </w:tcPr>
          <w:p w14:paraId="029CC258" w14:textId="77777777" w:rsidR="00030089" w:rsidRPr="00825155" w:rsidRDefault="00030089" w:rsidP="008547F7">
            <w:pPr>
              <w:pStyle w:val="NoSpacing"/>
              <w:spacing w:before="60" w:line="360" w:lineRule="auto"/>
              <w:jc w:val="right"/>
              <w:rPr>
                <w:rFonts w:ascii="Arial" w:hAnsi="Arial" w:cs="Arial"/>
                <w:b/>
                <w:sz w:val="18"/>
                <w:szCs w:val="18"/>
              </w:rPr>
            </w:pPr>
            <w:r>
              <w:rPr>
                <w:rFonts w:ascii="Arial" w:hAnsi="Arial" w:cs="Arial"/>
                <w:b/>
                <w:sz w:val="18"/>
                <w:szCs w:val="18"/>
              </w:rPr>
              <w:t>$418 838</w:t>
            </w:r>
          </w:p>
        </w:tc>
      </w:tr>
    </w:tbl>
    <w:p w14:paraId="53267D56" w14:textId="77777777" w:rsidR="00030089" w:rsidRDefault="00030089" w:rsidP="00030089">
      <w:pPr>
        <w:rPr>
          <w:rFonts w:ascii="Arial" w:hAnsi="Arial" w:cs="Arial"/>
          <w:b/>
          <w:szCs w:val="28"/>
        </w:rPr>
      </w:pPr>
      <w:r>
        <w:rPr>
          <w:rFonts w:ascii="Arial" w:hAnsi="Arial" w:cs="Arial"/>
          <w:b/>
          <w:szCs w:val="28"/>
        </w:rPr>
        <w:t xml:space="preserve"> </w:t>
      </w:r>
    </w:p>
    <w:p w14:paraId="755D4220" w14:textId="77777777" w:rsidR="00F702E2" w:rsidRDefault="00F702E2" w:rsidP="00030089">
      <w:pPr>
        <w:spacing w:line="360" w:lineRule="auto"/>
        <w:jc w:val="both"/>
        <w:rPr>
          <w:rFonts w:ascii="Arial" w:hAnsi="Arial" w:cs="Arial"/>
          <w:b/>
          <w:szCs w:val="28"/>
        </w:rPr>
      </w:pPr>
    </w:p>
    <w:p w14:paraId="06A32689" w14:textId="77777777" w:rsidR="00030089" w:rsidRDefault="00030089" w:rsidP="00030089">
      <w:pPr>
        <w:spacing w:line="360" w:lineRule="auto"/>
        <w:jc w:val="both"/>
        <w:rPr>
          <w:rFonts w:ascii="Arial" w:hAnsi="Arial" w:cs="Arial"/>
          <w:b/>
          <w:szCs w:val="28"/>
        </w:rPr>
      </w:pPr>
      <w:r>
        <w:rPr>
          <w:rFonts w:ascii="Arial" w:hAnsi="Arial" w:cs="Arial"/>
          <w:b/>
          <w:szCs w:val="28"/>
        </w:rPr>
        <w:lastRenderedPageBreak/>
        <w:t>Options to Address the Problems</w:t>
      </w:r>
    </w:p>
    <w:p w14:paraId="3C0A0486" w14:textId="77777777" w:rsidR="00030089" w:rsidRDefault="00030089" w:rsidP="00030089">
      <w:pPr>
        <w:spacing w:line="360" w:lineRule="auto"/>
        <w:jc w:val="both"/>
        <w:rPr>
          <w:rFonts w:ascii="Arial" w:hAnsi="Arial" w:cs="Arial"/>
          <w:szCs w:val="28"/>
        </w:rPr>
      </w:pPr>
      <w:r>
        <w:rPr>
          <w:rFonts w:ascii="Arial" w:hAnsi="Arial" w:cs="Arial"/>
          <w:szCs w:val="28"/>
        </w:rPr>
        <w:t>The costs and benefits of four options were</w:t>
      </w:r>
      <w:r w:rsidRPr="005777FE">
        <w:rPr>
          <w:rFonts w:ascii="Arial" w:hAnsi="Arial" w:cs="Arial"/>
          <w:szCs w:val="28"/>
        </w:rPr>
        <w:t xml:space="preserve"> analysed</w:t>
      </w:r>
      <w:r>
        <w:rPr>
          <w:rFonts w:ascii="Arial" w:hAnsi="Arial" w:cs="Arial"/>
          <w:szCs w:val="28"/>
        </w:rPr>
        <w:t>. Two of these options (Option One and Three) undertook an analysis within the context of the NT CDS’s operation to date.  Options Two and Four undertook an analysis within the national context:</w:t>
      </w:r>
    </w:p>
    <w:p w14:paraId="675C6FB4" w14:textId="77777777" w:rsidR="00030089" w:rsidRDefault="00030089" w:rsidP="00030089">
      <w:pPr>
        <w:autoSpaceDE w:val="0"/>
        <w:autoSpaceDN w:val="0"/>
        <w:adjustRightInd w:val="0"/>
        <w:spacing w:after="0" w:line="360" w:lineRule="auto"/>
        <w:ind w:left="720"/>
        <w:jc w:val="both"/>
        <w:rPr>
          <w:rFonts w:ascii="Arial" w:hAnsi="Arial" w:cs="Arial"/>
          <w:b/>
          <w:bCs/>
          <w:color w:val="000000"/>
          <w:szCs w:val="28"/>
        </w:rPr>
      </w:pPr>
    </w:p>
    <w:p w14:paraId="6036433A" w14:textId="77777777" w:rsidR="00030089" w:rsidRDefault="00030089" w:rsidP="00030089">
      <w:pPr>
        <w:autoSpaceDE w:val="0"/>
        <w:autoSpaceDN w:val="0"/>
        <w:adjustRightInd w:val="0"/>
        <w:spacing w:after="0" w:line="360" w:lineRule="auto"/>
        <w:ind w:left="720"/>
        <w:jc w:val="both"/>
        <w:rPr>
          <w:rFonts w:ascii="Arial" w:hAnsi="Arial" w:cs="Arial"/>
          <w:szCs w:val="28"/>
        </w:rPr>
      </w:pPr>
      <w:r w:rsidRPr="005777FE">
        <w:rPr>
          <w:rFonts w:ascii="Arial" w:hAnsi="Arial" w:cs="Arial"/>
          <w:b/>
          <w:bCs/>
          <w:color w:val="000000"/>
          <w:szCs w:val="28"/>
        </w:rPr>
        <w:t xml:space="preserve">Option </w:t>
      </w:r>
      <w:r>
        <w:rPr>
          <w:rFonts w:ascii="Arial" w:hAnsi="Arial" w:cs="Arial"/>
          <w:b/>
          <w:bCs/>
          <w:color w:val="000000"/>
          <w:szCs w:val="28"/>
        </w:rPr>
        <w:t>One</w:t>
      </w:r>
      <w:r w:rsidRPr="005777FE">
        <w:rPr>
          <w:rFonts w:ascii="Arial" w:hAnsi="Arial" w:cs="Arial"/>
          <w:b/>
          <w:bCs/>
          <w:color w:val="000000"/>
          <w:szCs w:val="28"/>
        </w:rPr>
        <w:t xml:space="preserve"> – </w:t>
      </w:r>
      <w:r>
        <w:rPr>
          <w:rFonts w:ascii="Arial" w:hAnsi="Arial" w:cs="Arial"/>
          <w:b/>
          <w:bCs/>
          <w:color w:val="000000"/>
          <w:szCs w:val="28"/>
        </w:rPr>
        <w:t>T</w:t>
      </w:r>
      <w:r w:rsidRPr="005777FE">
        <w:rPr>
          <w:rFonts w:ascii="Arial" w:hAnsi="Arial" w:cs="Arial"/>
          <w:b/>
          <w:bCs/>
          <w:color w:val="000000"/>
          <w:szCs w:val="28"/>
        </w:rPr>
        <w:t>he Status Quo</w:t>
      </w:r>
      <w:r>
        <w:rPr>
          <w:rFonts w:ascii="Arial" w:hAnsi="Arial" w:cs="Arial"/>
          <w:b/>
          <w:bCs/>
          <w:color w:val="000000"/>
          <w:szCs w:val="28"/>
        </w:rPr>
        <w:t xml:space="preserve">. </w:t>
      </w:r>
      <w:r w:rsidRPr="00293B49">
        <w:rPr>
          <w:rFonts w:ascii="Arial" w:hAnsi="Arial" w:cs="Arial"/>
          <w:bCs/>
          <w:color w:val="000000"/>
          <w:szCs w:val="28"/>
        </w:rPr>
        <w:t>Th</w:t>
      </w:r>
      <w:r w:rsidRPr="003D52A0">
        <w:rPr>
          <w:rFonts w:ascii="Arial" w:hAnsi="Arial" w:cs="Arial"/>
          <w:bCs/>
          <w:color w:val="000000"/>
          <w:szCs w:val="28"/>
        </w:rPr>
        <w:t>is</w:t>
      </w:r>
      <w:r>
        <w:rPr>
          <w:rFonts w:ascii="Arial" w:hAnsi="Arial" w:cs="Arial"/>
          <w:b/>
          <w:bCs/>
          <w:color w:val="000000"/>
          <w:szCs w:val="28"/>
        </w:rPr>
        <w:t xml:space="preserve"> </w:t>
      </w:r>
      <w:r>
        <w:rPr>
          <w:rFonts w:ascii="Arial" w:hAnsi="Arial" w:cs="Arial"/>
          <w:szCs w:val="28"/>
        </w:rPr>
        <w:t xml:space="preserve">option projects the NT CDS’s achievements in its first 12 months over a 25 year analysis period. It projects an incremental rate increase until an 80 percent return rate is achieved in 2029.  Given some uncertainty surrounding the NT CDS that results from a prior legal challenge to the scheme, and a subsequent appeal process, a 50 per cent uncertainty has been calculated.   </w:t>
      </w:r>
    </w:p>
    <w:p w14:paraId="1CBDE50F" w14:textId="77777777" w:rsidR="00030089" w:rsidRDefault="00030089" w:rsidP="00030089">
      <w:pPr>
        <w:autoSpaceDE w:val="0"/>
        <w:autoSpaceDN w:val="0"/>
        <w:adjustRightInd w:val="0"/>
        <w:spacing w:after="0" w:line="360" w:lineRule="auto"/>
        <w:ind w:left="720"/>
        <w:jc w:val="both"/>
        <w:rPr>
          <w:rFonts w:ascii="Arial" w:hAnsi="Arial" w:cs="Arial"/>
          <w:b/>
          <w:bCs/>
          <w:color w:val="000000"/>
          <w:szCs w:val="28"/>
        </w:rPr>
      </w:pPr>
    </w:p>
    <w:p w14:paraId="3C0933E3" w14:textId="77777777" w:rsidR="00030089" w:rsidRDefault="00030089" w:rsidP="00030089">
      <w:pPr>
        <w:autoSpaceDE w:val="0"/>
        <w:autoSpaceDN w:val="0"/>
        <w:adjustRightInd w:val="0"/>
        <w:spacing w:after="0" w:line="360" w:lineRule="auto"/>
        <w:ind w:left="720"/>
        <w:jc w:val="both"/>
        <w:rPr>
          <w:rFonts w:ascii="Arial" w:hAnsi="Arial" w:cs="Arial"/>
        </w:rPr>
      </w:pPr>
      <w:r w:rsidRPr="005777FE">
        <w:rPr>
          <w:rFonts w:ascii="Arial" w:hAnsi="Arial" w:cs="Arial"/>
          <w:b/>
          <w:bCs/>
          <w:color w:val="000000"/>
          <w:szCs w:val="28"/>
        </w:rPr>
        <w:t>Option</w:t>
      </w:r>
      <w:r>
        <w:rPr>
          <w:rFonts w:ascii="Arial" w:hAnsi="Arial" w:cs="Arial"/>
          <w:b/>
          <w:szCs w:val="28"/>
        </w:rPr>
        <w:t xml:space="preserve"> Two – National Packaging Recovery Scheme. </w:t>
      </w:r>
      <w:r>
        <w:rPr>
          <w:rFonts w:ascii="Arial" w:hAnsi="Arial" w:cs="Arial"/>
        </w:rPr>
        <w:t>Option Two constitutes a nationally harmonised approach. It links directly to the national process currently being undertaken to investigate options for regulating the impacts of packaging, including an option of a national container deposit scheme.  This process is set out in the national Packaging Impacts Consultation Regulation Impact Statement (Packaging Impacts CRIS)</w:t>
      </w:r>
      <w:r>
        <w:rPr>
          <w:rStyle w:val="FootnoteReference"/>
          <w:rFonts w:ascii="Arial" w:hAnsi="Arial" w:cs="Arial"/>
        </w:rPr>
        <w:footnoteReference w:customMarkFollows="1" w:id="1"/>
        <w:t>[1]</w:t>
      </w:r>
      <w:r>
        <w:rPr>
          <w:rFonts w:ascii="Arial" w:hAnsi="Arial" w:cs="Arial"/>
        </w:rPr>
        <w:t xml:space="preserve">. </w:t>
      </w:r>
    </w:p>
    <w:p w14:paraId="48185139" w14:textId="77777777" w:rsidR="00030089" w:rsidRDefault="00030089" w:rsidP="00030089">
      <w:pPr>
        <w:autoSpaceDE w:val="0"/>
        <w:autoSpaceDN w:val="0"/>
        <w:adjustRightInd w:val="0"/>
        <w:spacing w:after="0" w:line="360" w:lineRule="auto"/>
        <w:ind w:left="720"/>
        <w:jc w:val="both"/>
        <w:rPr>
          <w:rFonts w:ascii="Arial" w:hAnsi="Arial" w:cs="Arial"/>
          <w:b/>
          <w:szCs w:val="28"/>
        </w:rPr>
      </w:pPr>
    </w:p>
    <w:p w14:paraId="67F0D5AA" w14:textId="77777777" w:rsidR="00030089" w:rsidRDefault="00030089" w:rsidP="00030089">
      <w:pPr>
        <w:autoSpaceDE w:val="0"/>
        <w:autoSpaceDN w:val="0"/>
        <w:adjustRightInd w:val="0"/>
        <w:spacing w:after="0" w:line="360" w:lineRule="auto"/>
        <w:ind w:left="720"/>
        <w:jc w:val="both"/>
        <w:rPr>
          <w:rFonts w:ascii="Arial" w:hAnsi="Arial" w:cs="Arial"/>
          <w:szCs w:val="28"/>
        </w:rPr>
      </w:pPr>
      <w:r>
        <w:rPr>
          <w:rFonts w:ascii="Arial" w:hAnsi="Arial" w:cs="Arial"/>
          <w:b/>
          <w:szCs w:val="28"/>
        </w:rPr>
        <w:t xml:space="preserve">Option Three – Permanent Exemption from the Mutual Recognition Principle is Granted. </w:t>
      </w:r>
      <w:r>
        <w:rPr>
          <w:rFonts w:ascii="Arial" w:hAnsi="Arial" w:cs="Arial"/>
          <w:szCs w:val="28"/>
        </w:rPr>
        <w:t xml:space="preserve">Granting of a permanent exemption from the MRA and the TTMRA will result in </w:t>
      </w:r>
      <w:r w:rsidRPr="00144A81">
        <w:rPr>
          <w:rFonts w:ascii="Arial" w:hAnsi="Arial" w:cs="Arial"/>
        </w:rPr>
        <w:t>the</w:t>
      </w:r>
      <w:r w:rsidRPr="00E62DE8">
        <w:rPr>
          <w:rFonts w:ascii="Arial" w:hAnsi="Arial" w:cs="Arial"/>
          <w:i/>
        </w:rPr>
        <w:t xml:space="preserve"> Environment Protection (Beverage Containers and Plastic Bags) Act 2011</w:t>
      </w:r>
      <w:r w:rsidRPr="00144A81">
        <w:rPr>
          <w:rFonts w:ascii="Arial" w:hAnsi="Arial" w:cs="Arial"/>
        </w:rPr>
        <w:t xml:space="preserve"> (EP (BC&amp;PB) Act</w:t>
      </w:r>
      <w:r w:rsidRPr="00203D9D">
        <w:rPr>
          <w:rFonts w:ascii="Arial" w:hAnsi="Arial" w:cs="Arial"/>
        </w:rPr>
        <w:t>)</w:t>
      </w:r>
      <w:r>
        <w:rPr>
          <w:rFonts w:ascii="Arial" w:hAnsi="Arial" w:cs="Arial"/>
          <w:szCs w:val="28"/>
        </w:rPr>
        <w:t xml:space="preserve"> continuing to achieve its objectives and allowing the scheme to expand. This option projects outcomes of the NT CDS within the first 12 months of its operation</w:t>
      </w:r>
      <w:r w:rsidRPr="00DB65DA">
        <w:rPr>
          <w:rFonts w:ascii="Arial" w:hAnsi="Arial" w:cs="Arial"/>
          <w:szCs w:val="28"/>
        </w:rPr>
        <w:t xml:space="preserve"> </w:t>
      </w:r>
      <w:r>
        <w:rPr>
          <w:rFonts w:ascii="Arial" w:hAnsi="Arial" w:cs="Arial"/>
          <w:szCs w:val="28"/>
        </w:rPr>
        <w:t>over a 25 year period factoring in the achievement of an 80 per cent return rate.</w:t>
      </w:r>
    </w:p>
    <w:p w14:paraId="1D41D26C" w14:textId="77777777" w:rsidR="00030089" w:rsidRDefault="00030089" w:rsidP="00030089">
      <w:pPr>
        <w:autoSpaceDE w:val="0"/>
        <w:autoSpaceDN w:val="0"/>
        <w:adjustRightInd w:val="0"/>
        <w:spacing w:after="0" w:line="360" w:lineRule="auto"/>
        <w:ind w:left="720"/>
        <w:jc w:val="both"/>
        <w:rPr>
          <w:rFonts w:ascii="Arial" w:hAnsi="Arial" w:cs="Arial"/>
          <w:szCs w:val="28"/>
        </w:rPr>
      </w:pPr>
      <w:r>
        <w:rPr>
          <w:rFonts w:ascii="Arial" w:hAnsi="Arial" w:cs="Arial"/>
          <w:szCs w:val="28"/>
        </w:rPr>
        <w:t xml:space="preserve"> </w:t>
      </w:r>
    </w:p>
    <w:p w14:paraId="01322FC9" w14:textId="77777777" w:rsidR="00030089" w:rsidRDefault="00030089" w:rsidP="00030089">
      <w:pPr>
        <w:spacing w:line="360" w:lineRule="auto"/>
        <w:ind w:left="709"/>
        <w:jc w:val="both"/>
        <w:rPr>
          <w:szCs w:val="28"/>
        </w:rPr>
      </w:pPr>
      <w:r>
        <w:rPr>
          <w:rFonts w:ascii="Arial" w:hAnsi="Arial" w:cs="Arial"/>
          <w:szCs w:val="28"/>
        </w:rPr>
        <w:softHyphen/>
      </w:r>
      <w:r>
        <w:rPr>
          <w:rFonts w:ascii="Arial" w:hAnsi="Arial" w:cs="Arial"/>
          <w:szCs w:val="28"/>
        </w:rPr>
        <w:softHyphen/>
      </w:r>
      <w:r>
        <w:rPr>
          <w:rFonts w:ascii="Arial" w:hAnsi="Arial" w:cs="Arial"/>
          <w:szCs w:val="28"/>
        </w:rPr>
        <w:softHyphen/>
      </w:r>
      <w:r>
        <w:rPr>
          <w:rFonts w:ascii="Arial" w:hAnsi="Arial" w:cs="Arial"/>
          <w:b/>
          <w:szCs w:val="28"/>
        </w:rPr>
        <w:t xml:space="preserve">Option Four – Other Less Trade-restrictive Approaches. </w:t>
      </w:r>
      <w:r w:rsidRPr="005777FE">
        <w:rPr>
          <w:rFonts w:ascii="Arial" w:hAnsi="Arial" w:cs="Arial"/>
          <w:szCs w:val="28"/>
        </w:rPr>
        <w:t>In response to industry feedback during consultation, this option considers the costs and benefits of the NT signing the Australian Packaging Covenant (APC)</w:t>
      </w:r>
      <w:r w:rsidRPr="00E40E7A">
        <w:rPr>
          <w:rFonts w:ascii="Arial" w:hAnsi="Arial" w:cs="Arial"/>
          <w:szCs w:val="28"/>
        </w:rPr>
        <w:t xml:space="preserve">, which </w:t>
      </w:r>
      <w:r>
        <w:rPr>
          <w:rFonts w:ascii="Arial" w:hAnsi="Arial" w:cs="Arial"/>
          <w:szCs w:val="28"/>
        </w:rPr>
        <w:t xml:space="preserve">then </w:t>
      </w:r>
      <w:r w:rsidRPr="00E40E7A">
        <w:rPr>
          <w:rFonts w:ascii="Arial" w:hAnsi="Arial" w:cs="Arial"/>
          <w:szCs w:val="28"/>
        </w:rPr>
        <w:t xml:space="preserve">moves to operate under co-regulatory </w:t>
      </w:r>
      <w:r>
        <w:rPr>
          <w:rFonts w:ascii="Arial" w:hAnsi="Arial" w:cs="Arial"/>
          <w:szCs w:val="28"/>
        </w:rPr>
        <w:t xml:space="preserve">product </w:t>
      </w:r>
      <w:r w:rsidRPr="00E40E7A">
        <w:rPr>
          <w:rFonts w:ascii="Arial" w:hAnsi="Arial" w:cs="Arial"/>
          <w:szCs w:val="28"/>
        </w:rPr>
        <w:t>stewardship</w:t>
      </w:r>
      <w:r>
        <w:rPr>
          <w:rFonts w:ascii="Arial" w:hAnsi="Arial" w:cs="Arial"/>
          <w:szCs w:val="28"/>
        </w:rPr>
        <w:t xml:space="preserve"> as set out under Option 2A of the Packaging Impacts CRIS.</w:t>
      </w:r>
    </w:p>
    <w:p w14:paraId="78512F01" w14:textId="77777777" w:rsidR="00030089" w:rsidRDefault="00030089" w:rsidP="00030089">
      <w:pPr>
        <w:rPr>
          <w:rFonts w:ascii="Arial" w:hAnsi="Arial" w:cs="Arial"/>
          <w:b/>
          <w:szCs w:val="28"/>
        </w:rPr>
      </w:pPr>
      <w:r w:rsidRPr="005777FE">
        <w:rPr>
          <w:rFonts w:ascii="Arial" w:hAnsi="Arial" w:cs="Arial"/>
          <w:b/>
          <w:szCs w:val="28"/>
        </w:rPr>
        <w:lastRenderedPageBreak/>
        <w:t>Key Results</w:t>
      </w:r>
    </w:p>
    <w:p w14:paraId="5D85337F" w14:textId="77777777" w:rsidR="00030089" w:rsidRDefault="00030089" w:rsidP="00030089">
      <w:pPr>
        <w:spacing w:line="360" w:lineRule="auto"/>
        <w:jc w:val="both"/>
        <w:rPr>
          <w:rFonts w:ascii="Arial" w:hAnsi="Arial" w:cs="Arial"/>
          <w:szCs w:val="28"/>
        </w:rPr>
      </w:pPr>
      <w:r w:rsidRPr="00085FA5">
        <w:rPr>
          <w:rFonts w:ascii="Arial" w:hAnsi="Arial" w:cs="Arial"/>
          <w:szCs w:val="28"/>
        </w:rPr>
        <w:t>Table ES</w:t>
      </w:r>
      <w:r>
        <w:rPr>
          <w:rFonts w:ascii="Arial" w:hAnsi="Arial" w:cs="Arial"/>
          <w:szCs w:val="28"/>
        </w:rPr>
        <w:t>.2</w:t>
      </w:r>
      <w:r w:rsidRPr="00085FA5">
        <w:rPr>
          <w:rFonts w:ascii="Arial" w:hAnsi="Arial" w:cs="Arial"/>
          <w:szCs w:val="28"/>
        </w:rPr>
        <w:t xml:space="preserve"> summarises the key findings of th</w:t>
      </w:r>
      <w:r>
        <w:rPr>
          <w:rFonts w:ascii="Arial" w:hAnsi="Arial" w:cs="Arial"/>
          <w:szCs w:val="28"/>
        </w:rPr>
        <w:t>is document’s</w:t>
      </w:r>
      <w:r w:rsidRPr="00085FA5">
        <w:rPr>
          <w:rFonts w:ascii="Arial" w:hAnsi="Arial" w:cs="Arial"/>
          <w:szCs w:val="28"/>
        </w:rPr>
        <w:t xml:space="preserve"> cost benefit analysis.</w:t>
      </w:r>
      <w:r>
        <w:rPr>
          <w:rFonts w:ascii="Arial" w:hAnsi="Arial" w:cs="Arial"/>
          <w:szCs w:val="28"/>
        </w:rPr>
        <w:t xml:space="preserve">  It demonstrates that of the Northern Territory models, Option Three is the most expensive with the greatest benefit. Of the national models, Option Four is the least costly option but with the greatest overall benefit.</w:t>
      </w:r>
    </w:p>
    <w:p w14:paraId="5A156BD2" w14:textId="77777777" w:rsidR="00030089" w:rsidRDefault="00030089" w:rsidP="00030089">
      <w:pPr>
        <w:pStyle w:val="Caption"/>
        <w:rPr>
          <w:rFonts w:ascii="Arial" w:hAnsi="Arial" w:cs="Arial"/>
        </w:rPr>
      </w:pPr>
    </w:p>
    <w:p w14:paraId="02D64B95"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4" w:name="_Toc353562483"/>
      <w:r w:rsidR="00740026">
        <w:rPr>
          <w:noProof/>
          <w:color w:val="auto"/>
        </w:rPr>
        <w:t>2</w:t>
      </w:r>
      <w:r w:rsidRPr="00682556">
        <w:rPr>
          <w:noProof/>
          <w:color w:val="auto"/>
        </w:rPr>
        <w:fldChar w:fldCharType="end"/>
      </w:r>
      <w:r w:rsidRPr="00682556">
        <w:rPr>
          <w:noProof/>
          <w:color w:val="auto"/>
        </w:rPr>
        <w:t xml:space="preserve"> Table ES.2: Net Present Value (NPV) of key market costs and benefits over 25 years</w:t>
      </w:r>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7"/>
        <w:gridCol w:w="1836"/>
        <w:gridCol w:w="1836"/>
        <w:gridCol w:w="1836"/>
        <w:gridCol w:w="1836"/>
      </w:tblGrid>
      <w:tr w:rsidR="00030089" w:rsidRPr="006C7FB7" w14:paraId="58181958" w14:textId="77777777" w:rsidTr="008547F7">
        <w:tc>
          <w:tcPr>
            <w:tcW w:w="1587" w:type="dxa"/>
            <w:shd w:val="pct10" w:color="auto" w:fill="auto"/>
            <w:tcMar>
              <w:top w:w="0" w:type="dxa"/>
              <w:left w:w="108" w:type="dxa"/>
              <w:bottom w:w="0" w:type="dxa"/>
              <w:right w:w="108" w:type="dxa"/>
            </w:tcMar>
          </w:tcPr>
          <w:p w14:paraId="721E4301" w14:textId="77777777" w:rsidR="00030089" w:rsidRPr="00071702" w:rsidRDefault="00030089" w:rsidP="008547F7">
            <w:pPr>
              <w:pStyle w:val="NoSpacing"/>
              <w:spacing w:before="60" w:line="360" w:lineRule="auto"/>
              <w:rPr>
                <w:rFonts w:ascii="Arial" w:hAnsi="Arial" w:cs="Arial"/>
                <w:b/>
                <w:sz w:val="16"/>
                <w:szCs w:val="16"/>
              </w:rPr>
            </w:pPr>
            <w:r w:rsidRPr="00071702">
              <w:rPr>
                <w:rFonts w:ascii="Arial" w:hAnsi="Arial" w:cs="Arial"/>
                <w:b/>
                <w:sz w:val="16"/>
                <w:szCs w:val="16"/>
              </w:rPr>
              <w:t>Options</w:t>
            </w:r>
          </w:p>
          <w:p w14:paraId="0DFD8032" w14:textId="77777777" w:rsidR="00030089" w:rsidRPr="00071702" w:rsidRDefault="00030089" w:rsidP="008547F7">
            <w:pPr>
              <w:pStyle w:val="NoSpacing"/>
              <w:spacing w:before="60" w:line="360" w:lineRule="auto"/>
              <w:rPr>
                <w:rFonts w:ascii="Arial" w:hAnsi="Arial" w:cs="Arial"/>
                <w:b/>
                <w:sz w:val="16"/>
                <w:szCs w:val="16"/>
              </w:rPr>
            </w:pPr>
          </w:p>
        </w:tc>
        <w:tc>
          <w:tcPr>
            <w:tcW w:w="1836" w:type="dxa"/>
            <w:shd w:val="pct10" w:color="auto" w:fill="auto"/>
          </w:tcPr>
          <w:p w14:paraId="512BA7C0" w14:textId="77777777" w:rsidR="00030089" w:rsidRPr="00071702" w:rsidRDefault="00030089" w:rsidP="008547F7">
            <w:pPr>
              <w:pStyle w:val="NoSpacing"/>
              <w:spacing w:before="60" w:line="360" w:lineRule="auto"/>
              <w:jc w:val="right"/>
              <w:rPr>
                <w:rFonts w:ascii="Arial" w:hAnsi="Arial" w:cs="Arial"/>
                <w:b/>
                <w:sz w:val="16"/>
                <w:szCs w:val="16"/>
              </w:rPr>
            </w:pPr>
            <w:r w:rsidRPr="00071702">
              <w:rPr>
                <w:rFonts w:ascii="Arial" w:hAnsi="Arial" w:cs="Arial"/>
                <w:b/>
                <w:sz w:val="16"/>
                <w:szCs w:val="16"/>
              </w:rPr>
              <w:t>Option 1</w:t>
            </w:r>
          </w:p>
          <w:p w14:paraId="12CF4353" w14:textId="77777777" w:rsidR="00030089" w:rsidRPr="00071702" w:rsidRDefault="00030089" w:rsidP="008547F7">
            <w:pPr>
              <w:pStyle w:val="NoSpacing"/>
              <w:spacing w:before="60" w:line="360" w:lineRule="auto"/>
              <w:jc w:val="right"/>
              <w:rPr>
                <w:rFonts w:ascii="Arial" w:hAnsi="Arial" w:cs="Arial"/>
                <w:sz w:val="16"/>
                <w:szCs w:val="16"/>
              </w:rPr>
            </w:pPr>
          </w:p>
        </w:tc>
        <w:tc>
          <w:tcPr>
            <w:tcW w:w="1836" w:type="dxa"/>
            <w:shd w:val="pct10" w:color="auto" w:fill="auto"/>
            <w:tcMar>
              <w:top w:w="0" w:type="dxa"/>
              <w:left w:w="108" w:type="dxa"/>
              <w:bottom w:w="0" w:type="dxa"/>
              <w:right w:w="108" w:type="dxa"/>
            </w:tcMar>
            <w:hideMark/>
          </w:tcPr>
          <w:p w14:paraId="34568113" w14:textId="77777777" w:rsidR="00030089" w:rsidRPr="00071702" w:rsidRDefault="00030089" w:rsidP="008547F7">
            <w:pPr>
              <w:pStyle w:val="NoSpacing"/>
              <w:spacing w:before="60" w:line="360" w:lineRule="auto"/>
              <w:jc w:val="right"/>
              <w:rPr>
                <w:rFonts w:ascii="Arial" w:hAnsi="Arial" w:cs="Arial"/>
                <w:b/>
                <w:sz w:val="16"/>
                <w:szCs w:val="16"/>
              </w:rPr>
            </w:pPr>
            <w:r w:rsidRPr="00071702">
              <w:rPr>
                <w:rFonts w:ascii="Arial" w:hAnsi="Arial" w:cs="Arial"/>
                <w:b/>
                <w:sz w:val="16"/>
                <w:szCs w:val="16"/>
              </w:rPr>
              <w:t>Option 2</w:t>
            </w:r>
          </w:p>
          <w:p w14:paraId="75A27909" w14:textId="77777777" w:rsidR="00030089" w:rsidRPr="00071702" w:rsidRDefault="00030089" w:rsidP="008547F7">
            <w:pPr>
              <w:pStyle w:val="NoSpacing"/>
              <w:spacing w:before="60" w:line="360" w:lineRule="auto"/>
              <w:jc w:val="right"/>
              <w:rPr>
                <w:rFonts w:ascii="Arial" w:hAnsi="Arial" w:cs="Arial"/>
                <w:b/>
                <w:color w:val="0070C0"/>
                <w:sz w:val="16"/>
                <w:szCs w:val="16"/>
              </w:rPr>
            </w:pPr>
          </w:p>
        </w:tc>
        <w:tc>
          <w:tcPr>
            <w:tcW w:w="1836" w:type="dxa"/>
            <w:shd w:val="pct10" w:color="auto" w:fill="auto"/>
            <w:tcMar>
              <w:top w:w="0" w:type="dxa"/>
              <w:left w:w="108" w:type="dxa"/>
              <w:bottom w:w="0" w:type="dxa"/>
              <w:right w:w="108" w:type="dxa"/>
            </w:tcMar>
            <w:hideMark/>
          </w:tcPr>
          <w:p w14:paraId="750A44E1" w14:textId="77777777" w:rsidR="00030089" w:rsidRPr="00732FFB" w:rsidRDefault="00030089" w:rsidP="008547F7">
            <w:pPr>
              <w:pStyle w:val="NoSpacing"/>
              <w:spacing w:before="60" w:line="360" w:lineRule="auto"/>
              <w:jc w:val="right"/>
              <w:rPr>
                <w:rFonts w:ascii="Arial" w:hAnsi="Arial" w:cs="Arial"/>
                <w:b/>
                <w:sz w:val="16"/>
                <w:szCs w:val="16"/>
              </w:rPr>
            </w:pPr>
            <w:r w:rsidRPr="00732FFB">
              <w:rPr>
                <w:rFonts w:ascii="Arial" w:hAnsi="Arial" w:cs="Arial"/>
                <w:b/>
                <w:sz w:val="16"/>
                <w:szCs w:val="16"/>
              </w:rPr>
              <w:t>Option 3</w:t>
            </w:r>
          </w:p>
          <w:p w14:paraId="26015A42" w14:textId="77777777" w:rsidR="00030089" w:rsidRPr="00732FFB" w:rsidRDefault="00030089" w:rsidP="008547F7">
            <w:pPr>
              <w:pStyle w:val="NoSpacing"/>
              <w:spacing w:before="60" w:line="360" w:lineRule="auto"/>
              <w:jc w:val="right"/>
              <w:rPr>
                <w:rFonts w:ascii="Arial" w:hAnsi="Arial" w:cs="Arial"/>
                <w:sz w:val="16"/>
                <w:szCs w:val="16"/>
              </w:rPr>
            </w:pPr>
          </w:p>
        </w:tc>
        <w:tc>
          <w:tcPr>
            <w:tcW w:w="1836" w:type="dxa"/>
            <w:shd w:val="pct10" w:color="auto" w:fill="auto"/>
            <w:tcMar>
              <w:top w:w="0" w:type="dxa"/>
              <w:left w:w="108" w:type="dxa"/>
              <w:bottom w:w="0" w:type="dxa"/>
              <w:right w:w="108" w:type="dxa"/>
            </w:tcMar>
            <w:hideMark/>
          </w:tcPr>
          <w:p w14:paraId="1CF06CD2" w14:textId="77777777" w:rsidR="00030089" w:rsidRPr="00732FFB" w:rsidRDefault="00030089" w:rsidP="008547F7">
            <w:pPr>
              <w:pStyle w:val="NoSpacing"/>
              <w:spacing w:before="60" w:line="360" w:lineRule="auto"/>
              <w:jc w:val="right"/>
              <w:rPr>
                <w:rFonts w:ascii="Arial" w:hAnsi="Arial" w:cs="Arial"/>
                <w:b/>
                <w:sz w:val="16"/>
                <w:szCs w:val="16"/>
              </w:rPr>
            </w:pPr>
            <w:r w:rsidRPr="00732FFB">
              <w:rPr>
                <w:rFonts w:ascii="Arial" w:hAnsi="Arial" w:cs="Arial"/>
                <w:b/>
                <w:sz w:val="16"/>
                <w:szCs w:val="16"/>
              </w:rPr>
              <w:t xml:space="preserve">Option 4 </w:t>
            </w:r>
          </w:p>
          <w:p w14:paraId="4E8B7BC5" w14:textId="77777777" w:rsidR="00030089" w:rsidRPr="00732FFB" w:rsidRDefault="00030089" w:rsidP="008547F7">
            <w:pPr>
              <w:pStyle w:val="NoSpacing"/>
              <w:spacing w:before="60" w:line="360" w:lineRule="auto"/>
              <w:jc w:val="right"/>
              <w:rPr>
                <w:rFonts w:ascii="Arial" w:hAnsi="Arial" w:cs="Arial"/>
                <w:sz w:val="16"/>
                <w:szCs w:val="16"/>
              </w:rPr>
            </w:pPr>
          </w:p>
        </w:tc>
      </w:tr>
      <w:tr w:rsidR="00030089" w:rsidRPr="006C7FB7" w14:paraId="08DE923D" w14:textId="77777777" w:rsidTr="008547F7">
        <w:tc>
          <w:tcPr>
            <w:tcW w:w="1587" w:type="dxa"/>
            <w:shd w:val="clear" w:color="auto" w:fill="auto"/>
            <w:tcMar>
              <w:top w:w="0" w:type="dxa"/>
              <w:left w:w="108" w:type="dxa"/>
              <w:bottom w:w="0" w:type="dxa"/>
              <w:right w:w="108" w:type="dxa"/>
            </w:tcMar>
            <w:hideMark/>
          </w:tcPr>
          <w:p w14:paraId="2F912A93" w14:textId="77777777" w:rsidR="00030089" w:rsidRPr="0078240A" w:rsidRDefault="00030089" w:rsidP="008547F7">
            <w:pPr>
              <w:pStyle w:val="NoSpacing"/>
              <w:spacing w:before="60" w:line="360" w:lineRule="auto"/>
              <w:rPr>
                <w:rFonts w:ascii="Arial" w:hAnsi="Arial" w:cs="Arial"/>
                <w:sz w:val="16"/>
                <w:szCs w:val="16"/>
              </w:rPr>
            </w:pPr>
            <w:r w:rsidRPr="0078240A">
              <w:rPr>
                <w:rFonts w:ascii="Arial" w:hAnsi="Arial" w:cs="Arial"/>
                <w:sz w:val="16"/>
                <w:szCs w:val="16"/>
              </w:rPr>
              <w:t>Costs</w:t>
            </w:r>
          </w:p>
          <w:p w14:paraId="6F1B0890" w14:textId="77777777" w:rsidR="00030089" w:rsidRPr="0078240A" w:rsidRDefault="00030089" w:rsidP="008547F7">
            <w:pPr>
              <w:pStyle w:val="NoSpacing"/>
              <w:spacing w:before="60" w:line="360" w:lineRule="auto"/>
              <w:rPr>
                <w:rFonts w:ascii="Arial" w:hAnsi="Arial" w:cs="Arial"/>
                <w:sz w:val="16"/>
                <w:szCs w:val="16"/>
              </w:rPr>
            </w:pPr>
            <w:r w:rsidRPr="0078240A">
              <w:rPr>
                <w:rFonts w:ascii="Arial" w:hAnsi="Arial" w:cs="Arial"/>
                <w:sz w:val="16"/>
                <w:szCs w:val="16"/>
              </w:rPr>
              <w:t>Discounted</w:t>
            </w:r>
          </w:p>
        </w:tc>
        <w:tc>
          <w:tcPr>
            <w:tcW w:w="1836" w:type="dxa"/>
          </w:tcPr>
          <w:p w14:paraId="7B24813B" w14:textId="77777777" w:rsidR="00030089" w:rsidRPr="007513E8" w:rsidRDefault="00030089" w:rsidP="008547F7">
            <w:pPr>
              <w:pStyle w:val="NoSpacing"/>
              <w:spacing w:before="60" w:line="360" w:lineRule="auto"/>
              <w:jc w:val="right"/>
              <w:rPr>
                <w:rFonts w:ascii="Arial" w:hAnsi="Arial" w:cs="Arial"/>
                <w:color w:val="0070C0"/>
                <w:sz w:val="16"/>
                <w:szCs w:val="16"/>
              </w:rPr>
            </w:pPr>
            <w:r w:rsidRPr="00792CEC">
              <w:rPr>
                <w:rFonts w:ascii="Arial" w:hAnsi="Arial" w:cs="Arial"/>
                <w:color w:val="000000"/>
                <w:sz w:val="16"/>
                <w:szCs w:val="16"/>
              </w:rPr>
              <w:t>$17</w:t>
            </w:r>
            <w:r>
              <w:rPr>
                <w:rFonts w:ascii="Arial" w:hAnsi="Arial" w:cs="Arial"/>
                <w:color w:val="000000"/>
                <w:sz w:val="16"/>
                <w:szCs w:val="16"/>
              </w:rPr>
              <w:t xml:space="preserve"> </w:t>
            </w:r>
            <w:r w:rsidRPr="00792CEC">
              <w:rPr>
                <w:rFonts w:ascii="Arial" w:hAnsi="Arial" w:cs="Arial"/>
                <w:color w:val="000000"/>
                <w:sz w:val="16"/>
                <w:szCs w:val="16"/>
              </w:rPr>
              <w:t>283</w:t>
            </w:r>
            <w:r>
              <w:rPr>
                <w:rFonts w:ascii="Arial" w:hAnsi="Arial" w:cs="Arial"/>
                <w:color w:val="000000"/>
                <w:sz w:val="16"/>
                <w:szCs w:val="16"/>
              </w:rPr>
              <w:t xml:space="preserve"> </w:t>
            </w:r>
            <w:r w:rsidRPr="00792CEC">
              <w:rPr>
                <w:rFonts w:ascii="Arial" w:hAnsi="Arial" w:cs="Arial"/>
                <w:color w:val="000000"/>
                <w:sz w:val="16"/>
                <w:szCs w:val="16"/>
              </w:rPr>
              <w:t>828</w:t>
            </w:r>
          </w:p>
        </w:tc>
        <w:tc>
          <w:tcPr>
            <w:tcW w:w="1836" w:type="dxa"/>
            <w:tcMar>
              <w:top w:w="0" w:type="dxa"/>
              <w:left w:w="108" w:type="dxa"/>
              <w:bottom w:w="0" w:type="dxa"/>
              <w:right w:w="108" w:type="dxa"/>
            </w:tcMar>
            <w:hideMark/>
          </w:tcPr>
          <w:p w14:paraId="427EBD7A" w14:textId="77777777" w:rsidR="00030089" w:rsidRDefault="00030089" w:rsidP="008547F7">
            <w:pPr>
              <w:pStyle w:val="NoSpacing"/>
              <w:spacing w:before="60" w:line="360" w:lineRule="auto"/>
              <w:jc w:val="right"/>
              <w:rPr>
                <w:rFonts w:ascii="Arial" w:hAnsi="Arial" w:cs="Arial"/>
                <w:sz w:val="16"/>
                <w:szCs w:val="16"/>
              </w:rPr>
            </w:pPr>
            <w:r>
              <w:rPr>
                <w:rFonts w:ascii="Arial" w:hAnsi="Arial" w:cs="Arial"/>
                <w:sz w:val="16"/>
                <w:szCs w:val="16"/>
              </w:rPr>
              <w:t>$4 848 000 000</w:t>
            </w:r>
          </w:p>
          <w:p w14:paraId="1337D3B4" w14:textId="77777777" w:rsidR="00030089" w:rsidRPr="00C410AE" w:rsidRDefault="00030089" w:rsidP="008547F7">
            <w:pPr>
              <w:pStyle w:val="NoSpacing"/>
              <w:spacing w:before="60" w:line="360" w:lineRule="auto"/>
              <w:jc w:val="right"/>
              <w:rPr>
                <w:rFonts w:ascii="Arial" w:hAnsi="Arial" w:cs="Arial"/>
                <w:sz w:val="16"/>
                <w:szCs w:val="16"/>
              </w:rPr>
            </w:pPr>
          </w:p>
        </w:tc>
        <w:tc>
          <w:tcPr>
            <w:tcW w:w="1836" w:type="dxa"/>
            <w:tcMar>
              <w:top w:w="0" w:type="dxa"/>
              <w:left w:w="108" w:type="dxa"/>
              <w:bottom w:w="0" w:type="dxa"/>
              <w:right w:w="108" w:type="dxa"/>
            </w:tcMar>
            <w:hideMark/>
          </w:tcPr>
          <w:p w14:paraId="5FC166D2" w14:textId="77777777" w:rsidR="00030089" w:rsidRPr="00ED6987" w:rsidRDefault="00030089" w:rsidP="008547F7">
            <w:pPr>
              <w:pStyle w:val="NoSpacing"/>
              <w:spacing w:before="60" w:line="360" w:lineRule="auto"/>
              <w:jc w:val="right"/>
              <w:rPr>
                <w:rFonts w:ascii="Arial" w:hAnsi="Arial" w:cs="Arial"/>
                <w:sz w:val="16"/>
                <w:szCs w:val="16"/>
              </w:rPr>
            </w:pPr>
            <w:r w:rsidRPr="00792CEC">
              <w:rPr>
                <w:rFonts w:ascii="Arial" w:hAnsi="Arial" w:cs="Arial"/>
                <w:color w:val="000000"/>
                <w:sz w:val="16"/>
                <w:szCs w:val="16"/>
              </w:rPr>
              <w:t>$34</w:t>
            </w:r>
            <w:r>
              <w:rPr>
                <w:rFonts w:ascii="Arial" w:hAnsi="Arial" w:cs="Arial"/>
                <w:color w:val="000000"/>
                <w:sz w:val="16"/>
                <w:szCs w:val="16"/>
              </w:rPr>
              <w:t xml:space="preserve"> </w:t>
            </w:r>
            <w:r w:rsidRPr="00792CEC">
              <w:rPr>
                <w:rFonts w:ascii="Arial" w:hAnsi="Arial" w:cs="Arial"/>
                <w:color w:val="000000"/>
                <w:sz w:val="16"/>
                <w:szCs w:val="16"/>
              </w:rPr>
              <w:t>567</w:t>
            </w:r>
            <w:r>
              <w:rPr>
                <w:rFonts w:ascii="Arial" w:hAnsi="Arial" w:cs="Arial"/>
                <w:color w:val="000000"/>
                <w:sz w:val="16"/>
                <w:szCs w:val="16"/>
              </w:rPr>
              <w:t xml:space="preserve"> </w:t>
            </w:r>
            <w:r w:rsidRPr="00792CEC">
              <w:rPr>
                <w:rFonts w:ascii="Arial" w:hAnsi="Arial" w:cs="Arial"/>
                <w:color w:val="000000"/>
                <w:sz w:val="16"/>
                <w:szCs w:val="16"/>
              </w:rPr>
              <w:t>655</w:t>
            </w:r>
          </w:p>
        </w:tc>
        <w:tc>
          <w:tcPr>
            <w:tcW w:w="1836" w:type="dxa"/>
            <w:tcMar>
              <w:top w:w="0" w:type="dxa"/>
              <w:left w:w="108" w:type="dxa"/>
              <w:bottom w:w="0" w:type="dxa"/>
              <w:right w:w="108" w:type="dxa"/>
            </w:tcMar>
            <w:hideMark/>
          </w:tcPr>
          <w:p w14:paraId="19927C9A" w14:textId="77777777" w:rsidR="00030089" w:rsidRPr="006E78B4" w:rsidRDefault="00030089" w:rsidP="008547F7">
            <w:pPr>
              <w:pStyle w:val="NoSpacing"/>
              <w:spacing w:before="60" w:line="360" w:lineRule="auto"/>
              <w:jc w:val="right"/>
              <w:rPr>
                <w:rFonts w:ascii="Arial" w:hAnsi="Arial" w:cs="Arial"/>
                <w:sz w:val="16"/>
                <w:szCs w:val="16"/>
              </w:rPr>
            </w:pPr>
            <w:r>
              <w:rPr>
                <w:rFonts w:ascii="Arial" w:hAnsi="Arial" w:cs="Arial"/>
                <w:sz w:val="16"/>
                <w:szCs w:val="16"/>
              </w:rPr>
              <w:t>$257 000 000</w:t>
            </w:r>
          </w:p>
          <w:p w14:paraId="23C2F285" w14:textId="77777777" w:rsidR="00030089" w:rsidRPr="00583631" w:rsidRDefault="00030089" w:rsidP="008547F7">
            <w:pPr>
              <w:pStyle w:val="NoSpacing"/>
              <w:spacing w:before="60" w:line="360" w:lineRule="auto"/>
              <w:jc w:val="right"/>
              <w:rPr>
                <w:rFonts w:ascii="Arial" w:hAnsi="Arial" w:cs="Arial"/>
                <w:color w:val="FF0000"/>
                <w:sz w:val="16"/>
                <w:szCs w:val="16"/>
              </w:rPr>
            </w:pPr>
          </w:p>
        </w:tc>
      </w:tr>
      <w:tr w:rsidR="00030089" w:rsidRPr="006C7FB7" w14:paraId="61196172" w14:textId="77777777" w:rsidTr="008547F7">
        <w:tc>
          <w:tcPr>
            <w:tcW w:w="1587" w:type="dxa"/>
            <w:shd w:val="clear" w:color="auto" w:fill="auto"/>
            <w:tcMar>
              <w:top w:w="0" w:type="dxa"/>
              <w:left w:w="108" w:type="dxa"/>
              <w:bottom w:w="0" w:type="dxa"/>
              <w:right w:w="108" w:type="dxa"/>
            </w:tcMar>
            <w:hideMark/>
          </w:tcPr>
          <w:p w14:paraId="5D9CF14B" w14:textId="77777777" w:rsidR="00030089" w:rsidRPr="0078240A" w:rsidRDefault="00030089" w:rsidP="008547F7">
            <w:pPr>
              <w:pStyle w:val="NoSpacing"/>
              <w:spacing w:before="60" w:line="360" w:lineRule="auto"/>
              <w:rPr>
                <w:rFonts w:ascii="Arial" w:hAnsi="Arial" w:cs="Arial"/>
                <w:sz w:val="16"/>
                <w:szCs w:val="16"/>
              </w:rPr>
            </w:pPr>
            <w:r w:rsidRPr="0078240A">
              <w:rPr>
                <w:rFonts w:ascii="Arial" w:hAnsi="Arial" w:cs="Arial"/>
                <w:sz w:val="16"/>
                <w:szCs w:val="16"/>
              </w:rPr>
              <w:t>Market Benefits</w:t>
            </w:r>
          </w:p>
          <w:p w14:paraId="68E1C0DB" w14:textId="77777777" w:rsidR="00030089" w:rsidRPr="0078240A" w:rsidRDefault="00030089" w:rsidP="008547F7">
            <w:pPr>
              <w:pStyle w:val="NoSpacing"/>
              <w:spacing w:before="60" w:line="360" w:lineRule="auto"/>
              <w:rPr>
                <w:rFonts w:ascii="Arial" w:hAnsi="Arial" w:cs="Arial"/>
                <w:sz w:val="16"/>
                <w:szCs w:val="16"/>
              </w:rPr>
            </w:pPr>
            <w:r w:rsidRPr="0078240A">
              <w:rPr>
                <w:rFonts w:ascii="Arial" w:hAnsi="Arial" w:cs="Arial"/>
                <w:sz w:val="16"/>
                <w:szCs w:val="16"/>
              </w:rPr>
              <w:t>Discounted</w:t>
            </w:r>
          </w:p>
        </w:tc>
        <w:tc>
          <w:tcPr>
            <w:tcW w:w="1836" w:type="dxa"/>
          </w:tcPr>
          <w:p w14:paraId="37B08001" w14:textId="77777777" w:rsidR="00030089" w:rsidRPr="007513E8" w:rsidRDefault="00030089" w:rsidP="008547F7">
            <w:pPr>
              <w:pStyle w:val="NoSpacing"/>
              <w:spacing w:before="60" w:line="360" w:lineRule="auto"/>
              <w:jc w:val="right"/>
              <w:rPr>
                <w:rFonts w:ascii="Arial" w:hAnsi="Arial" w:cs="Arial"/>
                <w:color w:val="0070C0"/>
                <w:sz w:val="16"/>
                <w:szCs w:val="16"/>
              </w:rPr>
            </w:pPr>
            <w:r w:rsidRPr="00792CEC">
              <w:rPr>
                <w:rFonts w:ascii="Arial" w:hAnsi="Arial" w:cs="Arial"/>
                <w:color w:val="000000"/>
                <w:sz w:val="16"/>
                <w:szCs w:val="16"/>
              </w:rPr>
              <w:t>$22</w:t>
            </w:r>
            <w:r>
              <w:rPr>
                <w:rFonts w:ascii="Arial" w:hAnsi="Arial" w:cs="Arial"/>
                <w:color w:val="000000"/>
                <w:sz w:val="16"/>
                <w:szCs w:val="16"/>
              </w:rPr>
              <w:t xml:space="preserve"> </w:t>
            </w:r>
            <w:r w:rsidRPr="00792CEC">
              <w:rPr>
                <w:rFonts w:ascii="Arial" w:hAnsi="Arial" w:cs="Arial"/>
                <w:color w:val="000000"/>
                <w:sz w:val="16"/>
                <w:szCs w:val="16"/>
              </w:rPr>
              <w:t>222</w:t>
            </w:r>
            <w:r>
              <w:rPr>
                <w:rFonts w:ascii="Arial" w:hAnsi="Arial" w:cs="Arial"/>
                <w:color w:val="000000"/>
                <w:sz w:val="16"/>
                <w:szCs w:val="16"/>
              </w:rPr>
              <w:t xml:space="preserve"> </w:t>
            </w:r>
            <w:r w:rsidRPr="00792CEC">
              <w:rPr>
                <w:rFonts w:ascii="Arial" w:hAnsi="Arial" w:cs="Arial"/>
                <w:color w:val="000000"/>
                <w:sz w:val="16"/>
                <w:szCs w:val="16"/>
              </w:rPr>
              <w:t>782</w:t>
            </w:r>
          </w:p>
        </w:tc>
        <w:tc>
          <w:tcPr>
            <w:tcW w:w="1836" w:type="dxa"/>
            <w:tcMar>
              <w:top w:w="0" w:type="dxa"/>
              <w:left w:w="108" w:type="dxa"/>
              <w:bottom w:w="0" w:type="dxa"/>
              <w:right w:w="108" w:type="dxa"/>
            </w:tcMar>
            <w:hideMark/>
          </w:tcPr>
          <w:p w14:paraId="092B762A" w14:textId="77777777" w:rsidR="00030089" w:rsidRPr="00C410AE" w:rsidRDefault="00030089" w:rsidP="008547F7">
            <w:pPr>
              <w:pStyle w:val="NoSpacing"/>
              <w:spacing w:before="60" w:line="360" w:lineRule="auto"/>
              <w:jc w:val="right"/>
              <w:rPr>
                <w:rFonts w:ascii="Arial" w:hAnsi="Arial" w:cs="Arial"/>
                <w:sz w:val="16"/>
                <w:szCs w:val="16"/>
              </w:rPr>
            </w:pPr>
            <w:r>
              <w:rPr>
                <w:rFonts w:ascii="Arial" w:hAnsi="Arial" w:cs="Arial"/>
                <w:sz w:val="16"/>
                <w:szCs w:val="16"/>
              </w:rPr>
              <w:t>$3 433 000 000</w:t>
            </w:r>
          </w:p>
        </w:tc>
        <w:tc>
          <w:tcPr>
            <w:tcW w:w="1836" w:type="dxa"/>
            <w:tcMar>
              <w:top w:w="0" w:type="dxa"/>
              <w:left w:w="108" w:type="dxa"/>
              <w:bottom w:w="0" w:type="dxa"/>
              <w:right w:w="108" w:type="dxa"/>
            </w:tcMar>
          </w:tcPr>
          <w:p w14:paraId="6360EDE4" w14:textId="77777777" w:rsidR="00030089" w:rsidRPr="00ED6987" w:rsidRDefault="00030089" w:rsidP="008547F7">
            <w:pPr>
              <w:pStyle w:val="NoSpacing"/>
              <w:spacing w:before="60" w:line="360" w:lineRule="auto"/>
              <w:jc w:val="right"/>
              <w:rPr>
                <w:rFonts w:ascii="Arial" w:hAnsi="Arial" w:cs="Arial"/>
                <w:sz w:val="16"/>
                <w:szCs w:val="16"/>
              </w:rPr>
            </w:pPr>
            <w:r w:rsidRPr="00792CEC">
              <w:rPr>
                <w:rFonts w:ascii="Arial" w:hAnsi="Arial" w:cs="Arial"/>
                <w:color w:val="000000"/>
                <w:sz w:val="16"/>
                <w:szCs w:val="16"/>
              </w:rPr>
              <w:t>$44</w:t>
            </w:r>
            <w:r>
              <w:rPr>
                <w:rFonts w:ascii="Arial" w:hAnsi="Arial" w:cs="Arial"/>
                <w:color w:val="000000"/>
                <w:sz w:val="16"/>
                <w:szCs w:val="16"/>
              </w:rPr>
              <w:t xml:space="preserve"> </w:t>
            </w:r>
            <w:r w:rsidRPr="00792CEC">
              <w:rPr>
                <w:rFonts w:ascii="Arial" w:hAnsi="Arial" w:cs="Arial"/>
                <w:color w:val="000000"/>
                <w:sz w:val="16"/>
                <w:szCs w:val="16"/>
              </w:rPr>
              <w:t>445</w:t>
            </w:r>
            <w:r>
              <w:rPr>
                <w:rFonts w:ascii="Arial" w:hAnsi="Arial" w:cs="Arial"/>
                <w:color w:val="000000"/>
                <w:sz w:val="16"/>
                <w:szCs w:val="16"/>
              </w:rPr>
              <w:t xml:space="preserve"> </w:t>
            </w:r>
            <w:r w:rsidRPr="00792CEC">
              <w:rPr>
                <w:rFonts w:ascii="Arial" w:hAnsi="Arial" w:cs="Arial"/>
                <w:color w:val="000000"/>
                <w:sz w:val="16"/>
                <w:szCs w:val="16"/>
              </w:rPr>
              <w:t>564</w:t>
            </w:r>
          </w:p>
        </w:tc>
        <w:tc>
          <w:tcPr>
            <w:tcW w:w="1836" w:type="dxa"/>
            <w:tcMar>
              <w:top w:w="0" w:type="dxa"/>
              <w:left w:w="108" w:type="dxa"/>
              <w:bottom w:w="0" w:type="dxa"/>
              <w:right w:w="108" w:type="dxa"/>
            </w:tcMar>
            <w:hideMark/>
          </w:tcPr>
          <w:p w14:paraId="18932C5B" w14:textId="77777777" w:rsidR="00030089" w:rsidRPr="00C410AE" w:rsidRDefault="00030089" w:rsidP="008547F7">
            <w:pPr>
              <w:pStyle w:val="NoSpacing"/>
              <w:spacing w:before="60" w:line="360" w:lineRule="auto"/>
              <w:jc w:val="right"/>
              <w:rPr>
                <w:rFonts w:ascii="Arial" w:hAnsi="Arial" w:cs="Arial"/>
                <w:sz w:val="16"/>
                <w:szCs w:val="16"/>
              </w:rPr>
            </w:pPr>
            <w:r>
              <w:rPr>
                <w:rFonts w:ascii="Arial" w:hAnsi="Arial" w:cs="Arial"/>
                <w:sz w:val="16"/>
                <w:szCs w:val="16"/>
              </w:rPr>
              <w:t>$304 000 000</w:t>
            </w:r>
          </w:p>
        </w:tc>
      </w:tr>
      <w:tr w:rsidR="00030089" w:rsidRPr="006C7FB7" w14:paraId="1572E66E" w14:textId="77777777" w:rsidTr="008547F7">
        <w:tc>
          <w:tcPr>
            <w:tcW w:w="1587" w:type="dxa"/>
            <w:shd w:val="clear" w:color="auto" w:fill="auto"/>
            <w:tcMar>
              <w:top w:w="0" w:type="dxa"/>
              <w:left w:w="108" w:type="dxa"/>
              <w:bottom w:w="0" w:type="dxa"/>
              <w:right w:w="108" w:type="dxa"/>
            </w:tcMar>
            <w:hideMark/>
          </w:tcPr>
          <w:p w14:paraId="25BC29B5" w14:textId="77777777" w:rsidR="00030089" w:rsidRDefault="00030089" w:rsidP="008547F7">
            <w:pPr>
              <w:pStyle w:val="NoSpacing"/>
              <w:spacing w:before="60" w:line="360" w:lineRule="auto"/>
              <w:rPr>
                <w:rFonts w:ascii="Arial" w:hAnsi="Arial" w:cs="Arial"/>
                <w:b/>
                <w:sz w:val="16"/>
                <w:szCs w:val="16"/>
              </w:rPr>
            </w:pPr>
            <w:r>
              <w:rPr>
                <w:rFonts w:ascii="Arial" w:hAnsi="Arial" w:cs="Arial"/>
                <w:b/>
                <w:sz w:val="16"/>
                <w:szCs w:val="16"/>
              </w:rPr>
              <w:t>NPV</w:t>
            </w:r>
          </w:p>
          <w:p w14:paraId="3E98CFAF" w14:textId="77777777" w:rsidR="00030089" w:rsidRPr="005E7FC0" w:rsidRDefault="00030089" w:rsidP="008547F7">
            <w:pPr>
              <w:pStyle w:val="NoSpacing"/>
              <w:spacing w:before="60" w:line="360" w:lineRule="auto"/>
              <w:rPr>
                <w:rFonts w:ascii="Arial" w:hAnsi="Arial" w:cs="Arial"/>
                <w:b/>
                <w:sz w:val="16"/>
                <w:szCs w:val="16"/>
              </w:rPr>
            </w:pPr>
            <w:r w:rsidRPr="005E7FC0">
              <w:rPr>
                <w:rFonts w:ascii="Arial" w:hAnsi="Arial" w:cs="Arial"/>
                <w:b/>
                <w:sz w:val="16"/>
                <w:szCs w:val="16"/>
              </w:rPr>
              <w:t>Discounted</w:t>
            </w:r>
          </w:p>
        </w:tc>
        <w:tc>
          <w:tcPr>
            <w:tcW w:w="1836" w:type="dxa"/>
            <w:shd w:val="clear" w:color="auto" w:fill="auto"/>
          </w:tcPr>
          <w:p w14:paraId="076438A1" w14:textId="77777777" w:rsidR="00030089" w:rsidRPr="007513E8" w:rsidRDefault="00030089" w:rsidP="008547F7">
            <w:pPr>
              <w:pStyle w:val="NoSpacing"/>
              <w:spacing w:before="60" w:line="360" w:lineRule="auto"/>
              <w:jc w:val="right"/>
              <w:rPr>
                <w:rFonts w:ascii="Arial" w:hAnsi="Arial" w:cs="Arial"/>
                <w:b/>
                <w:color w:val="000000"/>
                <w:sz w:val="16"/>
                <w:szCs w:val="16"/>
              </w:rPr>
            </w:pPr>
            <w:r w:rsidRPr="00792CEC">
              <w:rPr>
                <w:rFonts w:ascii="Arial" w:hAnsi="Arial" w:cs="Arial"/>
                <w:b/>
                <w:bCs/>
                <w:color w:val="000000"/>
                <w:sz w:val="16"/>
                <w:szCs w:val="16"/>
              </w:rPr>
              <w:t>$4</w:t>
            </w:r>
            <w:r>
              <w:rPr>
                <w:rFonts w:ascii="Arial" w:hAnsi="Arial" w:cs="Arial"/>
                <w:b/>
                <w:bCs/>
                <w:color w:val="000000"/>
                <w:sz w:val="16"/>
                <w:szCs w:val="16"/>
              </w:rPr>
              <w:t xml:space="preserve"> </w:t>
            </w:r>
            <w:r w:rsidRPr="00792CEC">
              <w:rPr>
                <w:rFonts w:ascii="Arial" w:hAnsi="Arial" w:cs="Arial"/>
                <w:b/>
                <w:bCs/>
                <w:color w:val="000000"/>
                <w:sz w:val="16"/>
                <w:szCs w:val="16"/>
              </w:rPr>
              <w:t>938</w:t>
            </w:r>
            <w:r>
              <w:rPr>
                <w:rFonts w:ascii="Arial" w:hAnsi="Arial" w:cs="Arial"/>
                <w:b/>
                <w:bCs/>
                <w:color w:val="000000"/>
                <w:sz w:val="16"/>
                <w:szCs w:val="16"/>
              </w:rPr>
              <w:t xml:space="preserve"> </w:t>
            </w:r>
            <w:r w:rsidRPr="00792CEC">
              <w:rPr>
                <w:rFonts w:ascii="Arial" w:hAnsi="Arial" w:cs="Arial"/>
                <w:b/>
                <w:bCs/>
                <w:color w:val="000000"/>
                <w:sz w:val="16"/>
                <w:szCs w:val="16"/>
              </w:rPr>
              <w:t>955</w:t>
            </w:r>
          </w:p>
        </w:tc>
        <w:tc>
          <w:tcPr>
            <w:tcW w:w="1836" w:type="dxa"/>
            <w:shd w:val="clear" w:color="auto" w:fill="auto"/>
            <w:tcMar>
              <w:top w:w="0" w:type="dxa"/>
              <w:left w:w="108" w:type="dxa"/>
              <w:bottom w:w="0" w:type="dxa"/>
              <w:right w:w="108" w:type="dxa"/>
            </w:tcMar>
            <w:hideMark/>
          </w:tcPr>
          <w:p w14:paraId="2ADD39FA" w14:textId="77777777" w:rsidR="00030089" w:rsidRPr="008427CF" w:rsidRDefault="00030089" w:rsidP="008547F7">
            <w:pPr>
              <w:pStyle w:val="NoSpacing"/>
              <w:spacing w:before="60" w:line="360" w:lineRule="auto"/>
              <w:jc w:val="right"/>
              <w:rPr>
                <w:rFonts w:ascii="Arial" w:hAnsi="Arial" w:cs="Arial"/>
                <w:b/>
                <w:sz w:val="16"/>
                <w:szCs w:val="16"/>
              </w:rPr>
            </w:pPr>
            <w:r w:rsidRPr="008427CF">
              <w:rPr>
                <w:rFonts w:ascii="Arial" w:hAnsi="Arial" w:cs="Arial"/>
                <w:b/>
                <w:sz w:val="16"/>
                <w:szCs w:val="16"/>
              </w:rPr>
              <w:t>–$1</w:t>
            </w:r>
            <w:r>
              <w:rPr>
                <w:rFonts w:ascii="Arial" w:hAnsi="Arial" w:cs="Arial"/>
                <w:b/>
                <w:sz w:val="16"/>
                <w:szCs w:val="16"/>
              </w:rPr>
              <w:t xml:space="preserve"> </w:t>
            </w:r>
            <w:r w:rsidRPr="008427CF">
              <w:rPr>
                <w:rFonts w:ascii="Arial" w:hAnsi="Arial" w:cs="Arial"/>
                <w:b/>
                <w:sz w:val="16"/>
                <w:szCs w:val="16"/>
              </w:rPr>
              <w:t>415</w:t>
            </w:r>
            <w:r>
              <w:rPr>
                <w:rFonts w:ascii="Arial" w:hAnsi="Arial" w:cs="Arial"/>
                <w:b/>
                <w:sz w:val="16"/>
                <w:szCs w:val="16"/>
              </w:rPr>
              <w:t xml:space="preserve"> </w:t>
            </w:r>
            <w:r w:rsidRPr="008427CF">
              <w:rPr>
                <w:rFonts w:ascii="Arial" w:hAnsi="Arial" w:cs="Arial"/>
                <w:b/>
                <w:sz w:val="16"/>
                <w:szCs w:val="16"/>
              </w:rPr>
              <w:t>000</w:t>
            </w:r>
            <w:r>
              <w:rPr>
                <w:rFonts w:ascii="Arial" w:hAnsi="Arial" w:cs="Arial"/>
                <w:b/>
                <w:sz w:val="16"/>
                <w:szCs w:val="16"/>
              </w:rPr>
              <w:t xml:space="preserve"> </w:t>
            </w:r>
            <w:r w:rsidRPr="008427CF">
              <w:rPr>
                <w:rFonts w:ascii="Arial" w:hAnsi="Arial" w:cs="Arial"/>
                <w:b/>
                <w:sz w:val="16"/>
                <w:szCs w:val="16"/>
              </w:rPr>
              <w:t>0</w:t>
            </w:r>
            <w:r>
              <w:rPr>
                <w:rFonts w:ascii="Arial" w:hAnsi="Arial" w:cs="Arial"/>
                <w:b/>
                <w:sz w:val="16"/>
                <w:szCs w:val="16"/>
              </w:rPr>
              <w:t>00</w:t>
            </w:r>
          </w:p>
          <w:p w14:paraId="0405FC39" w14:textId="77777777" w:rsidR="00030089" w:rsidRPr="008427CF" w:rsidRDefault="00030089" w:rsidP="008547F7">
            <w:pPr>
              <w:pStyle w:val="NoSpacing"/>
              <w:spacing w:before="60" w:line="360" w:lineRule="auto"/>
              <w:jc w:val="right"/>
              <w:rPr>
                <w:rFonts w:ascii="Arial" w:hAnsi="Arial" w:cs="Arial"/>
                <w:b/>
                <w:sz w:val="16"/>
                <w:szCs w:val="16"/>
              </w:rPr>
            </w:pPr>
          </w:p>
        </w:tc>
        <w:tc>
          <w:tcPr>
            <w:tcW w:w="1836" w:type="dxa"/>
            <w:shd w:val="clear" w:color="auto" w:fill="auto"/>
            <w:tcMar>
              <w:top w:w="0" w:type="dxa"/>
              <w:left w:w="108" w:type="dxa"/>
              <w:bottom w:w="0" w:type="dxa"/>
              <w:right w:w="108" w:type="dxa"/>
            </w:tcMar>
          </w:tcPr>
          <w:p w14:paraId="74A9C65C" w14:textId="77777777" w:rsidR="00030089" w:rsidRPr="00ED6987" w:rsidRDefault="00030089" w:rsidP="008547F7">
            <w:pPr>
              <w:pStyle w:val="NoSpacing"/>
              <w:spacing w:before="60" w:line="360" w:lineRule="auto"/>
              <w:jc w:val="right"/>
              <w:rPr>
                <w:rFonts w:ascii="Arial" w:hAnsi="Arial" w:cs="Arial"/>
                <w:b/>
                <w:color w:val="000000"/>
                <w:sz w:val="16"/>
                <w:szCs w:val="16"/>
              </w:rPr>
            </w:pPr>
            <w:r w:rsidRPr="00792CEC">
              <w:rPr>
                <w:rFonts w:ascii="Arial" w:hAnsi="Arial" w:cs="Arial"/>
                <w:b/>
                <w:bCs/>
                <w:color w:val="000000"/>
                <w:sz w:val="16"/>
                <w:szCs w:val="16"/>
              </w:rPr>
              <w:t>$9</w:t>
            </w:r>
            <w:r>
              <w:rPr>
                <w:rFonts w:ascii="Arial" w:hAnsi="Arial" w:cs="Arial"/>
                <w:b/>
                <w:bCs/>
                <w:color w:val="000000"/>
                <w:sz w:val="16"/>
                <w:szCs w:val="16"/>
              </w:rPr>
              <w:t xml:space="preserve"> </w:t>
            </w:r>
            <w:r w:rsidRPr="00792CEC">
              <w:rPr>
                <w:rFonts w:ascii="Arial" w:hAnsi="Arial" w:cs="Arial"/>
                <w:b/>
                <w:bCs/>
                <w:color w:val="000000"/>
                <w:sz w:val="16"/>
                <w:szCs w:val="16"/>
              </w:rPr>
              <w:t>877</w:t>
            </w:r>
            <w:r>
              <w:rPr>
                <w:rFonts w:ascii="Arial" w:hAnsi="Arial" w:cs="Arial"/>
                <w:b/>
                <w:bCs/>
                <w:color w:val="000000"/>
                <w:sz w:val="16"/>
                <w:szCs w:val="16"/>
              </w:rPr>
              <w:t xml:space="preserve"> </w:t>
            </w:r>
            <w:r w:rsidRPr="00792CEC">
              <w:rPr>
                <w:rFonts w:ascii="Arial" w:hAnsi="Arial" w:cs="Arial"/>
                <w:b/>
                <w:bCs/>
                <w:color w:val="000000"/>
                <w:sz w:val="16"/>
                <w:szCs w:val="16"/>
              </w:rPr>
              <w:t>909</w:t>
            </w:r>
          </w:p>
        </w:tc>
        <w:tc>
          <w:tcPr>
            <w:tcW w:w="1836" w:type="dxa"/>
            <w:shd w:val="clear" w:color="auto" w:fill="auto"/>
            <w:tcMar>
              <w:top w:w="0" w:type="dxa"/>
              <w:left w:w="108" w:type="dxa"/>
              <w:bottom w:w="0" w:type="dxa"/>
              <w:right w:w="108" w:type="dxa"/>
            </w:tcMar>
            <w:hideMark/>
          </w:tcPr>
          <w:p w14:paraId="302BA558" w14:textId="77777777" w:rsidR="00030089" w:rsidRPr="008427CF" w:rsidRDefault="00030089" w:rsidP="008547F7">
            <w:pPr>
              <w:pStyle w:val="NoSpacing"/>
              <w:spacing w:before="60" w:line="360" w:lineRule="auto"/>
              <w:jc w:val="right"/>
              <w:rPr>
                <w:rFonts w:ascii="Arial" w:hAnsi="Arial" w:cs="Arial"/>
                <w:b/>
                <w:sz w:val="16"/>
                <w:szCs w:val="16"/>
              </w:rPr>
            </w:pPr>
            <w:r w:rsidRPr="008427CF">
              <w:rPr>
                <w:rFonts w:ascii="Arial" w:hAnsi="Arial" w:cs="Arial"/>
                <w:b/>
                <w:sz w:val="16"/>
                <w:szCs w:val="16"/>
              </w:rPr>
              <w:t>$47</w:t>
            </w:r>
            <w:r>
              <w:rPr>
                <w:rFonts w:ascii="Arial" w:hAnsi="Arial" w:cs="Arial"/>
                <w:b/>
                <w:sz w:val="16"/>
                <w:szCs w:val="16"/>
              </w:rPr>
              <w:t xml:space="preserve"> </w:t>
            </w:r>
            <w:r w:rsidRPr="008427CF">
              <w:rPr>
                <w:rFonts w:ascii="Arial" w:hAnsi="Arial" w:cs="Arial"/>
                <w:b/>
                <w:sz w:val="16"/>
                <w:szCs w:val="16"/>
              </w:rPr>
              <w:t>000</w:t>
            </w:r>
            <w:r>
              <w:rPr>
                <w:rFonts w:ascii="Arial" w:hAnsi="Arial" w:cs="Arial"/>
                <w:b/>
                <w:sz w:val="16"/>
                <w:szCs w:val="16"/>
              </w:rPr>
              <w:t xml:space="preserve"> </w:t>
            </w:r>
            <w:r w:rsidRPr="008427CF">
              <w:rPr>
                <w:rFonts w:ascii="Arial" w:hAnsi="Arial" w:cs="Arial"/>
                <w:b/>
                <w:sz w:val="16"/>
                <w:szCs w:val="16"/>
              </w:rPr>
              <w:t>0</w:t>
            </w:r>
            <w:r>
              <w:rPr>
                <w:rFonts w:ascii="Arial" w:hAnsi="Arial" w:cs="Arial"/>
                <w:b/>
                <w:sz w:val="16"/>
                <w:szCs w:val="16"/>
              </w:rPr>
              <w:t>00</w:t>
            </w:r>
          </w:p>
        </w:tc>
      </w:tr>
    </w:tbl>
    <w:p w14:paraId="73FECC0B" w14:textId="77777777" w:rsidR="00030089" w:rsidRDefault="00030089" w:rsidP="00030089">
      <w:pPr>
        <w:pStyle w:val="Footer"/>
        <w:tabs>
          <w:tab w:val="left" w:pos="7513"/>
        </w:tabs>
        <w:spacing w:after="240" w:line="360" w:lineRule="auto"/>
        <w:ind w:right="357"/>
        <w:rPr>
          <w:rFonts w:ascii="Arial" w:hAnsi="Arial" w:cs="Arial"/>
          <w:b/>
          <w:color w:val="0070C0"/>
          <w:sz w:val="18"/>
          <w:szCs w:val="18"/>
        </w:rPr>
      </w:pPr>
    </w:p>
    <w:p w14:paraId="10E6CA25" w14:textId="77777777" w:rsidR="00030089" w:rsidRPr="001167CF" w:rsidRDefault="00030089" w:rsidP="00030089">
      <w:pPr>
        <w:spacing w:line="360" w:lineRule="auto"/>
        <w:jc w:val="both"/>
        <w:rPr>
          <w:rFonts w:ascii="Arial" w:hAnsi="Arial" w:cs="Arial"/>
          <w:szCs w:val="28"/>
        </w:rPr>
      </w:pPr>
      <w:bookmarkStart w:id="5" w:name="_Toc347315438"/>
      <w:r>
        <w:rPr>
          <w:rFonts w:ascii="Arial" w:hAnsi="Arial" w:cs="Arial"/>
          <w:b/>
          <w:szCs w:val="28"/>
        </w:rPr>
        <w:t>Conclusion</w:t>
      </w:r>
      <w:r>
        <w:rPr>
          <w:rFonts w:ascii="Arial" w:hAnsi="Arial" w:cs="Arial"/>
          <w:b/>
          <w:szCs w:val="28"/>
        </w:rPr>
        <w:br/>
      </w:r>
      <w:r w:rsidRPr="001167CF">
        <w:rPr>
          <w:rFonts w:ascii="Arial" w:hAnsi="Arial" w:cs="Arial"/>
          <w:szCs w:val="28"/>
        </w:rPr>
        <w:t xml:space="preserve">Based upon Net Present Value (NPV) this Decision Regulation Impact Statement (DRIS) recommends Option Four.  </w:t>
      </w:r>
      <w:r w:rsidRPr="001167CF">
        <w:rPr>
          <w:rFonts w:ascii="Arial" w:hAnsi="Arial" w:cs="Arial"/>
        </w:rPr>
        <w:t>This option represented one of two options that were considered at a national level. In 2013 a Packaging Impacts Decision RIS will be released which will take into account the model in Option Four. A decision regarding the Packaging Impacts Decision RIS will be made and this may be the appropriate time to consider Option Four as an effective option. It is noted, however, that an alternative option to this recommendation may be appropriate</w:t>
      </w:r>
    </w:p>
    <w:p w14:paraId="00E5A292" w14:textId="77777777" w:rsidR="00030089" w:rsidRDefault="00030089" w:rsidP="00030089">
      <w:pPr>
        <w:spacing w:line="360" w:lineRule="auto"/>
        <w:jc w:val="both"/>
        <w:rPr>
          <w:rFonts w:ascii="Arial" w:hAnsi="Arial" w:cs="Arial"/>
        </w:rPr>
      </w:pPr>
      <w:r w:rsidRPr="001167CF">
        <w:rPr>
          <w:rFonts w:ascii="Arial" w:hAnsi="Arial" w:cs="Arial"/>
        </w:rPr>
        <w:t>The alternative approach highlights that Option Three may be the most viable option as it represents a continuation of the NT CDS in its current form with a permanent exemption from the MRA. The continued implementation of the CDS as described under Option Three would support the views currently held by key stakeholders to this process.</w:t>
      </w:r>
    </w:p>
    <w:p w14:paraId="2EA0E827" w14:textId="77777777" w:rsidR="00030089" w:rsidRDefault="00030089" w:rsidP="00030089">
      <w:pPr>
        <w:spacing w:line="360" w:lineRule="auto"/>
        <w:jc w:val="both"/>
        <w:rPr>
          <w:rFonts w:ascii="Arial" w:hAnsi="Arial" w:cs="Arial"/>
          <w:b/>
          <w:szCs w:val="28"/>
        </w:rPr>
      </w:pPr>
    </w:p>
    <w:p w14:paraId="3F4A2AA8" w14:textId="77777777" w:rsidR="00F702E2" w:rsidRDefault="00F702E2">
      <w:pPr>
        <w:rPr>
          <w:rFonts w:ascii="Arial" w:hAnsi="Arial" w:cs="Arial"/>
          <w:b/>
          <w:szCs w:val="28"/>
        </w:rPr>
      </w:pPr>
      <w:bookmarkStart w:id="6" w:name="_Toc353562535"/>
      <w:r>
        <w:rPr>
          <w:rFonts w:ascii="Arial" w:hAnsi="Arial" w:cs="Arial"/>
          <w:b/>
          <w:szCs w:val="28"/>
        </w:rPr>
        <w:br w:type="page"/>
      </w:r>
    </w:p>
    <w:p w14:paraId="6DF6F9D1" w14:textId="5000870F" w:rsidR="00030089" w:rsidRPr="000729A4" w:rsidRDefault="00030089" w:rsidP="00030089">
      <w:pPr>
        <w:pStyle w:val="ListParagraph"/>
        <w:keepNext/>
        <w:numPr>
          <w:ilvl w:val="0"/>
          <w:numId w:val="3"/>
        </w:numPr>
        <w:spacing w:after="200" w:line="360" w:lineRule="auto"/>
        <w:outlineLvl w:val="0"/>
        <w:rPr>
          <w:rFonts w:ascii="Arial" w:hAnsi="Arial" w:cs="Arial"/>
          <w:b/>
          <w:szCs w:val="28"/>
        </w:rPr>
      </w:pPr>
      <w:r w:rsidRPr="00C67089">
        <w:rPr>
          <w:rFonts w:ascii="Arial" w:hAnsi="Arial" w:cs="Arial"/>
          <w:b/>
          <w:szCs w:val="28"/>
        </w:rPr>
        <w:lastRenderedPageBreak/>
        <w:t>STATEMENT OF THE PROBLEM</w:t>
      </w:r>
      <w:bookmarkEnd w:id="5"/>
      <w:bookmarkEnd w:id="6"/>
    </w:p>
    <w:p w14:paraId="36DAC0B9" w14:textId="77777777" w:rsidR="00030089" w:rsidRPr="00C67089" w:rsidRDefault="00030089" w:rsidP="00030089">
      <w:pPr>
        <w:keepNext/>
        <w:spacing w:line="360" w:lineRule="auto"/>
        <w:jc w:val="both"/>
        <w:rPr>
          <w:rFonts w:ascii="Arial" w:hAnsi="Arial" w:cs="Arial"/>
          <w:szCs w:val="28"/>
        </w:rPr>
      </w:pPr>
      <w:r>
        <w:rPr>
          <w:rFonts w:ascii="Arial" w:hAnsi="Arial" w:cs="Arial"/>
          <w:szCs w:val="28"/>
        </w:rPr>
        <w:t>T</w:t>
      </w:r>
      <w:r w:rsidRPr="00C67089">
        <w:rPr>
          <w:rFonts w:ascii="Arial" w:hAnsi="Arial" w:cs="Arial"/>
          <w:szCs w:val="28"/>
        </w:rPr>
        <w:t xml:space="preserve">his </w:t>
      </w:r>
      <w:r>
        <w:rPr>
          <w:rFonts w:ascii="Arial" w:hAnsi="Arial" w:cs="Arial"/>
          <w:szCs w:val="28"/>
        </w:rPr>
        <w:t>Decision Regulation Impact Statement (</w:t>
      </w:r>
      <w:r w:rsidRPr="00C67089">
        <w:rPr>
          <w:rFonts w:ascii="Arial" w:hAnsi="Arial" w:cs="Arial"/>
          <w:szCs w:val="28"/>
        </w:rPr>
        <w:t>DRIS</w:t>
      </w:r>
      <w:r>
        <w:rPr>
          <w:rFonts w:ascii="Arial" w:hAnsi="Arial" w:cs="Arial"/>
          <w:szCs w:val="28"/>
        </w:rPr>
        <w:t>)</w:t>
      </w:r>
      <w:r w:rsidRPr="00C67089">
        <w:rPr>
          <w:rFonts w:ascii="Arial" w:hAnsi="Arial" w:cs="Arial"/>
          <w:szCs w:val="28"/>
        </w:rPr>
        <w:t xml:space="preserve"> </w:t>
      </w:r>
      <w:r>
        <w:rPr>
          <w:rFonts w:ascii="Arial" w:hAnsi="Arial" w:cs="Arial"/>
          <w:szCs w:val="28"/>
        </w:rPr>
        <w:t xml:space="preserve">addresses the Northern Territory (NT) </w:t>
      </w:r>
      <w:r w:rsidRPr="00C67089">
        <w:rPr>
          <w:rFonts w:ascii="Arial" w:hAnsi="Arial" w:cs="Arial"/>
          <w:szCs w:val="28"/>
        </w:rPr>
        <w:t xml:space="preserve">objective </w:t>
      </w:r>
      <w:r>
        <w:rPr>
          <w:rFonts w:ascii="Arial" w:hAnsi="Arial" w:cs="Arial"/>
          <w:szCs w:val="28"/>
        </w:rPr>
        <w:t xml:space="preserve">of </w:t>
      </w:r>
      <w:r w:rsidRPr="00C67089">
        <w:rPr>
          <w:rFonts w:ascii="Arial" w:hAnsi="Arial" w:cs="Arial"/>
          <w:szCs w:val="28"/>
        </w:rPr>
        <w:t>increas</w:t>
      </w:r>
      <w:r>
        <w:rPr>
          <w:rFonts w:ascii="Arial" w:hAnsi="Arial" w:cs="Arial"/>
          <w:szCs w:val="28"/>
        </w:rPr>
        <w:t>ing</w:t>
      </w:r>
      <w:r w:rsidRPr="00C67089">
        <w:rPr>
          <w:rFonts w:ascii="Arial" w:hAnsi="Arial" w:cs="Arial"/>
          <w:szCs w:val="28"/>
        </w:rPr>
        <w:t xml:space="preserve"> </w:t>
      </w:r>
      <w:r>
        <w:rPr>
          <w:rFonts w:ascii="Arial" w:hAnsi="Arial" w:cs="Arial"/>
          <w:szCs w:val="28"/>
        </w:rPr>
        <w:t>recycling</w:t>
      </w:r>
      <w:r w:rsidRPr="00C67089">
        <w:rPr>
          <w:rFonts w:ascii="Arial" w:hAnsi="Arial" w:cs="Arial"/>
          <w:szCs w:val="28"/>
        </w:rPr>
        <w:t>. Prior to the introduction of the</w:t>
      </w:r>
      <w:r>
        <w:rPr>
          <w:rFonts w:ascii="Arial" w:hAnsi="Arial" w:cs="Arial"/>
          <w:szCs w:val="28"/>
        </w:rPr>
        <w:t xml:space="preserve"> Northern Territory Container Deposit Scheme (</w:t>
      </w:r>
      <w:r w:rsidRPr="00C67089">
        <w:rPr>
          <w:rFonts w:ascii="Arial" w:hAnsi="Arial" w:cs="Arial"/>
          <w:szCs w:val="28"/>
        </w:rPr>
        <w:t>NT CDS</w:t>
      </w:r>
      <w:r>
        <w:rPr>
          <w:rFonts w:ascii="Arial" w:hAnsi="Arial" w:cs="Arial"/>
          <w:szCs w:val="28"/>
        </w:rPr>
        <w:t>)</w:t>
      </w:r>
      <w:r w:rsidRPr="00C67089">
        <w:rPr>
          <w:rFonts w:ascii="Arial" w:hAnsi="Arial" w:cs="Arial"/>
          <w:szCs w:val="28"/>
        </w:rPr>
        <w:t xml:space="preserve"> </w:t>
      </w:r>
      <w:r>
        <w:rPr>
          <w:rFonts w:ascii="Arial" w:hAnsi="Arial" w:cs="Arial"/>
          <w:szCs w:val="28"/>
        </w:rPr>
        <w:t xml:space="preserve">the NT had a very </w:t>
      </w:r>
      <w:r w:rsidRPr="00C67089">
        <w:rPr>
          <w:rFonts w:ascii="Arial" w:hAnsi="Arial" w:cs="Arial"/>
          <w:szCs w:val="28"/>
        </w:rPr>
        <w:t>low recycling rate</w:t>
      </w:r>
      <w:r>
        <w:rPr>
          <w:rFonts w:ascii="Arial" w:hAnsi="Arial" w:cs="Arial"/>
          <w:szCs w:val="28"/>
        </w:rPr>
        <w:t xml:space="preserve"> in the municipal (domestic – at home) sector</w:t>
      </w:r>
      <w:r w:rsidRPr="00C67089">
        <w:rPr>
          <w:rFonts w:ascii="Arial" w:hAnsi="Arial" w:cs="Arial"/>
          <w:szCs w:val="28"/>
        </w:rPr>
        <w:t xml:space="preserve"> </w:t>
      </w:r>
      <w:r>
        <w:rPr>
          <w:rFonts w:ascii="Arial" w:hAnsi="Arial" w:cs="Arial"/>
          <w:szCs w:val="28"/>
        </w:rPr>
        <w:t xml:space="preserve">and </w:t>
      </w:r>
      <w:r w:rsidRPr="00C67089">
        <w:rPr>
          <w:rFonts w:ascii="Arial" w:hAnsi="Arial" w:cs="Arial"/>
          <w:szCs w:val="28"/>
        </w:rPr>
        <w:t>in the commercial, hospitality and institutional sectors (away-from-home). Poor recycling leads to environmental externalities such as litter and high litter-clean-up costs, loss of finite resources</w:t>
      </w:r>
      <w:r>
        <w:rPr>
          <w:rFonts w:ascii="Arial" w:hAnsi="Arial" w:cs="Arial"/>
          <w:szCs w:val="28"/>
        </w:rPr>
        <w:t>,</w:t>
      </w:r>
      <w:r w:rsidRPr="00C67089">
        <w:rPr>
          <w:rFonts w:ascii="Arial" w:hAnsi="Arial" w:cs="Arial"/>
          <w:szCs w:val="28"/>
        </w:rPr>
        <w:t xml:space="preserve"> elevated greenhouse gas output and elevated landfill costs. </w:t>
      </w:r>
    </w:p>
    <w:p w14:paraId="012049C2" w14:textId="77777777" w:rsidR="00030089" w:rsidRPr="00C67089" w:rsidRDefault="00030089" w:rsidP="00030089">
      <w:pPr>
        <w:spacing w:line="360" w:lineRule="auto"/>
        <w:jc w:val="both"/>
        <w:rPr>
          <w:rFonts w:ascii="Arial" w:hAnsi="Arial" w:cs="Arial"/>
          <w:szCs w:val="28"/>
        </w:rPr>
      </w:pPr>
      <w:r>
        <w:rPr>
          <w:rFonts w:ascii="Arial" w:hAnsi="Arial" w:cs="Arial"/>
          <w:szCs w:val="28"/>
        </w:rPr>
        <w:t xml:space="preserve">In the absence </w:t>
      </w:r>
      <w:r w:rsidRPr="00C67089">
        <w:rPr>
          <w:rFonts w:ascii="Arial" w:hAnsi="Arial" w:cs="Arial"/>
          <w:szCs w:val="28"/>
        </w:rPr>
        <w:t>of the NT CDS, continued improvements in recycling rates would have needed to rely on increased efficiencies from the minority of NT local governments who provide municipal kerbside recycling services. The current disparity in provision of such services across the NT’s urban, regional and remote settings</w:t>
      </w:r>
      <w:r>
        <w:rPr>
          <w:rFonts w:ascii="Arial" w:hAnsi="Arial" w:cs="Arial"/>
          <w:szCs w:val="28"/>
        </w:rPr>
        <w:t xml:space="preserve"> </w:t>
      </w:r>
      <w:r w:rsidRPr="00C67089">
        <w:rPr>
          <w:rFonts w:ascii="Arial" w:hAnsi="Arial" w:cs="Arial"/>
          <w:szCs w:val="28"/>
        </w:rPr>
        <w:t>illustrates that an expansion and improvement of these services cannot be assumed, and has not taken place.</w:t>
      </w:r>
    </w:p>
    <w:p w14:paraId="4EBA5511" w14:textId="77777777" w:rsidR="00030089" w:rsidRPr="00C67089" w:rsidRDefault="00030089" w:rsidP="00030089">
      <w:pPr>
        <w:spacing w:line="360" w:lineRule="auto"/>
        <w:jc w:val="both"/>
        <w:rPr>
          <w:rFonts w:ascii="Arial" w:hAnsi="Arial" w:cs="Arial"/>
          <w:szCs w:val="28"/>
        </w:rPr>
      </w:pPr>
      <w:r w:rsidRPr="00C67089">
        <w:rPr>
          <w:rFonts w:ascii="Arial" w:hAnsi="Arial" w:cs="Arial"/>
          <w:szCs w:val="28"/>
        </w:rPr>
        <w:t xml:space="preserve">A failure to recycle means a loss of a range of benefits. At a national level these </w:t>
      </w:r>
      <w:r>
        <w:rPr>
          <w:rFonts w:ascii="Arial" w:hAnsi="Arial" w:cs="Arial"/>
          <w:szCs w:val="28"/>
        </w:rPr>
        <w:t xml:space="preserve">benefits </w:t>
      </w:r>
      <w:r w:rsidRPr="00C67089">
        <w:rPr>
          <w:rFonts w:ascii="Arial" w:hAnsi="Arial" w:cs="Arial"/>
          <w:szCs w:val="28"/>
        </w:rPr>
        <w:t>have included:</w:t>
      </w:r>
    </w:p>
    <w:p w14:paraId="5D5E52DA" w14:textId="77777777" w:rsidR="00030089" w:rsidRDefault="00030089" w:rsidP="00030089">
      <w:pPr>
        <w:autoSpaceDE w:val="0"/>
        <w:autoSpaceDN w:val="0"/>
        <w:adjustRightInd w:val="0"/>
        <w:spacing w:after="0" w:line="360" w:lineRule="auto"/>
        <w:ind w:left="720"/>
        <w:jc w:val="both"/>
        <w:rPr>
          <w:rFonts w:ascii="Arial" w:hAnsi="Arial" w:cs="Arial"/>
          <w:b/>
          <w:szCs w:val="28"/>
        </w:rPr>
      </w:pPr>
      <w:r w:rsidRPr="00C67089">
        <w:rPr>
          <w:rFonts w:ascii="Arial" w:hAnsi="Arial" w:cs="Arial"/>
          <w:b/>
          <w:szCs w:val="28"/>
        </w:rPr>
        <w:t xml:space="preserve">Economic benefits </w:t>
      </w:r>
    </w:p>
    <w:p w14:paraId="069D6D29" w14:textId="77777777" w:rsidR="00030089" w:rsidRDefault="00030089" w:rsidP="00030089">
      <w:pPr>
        <w:pStyle w:val="ListParagraph"/>
        <w:numPr>
          <w:ilvl w:val="0"/>
          <w:numId w:val="30"/>
        </w:numPr>
        <w:autoSpaceDE w:val="0"/>
        <w:autoSpaceDN w:val="0"/>
        <w:adjustRightInd w:val="0"/>
        <w:spacing w:after="0" w:line="360" w:lineRule="auto"/>
        <w:jc w:val="both"/>
        <w:rPr>
          <w:rFonts w:ascii="Arial" w:hAnsi="Arial" w:cs="Arial"/>
          <w:szCs w:val="28"/>
        </w:rPr>
      </w:pPr>
      <w:r w:rsidRPr="00C67089">
        <w:rPr>
          <w:rFonts w:ascii="Arial" w:hAnsi="Arial" w:cs="Arial"/>
          <w:szCs w:val="28"/>
        </w:rPr>
        <w:t>In 2006, the Australian recycling industry had a turnover of $11.5 billion, contributing 1.2</w:t>
      </w:r>
      <w:r>
        <w:rPr>
          <w:rFonts w:ascii="Arial" w:hAnsi="Arial" w:cs="Arial"/>
          <w:szCs w:val="28"/>
        </w:rPr>
        <w:t xml:space="preserve"> per cent</w:t>
      </w:r>
      <w:r w:rsidRPr="00C67089">
        <w:rPr>
          <w:rFonts w:ascii="Arial" w:hAnsi="Arial" w:cs="Arial"/>
          <w:szCs w:val="28"/>
        </w:rPr>
        <w:t xml:space="preserve"> of Australia’s GDP, and a capital investment of over $6 billion</w:t>
      </w:r>
      <w:r>
        <w:rPr>
          <w:rFonts w:ascii="Arial" w:hAnsi="Arial" w:cs="Arial"/>
          <w:szCs w:val="28"/>
        </w:rPr>
        <w:t>;</w:t>
      </w:r>
      <w:r w:rsidRPr="00C67089">
        <w:rPr>
          <w:rFonts w:ascii="Arial" w:hAnsi="Arial" w:cs="Arial"/>
          <w:szCs w:val="28"/>
        </w:rPr>
        <w:t xml:space="preserve"> </w:t>
      </w:r>
    </w:p>
    <w:p w14:paraId="607169F3" w14:textId="77777777" w:rsidR="00030089" w:rsidRDefault="00030089" w:rsidP="00030089">
      <w:pPr>
        <w:pStyle w:val="ListParagraph"/>
        <w:numPr>
          <w:ilvl w:val="0"/>
          <w:numId w:val="30"/>
        </w:numPr>
        <w:autoSpaceDE w:val="0"/>
        <w:autoSpaceDN w:val="0"/>
        <w:adjustRightInd w:val="0"/>
        <w:spacing w:after="0" w:line="360" w:lineRule="auto"/>
        <w:jc w:val="both"/>
        <w:rPr>
          <w:rFonts w:ascii="Arial" w:hAnsi="Arial" w:cs="Arial"/>
          <w:szCs w:val="28"/>
        </w:rPr>
      </w:pPr>
      <w:r w:rsidRPr="00C67089">
        <w:rPr>
          <w:rFonts w:ascii="Arial" w:hAnsi="Arial" w:cs="Arial"/>
          <w:szCs w:val="28"/>
        </w:rPr>
        <w:t>In this same year, the industry directly employed around 10</w:t>
      </w:r>
      <w:r>
        <w:rPr>
          <w:rFonts w:ascii="Arial" w:hAnsi="Arial" w:cs="Arial"/>
          <w:szCs w:val="28"/>
        </w:rPr>
        <w:t xml:space="preserve"> </w:t>
      </w:r>
      <w:r w:rsidRPr="00C67089">
        <w:rPr>
          <w:rFonts w:ascii="Arial" w:hAnsi="Arial" w:cs="Arial"/>
          <w:szCs w:val="28"/>
        </w:rPr>
        <w:t>900 people and indirectly employed another 27</w:t>
      </w:r>
      <w:r>
        <w:rPr>
          <w:rFonts w:ascii="Arial" w:hAnsi="Arial" w:cs="Arial"/>
          <w:szCs w:val="28"/>
        </w:rPr>
        <w:t xml:space="preserve"> </w:t>
      </w:r>
      <w:r w:rsidRPr="00C67089">
        <w:rPr>
          <w:rFonts w:ascii="Arial" w:hAnsi="Arial" w:cs="Arial"/>
          <w:szCs w:val="28"/>
        </w:rPr>
        <w:t>700</w:t>
      </w:r>
      <w:r>
        <w:rPr>
          <w:rFonts w:ascii="Arial" w:hAnsi="Arial" w:cs="Arial"/>
          <w:szCs w:val="28"/>
        </w:rPr>
        <w:t>; and</w:t>
      </w:r>
      <w:r w:rsidRPr="00C67089">
        <w:rPr>
          <w:rFonts w:ascii="Arial" w:hAnsi="Arial" w:cs="Arial"/>
          <w:szCs w:val="28"/>
        </w:rPr>
        <w:t xml:space="preserve"> </w:t>
      </w:r>
    </w:p>
    <w:p w14:paraId="79FA87FC" w14:textId="77777777" w:rsidR="00030089" w:rsidRDefault="00030089" w:rsidP="00030089">
      <w:pPr>
        <w:pStyle w:val="ListParagraph"/>
        <w:numPr>
          <w:ilvl w:val="0"/>
          <w:numId w:val="30"/>
        </w:numPr>
        <w:autoSpaceDE w:val="0"/>
        <w:autoSpaceDN w:val="0"/>
        <w:adjustRightInd w:val="0"/>
        <w:spacing w:after="0" w:line="360" w:lineRule="auto"/>
        <w:jc w:val="both"/>
        <w:rPr>
          <w:rFonts w:ascii="Arial" w:hAnsi="Arial" w:cs="Arial"/>
          <w:szCs w:val="28"/>
        </w:rPr>
      </w:pPr>
      <w:r w:rsidRPr="00C67089">
        <w:rPr>
          <w:rFonts w:ascii="Arial" w:hAnsi="Arial" w:cs="Arial"/>
          <w:szCs w:val="28"/>
        </w:rPr>
        <w:t>This investment and employment has a number of direct and indirect benefits conservatively estimated at $55 billion</w:t>
      </w:r>
      <w:r w:rsidRPr="00C67089">
        <w:rPr>
          <w:rStyle w:val="FootnoteReference"/>
          <w:rFonts w:ascii="Arial" w:hAnsi="Arial"/>
          <w:b/>
          <w:szCs w:val="28"/>
        </w:rPr>
        <w:footnoteReference w:id="2"/>
      </w:r>
      <w:r w:rsidRPr="00C67089">
        <w:rPr>
          <w:rFonts w:ascii="Arial" w:hAnsi="Arial" w:cs="Arial"/>
          <w:szCs w:val="28"/>
        </w:rPr>
        <w:t xml:space="preserve">. </w:t>
      </w:r>
    </w:p>
    <w:p w14:paraId="1B3FC04A" w14:textId="77777777" w:rsidR="00030089" w:rsidRDefault="00030089" w:rsidP="00030089">
      <w:pPr>
        <w:autoSpaceDE w:val="0"/>
        <w:autoSpaceDN w:val="0"/>
        <w:adjustRightInd w:val="0"/>
        <w:spacing w:after="0" w:line="360" w:lineRule="auto"/>
        <w:ind w:left="720"/>
        <w:jc w:val="both"/>
        <w:rPr>
          <w:rFonts w:ascii="Arial" w:hAnsi="Arial" w:cs="Arial"/>
          <w:szCs w:val="28"/>
        </w:rPr>
      </w:pPr>
    </w:p>
    <w:p w14:paraId="77C0A661" w14:textId="77777777" w:rsidR="00030089" w:rsidRDefault="00030089" w:rsidP="00030089">
      <w:pPr>
        <w:autoSpaceDE w:val="0"/>
        <w:autoSpaceDN w:val="0"/>
        <w:adjustRightInd w:val="0"/>
        <w:spacing w:after="0" w:line="360" w:lineRule="auto"/>
        <w:ind w:left="720"/>
        <w:jc w:val="both"/>
        <w:rPr>
          <w:rFonts w:ascii="Arial" w:hAnsi="Arial" w:cs="Arial"/>
          <w:b/>
          <w:szCs w:val="28"/>
        </w:rPr>
      </w:pPr>
      <w:r w:rsidRPr="00C67089">
        <w:rPr>
          <w:rFonts w:ascii="Arial" w:hAnsi="Arial" w:cs="Arial"/>
          <w:b/>
          <w:szCs w:val="28"/>
        </w:rPr>
        <w:t>Environmental benefits</w:t>
      </w:r>
    </w:p>
    <w:p w14:paraId="34BBCCBA" w14:textId="77777777" w:rsidR="00030089" w:rsidRPr="00C67089" w:rsidRDefault="00030089" w:rsidP="00030089">
      <w:pPr>
        <w:pStyle w:val="ListParagraph"/>
        <w:numPr>
          <w:ilvl w:val="0"/>
          <w:numId w:val="30"/>
        </w:numPr>
        <w:autoSpaceDE w:val="0"/>
        <w:autoSpaceDN w:val="0"/>
        <w:adjustRightInd w:val="0"/>
        <w:spacing w:after="0" w:line="360" w:lineRule="auto"/>
        <w:jc w:val="both"/>
        <w:rPr>
          <w:rFonts w:ascii="Arial" w:hAnsi="Arial" w:cs="Arial"/>
          <w:szCs w:val="28"/>
        </w:rPr>
      </w:pPr>
      <w:r w:rsidRPr="00C67089">
        <w:rPr>
          <w:rFonts w:ascii="Arial" w:hAnsi="Arial" w:cs="Arial"/>
          <w:szCs w:val="28"/>
        </w:rPr>
        <w:t>Greenhouse Benefits – national recycling results in a total greenhouse benefit of over 8.8 million tonnes of CO</w:t>
      </w:r>
      <w:r w:rsidRPr="00D003C3">
        <w:rPr>
          <w:rFonts w:ascii="Arial" w:hAnsi="Arial" w:cs="Arial"/>
          <w:szCs w:val="28"/>
          <w:vertAlign w:val="subscript"/>
        </w:rPr>
        <w:t>2</w:t>
      </w:r>
      <w:r w:rsidRPr="00C67089">
        <w:rPr>
          <w:rFonts w:ascii="Arial" w:hAnsi="Arial" w:cs="Arial"/>
          <w:szCs w:val="28"/>
        </w:rPr>
        <w:t xml:space="preserve"> equivalent to taking 1.8 million cars off the road</w:t>
      </w:r>
      <w:r>
        <w:rPr>
          <w:rFonts w:ascii="Arial" w:hAnsi="Arial" w:cs="Arial"/>
          <w:szCs w:val="28"/>
        </w:rPr>
        <w:t>;</w:t>
      </w:r>
    </w:p>
    <w:p w14:paraId="666CD5AE" w14:textId="77777777" w:rsidR="00F702E2" w:rsidRDefault="00F702E2">
      <w:pPr>
        <w:rPr>
          <w:rFonts w:ascii="Arial" w:hAnsi="Arial" w:cs="Arial"/>
          <w:szCs w:val="28"/>
        </w:rPr>
      </w:pPr>
      <w:r>
        <w:rPr>
          <w:rFonts w:ascii="Arial" w:hAnsi="Arial" w:cs="Arial"/>
          <w:szCs w:val="28"/>
        </w:rPr>
        <w:br w:type="page"/>
      </w:r>
    </w:p>
    <w:p w14:paraId="23A9CE38" w14:textId="1B535191" w:rsidR="00030089" w:rsidRPr="00C67089" w:rsidRDefault="00030089" w:rsidP="00030089">
      <w:pPr>
        <w:pStyle w:val="ListParagraph"/>
        <w:numPr>
          <w:ilvl w:val="0"/>
          <w:numId w:val="30"/>
        </w:numPr>
        <w:autoSpaceDE w:val="0"/>
        <w:autoSpaceDN w:val="0"/>
        <w:adjustRightInd w:val="0"/>
        <w:spacing w:after="0" w:line="360" w:lineRule="auto"/>
        <w:jc w:val="both"/>
        <w:rPr>
          <w:rFonts w:ascii="Arial" w:hAnsi="Arial" w:cs="Arial"/>
          <w:szCs w:val="28"/>
        </w:rPr>
      </w:pPr>
      <w:r w:rsidRPr="00C67089">
        <w:rPr>
          <w:rFonts w:ascii="Arial" w:hAnsi="Arial" w:cs="Arial"/>
          <w:szCs w:val="28"/>
        </w:rPr>
        <w:lastRenderedPageBreak/>
        <w:t xml:space="preserve">Energy Savings Indicators </w:t>
      </w:r>
      <w:r>
        <w:rPr>
          <w:rFonts w:ascii="Arial" w:hAnsi="Arial" w:cs="Arial"/>
          <w:szCs w:val="28"/>
        </w:rPr>
        <w:t>–</w:t>
      </w:r>
      <w:r w:rsidRPr="00C67089">
        <w:rPr>
          <w:rFonts w:ascii="Arial" w:hAnsi="Arial" w:cs="Arial"/>
          <w:szCs w:val="28"/>
        </w:rPr>
        <w:t xml:space="preserve"> </w:t>
      </w:r>
      <w:r>
        <w:rPr>
          <w:rFonts w:ascii="Arial" w:hAnsi="Arial" w:cs="Arial"/>
          <w:szCs w:val="28"/>
        </w:rPr>
        <w:t>t</w:t>
      </w:r>
      <w:r w:rsidRPr="00C67089">
        <w:rPr>
          <w:rFonts w:ascii="Arial" w:hAnsi="Arial" w:cs="Arial"/>
          <w:szCs w:val="28"/>
        </w:rPr>
        <w:t xml:space="preserve">he energy saving benefits associated with the Australian recycling performance amounts to over 202 </w:t>
      </w:r>
      <w:r>
        <w:rPr>
          <w:rFonts w:ascii="Arial" w:hAnsi="Arial" w:cs="Arial"/>
          <w:szCs w:val="28"/>
        </w:rPr>
        <w:t>terajoules</w:t>
      </w:r>
      <w:r w:rsidRPr="00C67089">
        <w:rPr>
          <w:rFonts w:ascii="Arial" w:hAnsi="Arial" w:cs="Arial"/>
          <w:szCs w:val="28"/>
        </w:rPr>
        <w:t xml:space="preserve">. Assuming an average household electricity usage of 20 </w:t>
      </w:r>
      <w:r>
        <w:rPr>
          <w:rFonts w:ascii="Arial" w:hAnsi="Arial" w:cs="Arial"/>
          <w:szCs w:val="28"/>
        </w:rPr>
        <w:t>gigajoules</w:t>
      </w:r>
      <w:r w:rsidRPr="00D003C3">
        <w:rPr>
          <w:rFonts w:ascii="Arial" w:hAnsi="Arial" w:cs="Arial"/>
          <w:color w:val="FF0000"/>
          <w:szCs w:val="28"/>
        </w:rPr>
        <w:t xml:space="preserve"> </w:t>
      </w:r>
      <w:r w:rsidRPr="00C67089">
        <w:rPr>
          <w:rFonts w:ascii="Arial" w:hAnsi="Arial" w:cs="Arial"/>
          <w:szCs w:val="28"/>
        </w:rPr>
        <w:t>and transmission losses of 78.8 percent, recycling in Australia results in energy savings equivalent to 2.1 million households</w:t>
      </w:r>
      <w:r>
        <w:rPr>
          <w:rFonts w:ascii="Arial" w:hAnsi="Arial" w:cs="Arial"/>
          <w:szCs w:val="28"/>
        </w:rPr>
        <w:t>;</w:t>
      </w:r>
    </w:p>
    <w:p w14:paraId="4458FB3B" w14:textId="77777777" w:rsidR="00030089" w:rsidRPr="00C67089" w:rsidRDefault="00030089" w:rsidP="00030089">
      <w:pPr>
        <w:pStyle w:val="ListParagraph"/>
        <w:numPr>
          <w:ilvl w:val="0"/>
          <w:numId w:val="30"/>
        </w:numPr>
        <w:autoSpaceDE w:val="0"/>
        <w:autoSpaceDN w:val="0"/>
        <w:adjustRightInd w:val="0"/>
        <w:spacing w:after="0" w:line="360" w:lineRule="auto"/>
        <w:jc w:val="both"/>
        <w:rPr>
          <w:rFonts w:ascii="Arial" w:hAnsi="Arial" w:cs="Arial"/>
          <w:szCs w:val="28"/>
        </w:rPr>
      </w:pPr>
      <w:r w:rsidRPr="00C67089">
        <w:rPr>
          <w:rFonts w:ascii="Arial" w:hAnsi="Arial" w:cs="Arial"/>
          <w:szCs w:val="28"/>
        </w:rPr>
        <w:t xml:space="preserve">Water Savings Indicators </w:t>
      </w:r>
      <w:r>
        <w:rPr>
          <w:rFonts w:ascii="Arial" w:hAnsi="Arial" w:cs="Arial"/>
          <w:szCs w:val="28"/>
        </w:rPr>
        <w:t>–</w:t>
      </w:r>
      <w:r w:rsidRPr="00C67089">
        <w:rPr>
          <w:rFonts w:ascii="Arial" w:hAnsi="Arial" w:cs="Arial"/>
          <w:szCs w:val="28"/>
        </w:rPr>
        <w:t xml:space="preserve"> </w:t>
      </w:r>
      <w:r>
        <w:rPr>
          <w:rFonts w:ascii="Arial" w:hAnsi="Arial" w:cs="Arial"/>
          <w:szCs w:val="28"/>
        </w:rPr>
        <w:t>t</w:t>
      </w:r>
      <w:r w:rsidRPr="00C67089">
        <w:rPr>
          <w:rFonts w:ascii="Arial" w:hAnsi="Arial" w:cs="Arial"/>
          <w:szCs w:val="28"/>
        </w:rPr>
        <w:t xml:space="preserve">he water savings associated with the recycling activities in Australia are estimated to be about 134 </w:t>
      </w:r>
      <w:r>
        <w:rPr>
          <w:rFonts w:ascii="Arial" w:hAnsi="Arial" w:cs="Arial"/>
          <w:szCs w:val="28"/>
        </w:rPr>
        <w:t>gigalitre</w:t>
      </w:r>
      <w:r w:rsidRPr="00D003C3">
        <w:rPr>
          <w:rFonts w:ascii="Arial" w:hAnsi="Arial" w:cs="Arial"/>
          <w:color w:val="FF0000"/>
          <w:szCs w:val="28"/>
        </w:rPr>
        <w:t>.</w:t>
      </w:r>
      <w:r w:rsidRPr="00C67089">
        <w:rPr>
          <w:rFonts w:ascii="Arial" w:hAnsi="Arial" w:cs="Arial"/>
          <w:szCs w:val="28"/>
        </w:rPr>
        <w:t xml:space="preserve"> Based on a volume of 2.5 million litres to fill an Olympic swimming pool, recycling in Australia results in water savings equivalent to about 38</w:t>
      </w:r>
      <w:r>
        <w:rPr>
          <w:rFonts w:ascii="Arial" w:hAnsi="Arial" w:cs="Arial"/>
          <w:szCs w:val="28"/>
        </w:rPr>
        <w:t xml:space="preserve"> </w:t>
      </w:r>
      <w:r w:rsidRPr="00C67089">
        <w:rPr>
          <w:rFonts w:ascii="Arial" w:hAnsi="Arial" w:cs="Arial"/>
          <w:szCs w:val="28"/>
        </w:rPr>
        <w:t>000 pools each year</w:t>
      </w:r>
      <w:r>
        <w:rPr>
          <w:rFonts w:ascii="Arial" w:hAnsi="Arial" w:cs="Arial"/>
          <w:szCs w:val="28"/>
        </w:rPr>
        <w:t>;</w:t>
      </w:r>
      <w:r w:rsidRPr="00C67089">
        <w:rPr>
          <w:rFonts w:ascii="Arial" w:hAnsi="Arial" w:cs="Arial"/>
          <w:szCs w:val="28"/>
        </w:rPr>
        <w:t xml:space="preserve"> </w:t>
      </w:r>
    </w:p>
    <w:p w14:paraId="24AAEBD0" w14:textId="77777777" w:rsidR="00030089" w:rsidRPr="00C67089" w:rsidRDefault="00030089" w:rsidP="00030089">
      <w:pPr>
        <w:pStyle w:val="ListParagraph"/>
        <w:numPr>
          <w:ilvl w:val="0"/>
          <w:numId w:val="30"/>
        </w:numPr>
        <w:autoSpaceDE w:val="0"/>
        <w:autoSpaceDN w:val="0"/>
        <w:adjustRightInd w:val="0"/>
        <w:spacing w:after="0" w:line="360" w:lineRule="auto"/>
        <w:jc w:val="both"/>
        <w:rPr>
          <w:rFonts w:ascii="Arial" w:hAnsi="Arial" w:cs="Arial"/>
          <w:szCs w:val="28"/>
        </w:rPr>
      </w:pPr>
      <w:r w:rsidRPr="00C67089">
        <w:rPr>
          <w:rFonts w:ascii="Arial" w:hAnsi="Arial" w:cs="Arial"/>
          <w:szCs w:val="28"/>
        </w:rPr>
        <w:t xml:space="preserve">Resource Conservation </w:t>
      </w:r>
      <w:r>
        <w:rPr>
          <w:rFonts w:ascii="Arial" w:hAnsi="Arial" w:cs="Arial"/>
          <w:szCs w:val="28"/>
        </w:rPr>
        <w:t>– e</w:t>
      </w:r>
      <w:r w:rsidRPr="00C67089">
        <w:rPr>
          <w:rFonts w:ascii="Arial" w:hAnsi="Arial" w:cs="Arial"/>
          <w:szCs w:val="28"/>
        </w:rPr>
        <w:t>quivalent to eight million tons of resources including the resource saving as a result of the reprocessing of Australian post-consumer paper/cardboard is equivalent to three million trees. In the order of 365</w:t>
      </w:r>
      <w:r>
        <w:rPr>
          <w:rFonts w:ascii="Arial" w:hAnsi="Arial" w:cs="Arial"/>
          <w:szCs w:val="28"/>
        </w:rPr>
        <w:t xml:space="preserve"> </w:t>
      </w:r>
      <w:r w:rsidRPr="00C67089">
        <w:rPr>
          <w:rFonts w:ascii="Arial" w:hAnsi="Arial" w:cs="Arial"/>
          <w:szCs w:val="28"/>
        </w:rPr>
        <w:t xml:space="preserve">000 tonnes of sand, over four million tonnes of iron ore and 1.6 million tonnes of bauxite is being saved through these reprocessing activities. For plastics, the </w:t>
      </w:r>
      <w:r>
        <w:rPr>
          <w:rFonts w:ascii="Arial" w:hAnsi="Arial" w:cs="Arial"/>
          <w:szCs w:val="28"/>
        </w:rPr>
        <w:t>resource savings are measured in</w:t>
      </w:r>
      <w:r w:rsidRPr="00C67089">
        <w:rPr>
          <w:rFonts w:ascii="Arial" w:hAnsi="Arial" w:cs="Arial"/>
          <w:szCs w:val="28"/>
        </w:rPr>
        <w:t xml:space="preserve"> tonne</w:t>
      </w:r>
      <w:r>
        <w:rPr>
          <w:rFonts w:ascii="Arial" w:hAnsi="Arial" w:cs="Arial"/>
          <w:szCs w:val="28"/>
        </w:rPr>
        <w:t>s</w:t>
      </w:r>
      <w:r w:rsidRPr="00C67089">
        <w:rPr>
          <w:rFonts w:ascii="Arial" w:hAnsi="Arial" w:cs="Arial"/>
          <w:szCs w:val="28"/>
        </w:rPr>
        <w:t xml:space="preserve"> of Oil equivalent</w:t>
      </w:r>
      <w:r>
        <w:rPr>
          <w:rFonts w:ascii="Arial" w:hAnsi="Arial" w:cs="Arial"/>
          <w:szCs w:val="28"/>
        </w:rPr>
        <w:t>s</w:t>
      </w:r>
      <w:r w:rsidRPr="00C67089">
        <w:rPr>
          <w:rFonts w:ascii="Arial" w:hAnsi="Arial" w:cs="Arial"/>
          <w:szCs w:val="28"/>
        </w:rPr>
        <w:t xml:space="preserve"> (tOe). The 60</w:t>
      </w:r>
      <w:r>
        <w:rPr>
          <w:rFonts w:ascii="Arial" w:hAnsi="Arial" w:cs="Arial"/>
          <w:szCs w:val="28"/>
        </w:rPr>
        <w:t xml:space="preserve"> </w:t>
      </w:r>
      <w:r w:rsidRPr="00C67089">
        <w:rPr>
          <w:rFonts w:ascii="Arial" w:hAnsi="Arial" w:cs="Arial"/>
          <w:szCs w:val="28"/>
        </w:rPr>
        <w:t>000 and 90</w:t>
      </w:r>
      <w:r>
        <w:rPr>
          <w:rFonts w:ascii="Arial" w:hAnsi="Arial" w:cs="Arial"/>
          <w:szCs w:val="28"/>
        </w:rPr>
        <w:t xml:space="preserve"> </w:t>
      </w:r>
      <w:r w:rsidRPr="00C67089">
        <w:rPr>
          <w:rFonts w:ascii="Arial" w:hAnsi="Arial" w:cs="Arial"/>
          <w:szCs w:val="28"/>
        </w:rPr>
        <w:t xml:space="preserve">000 tOe savings of </w:t>
      </w:r>
      <w:r>
        <w:rPr>
          <w:rFonts w:ascii="Arial" w:hAnsi="Arial" w:cs="Arial"/>
          <w:szCs w:val="28"/>
        </w:rPr>
        <w:t>polyethylene terephthalate (</w:t>
      </w:r>
      <w:r w:rsidRPr="00C67089">
        <w:rPr>
          <w:rFonts w:ascii="Arial" w:hAnsi="Arial" w:cs="Arial"/>
          <w:szCs w:val="28"/>
        </w:rPr>
        <w:t>PET</w:t>
      </w:r>
      <w:r>
        <w:rPr>
          <w:rFonts w:ascii="Arial" w:hAnsi="Arial" w:cs="Arial"/>
          <w:szCs w:val="28"/>
        </w:rPr>
        <w:t>)</w:t>
      </w:r>
      <w:r w:rsidRPr="00C67089">
        <w:rPr>
          <w:rFonts w:ascii="Arial" w:hAnsi="Arial" w:cs="Arial"/>
          <w:szCs w:val="28"/>
        </w:rPr>
        <w:t xml:space="preserve"> and </w:t>
      </w:r>
      <w:r>
        <w:rPr>
          <w:rFonts w:ascii="Arial" w:hAnsi="Arial" w:cs="Arial"/>
          <w:szCs w:val="28"/>
        </w:rPr>
        <w:t>high-density polyethylene (</w:t>
      </w:r>
      <w:r w:rsidRPr="00C67089">
        <w:rPr>
          <w:rFonts w:ascii="Arial" w:hAnsi="Arial" w:cs="Arial"/>
          <w:szCs w:val="28"/>
        </w:rPr>
        <w:t>HDPE</w:t>
      </w:r>
      <w:r>
        <w:rPr>
          <w:rFonts w:ascii="Arial" w:hAnsi="Arial" w:cs="Arial"/>
          <w:szCs w:val="28"/>
        </w:rPr>
        <w:t>)</w:t>
      </w:r>
      <w:r w:rsidRPr="00C67089">
        <w:rPr>
          <w:rFonts w:ascii="Arial" w:hAnsi="Arial" w:cs="Arial"/>
          <w:szCs w:val="28"/>
        </w:rPr>
        <w:t xml:space="preserve"> equate to 430</w:t>
      </w:r>
      <w:r>
        <w:rPr>
          <w:rFonts w:ascii="Arial" w:hAnsi="Arial" w:cs="Arial"/>
          <w:szCs w:val="28"/>
        </w:rPr>
        <w:t xml:space="preserve"> </w:t>
      </w:r>
      <w:r w:rsidRPr="00C67089">
        <w:rPr>
          <w:rFonts w:ascii="Arial" w:hAnsi="Arial" w:cs="Arial"/>
          <w:szCs w:val="28"/>
        </w:rPr>
        <w:t>000 and 650</w:t>
      </w:r>
      <w:r>
        <w:rPr>
          <w:rFonts w:ascii="Arial" w:hAnsi="Arial" w:cs="Arial"/>
          <w:szCs w:val="28"/>
        </w:rPr>
        <w:t xml:space="preserve"> </w:t>
      </w:r>
      <w:r w:rsidRPr="00C67089">
        <w:rPr>
          <w:rFonts w:ascii="Arial" w:hAnsi="Arial" w:cs="Arial"/>
          <w:szCs w:val="28"/>
        </w:rPr>
        <w:t>000 barrels of oil equivalent</w:t>
      </w:r>
      <w:r>
        <w:rPr>
          <w:rFonts w:ascii="Arial" w:hAnsi="Arial" w:cs="Arial"/>
          <w:szCs w:val="28"/>
        </w:rPr>
        <w:t>; and</w:t>
      </w:r>
    </w:p>
    <w:p w14:paraId="4C255B2F" w14:textId="77777777" w:rsidR="00030089" w:rsidRPr="00C67089" w:rsidRDefault="00030089" w:rsidP="00030089">
      <w:pPr>
        <w:pStyle w:val="ListParagraph"/>
        <w:numPr>
          <w:ilvl w:val="0"/>
          <w:numId w:val="30"/>
        </w:numPr>
        <w:autoSpaceDE w:val="0"/>
        <w:autoSpaceDN w:val="0"/>
        <w:adjustRightInd w:val="0"/>
        <w:spacing w:after="0" w:line="360" w:lineRule="auto"/>
        <w:jc w:val="both"/>
        <w:rPr>
          <w:rFonts w:ascii="Arial" w:hAnsi="Arial" w:cs="Arial"/>
          <w:szCs w:val="28"/>
        </w:rPr>
      </w:pPr>
      <w:r w:rsidRPr="00C67089">
        <w:rPr>
          <w:rFonts w:ascii="Arial" w:hAnsi="Arial" w:cs="Arial"/>
          <w:szCs w:val="28"/>
        </w:rPr>
        <w:t xml:space="preserve">Social Benefits </w:t>
      </w:r>
      <w:r>
        <w:rPr>
          <w:rFonts w:ascii="Arial" w:hAnsi="Arial" w:cs="Arial"/>
          <w:szCs w:val="28"/>
        </w:rPr>
        <w:t>– l</w:t>
      </w:r>
      <w:r w:rsidRPr="00C67089">
        <w:rPr>
          <w:rFonts w:ascii="Arial" w:hAnsi="Arial" w:cs="Arial"/>
          <w:szCs w:val="28"/>
        </w:rPr>
        <w:t>ong term implications for employment, quality of life, a sustainable future, a stronger economy and improved biodiversity</w:t>
      </w:r>
      <w:r w:rsidRPr="00C67089">
        <w:rPr>
          <w:rStyle w:val="FootnoteReference"/>
          <w:rFonts w:ascii="Arial" w:hAnsi="Arial"/>
          <w:b/>
          <w:szCs w:val="28"/>
        </w:rPr>
        <w:footnoteReference w:id="3"/>
      </w:r>
      <w:r w:rsidRPr="00C67089">
        <w:rPr>
          <w:rFonts w:ascii="Arial" w:hAnsi="Arial" w:cs="Arial"/>
          <w:szCs w:val="28"/>
        </w:rPr>
        <w:t>.</w:t>
      </w:r>
    </w:p>
    <w:p w14:paraId="502804FF" w14:textId="77777777" w:rsidR="00030089" w:rsidRPr="000729A4" w:rsidRDefault="00030089" w:rsidP="00030089">
      <w:pPr>
        <w:pStyle w:val="ListParagraph"/>
        <w:keepNext/>
        <w:spacing w:line="360" w:lineRule="auto"/>
        <w:ind w:left="432"/>
        <w:outlineLvl w:val="1"/>
        <w:rPr>
          <w:rFonts w:ascii="Arial" w:hAnsi="Arial" w:cs="Arial"/>
          <w:b/>
          <w:szCs w:val="28"/>
        </w:rPr>
      </w:pPr>
    </w:p>
    <w:p w14:paraId="2A548C32" w14:textId="77777777" w:rsidR="00030089" w:rsidRDefault="00030089" w:rsidP="00030089">
      <w:pPr>
        <w:pStyle w:val="ListParagraph"/>
        <w:keepNext/>
        <w:numPr>
          <w:ilvl w:val="1"/>
          <w:numId w:val="3"/>
        </w:numPr>
        <w:spacing w:after="200" w:line="360" w:lineRule="auto"/>
        <w:outlineLvl w:val="1"/>
        <w:rPr>
          <w:rFonts w:ascii="Arial" w:hAnsi="Arial" w:cs="Arial"/>
          <w:b/>
          <w:szCs w:val="28"/>
        </w:rPr>
      </w:pPr>
      <w:bookmarkStart w:id="7" w:name="_Toc351459076"/>
      <w:bookmarkStart w:id="8" w:name="_Toc351459160"/>
      <w:bookmarkStart w:id="9" w:name="_Toc351459202"/>
      <w:bookmarkStart w:id="10" w:name="_Toc351459250"/>
      <w:bookmarkStart w:id="11" w:name="_Toc351459316"/>
      <w:bookmarkStart w:id="12" w:name="_Toc351459391"/>
      <w:bookmarkStart w:id="13" w:name="_Toc351463486"/>
      <w:bookmarkStart w:id="14" w:name="_Toc351979147"/>
      <w:bookmarkStart w:id="15" w:name="_Toc351980300"/>
      <w:bookmarkStart w:id="16" w:name="_Toc352070840"/>
      <w:bookmarkStart w:id="17" w:name="_Toc352071019"/>
      <w:bookmarkStart w:id="18" w:name="_Toc353562536"/>
      <w:bookmarkStart w:id="19" w:name="_Toc347315439"/>
      <w:bookmarkEnd w:id="7"/>
      <w:bookmarkEnd w:id="8"/>
      <w:bookmarkEnd w:id="9"/>
      <w:bookmarkEnd w:id="10"/>
      <w:bookmarkEnd w:id="11"/>
      <w:bookmarkEnd w:id="12"/>
      <w:bookmarkEnd w:id="13"/>
      <w:bookmarkEnd w:id="14"/>
      <w:bookmarkEnd w:id="15"/>
      <w:bookmarkEnd w:id="16"/>
      <w:bookmarkEnd w:id="17"/>
      <w:r w:rsidRPr="006D071D">
        <w:rPr>
          <w:rFonts w:ascii="Arial" w:hAnsi="Arial" w:cs="Arial"/>
          <w:b/>
          <w:szCs w:val="28"/>
        </w:rPr>
        <w:t>The</w:t>
      </w:r>
      <w:r w:rsidRPr="00C67089">
        <w:rPr>
          <w:rFonts w:ascii="Arial" w:hAnsi="Arial" w:cs="Arial"/>
          <w:b/>
          <w:szCs w:val="28"/>
        </w:rPr>
        <w:t xml:space="preserve"> </w:t>
      </w:r>
      <w:r>
        <w:rPr>
          <w:rFonts w:ascii="Arial" w:hAnsi="Arial" w:cs="Arial"/>
          <w:b/>
          <w:szCs w:val="28"/>
        </w:rPr>
        <w:t>NT</w:t>
      </w:r>
      <w:r w:rsidRPr="00C67089">
        <w:rPr>
          <w:rFonts w:ascii="Arial" w:hAnsi="Arial" w:cs="Arial"/>
          <w:b/>
          <w:szCs w:val="28"/>
        </w:rPr>
        <w:t xml:space="preserve"> </w:t>
      </w:r>
      <w:r>
        <w:rPr>
          <w:rFonts w:ascii="Arial" w:hAnsi="Arial" w:cs="Arial"/>
          <w:b/>
          <w:szCs w:val="28"/>
        </w:rPr>
        <w:t>R</w:t>
      </w:r>
      <w:r w:rsidRPr="00C67089">
        <w:rPr>
          <w:rFonts w:ascii="Arial" w:hAnsi="Arial" w:cs="Arial"/>
          <w:b/>
          <w:szCs w:val="28"/>
        </w:rPr>
        <w:t xml:space="preserve">ecycling </w:t>
      </w:r>
      <w:r>
        <w:rPr>
          <w:rFonts w:ascii="Arial" w:hAnsi="Arial" w:cs="Arial"/>
          <w:b/>
          <w:szCs w:val="28"/>
        </w:rPr>
        <w:t>R</w:t>
      </w:r>
      <w:r w:rsidRPr="00C67089">
        <w:rPr>
          <w:rFonts w:ascii="Arial" w:hAnsi="Arial" w:cs="Arial"/>
          <w:b/>
          <w:szCs w:val="28"/>
        </w:rPr>
        <w:t>ate</w:t>
      </w:r>
      <w:bookmarkEnd w:id="18"/>
      <w:r w:rsidRPr="00C67089">
        <w:rPr>
          <w:rFonts w:ascii="Arial" w:hAnsi="Arial" w:cs="Arial"/>
          <w:b/>
          <w:szCs w:val="28"/>
        </w:rPr>
        <w:t xml:space="preserve"> </w:t>
      </w:r>
      <w:bookmarkEnd w:id="19"/>
    </w:p>
    <w:p w14:paraId="089320AD" w14:textId="77777777" w:rsidR="00030089" w:rsidRDefault="00030089" w:rsidP="00030089">
      <w:pPr>
        <w:spacing w:line="360" w:lineRule="auto"/>
        <w:jc w:val="both"/>
        <w:rPr>
          <w:rFonts w:ascii="Arial" w:hAnsi="Arial" w:cs="Arial"/>
          <w:szCs w:val="28"/>
        </w:rPr>
      </w:pPr>
      <w:r w:rsidRPr="00C67089">
        <w:rPr>
          <w:rFonts w:ascii="Arial" w:hAnsi="Arial" w:cs="Arial"/>
          <w:szCs w:val="28"/>
        </w:rPr>
        <w:t>The analysis below shows</w:t>
      </w:r>
      <w:r>
        <w:rPr>
          <w:rFonts w:ascii="Arial" w:hAnsi="Arial" w:cs="Arial"/>
          <w:szCs w:val="28"/>
        </w:rPr>
        <w:t xml:space="preserve"> that the NT’s recycling of all waste types, including beverage containers is significantly below national levels. </w:t>
      </w:r>
    </w:p>
    <w:p w14:paraId="0F593D68" w14:textId="77777777" w:rsidR="00030089" w:rsidRDefault="00030089" w:rsidP="00030089">
      <w:pPr>
        <w:pStyle w:val="ListParagraph"/>
        <w:keepNext/>
        <w:numPr>
          <w:ilvl w:val="2"/>
          <w:numId w:val="3"/>
        </w:numPr>
        <w:spacing w:after="200" w:line="360" w:lineRule="auto"/>
        <w:ind w:hanging="788"/>
        <w:outlineLvl w:val="2"/>
        <w:rPr>
          <w:rFonts w:ascii="Arial" w:hAnsi="Arial" w:cs="Arial"/>
          <w:b/>
          <w:szCs w:val="28"/>
        </w:rPr>
      </w:pPr>
      <w:bookmarkStart w:id="20" w:name="_Toc347315440"/>
      <w:bookmarkStart w:id="21" w:name="_Toc353562537"/>
      <w:r w:rsidRPr="00C67089">
        <w:rPr>
          <w:rFonts w:ascii="Arial" w:hAnsi="Arial" w:cs="Arial"/>
          <w:b/>
          <w:szCs w:val="28"/>
        </w:rPr>
        <w:t>Recycling of all Waste Types</w:t>
      </w:r>
      <w:bookmarkEnd w:id="20"/>
      <w:bookmarkEnd w:id="21"/>
    </w:p>
    <w:p w14:paraId="6D9566DE" w14:textId="77777777" w:rsidR="00030089" w:rsidRDefault="00030089" w:rsidP="00030089">
      <w:pPr>
        <w:spacing w:line="360" w:lineRule="auto"/>
        <w:jc w:val="both"/>
        <w:rPr>
          <w:rFonts w:ascii="Arial" w:hAnsi="Arial" w:cs="Arial"/>
          <w:szCs w:val="28"/>
        </w:rPr>
      </w:pPr>
      <w:r w:rsidRPr="00C67089">
        <w:rPr>
          <w:rFonts w:ascii="Arial" w:hAnsi="Arial" w:cs="Arial"/>
          <w:szCs w:val="28"/>
        </w:rPr>
        <w:t xml:space="preserve">The </w:t>
      </w:r>
      <w:r w:rsidRPr="00C67089">
        <w:rPr>
          <w:rFonts w:ascii="Arial" w:hAnsi="Arial" w:cs="Arial"/>
          <w:i/>
          <w:szCs w:val="28"/>
        </w:rPr>
        <w:t>National Waste Report 2010</w:t>
      </w:r>
      <w:r w:rsidRPr="00C67089">
        <w:rPr>
          <w:rFonts w:ascii="Arial" w:hAnsi="Arial" w:cs="Arial"/>
          <w:szCs w:val="28"/>
        </w:rPr>
        <w:t xml:space="preserve"> provides the most recent data for NT and national recovery and recycling </w:t>
      </w:r>
      <w:r w:rsidRPr="005307DF">
        <w:rPr>
          <w:rFonts w:ascii="Arial" w:hAnsi="Arial" w:cs="Arial"/>
          <w:szCs w:val="28"/>
        </w:rPr>
        <w:t>rates for all waste types</w:t>
      </w:r>
      <w:r w:rsidRPr="00C67089">
        <w:rPr>
          <w:rFonts w:ascii="Arial" w:hAnsi="Arial" w:cs="Arial"/>
          <w:szCs w:val="28"/>
        </w:rPr>
        <w:t xml:space="preserve"> for 2006-7. It shows the NT to have had a particularly low diversion rate compared to other jurisdictions and to national figures </w:t>
      </w:r>
      <w:r w:rsidRPr="00C67089">
        <w:rPr>
          <w:rFonts w:ascii="Arial" w:hAnsi="Arial" w:cs="Arial"/>
          <w:szCs w:val="28"/>
        </w:rPr>
        <w:lastRenderedPageBreak/>
        <w:t xml:space="preserve">prior to the introduction of the NT CDS. Table </w:t>
      </w:r>
      <w:r>
        <w:rPr>
          <w:rFonts w:ascii="Arial" w:hAnsi="Arial" w:cs="Arial"/>
          <w:szCs w:val="28"/>
        </w:rPr>
        <w:t>1.1</w:t>
      </w:r>
      <w:r w:rsidRPr="00C67089">
        <w:rPr>
          <w:rFonts w:ascii="Arial" w:hAnsi="Arial" w:cs="Arial"/>
          <w:szCs w:val="28"/>
        </w:rPr>
        <w:t xml:space="preserve"> estimates that for 2006-7 the national diversion rate was </w:t>
      </w:r>
      <w:r>
        <w:rPr>
          <w:rFonts w:ascii="Arial" w:hAnsi="Arial" w:cs="Arial"/>
          <w:szCs w:val="28"/>
        </w:rPr>
        <w:t>48 per cent</w:t>
      </w:r>
      <w:r w:rsidRPr="00C67089">
        <w:rPr>
          <w:rFonts w:ascii="Arial" w:hAnsi="Arial" w:cs="Arial"/>
          <w:szCs w:val="28"/>
        </w:rPr>
        <w:t xml:space="preserve"> while the NT’s was 3.5</w:t>
      </w:r>
      <w:r>
        <w:rPr>
          <w:rFonts w:ascii="Arial" w:hAnsi="Arial" w:cs="Arial"/>
          <w:szCs w:val="28"/>
        </w:rPr>
        <w:t xml:space="preserve"> per cent</w:t>
      </w:r>
      <w:r>
        <w:rPr>
          <w:rStyle w:val="FootnoteReference"/>
          <w:rFonts w:ascii="Arial" w:hAnsi="Arial"/>
          <w:szCs w:val="28"/>
        </w:rPr>
        <w:footnoteReference w:id="4"/>
      </w:r>
      <w:r w:rsidRPr="00C67089">
        <w:rPr>
          <w:rFonts w:ascii="Arial" w:hAnsi="Arial" w:cs="Arial"/>
          <w:szCs w:val="28"/>
        </w:rPr>
        <w:t>.</w:t>
      </w:r>
    </w:p>
    <w:p w14:paraId="7EC37A53"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2" w:name="_Toc353562484"/>
      <w:r w:rsidR="00740026">
        <w:rPr>
          <w:noProof/>
          <w:color w:val="auto"/>
        </w:rPr>
        <w:t>3</w:t>
      </w:r>
      <w:r w:rsidRPr="00682556">
        <w:rPr>
          <w:noProof/>
          <w:color w:val="auto"/>
        </w:rPr>
        <w:fldChar w:fldCharType="end"/>
      </w:r>
      <w:r w:rsidRPr="00682556">
        <w:rPr>
          <w:noProof/>
          <w:color w:val="auto"/>
        </w:rPr>
        <w:t xml:space="preserve"> Table 1.1: Australian kilograms of waste generated, recycled and landfilled per person 2006-7</w:t>
      </w:r>
      <w:bookmarkEnd w:id="22"/>
    </w:p>
    <w:p w14:paraId="2C38B937" w14:textId="20371914" w:rsidR="00030089" w:rsidRDefault="00030089" w:rsidP="00030089">
      <w:pPr>
        <w:spacing w:line="360" w:lineRule="auto"/>
        <w:ind w:left="720"/>
        <w:rPr>
          <w:rFonts w:ascii="Arial" w:hAnsi="Arial" w:cs="Arial"/>
          <w:sz w:val="18"/>
          <w:szCs w:val="20"/>
          <w:u w:val="single"/>
        </w:rPr>
      </w:pPr>
      <w:r>
        <w:rPr>
          <w:rFonts w:asciiTheme="minorHAnsi" w:hAnsiTheme="minorHAnsi"/>
          <w:noProof/>
          <w:sz w:val="22"/>
          <w:lang w:eastAsia="en-AU"/>
        </w:rPr>
        <mc:AlternateContent>
          <mc:Choice Requires="wps">
            <w:drawing>
              <wp:anchor distT="0" distB="0" distL="114300" distR="114300" simplePos="0" relativeHeight="251656192" behindDoc="0" locked="0" layoutInCell="1" allowOverlap="1" wp14:anchorId="51D637A7" wp14:editId="5C998875">
                <wp:simplePos x="0" y="0"/>
                <wp:positionH relativeFrom="column">
                  <wp:posOffset>-92769</wp:posOffset>
                </wp:positionH>
                <wp:positionV relativeFrom="paragraph">
                  <wp:posOffset>27379</wp:posOffset>
                </wp:positionV>
                <wp:extent cx="5954232" cy="2892056"/>
                <wp:effectExtent l="0" t="0" r="889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232" cy="28920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9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275"/>
                              <w:gridCol w:w="1276"/>
                              <w:gridCol w:w="1275"/>
                              <w:gridCol w:w="1276"/>
                              <w:gridCol w:w="1275"/>
                              <w:gridCol w:w="1276"/>
                            </w:tblGrid>
                            <w:tr w:rsidR="00290CD0" w:rsidRPr="00B42B8A" w14:paraId="458ED510" w14:textId="77777777" w:rsidTr="008547F7">
                              <w:trPr>
                                <w:trHeight w:val="686"/>
                              </w:trPr>
                              <w:tc>
                                <w:tcPr>
                                  <w:tcW w:w="1275" w:type="dxa"/>
                                  <w:shd w:val="pct10" w:color="000000" w:fill="FFFFFF" w:themeFill="background1"/>
                                  <w:hideMark/>
                                </w:tcPr>
                                <w:p w14:paraId="5D4C22F2" w14:textId="77777777" w:rsidR="00290CD0" w:rsidRPr="00EB07C5" w:rsidRDefault="00290CD0" w:rsidP="008547F7">
                                  <w:pPr>
                                    <w:spacing w:after="0" w:line="240" w:lineRule="auto"/>
                                    <w:rPr>
                                      <w:rFonts w:ascii="Arial" w:eastAsia="Times New Roman" w:hAnsi="Arial" w:cs="Arial"/>
                                      <w:b/>
                                      <w:color w:val="000000"/>
                                      <w:sz w:val="18"/>
                                      <w:szCs w:val="18"/>
                                    </w:rPr>
                                  </w:pPr>
                                  <w:r w:rsidRPr="00EB07C5">
                                    <w:rPr>
                                      <w:rFonts w:ascii="Arial" w:eastAsia="Times New Roman" w:hAnsi="Arial" w:cs="Arial"/>
                                      <w:b/>
                                      <w:color w:val="000000"/>
                                      <w:sz w:val="18"/>
                                      <w:szCs w:val="18"/>
                                    </w:rPr>
                                    <w:t>Jurisdiction</w:t>
                                  </w:r>
                                </w:p>
                              </w:tc>
                              <w:tc>
                                <w:tcPr>
                                  <w:tcW w:w="1275" w:type="dxa"/>
                                  <w:shd w:val="pct10" w:color="000000" w:fill="FFFFFF" w:themeFill="background1"/>
                                  <w:hideMark/>
                                </w:tcPr>
                                <w:p w14:paraId="4CE57D13" w14:textId="77777777" w:rsidR="00290CD0" w:rsidRPr="00EB07C5" w:rsidRDefault="00290CD0" w:rsidP="008547F7">
                                  <w:pPr>
                                    <w:spacing w:after="0" w:line="240" w:lineRule="auto"/>
                                    <w:jc w:val="right"/>
                                    <w:rPr>
                                      <w:rFonts w:ascii="Arial" w:eastAsia="Times New Roman" w:hAnsi="Arial" w:cs="Arial"/>
                                      <w:b/>
                                      <w:color w:val="000000"/>
                                      <w:sz w:val="18"/>
                                      <w:szCs w:val="18"/>
                                    </w:rPr>
                                  </w:pPr>
                                  <w:r w:rsidRPr="00EB07C5">
                                    <w:rPr>
                                      <w:rFonts w:ascii="Arial" w:eastAsia="Times New Roman" w:hAnsi="Arial" w:cs="Arial"/>
                                      <w:b/>
                                      <w:color w:val="000000"/>
                                      <w:sz w:val="18"/>
                                      <w:szCs w:val="18"/>
                                    </w:rPr>
                                    <w:t>Total Generated      (kg per capita)</w:t>
                                  </w:r>
                                </w:p>
                              </w:tc>
                              <w:tc>
                                <w:tcPr>
                                  <w:tcW w:w="1276" w:type="dxa"/>
                                  <w:shd w:val="pct10" w:color="000000" w:fill="FFFFFF" w:themeFill="background1"/>
                                  <w:hideMark/>
                                </w:tcPr>
                                <w:p w14:paraId="1AFC0F9B" w14:textId="77777777" w:rsidR="00290CD0" w:rsidRPr="00EB07C5" w:rsidRDefault="00290CD0" w:rsidP="008547F7">
                                  <w:pPr>
                                    <w:spacing w:after="0" w:line="240" w:lineRule="auto"/>
                                    <w:jc w:val="right"/>
                                    <w:rPr>
                                      <w:rFonts w:ascii="Arial" w:eastAsia="Times New Roman" w:hAnsi="Arial" w:cs="Arial"/>
                                      <w:b/>
                                      <w:color w:val="000000"/>
                                      <w:sz w:val="18"/>
                                      <w:szCs w:val="18"/>
                                    </w:rPr>
                                  </w:pPr>
                                  <w:r w:rsidRPr="00EB07C5">
                                    <w:rPr>
                                      <w:rFonts w:ascii="Arial" w:eastAsia="Times New Roman" w:hAnsi="Arial" w:cs="Arial"/>
                                      <w:b/>
                                      <w:color w:val="000000"/>
                                      <w:sz w:val="18"/>
                                      <w:szCs w:val="18"/>
                                    </w:rPr>
                                    <w:t>Recycled     (kg per capita)</w:t>
                                  </w:r>
                                </w:p>
                              </w:tc>
                              <w:tc>
                                <w:tcPr>
                                  <w:tcW w:w="1275" w:type="dxa"/>
                                  <w:shd w:val="pct10" w:color="000000" w:fill="FFFFFF" w:themeFill="background1"/>
                                  <w:hideMark/>
                                </w:tcPr>
                                <w:p w14:paraId="52EF6EA5" w14:textId="77777777" w:rsidR="00290CD0" w:rsidRPr="00EB07C5" w:rsidRDefault="00290CD0" w:rsidP="008547F7">
                                  <w:pPr>
                                    <w:spacing w:after="0" w:line="240" w:lineRule="auto"/>
                                    <w:jc w:val="right"/>
                                    <w:rPr>
                                      <w:rFonts w:ascii="Arial" w:eastAsia="Times New Roman" w:hAnsi="Arial" w:cs="Arial"/>
                                      <w:b/>
                                      <w:color w:val="000000"/>
                                      <w:sz w:val="18"/>
                                      <w:szCs w:val="18"/>
                                    </w:rPr>
                                  </w:pPr>
                                  <w:r w:rsidRPr="00EB07C5">
                                    <w:rPr>
                                      <w:rFonts w:ascii="Arial" w:eastAsia="Times New Roman" w:hAnsi="Arial" w:cs="Arial"/>
                                      <w:b/>
                                      <w:color w:val="000000"/>
                                      <w:sz w:val="18"/>
                                      <w:szCs w:val="18"/>
                                    </w:rPr>
                                    <w:t xml:space="preserve"> Disposed     (kg per capita)</w:t>
                                  </w:r>
                                </w:p>
                              </w:tc>
                              <w:tc>
                                <w:tcPr>
                                  <w:tcW w:w="1276" w:type="dxa"/>
                                  <w:shd w:val="pct10" w:color="000000" w:fill="FFFFFF" w:themeFill="background1"/>
                                  <w:hideMark/>
                                </w:tcPr>
                                <w:p w14:paraId="467498C4" w14:textId="77777777" w:rsidR="00290CD0" w:rsidRPr="00EB07C5" w:rsidRDefault="00290CD0" w:rsidP="008547F7">
                                  <w:pPr>
                                    <w:spacing w:after="0" w:line="240" w:lineRule="auto"/>
                                    <w:jc w:val="right"/>
                                    <w:rPr>
                                      <w:rFonts w:ascii="Arial" w:eastAsia="Times New Roman" w:hAnsi="Arial" w:cs="Arial"/>
                                      <w:b/>
                                      <w:color w:val="000000"/>
                                      <w:sz w:val="18"/>
                                      <w:szCs w:val="18"/>
                                    </w:rPr>
                                  </w:pPr>
                                  <w:r w:rsidRPr="00EB07C5">
                                    <w:rPr>
                                      <w:rFonts w:ascii="Arial" w:eastAsia="Times New Roman" w:hAnsi="Arial" w:cs="Arial"/>
                                      <w:b/>
                                      <w:color w:val="000000"/>
                                      <w:sz w:val="18"/>
                                      <w:szCs w:val="18"/>
                                    </w:rPr>
                                    <w:t>Diversion rate (%)</w:t>
                                  </w:r>
                                </w:p>
                              </w:tc>
                              <w:tc>
                                <w:tcPr>
                                  <w:tcW w:w="1275" w:type="dxa"/>
                                  <w:shd w:val="pct10" w:color="000000" w:fill="FFFFFF" w:themeFill="background1"/>
                                  <w:hideMark/>
                                </w:tcPr>
                                <w:p w14:paraId="02157578" w14:textId="77777777" w:rsidR="00290CD0" w:rsidRPr="00EB07C5" w:rsidRDefault="00290CD0" w:rsidP="008547F7">
                                  <w:pPr>
                                    <w:spacing w:after="0" w:line="240" w:lineRule="auto"/>
                                    <w:jc w:val="right"/>
                                    <w:rPr>
                                      <w:rFonts w:ascii="Arial" w:eastAsia="Times New Roman" w:hAnsi="Arial" w:cs="Arial"/>
                                      <w:b/>
                                      <w:color w:val="000000"/>
                                      <w:sz w:val="18"/>
                                      <w:szCs w:val="18"/>
                                    </w:rPr>
                                  </w:pPr>
                                  <w:r w:rsidRPr="00EB07C5">
                                    <w:rPr>
                                      <w:rFonts w:ascii="Arial" w:eastAsia="Times New Roman" w:hAnsi="Arial" w:cs="Arial"/>
                                      <w:b/>
                                      <w:color w:val="000000"/>
                                      <w:sz w:val="18"/>
                                      <w:szCs w:val="18"/>
                                    </w:rPr>
                                    <w:t>Population</w:t>
                                  </w:r>
                                </w:p>
                              </w:tc>
                              <w:tc>
                                <w:tcPr>
                                  <w:tcW w:w="1276" w:type="dxa"/>
                                  <w:shd w:val="pct10" w:color="000000" w:fill="FFFFFF" w:themeFill="background1"/>
                                  <w:hideMark/>
                                </w:tcPr>
                                <w:p w14:paraId="0C481D0B" w14:textId="77777777" w:rsidR="00290CD0" w:rsidRPr="00EB07C5" w:rsidRDefault="00290CD0" w:rsidP="008547F7">
                                  <w:pPr>
                                    <w:spacing w:after="0" w:line="240" w:lineRule="auto"/>
                                    <w:jc w:val="right"/>
                                    <w:rPr>
                                      <w:rFonts w:ascii="Arial" w:eastAsia="Times New Roman" w:hAnsi="Arial" w:cs="Arial"/>
                                      <w:b/>
                                      <w:color w:val="000000"/>
                                      <w:sz w:val="18"/>
                                      <w:szCs w:val="18"/>
                                    </w:rPr>
                                  </w:pPr>
                                  <w:r w:rsidRPr="00EB07C5">
                                    <w:rPr>
                                      <w:rFonts w:ascii="Arial" w:eastAsia="Times New Roman" w:hAnsi="Arial" w:cs="Arial"/>
                                      <w:b/>
                                      <w:color w:val="000000"/>
                                      <w:sz w:val="18"/>
                                      <w:szCs w:val="18"/>
                                    </w:rPr>
                                    <w:t xml:space="preserve">% of total population </w:t>
                                  </w:r>
                                </w:p>
                              </w:tc>
                            </w:tr>
                            <w:tr w:rsidR="00290CD0" w:rsidRPr="00B42B8A" w14:paraId="325C3E6E" w14:textId="77777777" w:rsidTr="008547F7">
                              <w:trPr>
                                <w:trHeight w:val="296"/>
                              </w:trPr>
                              <w:tc>
                                <w:tcPr>
                                  <w:tcW w:w="1275" w:type="dxa"/>
                                  <w:shd w:val="clear" w:color="auto" w:fill="auto"/>
                                  <w:noWrap/>
                                  <w:hideMark/>
                                </w:tcPr>
                                <w:p w14:paraId="13909BC6" w14:textId="77777777" w:rsidR="00290CD0" w:rsidRPr="008B6DFF" w:rsidRDefault="00290CD0" w:rsidP="008547F7">
                                  <w:pPr>
                                    <w:spacing w:after="0" w:line="240" w:lineRule="auto"/>
                                    <w:rPr>
                                      <w:rFonts w:ascii="Arial" w:eastAsia="Times New Roman" w:hAnsi="Arial" w:cs="Arial"/>
                                      <w:color w:val="000000"/>
                                      <w:sz w:val="18"/>
                                      <w:szCs w:val="18"/>
                                    </w:rPr>
                                  </w:pPr>
                                  <w:r w:rsidRPr="008B6DFF">
                                    <w:rPr>
                                      <w:rFonts w:ascii="Arial" w:eastAsia="Times New Roman" w:hAnsi="Arial" w:cs="Arial"/>
                                      <w:color w:val="000000"/>
                                      <w:sz w:val="18"/>
                                      <w:szCs w:val="18"/>
                                    </w:rPr>
                                    <w:t>NSW</w:t>
                                  </w:r>
                                </w:p>
                              </w:tc>
                              <w:tc>
                                <w:tcPr>
                                  <w:tcW w:w="1275" w:type="dxa"/>
                                  <w:shd w:val="clear" w:color="auto" w:fill="auto"/>
                                  <w:noWrap/>
                                  <w:hideMark/>
                                </w:tcPr>
                                <w:p w14:paraId="2DB4C4BC"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2230</w:t>
                                  </w:r>
                                </w:p>
                              </w:tc>
                              <w:tc>
                                <w:tcPr>
                                  <w:tcW w:w="1276" w:type="dxa"/>
                                  <w:shd w:val="clear" w:color="auto" w:fill="auto"/>
                                  <w:noWrap/>
                                  <w:hideMark/>
                                </w:tcPr>
                                <w:p w14:paraId="0AEC36EB"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1160</w:t>
                                  </w:r>
                                </w:p>
                              </w:tc>
                              <w:tc>
                                <w:tcPr>
                                  <w:tcW w:w="1275" w:type="dxa"/>
                                  <w:shd w:val="clear" w:color="auto" w:fill="auto"/>
                                  <w:noWrap/>
                                  <w:hideMark/>
                                </w:tcPr>
                                <w:p w14:paraId="230387F3"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1070</w:t>
                                  </w:r>
                                </w:p>
                              </w:tc>
                              <w:tc>
                                <w:tcPr>
                                  <w:tcW w:w="1276" w:type="dxa"/>
                                  <w:shd w:val="clear" w:color="auto" w:fill="auto"/>
                                  <w:noWrap/>
                                  <w:hideMark/>
                                </w:tcPr>
                                <w:p w14:paraId="5983400E"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52</w:t>
                                  </w:r>
                                </w:p>
                              </w:tc>
                              <w:tc>
                                <w:tcPr>
                                  <w:tcW w:w="1275" w:type="dxa"/>
                                  <w:shd w:val="clear" w:color="auto" w:fill="auto"/>
                                  <w:noWrap/>
                                  <w:hideMark/>
                                </w:tcPr>
                                <w:p w14:paraId="1B3D3D91"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6 888 000</w:t>
                                  </w:r>
                                </w:p>
                              </w:tc>
                              <w:tc>
                                <w:tcPr>
                                  <w:tcW w:w="1276" w:type="dxa"/>
                                  <w:shd w:val="clear" w:color="auto" w:fill="auto"/>
                                  <w:noWrap/>
                                  <w:hideMark/>
                                </w:tcPr>
                                <w:p w14:paraId="176FAD68"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37</w:t>
                                  </w:r>
                                </w:p>
                              </w:tc>
                            </w:tr>
                            <w:tr w:rsidR="00290CD0" w:rsidRPr="00B42B8A" w14:paraId="0993D41F" w14:textId="77777777" w:rsidTr="008547F7">
                              <w:trPr>
                                <w:trHeight w:val="296"/>
                              </w:trPr>
                              <w:tc>
                                <w:tcPr>
                                  <w:tcW w:w="1275" w:type="dxa"/>
                                  <w:shd w:val="clear" w:color="auto" w:fill="auto"/>
                                  <w:noWrap/>
                                  <w:hideMark/>
                                </w:tcPr>
                                <w:p w14:paraId="17D3DF06" w14:textId="77777777" w:rsidR="00290CD0" w:rsidRPr="008B6DFF" w:rsidRDefault="00290CD0" w:rsidP="008547F7">
                                  <w:pPr>
                                    <w:spacing w:after="0" w:line="240" w:lineRule="auto"/>
                                    <w:rPr>
                                      <w:rFonts w:ascii="Arial" w:eastAsia="Times New Roman" w:hAnsi="Arial" w:cs="Arial"/>
                                      <w:color w:val="000000"/>
                                      <w:sz w:val="18"/>
                                      <w:szCs w:val="18"/>
                                    </w:rPr>
                                  </w:pPr>
                                  <w:r w:rsidRPr="008B6DFF">
                                    <w:rPr>
                                      <w:rFonts w:ascii="Arial" w:eastAsia="Times New Roman" w:hAnsi="Arial" w:cs="Arial"/>
                                      <w:color w:val="000000"/>
                                      <w:sz w:val="18"/>
                                      <w:szCs w:val="18"/>
                                    </w:rPr>
                                    <w:t>Vic</w:t>
                                  </w:r>
                                </w:p>
                              </w:tc>
                              <w:tc>
                                <w:tcPr>
                                  <w:tcW w:w="1275" w:type="dxa"/>
                                  <w:shd w:val="clear" w:color="auto" w:fill="auto"/>
                                  <w:noWrap/>
                                  <w:hideMark/>
                                </w:tcPr>
                                <w:p w14:paraId="361FB396"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1980</w:t>
                                  </w:r>
                                </w:p>
                              </w:tc>
                              <w:tc>
                                <w:tcPr>
                                  <w:tcW w:w="1276" w:type="dxa"/>
                                  <w:shd w:val="clear" w:color="auto" w:fill="auto"/>
                                  <w:noWrap/>
                                  <w:hideMark/>
                                </w:tcPr>
                                <w:p w14:paraId="79394320"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1220</w:t>
                                  </w:r>
                                </w:p>
                              </w:tc>
                              <w:tc>
                                <w:tcPr>
                                  <w:tcW w:w="1275" w:type="dxa"/>
                                  <w:shd w:val="clear" w:color="auto" w:fill="auto"/>
                                  <w:noWrap/>
                                  <w:hideMark/>
                                </w:tcPr>
                                <w:p w14:paraId="24D12753"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750</w:t>
                                  </w:r>
                                </w:p>
                              </w:tc>
                              <w:tc>
                                <w:tcPr>
                                  <w:tcW w:w="1276" w:type="dxa"/>
                                  <w:shd w:val="clear" w:color="auto" w:fill="auto"/>
                                  <w:noWrap/>
                                  <w:hideMark/>
                                </w:tcPr>
                                <w:p w14:paraId="06DE6902"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62</w:t>
                                  </w:r>
                                </w:p>
                              </w:tc>
                              <w:tc>
                                <w:tcPr>
                                  <w:tcW w:w="1275" w:type="dxa"/>
                                  <w:shd w:val="clear" w:color="auto" w:fill="auto"/>
                                  <w:noWrap/>
                                  <w:hideMark/>
                                </w:tcPr>
                                <w:p w14:paraId="1D6F1AA4"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5 205 000</w:t>
                                  </w:r>
                                </w:p>
                              </w:tc>
                              <w:tc>
                                <w:tcPr>
                                  <w:tcW w:w="1276" w:type="dxa"/>
                                  <w:shd w:val="clear" w:color="auto" w:fill="auto"/>
                                  <w:noWrap/>
                                  <w:hideMark/>
                                </w:tcPr>
                                <w:p w14:paraId="4A5DBFCC"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28</w:t>
                                  </w:r>
                                </w:p>
                              </w:tc>
                            </w:tr>
                            <w:tr w:rsidR="00290CD0" w:rsidRPr="00B42B8A" w14:paraId="1B21E34D" w14:textId="77777777" w:rsidTr="008547F7">
                              <w:trPr>
                                <w:trHeight w:val="296"/>
                              </w:trPr>
                              <w:tc>
                                <w:tcPr>
                                  <w:tcW w:w="1275" w:type="dxa"/>
                                  <w:shd w:val="clear" w:color="auto" w:fill="auto"/>
                                  <w:noWrap/>
                                  <w:hideMark/>
                                </w:tcPr>
                                <w:p w14:paraId="073D6908" w14:textId="77777777" w:rsidR="00290CD0" w:rsidRPr="008B6DFF" w:rsidRDefault="00290CD0" w:rsidP="008547F7">
                                  <w:pPr>
                                    <w:spacing w:after="0" w:line="240" w:lineRule="auto"/>
                                    <w:rPr>
                                      <w:rFonts w:ascii="Arial" w:eastAsia="Times New Roman" w:hAnsi="Arial" w:cs="Arial"/>
                                      <w:color w:val="000000"/>
                                      <w:sz w:val="18"/>
                                      <w:szCs w:val="18"/>
                                    </w:rPr>
                                  </w:pPr>
                                  <w:r w:rsidRPr="008B6DFF">
                                    <w:rPr>
                                      <w:rFonts w:ascii="Arial" w:eastAsia="Times New Roman" w:hAnsi="Arial" w:cs="Arial"/>
                                      <w:color w:val="000000"/>
                                      <w:sz w:val="18"/>
                                      <w:szCs w:val="18"/>
                                    </w:rPr>
                                    <w:t>Qld</w:t>
                                  </w:r>
                                </w:p>
                              </w:tc>
                              <w:tc>
                                <w:tcPr>
                                  <w:tcW w:w="1275" w:type="dxa"/>
                                  <w:shd w:val="clear" w:color="auto" w:fill="auto"/>
                                  <w:noWrap/>
                                  <w:hideMark/>
                                </w:tcPr>
                                <w:p w14:paraId="59F2FB1F"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1930</w:t>
                                  </w:r>
                                </w:p>
                              </w:tc>
                              <w:tc>
                                <w:tcPr>
                                  <w:tcW w:w="1276" w:type="dxa"/>
                                  <w:shd w:val="clear" w:color="auto" w:fill="auto"/>
                                  <w:noWrap/>
                                  <w:hideMark/>
                                </w:tcPr>
                                <w:p w14:paraId="5998BC56"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900</w:t>
                                  </w:r>
                                </w:p>
                              </w:tc>
                              <w:tc>
                                <w:tcPr>
                                  <w:tcW w:w="1275" w:type="dxa"/>
                                  <w:shd w:val="clear" w:color="auto" w:fill="auto"/>
                                  <w:noWrap/>
                                  <w:hideMark/>
                                </w:tcPr>
                                <w:p w14:paraId="537E148B"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1030</w:t>
                                  </w:r>
                                </w:p>
                              </w:tc>
                              <w:tc>
                                <w:tcPr>
                                  <w:tcW w:w="1276" w:type="dxa"/>
                                  <w:shd w:val="clear" w:color="auto" w:fill="auto"/>
                                  <w:noWrap/>
                                  <w:hideMark/>
                                </w:tcPr>
                                <w:p w14:paraId="26E70884"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47</w:t>
                                  </w:r>
                                </w:p>
                              </w:tc>
                              <w:tc>
                                <w:tcPr>
                                  <w:tcW w:w="1275" w:type="dxa"/>
                                  <w:shd w:val="clear" w:color="auto" w:fill="auto"/>
                                  <w:noWrap/>
                                  <w:hideMark/>
                                </w:tcPr>
                                <w:p w14:paraId="083E78A3"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4 181 000</w:t>
                                  </w:r>
                                </w:p>
                              </w:tc>
                              <w:tc>
                                <w:tcPr>
                                  <w:tcW w:w="1276" w:type="dxa"/>
                                  <w:shd w:val="clear" w:color="auto" w:fill="auto"/>
                                  <w:noWrap/>
                                  <w:hideMark/>
                                </w:tcPr>
                                <w:p w14:paraId="5FA6C008"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20</w:t>
                                  </w:r>
                                </w:p>
                              </w:tc>
                            </w:tr>
                            <w:tr w:rsidR="00290CD0" w:rsidRPr="00B42B8A" w14:paraId="77AEE1B0" w14:textId="77777777" w:rsidTr="008547F7">
                              <w:trPr>
                                <w:trHeight w:val="296"/>
                              </w:trPr>
                              <w:tc>
                                <w:tcPr>
                                  <w:tcW w:w="1275" w:type="dxa"/>
                                  <w:shd w:val="clear" w:color="auto" w:fill="auto"/>
                                  <w:noWrap/>
                                  <w:hideMark/>
                                </w:tcPr>
                                <w:p w14:paraId="7E19C621" w14:textId="77777777" w:rsidR="00290CD0" w:rsidRPr="008B6DFF" w:rsidRDefault="00290CD0" w:rsidP="008547F7">
                                  <w:pPr>
                                    <w:spacing w:after="0" w:line="240" w:lineRule="auto"/>
                                    <w:rPr>
                                      <w:rFonts w:ascii="Arial" w:eastAsia="Times New Roman" w:hAnsi="Arial" w:cs="Arial"/>
                                      <w:color w:val="000000"/>
                                      <w:sz w:val="18"/>
                                      <w:szCs w:val="18"/>
                                    </w:rPr>
                                  </w:pPr>
                                  <w:r w:rsidRPr="008B6DFF">
                                    <w:rPr>
                                      <w:rFonts w:ascii="Arial" w:eastAsia="Times New Roman" w:hAnsi="Arial" w:cs="Arial"/>
                                      <w:color w:val="000000"/>
                                      <w:sz w:val="18"/>
                                      <w:szCs w:val="18"/>
                                    </w:rPr>
                                    <w:t>WA</w:t>
                                  </w:r>
                                </w:p>
                              </w:tc>
                              <w:tc>
                                <w:tcPr>
                                  <w:tcW w:w="1275" w:type="dxa"/>
                                  <w:shd w:val="clear" w:color="auto" w:fill="auto"/>
                                  <w:noWrap/>
                                  <w:hideMark/>
                                </w:tcPr>
                                <w:p w14:paraId="3DD2D2EE"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2490</w:t>
                                  </w:r>
                                </w:p>
                              </w:tc>
                              <w:tc>
                                <w:tcPr>
                                  <w:tcW w:w="1276" w:type="dxa"/>
                                  <w:shd w:val="clear" w:color="auto" w:fill="auto"/>
                                  <w:noWrap/>
                                  <w:hideMark/>
                                </w:tcPr>
                                <w:p w14:paraId="5BF2C05D"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810</w:t>
                                  </w:r>
                                </w:p>
                              </w:tc>
                              <w:tc>
                                <w:tcPr>
                                  <w:tcW w:w="1275" w:type="dxa"/>
                                  <w:shd w:val="clear" w:color="auto" w:fill="auto"/>
                                  <w:noWrap/>
                                  <w:hideMark/>
                                </w:tcPr>
                                <w:p w14:paraId="0ACA89B4"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1680</w:t>
                                  </w:r>
                                </w:p>
                              </w:tc>
                              <w:tc>
                                <w:tcPr>
                                  <w:tcW w:w="1276" w:type="dxa"/>
                                  <w:shd w:val="clear" w:color="auto" w:fill="auto"/>
                                  <w:noWrap/>
                                  <w:hideMark/>
                                </w:tcPr>
                                <w:p w14:paraId="171170AC"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33</w:t>
                                  </w:r>
                                </w:p>
                              </w:tc>
                              <w:tc>
                                <w:tcPr>
                                  <w:tcW w:w="1275" w:type="dxa"/>
                                  <w:shd w:val="clear" w:color="auto" w:fill="auto"/>
                                  <w:noWrap/>
                                  <w:hideMark/>
                                </w:tcPr>
                                <w:p w14:paraId="131C2564"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2 106 000</w:t>
                                  </w:r>
                                </w:p>
                              </w:tc>
                              <w:tc>
                                <w:tcPr>
                                  <w:tcW w:w="1276" w:type="dxa"/>
                                  <w:shd w:val="clear" w:color="auto" w:fill="auto"/>
                                  <w:noWrap/>
                                  <w:hideMark/>
                                </w:tcPr>
                                <w:p w14:paraId="39D33BEE"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10</w:t>
                                  </w:r>
                                </w:p>
                              </w:tc>
                            </w:tr>
                            <w:tr w:rsidR="00290CD0" w:rsidRPr="00B42B8A" w14:paraId="5A39DDB7" w14:textId="77777777" w:rsidTr="008547F7">
                              <w:trPr>
                                <w:trHeight w:val="296"/>
                              </w:trPr>
                              <w:tc>
                                <w:tcPr>
                                  <w:tcW w:w="1275" w:type="dxa"/>
                                  <w:shd w:val="clear" w:color="auto" w:fill="auto"/>
                                  <w:noWrap/>
                                  <w:hideMark/>
                                </w:tcPr>
                                <w:p w14:paraId="0B15210A" w14:textId="77777777" w:rsidR="00290CD0" w:rsidRPr="008B6DFF" w:rsidRDefault="00290CD0" w:rsidP="008547F7">
                                  <w:pPr>
                                    <w:spacing w:after="0" w:line="240" w:lineRule="auto"/>
                                    <w:rPr>
                                      <w:rFonts w:ascii="Arial" w:eastAsia="Times New Roman" w:hAnsi="Arial" w:cs="Arial"/>
                                      <w:color w:val="000000"/>
                                      <w:sz w:val="18"/>
                                      <w:szCs w:val="18"/>
                                    </w:rPr>
                                  </w:pPr>
                                  <w:r w:rsidRPr="008B6DFF">
                                    <w:rPr>
                                      <w:rFonts w:ascii="Arial" w:eastAsia="Times New Roman" w:hAnsi="Arial" w:cs="Arial"/>
                                      <w:color w:val="000000"/>
                                      <w:sz w:val="18"/>
                                      <w:szCs w:val="18"/>
                                    </w:rPr>
                                    <w:t>SA</w:t>
                                  </w:r>
                                </w:p>
                              </w:tc>
                              <w:tc>
                                <w:tcPr>
                                  <w:tcW w:w="1275" w:type="dxa"/>
                                  <w:shd w:val="clear" w:color="auto" w:fill="auto"/>
                                  <w:noWrap/>
                                  <w:hideMark/>
                                </w:tcPr>
                                <w:p w14:paraId="44A1391A"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2090</w:t>
                                  </w:r>
                                </w:p>
                              </w:tc>
                              <w:tc>
                                <w:tcPr>
                                  <w:tcW w:w="1276" w:type="dxa"/>
                                  <w:shd w:val="clear" w:color="auto" w:fill="auto"/>
                                  <w:noWrap/>
                                  <w:hideMark/>
                                </w:tcPr>
                                <w:p w14:paraId="78186452"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1370</w:t>
                                  </w:r>
                                </w:p>
                              </w:tc>
                              <w:tc>
                                <w:tcPr>
                                  <w:tcW w:w="1275" w:type="dxa"/>
                                  <w:shd w:val="clear" w:color="auto" w:fill="auto"/>
                                  <w:noWrap/>
                                  <w:hideMark/>
                                </w:tcPr>
                                <w:p w14:paraId="5ACDA1BD"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720</w:t>
                                  </w:r>
                                </w:p>
                              </w:tc>
                              <w:tc>
                                <w:tcPr>
                                  <w:tcW w:w="1276" w:type="dxa"/>
                                  <w:shd w:val="clear" w:color="auto" w:fill="auto"/>
                                  <w:noWrap/>
                                  <w:hideMark/>
                                </w:tcPr>
                                <w:p w14:paraId="1DC2A48E"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66</w:t>
                                  </w:r>
                                </w:p>
                              </w:tc>
                              <w:tc>
                                <w:tcPr>
                                  <w:tcW w:w="1275" w:type="dxa"/>
                                  <w:shd w:val="clear" w:color="auto" w:fill="auto"/>
                                  <w:noWrap/>
                                  <w:hideMark/>
                                </w:tcPr>
                                <w:p w14:paraId="4F2FADB5"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1 584 000</w:t>
                                  </w:r>
                                </w:p>
                              </w:tc>
                              <w:tc>
                                <w:tcPr>
                                  <w:tcW w:w="1276" w:type="dxa"/>
                                  <w:shd w:val="clear" w:color="auto" w:fill="auto"/>
                                  <w:noWrap/>
                                  <w:hideMark/>
                                </w:tcPr>
                                <w:p w14:paraId="7327D596"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8</w:t>
                                  </w:r>
                                </w:p>
                              </w:tc>
                            </w:tr>
                            <w:tr w:rsidR="00290CD0" w:rsidRPr="00B42B8A" w14:paraId="7E7A5BFB" w14:textId="77777777" w:rsidTr="008547F7">
                              <w:trPr>
                                <w:trHeight w:val="296"/>
                              </w:trPr>
                              <w:tc>
                                <w:tcPr>
                                  <w:tcW w:w="1275" w:type="dxa"/>
                                  <w:shd w:val="clear" w:color="auto" w:fill="auto"/>
                                  <w:noWrap/>
                                  <w:hideMark/>
                                </w:tcPr>
                                <w:p w14:paraId="78FBA9D7" w14:textId="77777777" w:rsidR="00290CD0" w:rsidRPr="008B6DFF" w:rsidRDefault="00290CD0" w:rsidP="008547F7">
                                  <w:pPr>
                                    <w:spacing w:after="0" w:line="240" w:lineRule="auto"/>
                                    <w:rPr>
                                      <w:rFonts w:ascii="Arial" w:eastAsia="Times New Roman" w:hAnsi="Arial" w:cs="Arial"/>
                                      <w:color w:val="000000"/>
                                      <w:sz w:val="18"/>
                                      <w:szCs w:val="18"/>
                                    </w:rPr>
                                  </w:pPr>
                                  <w:r w:rsidRPr="008B6DFF">
                                    <w:rPr>
                                      <w:rFonts w:ascii="Arial" w:eastAsia="Times New Roman" w:hAnsi="Arial" w:cs="Arial"/>
                                      <w:color w:val="000000"/>
                                      <w:sz w:val="18"/>
                                      <w:szCs w:val="18"/>
                                    </w:rPr>
                                    <w:t>ACT</w:t>
                                  </w:r>
                                </w:p>
                              </w:tc>
                              <w:tc>
                                <w:tcPr>
                                  <w:tcW w:w="1275" w:type="dxa"/>
                                  <w:shd w:val="clear" w:color="auto" w:fill="auto"/>
                                  <w:noWrap/>
                                  <w:hideMark/>
                                </w:tcPr>
                                <w:p w14:paraId="69AFA0AD"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2310</w:t>
                                  </w:r>
                                </w:p>
                              </w:tc>
                              <w:tc>
                                <w:tcPr>
                                  <w:tcW w:w="1276" w:type="dxa"/>
                                  <w:shd w:val="clear" w:color="auto" w:fill="auto"/>
                                  <w:noWrap/>
                                  <w:hideMark/>
                                </w:tcPr>
                                <w:p w14:paraId="11B40B8E"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1730</w:t>
                                  </w:r>
                                </w:p>
                              </w:tc>
                              <w:tc>
                                <w:tcPr>
                                  <w:tcW w:w="1275" w:type="dxa"/>
                                  <w:shd w:val="clear" w:color="auto" w:fill="auto"/>
                                  <w:noWrap/>
                                  <w:hideMark/>
                                </w:tcPr>
                                <w:p w14:paraId="432BFFFB"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580</w:t>
                                  </w:r>
                                </w:p>
                              </w:tc>
                              <w:tc>
                                <w:tcPr>
                                  <w:tcW w:w="1276" w:type="dxa"/>
                                  <w:shd w:val="clear" w:color="auto" w:fill="auto"/>
                                  <w:noWrap/>
                                  <w:hideMark/>
                                </w:tcPr>
                                <w:p w14:paraId="0A081F45"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75</w:t>
                                  </w:r>
                                </w:p>
                              </w:tc>
                              <w:tc>
                                <w:tcPr>
                                  <w:tcW w:w="1275" w:type="dxa"/>
                                  <w:shd w:val="clear" w:color="auto" w:fill="auto"/>
                                  <w:noWrap/>
                                  <w:hideMark/>
                                </w:tcPr>
                                <w:p w14:paraId="74A460CC"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340 000</w:t>
                                  </w:r>
                                </w:p>
                              </w:tc>
                              <w:tc>
                                <w:tcPr>
                                  <w:tcW w:w="1276" w:type="dxa"/>
                                  <w:shd w:val="clear" w:color="auto" w:fill="auto"/>
                                  <w:noWrap/>
                                  <w:hideMark/>
                                </w:tcPr>
                                <w:p w14:paraId="61225DEE"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w:t>
                                  </w:r>
                                </w:p>
                              </w:tc>
                            </w:tr>
                            <w:tr w:rsidR="00290CD0" w:rsidRPr="00B42B8A" w14:paraId="04134A3A" w14:textId="77777777" w:rsidTr="008547F7">
                              <w:trPr>
                                <w:trHeight w:val="296"/>
                              </w:trPr>
                              <w:tc>
                                <w:tcPr>
                                  <w:tcW w:w="1275" w:type="dxa"/>
                                  <w:shd w:val="clear" w:color="auto" w:fill="auto"/>
                                  <w:noWrap/>
                                  <w:hideMark/>
                                </w:tcPr>
                                <w:p w14:paraId="3727BB4C" w14:textId="77777777" w:rsidR="00290CD0" w:rsidRPr="008B6DFF" w:rsidRDefault="00290CD0" w:rsidP="008547F7">
                                  <w:pPr>
                                    <w:spacing w:after="0" w:line="240" w:lineRule="auto"/>
                                    <w:rPr>
                                      <w:rFonts w:ascii="Arial" w:eastAsia="Times New Roman" w:hAnsi="Arial" w:cs="Arial"/>
                                      <w:color w:val="000000"/>
                                      <w:sz w:val="18"/>
                                      <w:szCs w:val="18"/>
                                    </w:rPr>
                                  </w:pPr>
                                  <w:r w:rsidRPr="008B6DFF">
                                    <w:rPr>
                                      <w:rFonts w:ascii="Arial" w:eastAsia="Times New Roman" w:hAnsi="Arial" w:cs="Arial"/>
                                      <w:color w:val="000000"/>
                                      <w:sz w:val="18"/>
                                      <w:szCs w:val="18"/>
                                    </w:rPr>
                                    <w:t>NT</w:t>
                                  </w:r>
                                </w:p>
                              </w:tc>
                              <w:tc>
                                <w:tcPr>
                                  <w:tcW w:w="1275" w:type="dxa"/>
                                  <w:shd w:val="clear" w:color="auto" w:fill="auto"/>
                                  <w:noWrap/>
                                  <w:hideMark/>
                                </w:tcPr>
                                <w:p w14:paraId="0A4929E8"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1740</w:t>
                                  </w:r>
                                </w:p>
                              </w:tc>
                              <w:tc>
                                <w:tcPr>
                                  <w:tcW w:w="1276" w:type="dxa"/>
                                  <w:shd w:val="clear" w:color="auto" w:fill="auto"/>
                                  <w:noWrap/>
                                  <w:hideMark/>
                                </w:tcPr>
                                <w:p w14:paraId="33D94DD9"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60</w:t>
                                  </w:r>
                                </w:p>
                              </w:tc>
                              <w:tc>
                                <w:tcPr>
                                  <w:tcW w:w="1275" w:type="dxa"/>
                                  <w:shd w:val="clear" w:color="auto" w:fill="auto"/>
                                  <w:noWrap/>
                                  <w:hideMark/>
                                </w:tcPr>
                                <w:p w14:paraId="328C49E3"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1680</w:t>
                                  </w:r>
                                </w:p>
                              </w:tc>
                              <w:tc>
                                <w:tcPr>
                                  <w:tcW w:w="1276" w:type="dxa"/>
                                  <w:shd w:val="clear" w:color="auto" w:fill="auto"/>
                                  <w:noWrap/>
                                  <w:hideMark/>
                                </w:tcPr>
                                <w:p w14:paraId="4AFB4AF4"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3.5</w:t>
                                  </w:r>
                                </w:p>
                              </w:tc>
                              <w:tc>
                                <w:tcPr>
                                  <w:tcW w:w="1275" w:type="dxa"/>
                                  <w:shd w:val="clear" w:color="auto" w:fill="auto"/>
                                  <w:noWrap/>
                                  <w:hideMark/>
                                </w:tcPr>
                                <w:p w14:paraId="2577430A"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215 000</w:t>
                                  </w:r>
                                </w:p>
                              </w:tc>
                              <w:tc>
                                <w:tcPr>
                                  <w:tcW w:w="1276" w:type="dxa"/>
                                  <w:shd w:val="clear" w:color="auto" w:fill="auto"/>
                                  <w:noWrap/>
                                  <w:hideMark/>
                                </w:tcPr>
                                <w:p w14:paraId="6B53ACA6"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w:t>
                                  </w:r>
                                </w:p>
                              </w:tc>
                            </w:tr>
                            <w:tr w:rsidR="00290CD0" w:rsidRPr="00B42B8A" w14:paraId="3C42B254" w14:textId="77777777" w:rsidTr="008547F7">
                              <w:trPr>
                                <w:trHeight w:val="311"/>
                              </w:trPr>
                              <w:tc>
                                <w:tcPr>
                                  <w:tcW w:w="1275" w:type="dxa"/>
                                  <w:shd w:val="clear" w:color="auto" w:fill="auto"/>
                                  <w:hideMark/>
                                </w:tcPr>
                                <w:p w14:paraId="73135887" w14:textId="77777777" w:rsidR="00290CD0" w:rsidRPr="008B6DFF" w:rsidRDefault="00290CD0" w:rsidP="008547F7">
                                  <w:pPr>
                                    <w:spacing w:after="0" w:line="240" w:lineRule="auto"/>
                                    <w:rPr>
                                      <w:rFonts w:ascii="Arial" w:eastAsia="Times New Roman" w:hAnsi="Arial" w:cs="Arial"/>
                                      <w:color w:val="000000"/>
                                      <w:sz w:val="18"/>
                                      <w:szCs w:val="18"/>
                                    </w:rPr>
                                  </w:pPr>
                                  <w:r w:rsidRPr="008B6DFF">
                                    <w:rPr>
                                      <w:rFonts w:ascii="Arial" w:eastAsia="Times New Roman" w:hAnsi="Arial" w:cs="Arial"/>
                                      <w:color w:val="000000"/>
                                      <w:sz w:val="18"/>
                                      <w:szCs w:val="18"/>
                                    </w:rPr>
                                    <w:t>Tas</w:t>
                                  </w:r>
                                </w:p>
                              </w:tc>
                              <w:tc>
                                <w:tcPr>
                                  <w:tcW w:w="1275" w:type="dxa"/>
                                  <w:shd w:val="clear" w:color="auto" w:fill="auto"/>
                                  <w:hideMark/>
                                </w:tcPr>
                                <w:p w14:paraId="48381B7E" w14:textId="77777777" w:rsidR="00290CD0" w:rsidRPr="0056506B" w:rsidRDefault="00290CD0" w:rsidP="008547F7">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NA</w:t>
                                  </w:r>
                                </w:p>
                              </w:tc>
                              <w:tc>
                                <w:tcPr>
                                  <w:tcW w:w="1276" w:type="dxa"/>
                                  <w:shd w:val="clear" w:color="auto" w:fill="auto"/>
                                  <w:hideMark/>
                                </w:tcPr>
                                <w:p w14:paraId="2B83928E" w14:textId="77777777" w:rsidR="00290CD0" w:rsidRPr="0056506B" w:rsidRDefault="00290CD0" w:rsidP="008547F7">
                                  <w:pPr>
                                    <w:spacing w:after="0" w:line="240" w:lineRule="auto"/>
                                    <w:jc w:val="right"/>
                                    <w:rPr>
                                      <w:rFonts w:ascii="Arial" w:eastAsia="Times New Roman" w:hAnsi="Arial" w:cs="Arial"/>
                                      <w:bCs/>
                                      <w:color w:val="000000"/>
                                      <w:sz w:val="18"/>
                                      <w:szCs w:val="18"/>
                                    </w:rPr>
                                  </w:pPr>
                                  <w:r w:rsidRPr="0056506B">
                                    <w:rPr>
                                      <w:rFonts w:ascii="Arial" w:eastAsia="Times New Roman" w:hAnsi="Arial" w:cs="Arial"/>
                                      <w:bCs/>
                                      <w:color w:val="000000"/>
                                      <w:sz w:val="18"/>
                                      <w:szCs w:val="18"/>
                                    </w:rPr>
                                    <w:t>NA </w:t>
                                  </w:r>
                                </w:p>
                              </w:tc>
                              <w:tc>
                                <w:tcPr>
                                  <w:tcW w:w="1275" w:type="dxa"/>
                                  <w:shd w:val="clear" w:color="auto" w:fill="auto"/>
                                  <w:hideMark/>
                                </w:tcPr>
                                <w:p w14:paraId="719A2CFF" w14:textId="77777777" w:rsidR="00290CD0" w:rsidRPr="0056506B" w:rsidRDefault="00290CD0" w:rsidP="008547F7">
                                  <w:pPr>
                                    <w:spacing w:after="0" w:line="240" w:lineRule="auto"/>
                                    <w:jc w:val="right"/>
                                    <w:rPr>
                                      <w:rFonts w:ascii="Arial" w:eastAsia="Times New Roman" w:hAnsi="Arial" w:cs="Arial"/>
                                      <w:bCs/>
                                      <w:color w:val="000000"/>
                                      <w:sz w:val="18"/>
                                      <w:szCs w:val="18"/>
                                    </w:rPr>
                                  </w:pPr>
                                  <w:r w:rsidRPr="0056506B">
                                    <w:rPr>
                                      <w:rFonts w:ascii="Arial" w:eastAsia="Times New Roman" w:hAnsi="Arial" w:cs="Arial"/>
                                      <w:bCs/>
                                      <w:color w:val="000000"/>
                                      <w:sz w:val="18"/>
                                      <w:szCs w:val="18"/>
                                    </w:rPr>
                                    <w:t> NA</w:t>
                                  </w:r>
                                </w:p>
                              </w:tc>
                              <w:tc>
                                <w:tcPr>
                                  <w:tcW w:w="1276" w:type="dxa"/>
                                  <w:shd w:val="clear" w:color="auto" w:fill="auto"/>
                                  <w:hideMark/>
                                </w:tcPr>
                                <w:p w14:paraId="42BD238E" w14:textId="77777777" w:rsidR="00290CD0" w:rsidRPr="0056506B" w:rsidRDefault="00290CD0" w:rsidP="008547F7">
                                  <w:pPr>
                                    <w:spacing w:after="0" w:line="240" w:lineRule="auto"/>
                                    <w:jc w:val="right"/>
                                    <w:rPr>
                                      <w:rFonts w:ascii="Arial" w:eastAsia="Times New Roman" w:hAnsi="Arial" w:cs="Arial"/>
                                      <w:bCs/>
                                      <w:color w:val="000000"/>
                                      <w:sz w:val="18"/>
                                      <w:szCs w:val="18"/>
                                    </w:rPr>
                                  </w:pPr>
                                  <w:r w:rsidRPr="0056506B">
                                    <w:rPr>
                                      <w:rFonts w:ascii="Arial" w:eastAsia="Times New Roman" w:hAnsi="Arial" w:cs="Arial"/>
                                      <w:bCs/>
                                      <w:color w:val="000000"/>
                                      <w:sz w:val="18"/>
                                      <w:szCs w:val="18"/>
                                    </w:rPr>
                                    <w:t>NA </w:t>
                                  </w:r>
                                </w:p>
                              </w:tc>
                              <w:tc>
                                <w:tcPr>
                                  <w:tcW w:w="1275" w:type="dxa"/>
                                  <w:shd w:val="clear" w:color="auto" w:fill="auto"/>
                                  <w:hideMark/>
                                </w:tcPr>
                                <w:p w14:paraId="6D09CE3B"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493 000</w:t>
                                  </w:r>
                                </w:p>
                              </w:tc>
                              <w:tc>
                                <w:tcPr>
                                  <w:tcW w:w="1276" w:type="dxa"/>
                                  <w:shd w:val="clear" w:color="auto" w:fill="auto"/>
                                  <w:hideMark/>
                                </w:tcPr>
                                <w:p w14:paraId="2C39B0DC" w14:textId="77777777" w:rsidR="00290CD0" w:rsidRPr="00EB07C5" w:rsidRDefault="00290CD0" w:rsidP="008547F7">
                                  <w:pPr>
                                    <w:spacing w:after="0" w:line="240" w:lineRule="auto"/>
                                    <w:jc w:val="right"/>
                                    <w:rPr>
                                      <w:rFonts w:ascii="Arial" w:eastAsia="Times New Roman" w:hAnsi="Arial" w:cs="Arial"/>
                                      <w:bCs/>
                                      <w:color w:val="000000"/>
                                      <w:sz w:val="18"/>
                                      <w:szCs w:val="18"/>
                                    </w:rPr>
                                  </w:pPr>
                                  <w:r w:rsidRPr="00EB07C5">
                                    <w:rPr>
                                      <w:rFonts w:ascii="Arial" w:eastAsia="Times New Roman" w:hAnsi="Arial" w:cs="Arial"/>
                                      <w:bCs/>
                                      <w:color w:val="000000"/>
                                      <w:sz w:val="18"/>
                                      <w:szCs w:val="18"/>
                                    </w:rPr>
                                    <w:t>2</w:t>
                                  </w:r>
                                </w:p>
                              </w:tc>
                            </w:tr>
                            <w:tr w:rsidR="00290CD0" w:rsidRPr="00B42B8A" w14:paraId="068D3DB6" w14:textId="77777777" w:rsidTr="00290CD0">
                              <w:trPr>
                                <w:trHeight w:val="580"/>
                              </w:trPr>
                              <w:tc>
                                <w:tcPr>
                                  <w:tcW w:w="1275" w:type="dxa"/>
                                  <w:shd w:val="clear" w:color="auto" w:fill="auto"/>
                                </w:tcPr>
                                <w:p w14:paraId="65C00227" w14:textId="75F11A95" w:rsidR="00290CD0" w:rsidRPr="00C81958" w:rsidRDefault="00290CD0" w:rsidP="008547F7">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National Avg</w:t>
                                  </w:r>
                                </w:p>
                              </w:tc>
                              <w:tc>
                                <w:tcPr>
                                  <w:tcW w:w="1275" w:type="dxa"/>
                                  <w:shd w:val="clear" w:color="auto" w:fill="auto"/>
                                </w:tcPr>
                                <w:p w14:paraId="121F7081" w14:textId="77777777" w:rsidR="00290CD0" w:rsidRPr="00EB07C5" w:rsidRDefault="00290CD0" w:rsidP="008547F7">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2110</w:t>
                                  </w:r>
                                </w:p>
                              </w:tc>
                              <w:tc>
                                <w:tcPr>
                                  <w:tcW w:w="1276" w:type="dxa"/>
                                  <w:shd w:val="clear" w:color="auto" w:fill="auto"/>
                                </w:tcPr>
                                <w:p w14:paraId="5B2BD2A3" w14:textId="77777777" w:rsidR="00290CD0" w:rsidRPr="00EB07C5" w:rsidRDefault="00290CD0" w:rsidP="008547F7">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1036</w:t>
                                  </w:r>
                                </w:p>
                              </w:tc>
                              <w:tc>
                                <w:tcPr>
                                  <w:tcW w:w="1275" w:type="dxa"/>
                                  <w:shd w:val="clear" w:color="auto" w:fill="auto"/>
                                </w:tcPr>
                                <w:p w14:paraId="3B3CA5E2" w14:textId="77777777" w:rsidR="00290CD0" w:rsidRPr="00EB07C5" w:rsidRDefault="00290CD0" w:rsidP="008547F7">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1073</w:t>
                                  </w:r>
                                </w:p>
                              </w:tc>
                              <w:tc>
                                <w:tcPr>
                                  <w:tcW w:w="1276" w:type="dxa"/>
                                  <w:shd w:val="clear" w:color="auto" w:fill="auto"/>
                                </w:tcPr>
                                <w:p w14:paraId="20B4B3CF" w14:textId="77777777" w:rsidR="00290CD0" w:rsidRPr="00EB07C5" w:rsidRDefault="00290CD0" w:rsidP="008547F7">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48</w:t>
                                  </w:r>
                                </w:p>
                              </w:tc>
                              <w:tc>
                                <w:tcPr>
                                  <w:tcW w:w="1275" w:type="dxa"/>
                                  <w:shd w:val="clear" w:color="auto" w:fill="auto"/>
                                </w:tcPr>
                                <w:p w14:paraId="4F62C478" w14:textId="77777777" w:rsidR="00290CD0" w:rsidRPr="00C81958" w:rsidRDefault="00290CD0" w:rsidP="008547F7">
                                  <w:pPr>
                                    <w:spacing w:after="0" w:line="240" w:lineRule="auto"/>
                                    <w:jc w:val="right"/>
                                    <w:rPr>
                                      <w:rFonts w:ascii="Arial" w:eastAsia="Times New Roman" w:hAnsi="Arial" w:cs="Arial"/>
                                      <w:b/>
                                      <w:color w:val="000000"/>
                                      <w:sz w:val="18"/>
                                      <w:szCs w:val="18"/>
                                    </w:rPr>
                                  </w:pPr>
                                </w:p>
                              </w:tc>
                              <w:tc>
                                <w:tcPr>
                                  <w:tcW w:w="1276" w:type="dxa"/>
                                  <w:shd w:val="clear" w:color="auto" w:fill="auto"/>
                                </w:tcPr>
                                <w:p w14:paraId="1B18193F" w14:textId="77777777" w:rsidR="00290CD0" w:rsidRPr="00EB07C5" w:rsidRDefault="00290CD0" w:rsidP="008547F7">
                                  <w:pPr>
                                    <w:spacing w:after="0" w:line="240" w:lineRule="auto"/>
                                    <w:jc w:val="right"/>
                                    <w:rPr>
                                      <w:rFonts w:ascii="Arial" w:eastAsia="Times New Roman" w:hAnsi="Arial" w:cs="Arial"/>
                                      <w:bCs/>
                                      <w:color w:val="000000"/>
                                      <w:sz w:val="18"/>
                                      <w:szCs w:val="18"/>
                                    </w:rPr>
                                  </w:pPr>
                                </w:p>
                              </w:tc>
                            </w:tr>
                          </w:tbl>
                          <w:p w14:paraId="73852EF4" w14:textId="77777777" w:rsidR="00290CD0" w:rsidRDefault="00290CD0" w:rsidP="000300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7.3pt;margin-top:2.15pt;width:468.85pt;height:22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" stroked="f">
                <v:textbox>
                  <w:txbxContent>
                    <w:tbl>
                      <w:tblPr>
                        <w:tblW w:w="89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275"/>
                        <w:gridCol w:w="1276"/>
                        <w:gridCol w:w="1275"/>
                        <w:gridCol w:w="1276"/>
                        <w:gridCol w:w="1275"/>
                        <w:gridCol w:w="1276"/>
                      </w:tblGrid>
                      <w:tr w:rsidR="00290CD0" w:rsidRPr="00B42B8A" w14:paraId="458ED510" w14:textId="77777777" w:rsidTr="008547F7">
                        <w:trPr>
                          <w:trHeight w:val="686"/>
                        </w:trPr>
                        <w:tc>
                          <w:tcPr>
                            <w:tcW w:w="1275" w:type="dxa"/>
                            <w:shd w:val="pct10" w:color="000000" w:fill="FFFFFF" w:themeFill="background1"/>
                            <w:hideMark/>
                          </w:tcPr>
                          <w:p w14:paraId="5D4C22F2" w14:textId="77777777" w:rsidR="00290CD0" w:rsidRPr="00EB07C5" w:rsidRDefault="00290CD0" w:rsidP="008547F7">
                            <w:pPr>
                              <w:spacing w:after="0" w:line="240" w:lineRule="auto"/>
                              <w:rPr>
                                <w:rFonts w:ascii="Arial" w:eastAsia="Times New Roman" w:hAnsi="Arial" w:cs="Arial"/>
                                <w:b/>
                                <w:color w:val="000000"/>
                                <w:sz w:val="18"/>
                                <w:szCs w:val="18"/>
                              </w:rPr>
                            </w:pPr>
                            <w:r w:rsidRPr="00EB07C5">
                              <w:rPr>
                                <w:rFonts w:ascii="Arial" w:eastAsia="Times New Roman" w:hAnsi="Arial" w:cs="Arial"/>
                                <w:b/>
                                <w:color w:val="000000"/>
                                <w:sz w:val="18"/>
                                <w:szCs w:val="18"/>
                              </w:rPr>
                              <w:t>Jurisdiction</w:t>
                            </w:r>
                          </w:p>
                        </w:tc>
                        <w:tc>
                          <w:tcPr>
                            <w:tcW w:w="1275" w:type="dxa"/>
                            <w:shd w:val="pct10" w:color="000000" w:fill="FFFFFF" w:themeFill="background1"/>
                            <w:hideMark/>
                          </w:tcPr>
                          <w:p w14:paraId="4CE57D13" w14:textId="77777777" w:rsidR="00290CD0" w:rsidRPr="00EB07C5" w:rsidRDefault="00290CD0" w:rsidP="008547F7">
                            <w:pPr>
                              <w:spacing w:after="0" w:line="240" w:lineRule="auto"/>
                              <w:jc w:val="right"/>
                              <w:rPr>
                                <w:rFonts w:ascii="Arial" w:eastAsia="Times New Roman" w:hAnsi="Arial" w:cs="Arial"/>
                                <w:b/>
                                <w:color w:val="000000"/>
                                <w:sz w:val="18"/>
                                <w:szCs w:val="18"/>
                              </w:rPr>
                            </w:pPr>
                            <w:r w:rsidRPr="00EB07C5">
                              <w:rPr>
                                <w:rFonts w:ascii="Arial" w:eastAsia="Times New Roman" w:hAnsi="Arial" w:cs="Arial"/>
                                <w:b/>
                                <w:color w:val="000000"/>
                                <w:sz w:val="18"/>
                                <w:szCs w:val="18"/>
                              </w:rPr>
                              <w:t>Total Generated      (kg per capita)</w:t>
                            </w:r>
                          </w:p>
                        </w:tc>
                        <w:tc>
                          <w:tcPr>
                            <w:tcW w:w="1276" w:type="dxa"/>
                            <w:shd w:val="pct10" w:color="000000" w:fill="FFFFFF" w:themeFill="background1"/>
                            <w:hideMark/>
                          </w:tcPr>
                          <w:p w14:paraId="1AFC0F9B" w14:textId="77777777" w:rsidR="00290CD0" w:rsidRPr="00EB07C5" w:rsidRDefault="00290CD0" w:rsidP="008547F7">
                            <w:pPr>
                              <w:spacing w:after="0" w:line="240" w:lineRule="auto"/>
                              <w:jc w:val="right"/>
                              <w:rPr>
                                <w:rFonts w:ascii="Arial" w:eastAsia="Times New Roman" w:hAnsi="Arial" w:cs="Arial"/>
                                <w:b/>
                                <w:color w:val="000000"/>
                                <w:sz w:val="18"/>
                                <w:szCs w:val="18"/>
                              </w:rPr>
                            </w:pPr>
                            <w:r w:rsidRPr="00EB07C5">
                              <w:rPr>
                                <w:rFonts w:ascii="Arial" w:eastAsia="Times New Roman" w:hAnsi="Arial" w:cs="Arial"/>
                                <w:b/>
                                <w:color w:val="000000"/>
                                <w:sz w:val="18"/>
                                <w:szCs w:val="18"/>
                              </w:rPr>
                              <w:t>Recycled     (kg per capita)</w:t>
                            </w:r>
                          </w:p>
                        </w:tc>
                        <w:tc>
                          <w:tcPr>
                            <w:tcW w:w="1275" w:type="dxa"/>
                            <w:shd w:val="pct10" w:color="000000" w:fill="FFFFFF" w:themeFill="background1"/>
                            <w:hideMark/>
                          </w:tcPr>
                          <w:p w14:paraId="52EF6EA5" w14:textId="77777777" w:rsidR="00290CD0" w:rsidRPr="00EB07C5" w:rsidRDefault="00290CD0" w:rsidP="008547F7">
                            <w:pPr>
                              <w:spacing w:after="0" w:line="240" w:lineRule="auto"/>
                              <w:jc w:val="right"/>
                              <w:rPr>
                                <w:rFonts w:ascii="Arial" w:eastAsia="Times New Roman" w:hAnsi="Arial" w:cs="Arial"/>
                                <w:b/>
                                <w:color w:val="000000"/>
                                <w:sz w:val="18"/>
                                <w:szCs w:val="18"/>
                              </w:rPr>
                            </w:pPr>
                            <w:r w:rsidRPr="00EB07C5">
                              <w:rPr>
                                <w:rFonts w:ascii="Arial" w:eastAsia="Times New Roman" w:hAnsi="Arial" w:cs="Arial"/>
                                <w:b/>
                                <w:color w:val="000000"/>
                                <w:sz w:val="18"/>
                                <w:szCs w:val="18"/>
                              </w:rPr>
                              <w:t xml:space="preserve"> Disposed     (kg per capita)</w:t>
                            </w:r>
                          </w:p>
                        </w:tc>
                        <w:tc>
                          <w:tcPr>
                            <w:tcW w:w="1276" w:type="dxa"/>
                            <w:shd w:val="pct10" w:color="000000" w:fill="FFFFFF" w:themeFill="background1"/>
                            <w:hideMark/>
                          </w:tcPr>
                          <w:p w14:paraId="467498C4" w14:textId="77777777" w:rsidR="00290CD0" w:rsidRPr="00EB07C5" w:rsidRDefault="00290CD0" w:rsidP="008547F7">
                            <w:pPr>
                              <w:spacing w:after="0" w:line="240" w:lineRule="auto"/>
                              <w:jc w:val="right"/>
                              <w:rPr>
                                <w:rFonts w:ascii="Arial" w:eastAsia="Times New Roman" w:hAnsi="Arial" w:cs="Arial"/>
                                <w:b/>
                                <w:color w:val="000000"/>
                                <w:sz w:val="18"/>
                                <w:szCs w:val="18"/>
                              </w:rPr>
                            </w:pPr>
                            <w:r w:rsidRPr="00EB07C5">
                              <w:rPr>
                                <w:rFonts w:ascii="Arial" w:eastAsia="Times New Roman" w:hAnsi="Arial" w:cs="Arial"/>
                                <w:b/>
                                <w:color w:val="000000"/>
                                <w:sz w:val="18"/>
                                <w:szCs w:val="18"/>
                              </w:rPr>
                              <w:t>Diversion rate (%)</w:t>
                            </w:r>
                          </w:p>
                        </w:tc>
                        <w:tc>
                          <w:tcPr>
                            <w:tcW w:w="1275" w:type="dxa"/>
                            <w:shd w:val="pct10" w:color="000000" w:fill="FFFFFF" w:themeFill="background1"/>
                            <w:hideMark/>
                          </w:tcPr>
                          <w:p w14:paraId="02157578" w14:textId="77777777" w:rsidR="00290CD0" w:rsidRPr="00EB07C5" w:rsidRDefault="00290CD0" w:rsidP="008547F7">
                            <w:pPr>
                              <w:spacing w:after="0" w:line="240" w:lineRule="auto"/>
                              <w:jc w:val="right"/>
                              <w:rPr>
                                <w:rFonts w:ascii="Arial" w:eastAsia="Times New Roman" w:hAnsi="Arial" w:cs="Arial"/>
                                <w:b/>
                                <w:color w:val="000000"/>
                                <w:sz w:val="18"/>
                                <w:szCs w:val="18"/>
                              </w:rPr>
                            </w:pPr>
                            <w:r w:rsidRPr="00EB07C5">
                              <w:rPr>
                                <w:rFonts w:ascii="Arial" w:eastAsia="Times New Roman" w:hAnsi="Arial" w:cs="Arial"/>
                                <w:b/>
                                <w:color w:val="000000"/>
                                <w:sz w:val="18"/>
                                <w:szCs w:val="18"/>
                              </w:rPr>
                              <w:t>Population</w:t>
                            </w:r>
                          </w:p>
                        </w:tc>
                        <w:tc>
                          <w:tcPr>
                            <w:tcW w:w="1276" w:type="dxa"/>
                            <w:shd w:val="pct10" w:color="000000" w:fill="FFFFFF" w:themeFill="background1"/>
                            <w:hideMark/>
                          </w:tcPr>
                          <w:p w14:paraId="0C481D0B" w14:textId="77777777" w:rsidR="00290CD0" w:rsidRPr="00EB07C5" w:rsidRDefault="00290CD0" w:rsidP="008547F7">
                            <w:pPr>
                              <w:spacing w:after="0" w:line="240" w:lineRule="auto"/>
                              <w:jc w:val="right"/>
                              <w:rPr>
                                <w:rFonts w:ascii="Arial" w:eastAsia="Times New Roman" w:hAnsi="Arial" w:cs="Arial"/>
                                <w:b/>
                                <w:color w:val="000000"/>
                                <w:sz w:val="18"/>
                                <w:szCs w:val="18"/>
                              </w:rPr>
                            </w:pPr>
                            <w:r w:rsidRPr="00EB07C5">
                              <w:rPr>
                                <w:rFonts w:ascii="Arial" w:eastAsia="Times New Roman" w:hAnsi="Arial" w:cs="Arial"/>
                                <w:b/>
                                <w:color w:val="000000"/>
                                <w:sz w:val="18"/>
                                <w:szCs w:val="18"/>
                              </w:rPr>
                              <w:t xml:space="preserve">% of total population </w:t>
                            </w:r>
                          </w:p>
                        </w:tc>
                      </w:tr>
                      <w:tr w:rsidR="00290CD0" w:rsidRPr="00B42B8A" w14:paraId="325C3E6E" w14:textId="77777777" w:rsidTr="008547F7">
                        <w:trPr>
                          <w:trHeight w:val="296"/>
                        </w:trPr>
                        <w:tc>
                          <w:tcPr>
                            <w:tcW w:w="1275" w:type="dxa"/>
                            <w:shd w:val="clear" w:color="auto" w:fill="auto"/>
                            <w:noWrap/>
                            <w:hideMark/>
                          </w:tcPr>
                          <w:p w14:paraId="13909BC6" w14:textId="77777777" w:rsidR="00290CD0" w:rsidRPr="008B6DFF" w:rsidRDefault="00290CD0" w:rsidP="008547F7">
                            <w:pPr>
                              <w:spacing w:after="0" w:line="240" w:lineRule="auto"/>
                              <w:rPr>
                                <w:rFonts w:ascii="Arial" w:eastAsia="Times New Roman" w:hAnsi="Arial" w:cs="Arial"/>
                                <w:color w:val="000000"/>
                                <w:sz w:val="18"/>
                                <w:szCs w:val="18"/>
                              </w:rPr>
                            </w:pPr>
                            <w:r w:rsidRPr="008B6DFF">
                              <w:rPr>
                                <w:rFonts w:ascii="Arial" w:eastAsia="Times New Roman" w:hAnsi="Arial" w:cs="Arial"/>
                                <w:color w:val="000000"/>
                                <w:sz w:val="18"/>
                                <w:szCs w:val="18"/>
                              </w:rPr>
                              <w:t>NSW</w:t>
                            </w:r>
                          </w:p>
                        </w:tc>
                        <w:tc>
                          <w:tcPr>
                            <w:tcW w:w="1275" w:type="dxa"/>
                            <w:shd w:val="clear" w:color="auto" w:fill="auto"/>
                            <w:noWrap/>
                            <w:hideMark/>
                          </w:tcPr>
                          <w:p w14:paraId="2DB4C4BC"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2230</w:t>
                            </w:r>
                          </w:p>
                        </w:tc>
                        <w:tc>
                          <w:tcPr>
                            <w:tcW w:w="1276" w:type="dxa"/>
                            <w:shd w:val="clear" w:color="auto" w:fill="auto"/>
                            <w:noWrap/>
                            <w:hideMark/>
                          </w:tcPr>
                          <w:p w14:paraId="0AEC36EB"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1160</w:t>
                            </w:r>
                          </w:p>
                        </w:tc>
                        <w:tc>
                          <w:tcPr>
                            <w:tcW w:w="1275" w:type="dxa"/>
                            <w:shd w:val="clear" w:color="auto" w:fill="auto"/>
                            <w:noWrap/>
                            <w:hideMark/>
                          </w:tcPr>
                          <w:p w14:paraId="230387F3"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1070</w:t>
                            </w:r>
                          </w:p>
                        </w:tc>
                        <w:tc>
                          <w:tcPr>
                            <w:tcW w:w="1276" w:type="dxa"/>
                            <w:shd w:val="clear" w:color="auto" w:fill="auto"/>
                            <w:noWrap/>
                            <w:hideMark/>
                          </w:tcPr>
                          <w:p w14:paraId="5983400E"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52</w:t>
                            </w:r>
                          </w:p>
                        </w:tc>
                        <w:tc>
                          <w:tcPr>
                            <w:tcW w:w="1275" w:type="dxa"/>
                            <w:shd w:val="clear" w:color="auto" w:fill="auto"/>
                            <w:noWrap/>
                            <w:hideMark/>
                          </w:tcPr>
                          <w:p w14:paraId="1B3D3D91"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6 888 000</w:t>
                            </w:r>
                          </w:p>
                        </w:tc>
                        <w:tc>
                          <w:tcPr>
                            <w:tcW w:w="1276" w:type="dxa"/>
                            <w:shd w:val="clear" w:color="auto" w:fill="auto"/>
                            <w:noWrap/>
                            <w:hideMark/>
                          </w:tcPr>
                          <w:p w14:paraId="176FAD68"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37</w:t>
                            </w:r>
                          </w:p>
                        </w:tc>
                      </w:tr>
                      <w:tr w:rsidR="00290CD0" w:rsidRPr="00B42B8A" w14:paraId="0993D41F" w14:textId="77777777" w:rsidTr="008547F7">
                        <w:trPr>
                          <w:trHeight w:val="296"/>
                        </w:trPr>
                        <w:tc>
                          <w:tcPr>
                            <w:tcW w:w="1275" w:type="dxa"/>
                            <w:shd w:val="clear" w:color="auto" w:fill="auto"/>
                            <w:noWrap/>
                            <w:hideMark/>
                          </w:tcPr>
                          <w:p w14:paraId="17D3DF06" w14:textId="77777777" w:rsidR="00290CD0" w:rsidRPr="008B6DFF" w:rsidRDefault="00290CD0" w:rsidP="008547F7">
                            <w:pPr>
                              <w:spacing w:after="0" w:line="240" w:lineRule="auto"/>
                              <w:rPr>
                                <w:rFonts w:ascii="Arial" w:eastAsia="Times New Roman" w:hAnsi="Arial" w:cs="Arial"/>
                                <w:color w:val="000000"/>
                                <w:sz w:val="18"/>
                                <w:szCs w:val="18"/>
                              </w:rPr>
                            </w:pPr>
                            <w:r w:rsidRPr="008B6DFF">
                              <w:rPr>
                                <w:rFonts w:ascii="Arial" w:eastAsia="Times New Roman" w:hAnsi="Arial" w:cs="Arial"/>
                                <w:color w:val="000000"/>
                                <w:sz w:val="18"/>
                                <w:szCs w:val="18"/>
                              </w:rPr>
                              <w:t>Vic</w:t>
                            </w:r>
                          </w:p>
                        </w:tc>
                        <w:tc>
                          <w:tcPr>
                            <w:tcW w:w="1275" w:type="dxa"/>
                            <w:shd w:val="clear" w:color="auto" w:fill="auto"/>
                            <w:noWrap/>
                            <w:hideMark/>
                          </w:tcPr>
                          <w:p w14:paraId="361FB396"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1980</w:t>
                            </w:r>
                          </w:p>
                        </w:tc>
                        <w:tc>
                          <w:tcPr>
                            <w:tcW w:w="1276" w:type="dxa"/>
                            <w:shd w:val="clear" w:color="auto" w:fill="auto"/>
                            <w:noWrap/>
                            <w:hideMark/>
                          </w:tcPr>
                          <w:p w14:paraId="79394320"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1220</w:t>
                            </w:r>
                          </w:p>
                        </w:tc>
                        <w:tc>
                          <w:tcPr>
                            <w:tcW w:w="1275" w:type="dxa"/>
                            <w:shd w:val="clear" w:color="auto" w:fill="auto"/>
                            <w:noWrap/>
                            <w:hideMark/>
                          </w:tcPr>
                          <w:p w14:paraId="24D12753"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750</w:t>
                            </w:r>
                          </w:p>
                        </w:tc>
                        <w:tc>
                          <w:tcPr>
                            <w:tcW w:w="1276" w:type="dxa"/>
                            <w:shd w:val="clear" w:color="auto" w:fill="auto"/>
                            <w:noWrap/>
                            <w:hideMark/>
                          </w:tcPr>
                          <w:p w14:paraId="06DE6902"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62</w:t>
                            </w:r>
                          </w:p>
                        </w:tc>
                        <w:tc>
                          <w:tcPr>
                            <w:tcW w:w="1275" w:type="dxa"/>
                            <w:shd w:val="clear" w:color="auto" w:fill="auto"/>
                            <w:noWrap/>
                            <w:hideMark/>
                          </w:tcPr>
                          <w:p w14:paraId="1D6F1AA4"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5 205 000</w:t>
                            </w:r>
                          </w:p>
                        </w:tc>
                        <w:tc>
                          <w:tcPr>
                            <w:tcW w:w="1276" w:type="dxa"/>
                            <w:shd w:val="clear" w:color="auto" w:fill="auto"/>
                            <w:noWrap/>
                            <w:hideMark/>
                          </w:tcPr>
                          <w:p w14:paraId="4A5DBFCC"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28</w:t>
                            </w:r>
                          </w:p>
                        </w:tc>
                      </w:tr>
                      <w:tr w:rsidR="00290CD0" w:rsidRPr="00B42B8A" w14:paraId="1B21E34D" w14:textId="77777777" w:rsidTr="008547F7">
                        <w:trPr>
                          <w:trHeight w:val="296"/>
                        </w:trPr>
                        <w:tc>
                          <w:tcPr>
                            <w:tcW w:w="1275" w:type="dxa"/>
                            <w:shd w:val="clear" w:color="auto" w:fill="auto"/>
                            <w:noWrap/>
                            <w:hideMark/>
                          </w:tcPr>
                          <w:p w14:paraId="073D6908" w14:textId="77777777" w:rsidR="00290CD0" w:rsidRPr="008B6DFF" w:rsidRDefault="00290CD0" w:rsidP="008547F7">
                            <w:pPr>
                              <w:spacing w:after="0" w:line="240" w:lineRule="auto"/>
                              <w:rPr>
                                <w:rFonts w:ascii="Arial" w:eastAsia="Times New Roman" w:hAnsi="Arial" w:cs="Arial"/>
                                <w:color w:val="000000"/>
                                <w:sz w:val="18"/>
                                <w:szCs w:val="18"/>
                              </w:rPr>
                            </w:pPr>
                            <w:r w:rsidRPr="008B6DFF">
                              <w:rPr>
                                <w:rFonts w:ascii="Arial" w:eastAsia="Times New Roman" w:hAnsi="Arial" w:cs="Arial"/>
                                <w:color w:val="000000"/>
                                <w:sz w:val="18"/>
                                <w:szCs w:val="18"/>
                              </w:rPr>
                              <w:t>Qld</w:t>
                            </w:r>
                          </w:p>
                        </w:tc>
                        <w:tc>
                          <w:tcPr>
                            <w:tcW w:w="1275" w:type="dxa"/>
                            <w:shd w:val="clear" w:color="auto" w:fill="auto"/>
                            <w:noWrap/>
                            <w:hideMark/>
                          </w:tcPr>
                          <w:p w14:paraId="59F2FB1F"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1930</w:t>
                            </w:r>
                          </w:p>
                        </w:tc>
                        <w:tc>
                          <w:tcPr>
                            <w:tcW w:w="1276" w:type="dxa"/>
                            <w:shd w:val="clear" w:color="auto" w:fill="auto"/>
                            <w:noWrap/>
                            <w:hideMark/>
                          </w:tcPr>
                          <w:p w14:paraId="5998BC56"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900</w:t>
                            </w:r>
                          </w:p>
                        </w:tc>
                        <w:tc>
                          <w:tcPr>
                            <w:tcW w:w="1275" w:type="dxa"/>
                            <w:shd w:val="clear" w:color="auto" w:fill="auto"/>
                            <w:noWrap/>
                            <w:hideMark/>
                          </w:tcPr>
                          <w:p w14:paraId="537E148B"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1030</w:t>
                            </w:r>
                          </w:p>
                        </w:tc>
                        <w:tc>
                          <w:tcPr>
                            <w:tcW w:w="1276" w:type="dxa"/>
                            <w:shd w:val="clear" w:color="auto" w:fill="auto"/>
                            <w:noWrap/>
                            <w:hideMark/>
                          </w:tcPr>
                          <w:p w14:paraId="26E70884"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47</w:t>
                            </w:r>
                          </w:p>
                        </w:tc>
                        <w:tc>
                          <w:tcPr>
                            <w:tcW w:w="1275" w:type="dxa"/>
                            <w:shd w:val="clear" w:color="auto" w:fill="auto"/>
                            <w:noWrap/>
                            <w:hideMark/>
                          </w:tcPr>
                          <w:p w14:paraId="083E78A3"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4 181 000</w:t>
                            </w:r>
                          </w:p>
                        </w:tc>
                        <w:tc>
                          <w:tcPr>
                            <w:tcW w:w="1276" w:type="dxa"/>
                            <w:shd w:val="clear" w:color="auto" w:fill="auto"/>
                            <w:noWrap/>
                            <w:hideMark/>
                          </w:tcPr>
                          <w:p w14:paraId="5FA6C008"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20</w:t>
                            </w:r>
                          </w:p>
                        </w:tc>
                      </w:tr>
                      <w:tr w:rsidR="00290CD0" w:rsidRPr="00B42B8A" w14:paraId="77AEE1B0" w14:textId="77777777" w:rsidTr="008547F7">
                        <w:trPr>
                          <w:trHeight w:val="296"/>
                        </w:trPr>
                        <w:tc>
                          <w:tcPr>
                            <w:tcW w:w="1275" w:type="dxa"/>
                            <w:shd w:val="clear" w:color="auto" w:fill="auto"/>
                            <w:noWrap/>
                            <w:hideMark/>
                          </w:tcPr>
                          <w:p w14:paraId="7E19C621" w14:textId="77777777" w:rsidR="00290CD0" w:rsidRPr="008B6DFF" w:rsidRDefault="00290CD0" w:rsidP="008547F7">
                            <w:pPr>
                              <w:spacing w:after="0" w:line="240" w:lineRule="auto"/>
                              <w:rPr>
                                <w:rFonts w:ascii="Arial" w:eastAsia="Times New Roman" w:hAnsi="Arial" w:cs="Arial"/>
                                <w:color w:val="000000"/>
                                <w:sz w:val="18"/>
                                <w:szCs w:val="18"/>
                              </w:rPr>
                            </w:pPr>
                            <w:r w:rsidRPr="008B6DFF">
                              <w:rPr>
                                <w:rFonts w:ascii="Arial" w:eastAsia="Times New Roman" w:hAnsi="Arial" w:cs="Arial"/>
                                <w:color w:val="000000"/>
                                <w:sz w:val="18"/>
                                <w:szCs w:val="18"/>
                              </w:rPr>
                              <w:t>WA</w:t>
                            </w:r>
                          </w:p>
                        </w:tc>
                        <w:tc>
                          <w:tcPr>
                            <w:tcW w:w="1275" w:type="dxa"/>
                            <w:shd w:val="clear" w:color="auto" w:fill="auto"/>
                            <w:noWrap/>
                            <w:hideMark/>
                          </w:tcPr>
                          <w:p w14:paraId="3DD2D2EE"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2490</w:t>
                            </w:r>
                          </w:p>
                        </w:tc>
                        <w:tc>
                          <w:tcPr>
                            <w:tcW w:w="1276" w:type="dxa"/>
                            <w:shd w:val="clear" w:color="auto" w:fill="auto"/>
                            <w:noWrap/>
                            <w:hideMark/>
                          </w:tcPr>
                          <w:p w14:paraId="5BF2C05D"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810</w:t>
                            </w:r>
                          </w:p>
                        </w:tc>
                        <w:tc>
                          <w:tcPr>
                            <w:tcW w:w="1275" w:type="dxa"/>
                            <w:shd w:val="clear" w:color="auto" w:fill="auto"/>
                            <w:noWrap/>
                            <w:hideMark/>
                          </w:tcPr>
                          <w:p w14:paraId="0ACA89B4"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1680</w:t>
                            </w:r>
                          </w:p>
                        </w:tc>
                        <w:tc>
                          <w:tcPr>
                            <w:tcW w:w="1276" w:type="dxa"/>
                            <w:shd w:val="clear" w:color="auto" w:fill="auto"/>
                            <w:noWrap/>
                            <w:hideMark/>
                          </w:tcPr>
                          <w:p w14:paraId="171170AC"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33</w:t>
                            </w:r>
                          </w:p>
                        </w:tc>
                        <w:tc>
                          <w:tcPr>
                            <w:tcW w:w="1275" w:type="dxa"/>
                            <w:shd w:val="clear" w:color="auto" w:fill="auto"/>
                            <w:noWrap/>
                            <w:hideMark/>
                          </w:tcPr>
                          <w:p w14:paraId="131C2564"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2 106 000</w:t>
                            </w:r>
                          </w:p>
                        </w:tc>
                        <w:tc>
                          <w:tcPr>
                            <w:tcW w:w="1276" w:type="dxa"/>
                            <w:shd w:val="clear" w:color="auto" w:fill="auto"/>
                            <w:noWrap/>
                            <w:hideMark/>
                          </w:tcPr>
                          <w:p w14:paraId="39D33BEE"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10</w:t>
                            </w:r>
                          </w:p>
                        </w:tc>
                      </w:tr>
                      <w:tr w:rsidR="00290CD0" w:rsidRPr="00B42B8A" w14:paraId="5A39DDB7" w14:textId="77777777" w:rsidTr="008547F7">
                        <w:trPr>
                          <w:trHeight w:val="296"/>
                        </w:trPr>
                        <w:tc>
                          <w:tcPr>
                            <w:tcW w:w="1275" w:type="dxa"/>
                            <w:shd w:val="clear" w:color="auto" w:fill="auto"/>
                            <w:noWrap/>
                            <w:hideMark/>
                          </w:tcPr>
                          <w:p w14:paraId="0B15210A" w14:textId="77777777" w:rsidR="00290CD0" w:rsidRPr="008B6DFF" w:rsidRDefault="00290CD0" w:rsidP="008547F7">
                            <w:pPr>
                              <w:spacing w:after="0" w:line="240" w:lineRule="auto"/>
                              <w:rPr>
                                <w:rFonts w:ascii="Arial" w:eastAsia="Times New Roman" w:hAnsi="Arial" w:cs="Arial"/>
                                <w:color w:val="000000"/>
                                <w:sz w:val="18"/>
                                <w:szCs w:val="18"/>
                              </w:rPr>
                            </w:pPr>
                            <w:r w:rsidRPr="008B6DFF">
                              <w:rPr>
                                <w:rFonts w:ascii="Arial" w:eastAsia="Times New Roman" w:hAnsi="Arial" w:cs="Arial"/>
                                <w:color w:val="000000"/>
                                <w:sz w:val="18"/>
                                <w:szCs w:val="18"/>
                              </w:rPr>
                              <w:t>SA</w:t>
                            </w:r>
                          </w:p>
                        </w:tc>
                        <w:tc>
                          <w:tcPr>
                            <w:tcW w:w="1275" w:type="dxa"/>
                            <w:shd w:val="clear" w:color="auto" w:fill="auto"/>
                            <w:noWrap/>
                            <w:hideMark/>
                          </w:tcPr>
                          <w:p w14:paraId="44A1391A"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2090</w:t>
                            </w:r>
                          </w:p>
                        </w:tc>
                        <w:tc>
                          <w:tcPr>
                            <w:tcW w:w="1276" w:type="dxa"/>
                            <w:shd w:val="clear" w:color="auto" w:fill="auto"/>
                            <w:noWrap/>
                            <w:hideMark/>
                          </w:tcPr>
                          <w:p w14:paraId="78186452"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1370</w:t>
                            </w:r>
                          </w:p>
                        </w:tc>
                        <w:tc>
                          <w:tcPr>
                            <w:tcW w:w="1275" w:type="dxa"/>
                            <w:shd w:val="clear" w:color="auto" w:fill="auto"/>
                            <w:noWrap/>
                            <w:hideMark/>
                          </w:tcPr>
                          <w:p w14:paraId="5ACDA1BD"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720</w:t>
                            </w:r>
                          </w:p>
                        </w:tc>
                        <w:tc>
                          <w:tcPr>
                            <w:tcW w:w="1276" w:type="dxa"/>
                            <w:shd w:val="clear" w:color="auto" w:fill="auto"/>
                            <w:noWrap/>
                            <w:hideMark/>
                          </w:tcPr>
                          <w:p w14:paraId="1DC2A48E"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66</w:t>
                            </w:r>
                          </w:p>
                        </w:tc>
                        <w:tc>
                          <w:tcPr>
                            <w:tcW w:w="1275" w:type="dxa"/>
                            <w:shd w:val="clear" w:color="auto" w:fill="auto"/>
                            <w:noWrap/>
                            <w:hideMark/>
                          </w:tcPr>
                          <w:p w14:paraId="4F2FADB5"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1 584 000</w:t>
                            </w:r>
                          </w:p>
                        </w:tc>
                        <w:tc>
                          <w:tcPr>
                            <w:tcW w:w="1276" w:type="dxa"/>
                            <w:shd w:val="clear" w:color="auto" w:fill="auto"/>
                            <w:noWrap/>
                            <w:hideMark/>
                          </w:tcPr>
                          <w:p w14:paraId="7327D596"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8</w:t>
                            </w:r>
                          </w:p>
                        </w:tc>
                      </w:tr>
                      <w:tr w:rsidR="00290CD0" w:rsidRPr="00B42B8A" w14:paraId="7E7A5BFB" w14:textId="77777777" w:rsidTr="008547F7">
                        <w:trPr>
                          <w:trHeight w:val="296"/>
                        </w:trPr>
                        <w:tc>
                          <w:tcPr>
                            <w:tcW w:w="1275" w:type="dxa"/>
                            <w:shd w:val="clear" w:color="auto" w:fill="auto"/>
                            <w:noWrap/>
                            <w:hideMark/>
                          </w:tcPr>
                          <w:p w14:paraId="78FBA9D7" w14:textId="77777777" w:rsidR="00290CD0" w:rsidRPr="008B6DFF" w:rsidRDefault="00290CD0" w:rsidP="008547F7">
                            <w:pPr>
                              <w:spacing w:after="0" w:line="240" w:lineRule="auto"/>
                              <w:rPr>
                                <w:rFonts w:ascii="Arial" w:eastAsia="Times New Roman" w:hAnsi="Arial" w:cs="Arial"/>
                                <w:color w:val="000000"/>
                                <w:sz w:val="18"/>
                                <w:szCs w:val="18"/>
                              </w:rPr>
                            </w:pPr>
                            <w:r w:rsidRPr="008B6DFF">
                              <w:rPr>
                                <w:rFonts w:ascii="Arial" w:eastAsia="Times New Roman" w:hAnsi="Arial" w:cs="Arial"/>
                                <w:color w:val="000000"/>
                                <w:sz w:val="18"/>
                                <w:szCs w:val="18"/>
                              </w:rPr>
                              <w:t>ACT</w:t>
                            </w:r>
                          </w:p>
                        </w:tc>
                        <w:tc>
                          <w:tcPr>
                            <w:tcW w:w="1275" w:type="dxa"/>
                            <w:shd w:val="clear" w:color="auto" w:fill="auto"/>
                            <w:noWrap/>
                            <w:hideMark/>
                          </w:tcPr>
                          <w:p w14:paraId="69AFA0AD"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2310</w:t>
                            </w:r>
                          </w:p>
                        </w:tc>
                        <w:tc>
                          <w:tcPr>
                            <w:tcW w:w="1276" w:type="dxa"/>
                            <w:shd w:val="clear" w:color="auto" w:fill="auto"/>
                            <w:noWrap/>
                            <w:hideMark/>
                          </w:tcPr>
                          <w:p w14:paraId="11B40B8E"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1730</w:t>
                            </w:r>
                          </w:p>
                        </w:tc>
                        <w:tc>
                          <w:tcPr>
                            <w:tcW w:w="1275" w:type="dxa"/>
                            <w:shd w:val="clear" w:color="auto" w:fill="auto"/>
                            <w:noWrap/>
                            <w:hideMark/>
                          </w:tcPr>
                          <w:p w14:paraId="432BFFFB"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580</w:t>
                            </w:r>
                          </w:p>
                        </w:tc>
                        <w:tc>
                          <w:tcPr>
                            <w:tcW w:w="1276" w:type="dxa"/>
                            <w:shd w:val="clear" w:color="auto" w:fill="auto"/>
                            <w:noWrap/>
                            <w:hideMark/>
                          </w:tcPr>
                          <w:p w14:paraId="0A081F45"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75</w:t>
                            </w:r>
                          </w:p>
                        </w:tc>
                        <w:tc>
                          <w:tcPr>
                            <w:tcW w:w="1275" w:type="dxa"/>
                            <w:shd w:val="clear" w:color="auto" w:fill="auto"/>
                            <w:noWrap/>
                            <w:hideMark/>
                          </w:tcPr>
                          <w:p w14:paraId="74A460CC"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340 000</w:t>
                            </w:r>
                          </w:p>
                        </w:tc>
                        <w:tc>
                          <w:tcPr>
                            <w:tcW w:w="1276" w:type="dxa"/>
                            <w:shd w:val="clear" w:color="auto" w:fill="auto"/>
                            <w:noWrap/>
                            <w:hideMark/>
                          </w:tcPr>
                          <w:p w14:paraId="61225DEE"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w:t>
                            </w:r>
                          </w:p>
                        </w:tc>
                      </w:tr>
                      <w:tr w:rsidR="00290CD0" w:rsidRPr="00B42B8A" w14:paraId="04134A3A" w14:textId="77777777" w:rsidTr="008547F7">
                        <w:trPr>
                          <w:trHeight w:val="296"/>
                        </w:trPr>
                        <w:tc>
                          <w:tcPr>
                            <w:tcW w:w="1275" w:type="dxa"/>
                            <w:shd w:val="clear" w:color="auto" w:fill="auto"/>
                            <w:noWrap/>
                            <w:hideMark/>
                          </w:tcPr>
                          <w:p w14:paraId="3727BB4C" w14:textId="77777777" w:rsidR="00290CD0" w:rsidRPr="008B6DFF" w:rsidRDefault="00290CD0" w:rsidP="008547F7">
                            <w:pPr>
                              <w:spacing w:after="0" w:line="240" w:lineRule="auto"/>
                              <w:rPr>
                                <w:rFonts w:ascii="Arial" w:eastAsia="Times New Roman" w:hAnsi="Arial" w:cs="Arial"/>
                                <w:color w:val="000000"/>
                                <w:sz w:val="18"/>
                                <w:szCs w:val="18"/>
                              </w:rPr>
                            </w:pPr>
                            <w:r w:rsidRPr="008B6DFF">
                              <w:rPr>
                                <w:rFonts w:ascii="Arial" w:eastAsia="Times New Roman" w:hAnsi="Arial" w:cs="Arial"/>
                                <w:color w:val="000000"/>
                                <w:sz w:val="18"/>
                                <w:szCs w:val="18"/>
                              </w:rPr>
                              <w:t>NT</w:t>
                            </w:r>
                          </w:p>
                        </w:tc>
                        <w:tc>
                          <w:tcPr>
                            <w:tcW w:w="1275" w:type="dxa"/>
                            <w:shd w:val="clear" w:color="auto" w:fill="auto"/>
                            <w:noWrap/>
                            <w:hideMark/>
                          </w:tcPr>
                          <w:p w14:paraId="0A4929E8"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1740</w:t>
                            </w:r>
                          </w:p>
                        </w:tc>
                        <w:tc>
                          <w:tcPr>
                            <w:tcW w:w="1276" w:type="dxa"/>
                            <w:shd w:val="clear" w:color="auto" w:fill="auto"/>
                            <w:noWrap/>
                            <w:hideMark/>
                          </w:tcPr>
                          <w:p w14:paraId="33D94DD9"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60</w:t>
                            </w:r>
                          </w:p>
                        </w:tc>
                        <w:tc>
                          <w:tcPr>
                            <w:tcW w:w="1275" w:type="dxa"/>
                            <w:shd w:val="clear" w:color="auto" w:fill="auto"/>
                            <w:noWrap/>
                            <w:hideMark/>
                          </w:tcPr>
                          <w:p w14:paraId="328C49E3"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1680</w:t>
                            </w:r>
                          </w:p>
                        </w:tc>
                        <w:tc>
                          <w:tcPr>
                            <w:tcW w:w="1276" w:type="dxa"/>
                            <w:shd w:val="clear" w:color="auto" w:fill="auto"/>
                            <w:noWrap/>
                            <w:hideMark/>
                          </w:tcPr>
                          <w:p w14:paraId="4AFB4AF4"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3.5</w:t>
                            </w:r>
                          </w:p>
                        </w:tc>
                        <w:tc>
                          <w:tcPr>
                            <w:tcW w:w="1275" w:type="dxa"/>
                            <w:shd w:val="clear" w:color="auto" w:fill="auto"/>
                            <w:noWrap/>
                            <w:hideMark/>
                          </w:tcPr>
                          <w:p w14:paraId="2577430A"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215 000</w:t>
                            </w:r>
                          </w:p>
                        </w:tc>
                        <w:tc>
                          <w:tcPr>
                            <w:tcW w:w="1276" w:type="dxa"/>
                            <w:shd w:val="clear" w:color="auto" w:fill="auto"/>
                            <w:noWrap/>
                            <w:hideMark/>
                          </w:tcPr>
                          <w:p w14:paraId="6B53ACA6"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1</w:t>
                            </w:r>
                          </w:p>
                        </w:tc>
                      </w:tr>
                      <w:tr w:rsidR="00290CD0" w:rsidRPr="00B42B8A" w14:paraId="3C42B254" w14:textId="77777777" w:rsidTr="008547F7">
                        <w:trPr>
                          <w:trHeight w:val="311"/>
                        </w:trPr>
                        <w:tc>
                          <w:tcPr>
                            <w:tcW w:w="1275" w:type="dxa"/>
                            <w:shd w:val="clear" w:color="auto" w:fill="auto"/>
                            <w:hideMark/>
                          </w:tcPr>
                          <w:p w14:paraId="73135887" w14:textId="77777777" w:rsidR="00290CD0" w:rsidRPr="008B6DFF" w:rsidRDefault="00290CD0" w:rsidP="008547F7">
                            <w:pPr>
                              <w:spacing w:after="0" w:line="240" w:lineRule="auto"/>
                              <w:rPr>
                                <w:rFonts w:ascii="Arial" w:eastAsia="Times New Roman" w:hAnsi="Arial" w:cs="Arial"/>
                                <w:color w:val="000000"/>
                                <w:sz w:val="18"/>
                                <w:szCs w:val="18"/>
                              </w:rPr>
                            </w:pPr>
                            <w:r w:rsidRPr="008B6DFF">
                              <w:rPr>
                                <w:rFonts w:ascii="Arial" w:eastAsia="Times New Roman" w:hAnsi="Arial" w:cs="Arial"/>
                                <w:color w:val="000000"/>
                                <w:sz w:val="18"/>
                                <w:szCs w:val="18"/>
                              </w:rPr>
                              <w:t>Tas</w:t>
                            </w:r>
                          </w:p>
                        </w:tc>
                        <w:tc>
                          <w:tcPr>
                            <w:tcW w:w="1275" w:type="dxa"/>
                            <w:shd w:val="clear" w:color="auto" w:fill="auto"/>
                            <w:hideMark/>
                          </w:tcPr>
                          <w:p w14:paraId="48381B7E" w14:textId="77777777" w:rsidR="00290CD0" w:rsidRPr="0056506B" w:rsidRDefault="00290CD0" w:rsidP="008547F7">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NA</w:t>
                            </w:r>
                          </w:p>
                        </w:tc>
                        <w:tc>
                          <w:tcPr>
                            <w:tcW w:w="1276" w:type="dxa"/>
                            <w:shd w:val="clear" w:color="auto" w:fill="auto"/>
                            <w:hideMark/>
                          </w:tcPr>
                          <w:p w14:paraId="2B83928E" w14:textId="77777777" w:rsidR="00290CD0" w:rsidRPr="0056506B" w:rsidRDefault="00290CD0" w:rsidP="008547F7">
                            <w:pPr>
                              <w:spacing w:after="0" w:line="240" w:lineRule="auto"/>
                              <w:jc w:val="right"/>
                              <w:rPr>
                                <w:rFonts w:ascii="Arial" w:eastAsia="Times New Roman" w:hAnsi="Arial" w:cs="Arial"/>
                                <w:bCs/>
                                <w:color w:val="000000"/>
                                <w:sz w:val="18"/>
                                <w:szCs w:val="18"/>
                              </w:rPr>
                            </w:pPr>
                            <w:r w:rsidRPr="0056506B">
                              <w:rPr>
                                <w:rFonts w:ascii="Arial" w:eastAsia="Times New Roman" w:hAnsi="Arial" w:cs="Arial"/>
                                <w:bCs/>
                                <w:color w:val="000000"/>
                                <w:sz w:val="18"/>
                                <w:szCs w:val="18"/>
                              </w:rPr>
                              <w:t>NA </w:t>
                            </w:r>
                          </w:p>
                        </w:tc>
                        <w:tc>
                          <w:tcPr>
                            <w:tcW w:w="1275" w:type="dxa"/>
                            <w:shd w:val="clear" w:color="auto" w:fill="auto"/>
                            <w:hideMark/>
                          </w:tcPr>
                          <w:p w14:paraId="719A2CFF" w14:textId="77777777" w:rsidR="00290CD0" w:rsidRPr="0056506B" w:rsidRDefault="00290CD0" w:rsidP="008547F7">
                            <w:pPr>
                              <w:spacing w:after="0" w:line="240" w:lineRule="auto"/>
                              <w:jc w:val="right"/>
                              <w:rPr>
                                <w:rFonts w:ascii="Arial" w:eastAsia="Times New Roman" w:hAnsi="Arial" w:cs="Arial"/>
                                <w:bCs/>
                                <w:color w:val="000000"/>
                                <w:sz w:val="18"/>
                                <w:szCs w:val="18"/>
                              </w:rPr>
                            </w:pPr>
                            <w:r w:rsidRPr="0056506B">
                              <w:rPr>
                                <w:rFonts w:ascii="Arial" w:eastAsia="Times New Roman" w:hAnsi="Arial" w:cs="Arial"/>
                                <w:bCs/>
                                <w:color w:val="000000"/>
                                <w:sz w:val="18"/>
                                <w:szCs w:val="18"/>
                              </w:rPr>
                              <w:t> NA</w:t>
                            </w:r>
                          </w:p>
                        </w:tc>
                        <w:tc>
                          <w:tcPr>
                            <w:tcW w:w="1276" w:type="dxa"/>
                            <w:shd w:val="clear" w:color="auto" w:fill="auto"/>
                            <w:hideMark/>
                          </w:tcPr>
                          <w:p w14:paraId="42BD238E" w14:textId="77777777" w:rsidR="00290CD0" w:rsidRPr="0056506B" w:rsidRDefault="00290CD0" w:rsidP="008547F7">
                            <w:pPr>
                              <w:spacing w:after="0" w:line="240" w:lineRule="auto"/>
                              <w:jc w:val="right"/>
                              <w:rPr>
                                <w:rFonts w:ascii="Arial" w:eastAsia="Times New Roman" w:hAnsi="Arial" w:cs="Arial"/>
                                <w:bCs/>
                                <w:color w:val="000000"/>
                                <w:sz w:val="18"/>
                                <w:szCs w:val="18"/>
                              </w:rPr>
                            </w:pPr>
                            <w:r w:rsidRPr="0056506B">
                              <w:rPr>
                                <w:rFonts w:ascii="Arial" w:eastAsia="Times New Roman" w:hAnsi="Arial" w:cs="Arial"/>
                                <w:bCs/>
                                <w:color w:val="000000"/>
                                <w:sz w:val="18"/>
                                <w:szCs w:val="18"/>
                              </w:rPr>
                              <w:t>NA </w:t>
                            </w:r>
                          </w:p>
                        </w:tc>
                        <w:tc>
                          <w:tcPr>
                            <w:tcW w:w="1275" w:type="dxa"/>
                            <w:shd w:val="clear" w:color="auto" w:fill="auto"/>
                            <w:hideMark/>
                          </w:tcPr>
                          <w:p w14:paraId="6D09CE3B" w14:textId="77777777" w:rsidR="00290CD0" w:rsidRPr="00EB07C5" w:rsidRDefault="00290CD0" w:rsidP="008547F7">
                            <w:pPr>
                              <w:spacing w:after="0" w:line="240" w:lineRule="auto"/>
                              <w:jc w:val="right"/>
                              <w:rPr>
                                <w:rFonts w:ascii="Arial" w:eastAsia="Times New Roman" w:hAnsi="Arial" w:cs="Arial"/>
                                <w:color w:val="000000"/>
                                <w:sz w:val="18"/>
                                <w:szCs w:val="18"/>
                              </w:rPr>
                            </w:pPr>
                            <w:r w:rsidRPr="00EB07C5">
                              <w:rPr>
                                <w:rFonts w:ascii="Arial" w:eastAsia="Times New Roman" w:hAnsi="Arial" w:cs="Arial"/>
                                <w:color w:val="000000"/>
                                <w:sz w:val="18"/>
                                <w:szCs w:val="18"/>
                              </w:rPr>
                              <w:t>493 000</w:t>
                            </w:r>
                          </w:p>
                        </w:tc>
                        <w:tc>
                          <w:tcPr>
                            <w:tcW w:w="1276" w:type="dxa"/>
                            <w:shd w:val="clear" w:color="auto" w:fill="auto"/>
                            <w:hideMark/>
                          </w:tcPr>
                          <w:p w14:paraId="2C39B0DC" w14:textId="77777777" w:rsidR="00290CD0" w:rsidRPr="00EB07C5" w:rsidRDefault="00290CD0" w:rsidP="008547F7">
                            <w:pPr>
                              <w:spacing w:after="0" w:line="240" w:lineRule="auto"/>
                              <w:jc w:val="right"/>
                              <w:rPr>
                                <w:rFonts w:ascii="Arial" w:eastAsia="Times New Roman" w:hAnsi="Arial" w:cs="Arial"/>
                                <w:bCs/>
                                <w:color w:val="000000"/>
                                <w:sz w:val="18"/>
                                <w:szCs w:val="18"/>
                              </w:rPr>
                            </w:pPr>
                            <w:r w:rsidRPr="00EB07C5">
                              <w:rPr>
                                <w:rFonts w:ascii="Arial" w:eastAsia="Times New Roman" w:hAnsi="Arial" w:cs="Arial"/>
                                <w:bCs/>
                                <w:color w:val="000000"/>
                                <w:sz w:val="18"/>
                                <w:szCs w:val="18"/>
                              </w:rPr>
                              <w:t>2</w:t>
                            </w:r>
                          </w:p>
                        </w:tc>
                      </w:tr>
                      <w:tr w:rsidR="00290CD0" w:rsidRPr="00B42B8A" w14:paraId="068D3DB6" w14:textId="77777777" w:rsidTr="00290CD0">
                        <w:trPr>
                          <w:trHeight w:val="580"/>
                        </w:trPr>
                        <w:tc>
                          <w:tcPr>
                            <w:tcW w:w="1275" w:type="dxa"/>
                            <w:shd w:val="clear" w:color="auto" w:fill="auto"/>
                          </w:tcPr>
                          <w:p w14:paraId="65C00227" w14:textId="75F11A95" w:rsidR="00290CD0" w:rsidRPr="00C81958" w:rsidRDefault="00290CD0" w:rsidP="008547F7">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National Avg</w:t>
                            </w:r>
                          </w:p>
                        </w:tc>
                        <w:tc>
                          <w:tcPr>
                            <w:tcW w:w="1275" w:type="dxa"/>
                            <w:shd w:val="clear" w:color="auto" w:fill="auto"/>
                          </w:tcPr>
                          <w:p w14:paraId="121F7081" w14:textId="77777777" w:rsidR="00290CD0" w:rsidRPr="00EB07C5" w:rsidRDefault="00290CD0" w:rsidP="008547F7">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2110</w:t>
                            </w:r>
                          </w:p>
                        </w:tc>
                        <w:tc>
                          <w:tcPr>
                            <w:tcW w:w="1276" w:type="dxa"/>
                            <w:shd w:val="clear" w:color="auto" w:fill="auto"/>
                          </w:tcPr>
                          <w:p w14:paraId="5B2BD2A3" w14:textId="77777777" w:rsidR="00290CD0" w:rsidRPr="00EB07C5" w:rsidRDefault="00290CD0" w:rsidP="008547F7">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1036</w:t>
                            </w:r>
                          </w:p>
                        </w:tc>
                        <w:tc>
                          <w:tcPr>
                            <w:tcW w:w="1275" w:type="dxa"/>
                            <w:shd w:val="clear" w:color="auto" w:fill="auto"/>
                          </w:tcPr>
                          <w:p w14:paraId="3B3CA5E2" w14:textId="77777777" w:rsidR="00290CD0" w:rsidRPr="00EB07C5" w:rsidRDefault="00290CD0" w:rsidP="008547F7">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1073</w:t>
                            </w:r>
                          </w:p>
                        </w:tc>
                        <w:tc>
                          <w:tcPr>
                            <w:tcW w:w="1276" w:type="dxa"/>
                            <w:shd w:val="clear" w:color="auto" w:fill="auto"/>
                          </w:tcPr>
                          <w:p w14:paraId="20B4B3CF" w14:textId="77777777" w:rsidR="00290CD0" w:rsidRPr="00EB07C5" w:rsidRDefault="00290CD0" w:rsidP="008547F7">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48</w:t>
                            </w:r>
                          </w:p>
                        </w:tc>
                        <w:tc>
                          <w:tcPr>
                            <w:tcW w:w="1275" w:type="dxa"/>
                            <w:shd w:val="clear" w:color="auto" w:fill="auto"/>
                          </w:tcPr>
                          <w:p w14:paraId="4F62C478" w14:textId="77777777" w:rsidR="00290CD0" w:rsidRPr="00C81958" w:rsidRDefault="00290CD0" w:rsidP="008547F7">
                            <w:pPr>
                              <w:spacing w:after="0" w:line="240" w:lineRule="auto"/>
                              <w:jc w:val="right"/>
                              <w:rPr>
                                <w:rFonts w:ascii="Arial" w:eastAsia="Times New Roman" w:hAnsi="Arial" w:cs="Arial"/>
                                <w:b/>
                                <w:color w:val="000000"/>
                                <w:sz w:val="18"/>
                                <w:szCs w:val="18"/>
                              </w:rPr>
                            </w:pPr>
                          </w:p>
                        </w:tc>
                        <w:tc>
                          <w:tcPr>
                            <w:tcW w:w="1276" w:type="dxa"/>
                            <w:shd w:val="clear" w:color="auto" w:fill="auto"/>
                          </w:tcPr>
                          <w:p w14:paraId="1B18193F" w14:textId="77777777" w:rsidR="00290CD0" w:rsidRPr="00EB07C5" w:rsidRDefault="00290CD0" w:rsidP="008547F7">
                            <w:pPr>
                              <w:spacing w:after="0" w:line="240" w:lineRule="auto"/>
                              <w:jc w:val="right"/>
                              <w:rPr>
                                <w:rFonts w:ascii="Arial" w:eastAsia="Times New Roman" w:hAnsi="Arial" w:cs="Arial"/>
                                <w:bCs/>
                                <w:color w:val="000000"/>
                                <w:sz w:val="18"/>
                                <w:szCs w:val="18"/>
                              </w:rPr>
                            </w:pPr>
                          </w:p>
                        </w:tc>
                      </w:tr>
                    </w:tbl>
                    <w:p w14:paraId="73852EF4" w14:textId="77777777" w:rsidR="00290CD0" w:rsidRDefault="00290CD0" w:rsidP="00030089"/>
                  </w:txbxContent>
                </v:textbox>
              </v:shape>
            </w:pict>
          </mc:Fallback>
        </mc:AlternateContent>
      </w:r>
    </w:p>
    <w:p w14:paraId="17263E96" w14:textId="77777777" w:rsidR="00030089" w:rsidRDefault="00030089" w:rsidP="00030089">
      <w:pPr>
        <w:spacing w:line="360" w:lineRule="auto"/>
        <w:ind w:left="720"/>
        <w:rPr>
          <w:rFonts w:ascii="Arial" w:hAnsi="Arial" w:cs="Arial"/>
          <w:sz w:val="18"/>
          <w:szCs w:val="20"/>
          <w:u w:val="single"/>
        </w:rPr>
      </w:pPr>
    </w:p>
    <w:p w14:paraId="313BBE89" w14:textId="77777777" w:rsidR="00030089" w:rsidRDefault="00030089" w:rsidP="00030089">
      <w:pPr>
        <w:spacing w:line="360" w:lineRule="auto"/>
        <w:ind w:left="720"/>
        <w:rPr>
          <w:rFonts w:ascii="Arial" w:hAnsi="Arial" w:cs="Arial"/>
          <w:sz w:val="18"/>
          <w:szCs w:val="20"/>
          <w:u w:val="single"/>
        </w:rPr>
      </w:pPr>
    </w:p>
    <w:p w14:paraId="5C095087" w14:textId="77777777" w:rsidR="00030089" w:rsidRDefault="00030089" w:rsidP="00030089">
      <w:pPr>
        <w:spacing w:line="360" w:lineRule="auto"/>
        <w:ind w:left="720"/>
        <w:rPr>
          <w:rFonts w:ascii="Arial" w:hAnsi="Arial" w:cs="Arial"/>
          <w:sz w:val="18"/>
          <w:szCs w:val="20"/>
          <w:u w:val="single"/>
        </w:rPr>
      </w:pPr>
    </w:p>
    <w:p w14:paraId="6C63452C" w14:textId="77777777" w:rsidR="00030089" w:rsidRDefault="00030089" w:rsidP="00030089">
      <w:pPr>
        <w:spacing w:line="360" w:lineRule="auto"/>
        <w:ind w:left="720"/>
        <w:rPr>
          <w:rFonts w:ascii="Arial" w:hAnsi="Arial" w:cs="Arial"/>
          <w:sz w:val="18"/>
          <w:szCs w:val="20"/>
          <w:u w:val="single"/>
        </w:rPr>
      </w:pPr>
    </w:p>
    <w:p w14:paraId="3761AC09" w14:textId="77777777" w:rsidR="00030089" w:rsidRDefault="00030089" w:rsidP="00030089">
      <w:pPr>
        <w:spacing w:line="360" w:lineRule="auto"/>
        <w:ind w:left="720"/>
        <w:rPr>
          <w:rFonts w:ascii="Arial" w:hAnsi="Arial" w:cs="Arial"/>
          <w:sz w:val="18"/>
          <w:szCs w:val="20"/>
          <w:u w:val="single"/>
        </w:rPr>
      </w:pPr>
    </w:p>
    <w:p w14:paraId="3911A345" w14:textId="77777777" w:rsidR="00030089" w:rsidRDefault="00030089" w:rsidP="00030089">
      <w:pPr>
        <w:spacing w:line="360" w:lineRule="auto"/>
        <w:ind w:left="720"/>
        <w:rPr>
          <w:rFonts w:ascii="Arial" w:hAnsi="Arial" w:cs="Arial"/>
          <w:sz w:val="18"/>
          <w:szCs w:val="20"/>
          <w:u w:val="single"/>
        </w:rPr>
      </w:pPr>
    </w:p>
    <w:p w14:paraId="74B16B46" w14:textId="77777777" w:rsidR="00030089" w:rsidRDefault="00030089" w:rsidP="00030089">
      <w:pPr>
        <w:spacing w:line="360" w:lineRule="auto"/>
        <w:ind w:left="720"/>
        <w:rPr>
          <w:rFonts w:ascii="Arial" w:hAnsi="Arial" w:cs="Arial"/>
          <w:sz w:val="18"/>
          <w:szCs w:val="20"/>
          <w:u w:val="single"/>
        </w:rPr>
      </w:pPr>
    </w:p>
    <w:p w14:paraId="556D5B22" w14:textId="77777777" w:rsidR="00030089" w:rsidRDefault="00030089" w:rsidP="00030089">
      <w:pPr>
        <w:spacing w:line="360" w:lineRule="auto"/>
        <w:ind w:left="720"/>
        <w:rPr>
          <w:rFonts w:ascii="Arial" w:hAnsi="Arial" w:cs="Arial"/>
          <w:sz w:val="18"/>
          <w:szCs w:val="20"/>
          <w:u w:val="single"/>
        </w:rPr>
      </w:pPr>
    </w:p>
    <w:p w14:paraId="5917358B" w14:textId="77777777" w:rsidR="005342FF" w:rsidRDefault="005342FF" w:rsidP="00030089">
      <w:pPr>
        <w:autoSpaceDE w:val="0"/>
        <w:autoSpaceDN w:val="0"/>
        <w:adjustRightInd w:val="0"/>
        <w:spacing w:after="0" w:line="360" w:lineRule="auto"/>
        <w:jc w:val="both"/>
        <w:rPr>
          <w:rFonts w:ascii="Arial" w:hAnsi="Arial" w:cs="Arial"/>
          <w:szCs w:val="28"/>
        </w:rPr>
      </w:pPr>
    </w:p>
    <w:p w14:paraId="6A6DEA2A" w14:textId="77777777" w:rsidR="005342FF" w:rsidRDefault="005342FF" w:rsidP="00030089">
      <w:pPr>
        <w:autoSpaceDE w:val="0"/>
        <w:autoSpaceDN w:val="0"/>
        <w:adjustRightInd w:val="0"/>
        <w:spacing w:after="0" w:line="360" w:lineRule="auto"/>
        <w:jc w:val="both"/>
        <w:rPr>
          <w:rFonts w:ascii="Arial" w:hAnsi="Arial" w:cs="Arial"/>
          <w:szCs w:val="28"/>
        </w:rPr>
      </w:pPr>
    </w:p>
    <w:p w14:paraId="5F4E072F" w14:textId="77777777" w:rsidR="00030089" w:rsidRDefault="00030089" w:rsidP="00030089">
      <w:pPr>
        <w:autoSpaceDE w:val="0"/>
        <w:autoSpaceDN w:val="0"/>
        <w:adjustRightInd w:val="0"/>
        <w:spacing w:after="0" w:line="360" w:lineRule="auto"/>
        <w:jc w:val="both"/>
        <w:rPr>
          <w:rFonts w:ascii="Arial" w:hAnsi="Arial" w:cs="Arial"/>
          <w:szCs w:val="28"/>
        </w:rPr>
      </w:pPr>
      <w:r>
        <w:rPr>
          <w:rFonts w:ascii="Arial" w:hAnsi="Arial" w:cs="Arial"/>
          <w:szCs w:val="28"/>
        </w:rPr>
        <w:t>Figure 1.1</w:t>
      </w:r>
      <w:r w:rsidRPr="000A299A">
        <w:rPr>
          <w:rFonts w:ascii="Arial" w:hAnsi="Arial" w:cs="Arial"/>
          <w:szCs w:val="28"/>
        </w:rPr>
        <w:t xml:space="preserve"> shows that </w:t>
      </w:r>
      <w:r>
        <w:rPr>
          <w:rFonts w:ascii="Arial" w:hAnsi="Arial" w:cs="Arial"/>
          <w:szCs w:val="28"/>
        </w:rPr>
        <w:t>i</w:t>
      </w:r>
      <w:r w:rsidRPr="000A299A">
        <w:rPr>
          <w:rFonts w:ascii="Arial" w:hAnsi="Arial" w:cs="Arial"/>
          <w:szCs w:val="28"/>
        </w:rPr>
        <w:t>n 2006–07, 181 000 tonnes of waste were</w:t>
      </w:r>
      <w:r>
        <w:rPr>
          <w:rFonts w:ascii="Arial" w:hAnsi="Arial" w:cs="Arial"/>
          <w:szCs w:val="28"/>
        </w:rPr>
        <w:t xml:space="preserve"> </w:t>
      </w:r>
      <w:r w:rsidRPr="000A299A">
        <w:rPr>
          <w:rFonts w:ascii="Arial" w:hAnsi="Arial" w:cs="Arial"/>
          <w:szCs w:val="28"/>
        </w:rPr>
        <w:t xml:space="preserve">generated in the NT, of which </w:t>
      </w:r>
      <w:r>
        <w:rPr>
          <w:rFonts w:ascii="Arial" w:hAnsi="Arial" w:cs="Arial"/>
          <w:szCs w:val="28"/>
        </w:rPr>
        <w:t xml:space="preserve">only </w:t>
      </w:r>
      <w:r w:rsidRPr="000A299A">
        <w:rPr>
          <w:rFonts w:ascii="Arial" w:hAnsi="Arial" w:cs="Arial"/>
          <w:szCs w:val="28"/>
        </w:rPr>
        <w:t>30 000 tonnes (17%)</w:t>
      </w:r>
      <w:r>
        <w:rPr>
          <w:rFonts w:ascii="Arial" w:hAnsi="Arial" w:cs="Arial"/>
          <w:szCs w:val="28"/>
        </w:rPr>
        <w:t xml:space="preserve"> </w:t>
      </w:r>
      <w:r w:rsidRPr="000A299A">
        <w:rPr>
          <w:rFonts w:ascii="Arial" w:hAnsi="Arial" w:cs="Arial"/>
          <w:szCs w:val="28"/>
        </w:rPr>
        <w:t>were recycled</w:t>
      </w:r>
      <w:r>
        <w:rPr>
          <w:rFonts w:ascii="Arial" w:hAnsi="Arial" w:cs="Arial"/>
          <w:szCs w:val="28"/>
        </w:rPr>
        <w:t>,</w:t>
      </w:r>
      <w:r w:rsidRPr="000A299A">
        <w:rPr>
          <w:rFonts w:ascii="Arial" w:hAnsi="Arial" w:cs="Arial"/>
          <w:szCs w:val="28"/>
        </w:rPr>
        <w:t xml:space="preserve"> 151 000 tonnes (83%)</w:t>
      </w:r>
      <w:r>
        <w:rPr>
          <w:rFonts w:ascii="Arial" w:hAnsi="Arial" w:cs="Arial"/>
          <w:szCs w:val="28"/>
        </w:rPr>
        <w:t xml:space="preserve"> was</w:t>
      </w:r>
      <w:r w:rsidRPr="000A299A">
        <w:rPr>
          <w:rFonts w:ascii="Arial" w:hAnsi="Arial" w:cs="Arial"/>
          <w:szCs w:val="28"/>
        </w:rPr>
        <w:t xml:space="preserve"> disposed</w:t>
      </w:r>
      <w:r>
        <w:rPr>
          <w:rFonts w:ascii="Arial" w:hAnsi="Arial" w:cs="Arial"/>
          <w:szCs w:val="28"/>
        </w:rPr>
        <w:t xml:space="preserve"> </w:t>
      </w:r>
      <w:r w:rsidRPr="000A299A">
        <w:rPr>
          <w:rFonts w:ascii="Arial" w:hAnsi="Arial" w:cs="Arial"/>
          <w:szCs w:val="28"/>
        </w:rPr>
        <w:t>to landfill</w:t>
      </w:r>
      <w:r>
        <w:rPr>
          <w:rStyle w:val="FootnoteReference"/>
          <w:rFonts w:ascii="Arial" w:hAnsi="Arial"/>
          <w:szCs w:val="28"/>
        </w:rPr>
        <w:footnoteReference w:id="5"/>
      </w:r>
      <w:r w:rsidRPr="000A299A">
        <w:rPr>
          <w:rFonts w:ascii="Arial" w:hAnsi="Arial" w:cs="Arial"/>
          <w:szCs w:val="28"/>
        </w:rPr>
        <w:t>.</w:t>
      </w:r>
    </w:p>
    <w:p w14:paraId="15BD30D7" w14:textId="77777777" w:rsidR="005342FF" w:rsidRDefault="005342FF" w:rsidP="00030089">
      <w:pPr>
        <w:autoSpaceDE w:val="0"/>
        <w:autoSpaceDN w:val="0"/>
        <w:adjustRightInd w:val="0"/>
        <w:spacing w:after="0" w:line="360" w:lineRule="auto"/>
        <w:jc w:val="both"/>
        <w:rPr>
          <w:rFonts w:ascii="Arial" w:hAnsi="Arial" w:cs="Arial"/>
          <w:szCs w:val="28"/>
        </w:rPr>
      </w:pPr>
    </w:p>
    <w:p w14:paraId="0F84C09A"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3" w:name="_Toc353562485"/>
      <w:r w:rsidR="00740026">
        <w:rPr>
          <w:noProof/>
          <w:color w:val="auto"/>
        </w:rPr>
        <w:t>4</w:t>
      </w:r>
      <w:r w:rsidRPr="00682556">
        <w:rPr>
          <w:noProof/>
          <w:color w:val="auto"/>
        </w:rPr>
        <w:fldChar w:fldCharType="end"/>
      </w:r>
      <w:r w:rsidRPr="00682556">
        <w:rPr>
          <w:noProof/>
          <w:color w:val="auto"/>
        </w:rPr>
        <w:t xml:space="preserve"> Figure 1.1: NT Waste generated, recycled and landfilled, 2006-7</w:t>
      </w:r>
      <w:bookmarkEnd w:id="23"/>
    </w:p>
    <w:p w14:paraId="72DD99C7" w14:textId="77777777" w:rsidR="00030089" w:rsidRPr="000A299A" w:rsidRDefault="00030089" w:rsidP="00030089">
      <w:pPr>
        <w:pStyle w:val="Caption"/>
        <w:rPr>
          <w:rFonts w:ascii="Arial" w:hAnsi="Arial" w:cs="Arial"/>
          <w:szCs w:val="28"/>
        </w:rPr>
      </w:pPr>
    </w:p>
    <w:p w14:paraId="3A614C39" w14:textId="77777777" w:rsidR="00030089" w:rsidRDefault="00030089" w:rsidP="00030089">
      <w:pPr>
        <w:pStyle w:val="Default"/>
      </w:pPr>
      <w:r>
        <w:rPr>
          <w:noProof/>
          <w:lang w:val="en-AU" w:bidi="ar-SA"/>
        </w:rPr>
        <w:drawing>
          <wp:inline distT="0" distB="0" distL="0" distR="0" wp14:anchorId="7DA6697B" wp14:editId="74297E88">
            <wp:extent cx="3617595" cy="2226310"/>
            <wp:effectExtent l="19050" t="0" r="190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617595" cy="2226310"/>
                    </a:xfrm>
                    <a:prstGeom prst="rect">
                      <a:avLst/>
                    </a:prstGeom>
                    <a:noFill/>
                    <a:ln w="9525">
                      <a:noFill/>
                      <a:miter lim="800000"/>
                      <a:headEnd/>
                      <a:tailEnd/>
                    </a:ln>
                  </pic:spPr>
                </pic:pic>
              </a:graphicData>
            </a:graphic>
          </wp:inline>
        </w:drawing>
      </w:r>
    </w:p>
    <w:p w14:paraId="41B5F3F5" w14:textId="77777777" w:rsidR="00030089" w:rsidRDefault="00030089" w:rsidP="00030089">
      <w:pPr>
        <w:pStyle w:val="Default"/>
      </w:pPr>
    </w:p>
    <w:p w14:paraId="7C5CE241" w14:textId="77777777" w:rsidR="00030089" w:rsidRDefault="00030089" w:rsidP="00030089">
      <w:pPr>
        <w:pStyle w:val="Default"/>
      </w:pPr>
    </w:p>
    <w:p w14:paraId="1260D92B" w14:textId="77777777" w:rsidR="00030089" w:rsidRDefault="00030089" w:rsidP="00030089">
      <w:pPr>
        <w:pStyle w:val="ListParagraph"/>
        <w:keepNext/>
        <w:numPr>
          <w:ilvl w:val="2"/>
          <w:numId w:val="3"/>
        </w:numPr>
        <w:spacing w:after="200" w:line="360" w:lineRule="auto"/>
        <w:ind w:hanging="788"/>
        <w:outlineLvl w:val="2"/>
        <w:rPr>
          <w:rFonts w:ascii="Arial" w:hAnsi="Arial" w:cs="Arial"/>
          <w:b/>
          <w:szCs w:val="28"/>
        </w:rPr>
      </w:pPr>
      <w:bookmarkStart w:id="24" w:name="_Toc353562538"/>
      <w:bookmarkStart w:id="25" w:name="_Toc347315442"/>
      <w:r w:rsidRPr="003711AA">
        <w:rPr>
          <w:rFonts w:ascii="Arial" w:hAnsi="Arial" w:cs="Arial"/>
          <w:b/>
          <w:szCs w:val="28"/>
        </w:rPr>
        <w:lastRenderedPageBreak/>
        <w:t xml:space="preserve">Recycling of </w:t>
      </w:r>
      <w:r>
        <w:rPr>
          <w:rFonts w:ascii="Arial" w:hAnsi="Arial" w:cs="Arial"/>
          <w:b/>
          <w:szCs w:val="28"/>
        </w:rPr>
        <w:t>B</w:t>
      </w:r>
      <w:r w:rsidRPr="003711AA">
        <w:rPr>
          <w:rFonts w:ascii="Arial" w:hAnsi="Arial" w:cs="Arial"/>
          <w:b/>
          <w:szCs w:val="28"/>
        </w:rPr>
        <w:t xml:space="preserve">everage </w:t>
      </w:r>
      <w:r>
        <w:rPr>
          <w:rFonts w:ascii="Arial" w:hAnsi="Arial" w:cs="Arial"/>
          <w:b/>
          <w:szCs w:val="28"/>
        </w:rPr>
        <w:t>C</w:t>
      </w:r>
      <w:r w:rsidRPr="003711AA">
        <w:rPr>
          <w:rFonts w:ascii="Arial" w:hAnsi="Arial" w:cs="Arial"/>
          <w:b/>
          <w:szCs w:val="28"/>
        </w:rPr>
        <w:t>ontainers</w:t>
      </w:r>
      <w:bookmarkEnd w:id="24"/>
      <w:r w:rsidRPr="003711AA">
        <w:rPr>
          <w:rFonts w:ascii="Arial" w:hAnsi="Arial" w:cs="Arial"/>
          <w:b/>
          <w:szCs w:val="28"/>
        </w:rPr>
        <w:t xml:space="preserve"> </w:t>
      </w:r>
      <w:bookmarkEnd w:id="25"/>
    </w:p>
    <w:p w14:paraId="2877FC59" w14:textId="77777777" w:rsidR="00030089" w:rsidRDefault="00030089" w:rsidP="00030089">
      <w:pPr>
        <w:spacing w:line="360" w:lineRule="auto"/>
        <w:jc w:val="both"/>
        <w:rPr>
          <w:rFonts w:ascii="Arial" w:hAnsi="Arial" w:cs="Arial"/>
          <w:szCs w:val="28"/>
        </w:rPr>
      </w:pPr>
      <w:r>
        <w:rPr>
          <w:rFonts w:ascii="Arial" w:hAnsi="Arial" w:cs="Arial"/>
          <w:szCs w:val="28"/>
        </w:rPr>
        <w:t>T</w:t>
      </w:r>
      <w:r w:rsidRPr="00C67089">
        <w:rPr>
          <w:rFonts w:ascii="Arial" w:hAnsi="Arial" w:cs="Arial"/>
          <w:szCs w:val="28"/>
        </w:rPr>
        <w:t xml:space="preserve">he Packaging Stewardship Forum of the Australian Food and Grocery Council </w:t>
      </w:r>
      <w:r>
        <w:rPr>
          <w:rFonts w:ascii="Arial" w:hAnsi="Arial" w:cs="Arial"/>
          <w:szCs w:val="28"/>
        </w:rPr>
        <w:t>estimated</w:t>
      </w:r>
      <w:r w:rsidRPr="00C67089">
        <w:rPr>
          <w:rFonts w:ascii="Arial" w:hAnsi="Arial" w:cs="Arial"/>
          <w:szCs w:val="28"/>
        </w:rPr>
        <w:t xml:space="preserve"> </w:t>
      </w:r>
      <w:r>
        <w:rPr>
          <w:rFonts w:ascii="Arial" w:hAnsi="Arial" w:cs="Arial"/>
          <w:szCs w:val="28"/>
        </w:rPr>
        <w:t xml:space="preserve">that </w:t>
      </w:r>
      <w:r w:rsidRPr="00C67089">
        <w:rPr>
          <w:rFonts w:ascii="Arial" w:hAnsi="Arial" w:cs="Arial"/>
          <w:szCs w:val="28"/>
        </w:rPr>
        <w:t>the Australian beverage container recycling rate in 2006-7 was 47</w:t>
      </w:r>
      <w:r>
        <w:rPr>
          <w:rFonts w:ascii="Arial" w:hAnsi="Arial" w:cs="Arial"/>
          <w:szCs w:val="28"/>
        </w:rPr>
        <w:t xml:space="preserve"> per cent</w:t>
      </w:r>
      <w:r w:rsidRPr="00C67089">
        <w:rPr>
          <w:rStyle w:val="FootnoteReference"/>
          <w:rFonts w:ascii="Arial" w:hAnsi="Arial" w:cs="Arial"/>
          <w:szCs w:val="28"/>
        </w:rPr>
        <w:footnoteReference w:id="6"/>
      </w:r>
      <w:r>
        <w:rPr>
          <w:rFonts w:ascii="Arial" w:hAnsi="Arial" w:cs="Arial"/>
          <w:szCs w:val="28"/>
        </w:rPr>
        <w:t>.</w:t>
      </w:r>
    </w:p>
    <w:p w14:paraId="1E189EE0" w14:textId="77777777" w:rsidR="00030089" w:rsidRPr="005C71C0" w:rsidRDefault="00030089" w:rsidP="00030089">
      <w:pPr>
        <w:spacing w:line="360" w:lineRule="auto"/>
        <w:jc w:val="both"/>
        <w:rPr>
          <w:rFonts w:ascii="Arial" w:hAnsi="Arial" w:cs="Arial"/>
          <w:szCs w:val="28"/>
        </w:rPr>
      </w:pPr>
      <w:r w:rsidRPr="005C71C0">
        <w:rPr>
          <w:rFonts w:ascii="Arial" w:hAnsi="Arial" w:cs="Arial"/>
          <w:szCs w:val="28"/>
        </w:rPr>
        <w:t>No raw data exists on the annual recycling rate for beverage containers in the NT prior to the introduction of the NT CDS. To determine this it is necessary to:</w:t>
      </w:r>
    </w:p>
    <w:p w14:paraId="3193C839" w14:textId="77777777" w:rsidR="00030089" w:rsidRPr="005C71C0" w:rsidRDefault="00030089" w:rsidP="00030089">
      <w:pPr>
        <w:pStyle w:val="Header"/>
        <w:spacing w:after="120" w:line="360" w:lineRule="auto"/>
        <w:ind w:left="720"/>
        <w:jc w:val="both"/>
        <w:rPr>
          <w:rFonts w:ascii="Arial" w:hAnsi="Arial" w:cs="Arial"/>
          <w:szCs w:val="28"/>
        </w:rPr>
      </w:pPr>
      <w:r w:rsidRPr="002175EA">
        <w:rPr>
          <w:rFonts w:ascii="Arial" w:hAnsi="Arial" w:cs="Arial"/>
          <w:b/>
          <w:szCs w:val="28"/>
        </w:rPr>
        <w:t>Step 1</w:t>
      </w:r>
      <w:r w:rsidRPr="005C71C0">
        <w:rPr>
          <w:rFonts w:ascii="Arial" w:hAnsi="Arial" w:cs="Arial"/>
          <w:szCs w:val="28"/>
        </w:rPr>
        <w:t xml:space="preserve">: </w:t>
      </w:r>
      <w:r>
        <w:rPr>
          <w:rFonts w:ascii="Arial" w:hAnsi="Arial" w:cs="Arial"/>
          <w:szCs w:val="28"/>
        </w:rPr>
        <w:t>f</w:t>
      </w:r>
      <w:r w:rsidRPr="005C71C0">
        <w:rPr>
          <w:rFonts w:ascii="Arial" w:hAnsi="Arial" w:cs="Arial"/>
          <w:szCs w:val="28"/>
        </w:rPr>
        <w:t>ilter out beverage containers from overall NT recycling data;</w:t>
      </w:r>
      <w:r>
        <w:rPr>
          <w:rFonts w:ascii="Arial" w:hAnsi="Arial" w:cs="Arial"/>
          <w:szCs w:val="28"/>
        </w:rPr>
        <w:t xml:space="preserve"> and</w:t>
      </w:r>
    </w:p>
    <w:p w14:paraId="0D750C2D" w14:textId="77777777" w:rsidR="00030089" w:rsidRDefault="00030089" w:rsidP="00030089">
      <w:pPr>
        <w:pStyle w:val="Header"/>
        <w:spacing w:after="120" w:line="360" w:lineRule="auto"/>
        <w:ind w:left="720"/>
        <w:jc w:val="both"/>
        <w:rPr>
          <w:rFonts w:ascii="Arial" w:hAnsi="Arial" w:cs="Arial"/>
          <w:szCs w:val="28"/>
        </w:rPr>
      </w:pPr>
      <w:r w:rsidRPr="002175EA">
        <w:rPr>
          <w:rFonts w:ascii="Arial" w:hAnsi="Arial" w:cs="Arial"/>
          <w:b/>
          <w:szCs w:val="28"/>
        </w:rPr>
        <w:t>Step 2:</w:t>
      </w:r>
      <w:r w:rsidRPr="005C71C0">
        <w:rPr>
          <w:rFonts w:ascii="Arial" w:hAnsi="Arial" w:cs="Arial"/>
          <w:szCs w:val="28"/>
        </w:rPr>
        <w:t xml:space="preserve"> </w:t>
      </w:r>
      <w:r>
        <w:rPr>
          <w:rFonts w:ascii="Arial" w:hAnsi="Arial" w:cs="Arial"/>
          <w:szCs w:val="28"/>
        </w:rPr>
        <w:t>e</w:t>
      </w:r>
      <w:r w:rsidRPr="005C71C0">
        <w:rPr>
          <w:rFonts w:ascii="Arial" w:hAnsi="Arial" w:cs="Arial"/>
          <w:szCs w:val="28"/>
        </w:rPr>
        <w:t xml:space="preserve">xpress annual tonnes </w:t>
      </w:r>
      <w:r>
        <w:rPr>
          <w:rFonts w:ascii="Arial" w:hAnsi="Arial" w:cs="Arial"/>
          <w:szCs w:val="28"/>
        </w:rPr>
        <w:t xml:space="preserve">of beverage containers </w:t>
      </w:r>
      <w:r w:rsidRPr="005C71C0">
        <w:rPr>
          <w:rFonts w:ascii="Arial" w:hAnsi="Arial" w:cs="Arial"/>
          <w:szCs w:val="28"/>
        </w:rPr>
        <w:t>recycled as a percentage of annual sales.</w:t>
      </w:r>
    </w:p>
    <w:p w14:paraId="5E60C92D" w14:textId="77777777" w:rsidR="00030089" w:rsidRPr="00115A1D" w:rsidRDefault="00030089" w:rsidP="00030089">
      <w:pPr>
        <w:pStyle w:val="Header"/>
        <w:spacing w:after="120" w:line="360" w:lineRule="auto"/>
        <w:ind w:left="720"/>
        <w:jc w:val="both"/>
        <w:rPr>
          <w:rFonts w:ascii="Arial" w:hAnsi="Arial" w:cs="Arial"/>
          <w:color w:val="0070C0"/>
          <w:szCs w:val="28"/>
        </w:rPr>
      </w:pPr>
    </w:p>
    <w:p w14:paraId="4212B158" w14:textId="77777777" w:rsidR="00030089" w:rsidRPr="00F7202A" w:rsidRDefault="00030089" w:rsidP="00030089">
      <w:pPr>
        <w:pStyle w:val="Header"/>
        <w:spacing w:after="120" w:line="360" w:lineRule="auto"/>
        <w:jc w:val="both"/>
        <w:rPr>
          <w:rFonts w:ascii="Arial" w:hAnsi="Arial" w:cs="Arial"/>
          <w:szCs w:val="28"/>
        </w:rPr>
      </w:pPr>
      <w:r w:rsidRPr="005C71C0">
        <w:rPr>
          <w:rFonts w:ascii="Arial" w:hAnsi="Arial" w:cs="Arial"/>
          <w:b/>
          <w:szCs w:val="28"/>
        </w:rPr>
        <w:t>Step 1.</w:t>
      </w:r>
      <w:r w:rsidRPr="005C71C0">
        <w:rPr>
          <w:rFonts w:ascii="Arial" w:hAnsi="Arial" w:cs="Arial"/>
          <w:szCs w:val="28"/>
        </w:rPr>
        <w:t xml:space="preserve"> Table 1</w:t>
      </w:r>
      <w:r>
        <w:rPr>
          <w:rFonts w:ascii="Arial" w:hAnsi="Arial" w:cs="Arial"/>
          <w:szCs w:val="28"/>
        </w:rPr>
        <w:t>.2</w:t>
      </w:r>
      <w:r w:rsidRPr="005C71C0">
        <w:rPr>
          <w:rFonts w:ascii="Arial" w:hAnsi="Arial" w:cs="Arial"/>
          <w:szCs w:val="28"/>
        </w:rPr>
        <w:t xml:space="preserve"> represents the most accurate picture available of packaging</w:t>
      </w:r>
      <w:r w:rsidRPr="005C71C0">
        <w:rPr>
          <w:rFonts w:ascii="Arial" w:hAnsi="Arial" w:cs="Arial"/>
          <w:i/>
          <w:szCs w:val="28"/>
        </w:rPr>
        <w:t xml:space="preserve"> </w:t>
      </w:r>
      <w:r w:rsidRPr="005C71C0">
        <w:rPr>
          <w:rFonts w:ascii="Arial" w:hAnsi="Arial" w:cs="Arial"/>
          <w:szCs w:val="28"/>
        </w:rPr>
        <w:t>recycling in the N</w:t>
      </w:r>
      <w:r>
        <w:rPr>
          <w:rFonts w:ascii="Arial" w:hAnsi="Arial" w:cs="Arial"/>
          <w:szCs w:val="28"/>
        </w:rPr>
        <w:t>T</w:t>
      </w:r>
      <w:r w:rsidRPr="005C71C0">
        <w:rPr>
          <w:rFonts w:ascii="Arial" w:hAnsi="Arial" w:cs="Arial"/>
          <w:szCs w:val="28"/>
        </w:rPr>
        <w:t xml:space="preserve"> prior to the implementation of the C</w:t>
      </w:r>
      <w:r>
        <w:rPr>
          <w:rFonts w:ascii="Arial" w:hAnsi="Arial" w:cs="Arial"/>
          <w:szCs w:val="28"/>
        </w:rPr>
        <w:t>DS</w:t>
      </w:r>
      <w:r w:rsidRPr="005C71C0">
        <w:rPr>
          <w:rStyle w:val="FootnoteReference"/>
          <w:rFonts w:ascii="Arial" w:hAnsi="Arial" w:cs="Arial"/>
          <w:szCs w:val="28"/>
        </w:rPr>
        <w:footnoteReference w:id="7"/>
      </w:r>
      <w:r w:rsidRPr="005C71C0">
        <w:rPr>
          <w:rFonts w:ascii="Arial" w:hAnsi="Arial" w:cs="Arial"/>
          <w:szCs w:val="28"/>
        </w:rPr>
        <w:t>. These figures include non beverage container packaging</w:t>
      </w:r>
      <w:r w:rsidRPr="005C71C0">
        <w:rPr>
          <w:rStyle w:val="FootnoteReference"/>
          <w:rFonts w:ascii="Arial" w:hAnsi="Arial" w:cs="Arial"/>
          <w:szCs w:val="28"/>
        </w:rPr>
        <w:footnoteReference w:id="8"/>
      </w:r>
      <w:r w:rsidRPr="005C71C0">
        <w:rPr>
          <w:rFonts w:ascii="Arial" w:hAnsi="Arial" w:cs="Arial"/>
          <w:szCs w:val="28"/>
        </w:rPr>
        <w:t xml:space="preserve">. </w:t>
      </w:r>
    </w:p>
    <w:p w14:paraId="622A4952"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6" w:name="_Toc353562486"/>
      <w:r w:rsidR="00740026">
        <w:rPr>
          <w:noProof/>
          <w:color w:val="auto"/>
        </w:rPr>
        <w:t>5</w:t>
      </w:r>
      <w:r w:rsidRPr="00682556">
        <w:rPr>
          <w:noProof/>
          <w:color w:val="auto"/>
        </w:rPr>
        <w:fldChar w:fldCharType="end"/>
      </w:r>
      <w:r w:rsidRPr="00682556">
        <w:rPr>
          <w:noProof/>
          <w:color w:val="auto"/>
        </w:rPr>
        <w:t xml:space="preserve"> Table 1.2: NT waste recovery (from NEPC Annual Report 2010/11)</w:t>
      </w:r>
      <w:bookmarkEnd w:id="26"/>
    </w:p>
    <w:tbl>
      <w:tblPr>
        <w:tblW w:w="5528"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410"/>
        <w:gridCol w:w="3118"/>
      </w:tblGrid>
      <w:tr w:rsidR="00030089" w:rsidRPr="002175EA" w14:paraId="7E194B7B" w14:textId="77777777" w:rsidTr="008547F7">
        <w:trPr>
          <w:trHeight w:val="300"/>
        </w:trPr>
        <w:tc>
          <w:tcPr>
            <w:tcW w:w="2410" w:type="dxa"/>
            <w:tcBorders>
              <w:top w:val="single" w:sz="4" w:space="0" w:color="auto"/>
              <w:bottom w:val="single" w:sz="6" w:space="0" w:color="auto"/>
            </w:tcBorders>
            <w:shd w:val="pct10" w:color="auto" w:fill="auto"/>
            <w:noWrap/>
            <w:vAlign w:val="center"/>
            <w:hideMark/>
          </w:tcPr>
          <w:p w14:paraId="0B4BAC27" w14:textId="77777777" w:rsidR="00030089" w:rsidRPr="002175EA" w:rsidRDefault="00030089" w:rsidP="008547F7">
            <w:pPr>
              <w:spacing w:after="0" w:line="240" w:lineRule="auto"/>
              <w:rPr>
                <w:rFonts w:ascii="Arial" w:eastAsia="Times New Roman" w:hAnsi="Arial" w:cs="Arial"/>
                <w:b/>
                <w:color w:val="000000"/>
                <w:sz w:val="18"/>
                <w:szCs w:val="18"/>
              </w:rPr>
            </w:pPr>
            <w:r w:rsidRPr="002175EA">
              <w:rPr>
                <w:rFonts w:ascii="Arial" w:eastAsia="Times New Roman" w:hAnsi="Arial" w:cs="Arial"/>
                <w:b/>
                <w:color w:val="000000"/>
                <w:sz w:val="18"/>
                <w:szCs w:val="18"/>
              </w:rPr>
              <w:t>Materials</w:t>
            </w:r>
          </w:p>
          <w:p w14:paraId="71181414" w14:textId="77777777" w:rsidR="00030089" w:rsidRPr="002175EA" w:rsidRDefault="00030089" w:rsidP="008547F7">
            <w:pPr>
              <w:spacing w:after="0" w:line="240" w:lineRule="auto"/>
              <w:rPr>
                <w:rFonts w:ascii="Arial" w:eastAsia="Times New Roman" w:hAnsi="Arial" w:cs="Arial"/>
                <w:b/>
                <w:color w:val="000000"/>
                <w:sz w:val="18"/>
                <w:szCs w:val="18"/>
              </w:rPr>
            </w:pPr>
          </w:p>
        </w:tc>
        <w:tc>
          <w:tcPr>
            <w:tcW w:w="3118" w:type="dxa"/>
            <w:tcBorders>
              <w:top w:val="single" w:sz="4" w:space="0" w:color="auto"/>
              <w:bottom w:val="single" w:sz="6" w:space="0" w:color="auto"/>
            </w:tcBorders>
            <w:shd w:val="pct10" w:color="auto" w:fill="auto"/>
            <w:noWrap/>
            <w:vAlign w:val="center"/>
            <w:hideMark/>
          </w:tcPr>
          <w:p w14:paraId="43C74125" w14:textId="77777777" w:rsidR="00030089" w:rsidRPr="002175EA" w:rsidRDefault="00030089" w:rsidP="008547F7">
            <w:pPr>
              <w:spacing w:after="0" w:line="240" w:lineRule="auto"/>
              <w:jc w:val="right"/>
              <w:rPr>
                <w:rFonts w:ascii="Arial" w:eastAsia="Times New Roman" w:hAnsi="Arial" w:cs="Arial"/>
                <w:b/>
                <w:color w:val="000000"/>
                <w:sz w:val="18"/>
                <w:szCs w:val="18"/>
              </w:rPr>
            </w:pPr>
            <w:r w:rsidRPr="002175EA">
              <w:rPr>
                <w:rFonts w:ascii="Arial" w:eastAsia="Times New Roman" w:hAnsi="Arial" w:cs="Arial"/>
                <w:b/>
                <w:color w:val="000000"/>
                <w:sz w:val="18"/>
                <w:szCs w:val="18"/>
              </w:rPr>
              <w:t xml:space="preserve">Recovery by </w:t>
            </w:r>
            <w:r>
              <w:rPr>
                <w:rFonts w:ascii="Arial" w:eastAsia="Times New Roman" w:hAnsi="Arial" w:cs="Arial"/>
                <w:b/>
                <w:color w:val="000000"/>
                <w:sz w:val="18"/>
                <w:szCs w:val="18"/>
              </w:rPr>
              <w:t>k</w:t>
            </w:r>
            <w:r w:rsidRPr="002175EA">
              <w:rPr>
                <w:rFonts w:ascii="Arial" w:eastAsia="Times New Roman" w:hAnsi="Arial" w:cs="Arial"/>
                <w:b/>
                <w:color w:val="000000"/>
                <w:sz w:val="18"/>
                <w:szCs w:val="18"/>
              </w:rPr>
              <w:t>erbside in NT</w:t>
            </w:r>
            <w:r>
              <w:rPr>
                <w:rFonts w:ascii="Arial" w:eastAsia="Times New Roman" w:hAnsi="Arial" w:cs="Arial"/>
                <w:b/>
                <w:color w:val="000000"/>
                <w:sz w:val="18"/>
                <w:szCs w:val="18"/>
              </w:rPr>
              <w:t xml:space="preserve"> </w:t>
            </w:r>
            <w:r w:rsidRPr="002175EA">
              <w:rPr>
                <w:rFonts w:ascii="Arial" w:eastAsia="Times New Roman" w:hAnsi="Arial" w:cs="Arial"/>
                <w:b/>
                <w:color w:val="000000"/>
                <w:sz w:val="18"/>
                <w:szCs w:val="18"/>
              </w:rPr>
              <w:t xml:space="preserve">(tonnes) </w:t>
            </w:r>
          </w:p>
          <w:p w14:paraId="4E1B0846" w14:textId="77777777" w:rsidR="00030089" w:rsidRPr="002175EA" w:rsidRDefault="00030089" w:rsidP="008547F7">
            <w:pPr>
              <w:spacing w:after="0" w:line="240" w:lineRule="auto"/>
              <w:jc w:val="right"/>
              <w:rPr>
                <w:rFonts w:ascii="Arial" w:eastAsia="Times New Roman" w:hAnsi="Arial" w:cs="Arial"/>
                <w:b/>
                <w:color w:val="000000"/>
                <w:sz w:val="18"/>
                <w:szCs w:val="18"/>
              </w:rPr>
            </w:pPr>
          </w:p>
        </w:tc>
      </w:tr>
      <w:tr w:rsidR="00030089" w:rsidRPr="005C71C0" w14:paraId="019250E0" w14:textId="77777777" w:rsidTr="008547F7">
        <w:trPr>
          <w:trHeight w:val="300"/>
        </w:trPr>
        <w:tc>
          <w:tcPr>
            <w:tcW w:w="2410" w:type="dxa"/>
            <w:tcBorders>
              <w:top w:val="single" w:sz="6" w:space="0" w:color="auto"/>
            </w:tcBorders>
            <w:shd w:val="clear" w:color="auto" w:fill="auto"/>
            <w:noWrap/>
            <w:vAlign w:val="center"/>
            <w:hideMark/>
          </w:tcPr>
          <w:p w14:paraId="2B7196A9" w14:textId="77777777" w:rsidR="00030089" w:rsidRPr="005C71C0" w:rsidRDefault="00030089" w:rsidP="008547F7">
            <w:pPr>
              <w:spacing w:after="0" w:line="240" w:lineRule="auto"/>
              <w:rPr>
                <w:rFonts w:ascii="Arial" w:eastAsia="Times New Roman" w:hAnsi="Arial" w:cs="Arial"/>
                <w:sz w:val="20"/>
                <w:szCs w:val="20"/>
              </w:rPr>
            </w:pPr>
            <w:r>
              <w:rPr>
                <w:rFonts w:ascii="Arial" w:eastAsia="Times New Roman" w:hAnsi="Arial" w:cs="Arial"/>
                <w:sz w:val="18"/>
                <w:szCs w:val="20"/>
              </w:rPr>
              <w:t>Paper</w:t>
            </w:r>
          </w:p>
        </w:tc>
        <w:tc>
          <w:tcPr>
            <w:tcW w:w="3118" w:type="dxa"/>
            <w:tcBorders>
              <w:top w:val="single" w:sz="6" w:space="0" w:color="auto"/>
            </w:tcBorders>
            <w:shd w:val="clear" w:color="auto" w:fill="auto"/>
            <w:noWrap/>
            <w:vAlign w:val="center"/>
            <w:hideMark/>
          </w:tcPr>
          <w:p w14:paraId="3FAD974E" w14:textId="77777777" w:rsidR="00030089" w:rsidRPr="005C71C0" w:rsidRDefault="00030089" w:rsidP="008547F7">
            <w:pPr>
              <w:spacing w:after="0" w:line="240" w:lineRule="auto"/>
              <w:jc w:val="right"/>
              <w:rPr>
                <w:rFonts w:ascii="Arial" w:eastAsia="Times New Roman" w:hAnsi="Arial" w:cs="Arial"/>
                <w:sz w:val="18"/>
                <w:szCs w:val="20"/>
              </w:rPr>
            </w:pPr>
            <w:r w:rsidRPr="005C71C0">
              <w:rPr>
                <w:rFonts w:ascii="Arial" w:eastAsia="Times New Roman" w:hAnsi="Arial" w:cs="Arial"/>
                <w:sz w:val="18"/>
                <w:szCs w:val="20"/>
              </w:rPr>
              <w:t>3</w:t>
            </w:r>
            <w:r>
              <w:rPr>
                <w:rFonts w:ascii="Arial" w:eastAsia="Times New Roman" w:hAnsi="Arial" w:cs="Arial"/>
                <w:sz w:val="18"/>
                <w:szCs w:val="20"/>
              </w:rPr>
              <w:t xml:space="preserve"> </w:t>
            </w:r>
            <w:r w:rsidRPr="005C71C0">
              <w:rPr>
                <w:rFonts w:ascii="Arial" w:eastAsia="Times New Roman" w:hAnsi="Arial" w:cs="Arial"/>
                <w:sz w:val="18"/>
                <w:szCs w:val="20"/>
              </w:rPr>
              <w:t>376</w:t>
            </w:r>
          </w:p>
        </w:tc>
      </w:tr>
      <w:tr w:rsidR="00030089" w:rsidRPr="005C71C0" w14:paraId="3F6281FE" w14:textId="77777777" w:rsidTr="008547F7">
        <w:trPr>
          <w:trHeight w:val="300"/>
        </w:trPr>
        <w:tc>
          <w:tcPr>
            <w:tcW w:w="2410" w:type="dxa"/>
            <w:shd w:val="clear" w:color="auto" w:fill="auto"/>
            <w:noWrap/>
            <w:vAlign w:val="center"/>
            <w:hideMark/>
          </w:tcPr>
          <w:p w14:paraId="65354411" w14:textId="77777777" w:rsidR="00030089" w:rsidRPr="005C71C0" w:rsidRDefault="00030089" w:rsidP="008547F7">
            <w:pPr>
              <w:spacing w:after="0" w:line="240" w:lineRule="auto"/>
              <w:rPr>
                <w:rFonts w:ascii="Arial" w:eastAsia="Times New Roman" w:hAnsi="Arial" w:cs="Arial"/>
                <w:sz w:val="20"/>
                <w:szCs w:val="20"/>
              </w:rPr>
            </w:pPr>
            <w:r w:rsidRPr="005C71C0">
              <w:rPr>
                <w:rFonts w:ascii="Arial" w:eastAsia="Times New Roman" w:hAnsi="Arial" w:cs="Arial"/>
                <w:sz w:val="18"/>
                <w:szCs w:val="20"/>
              </w:rPr>
              <w:t>Glass</w:t>
            </w:r>
          </w:p>
        </w:tc>
        <w:tc>
          <w:tcPr>
            <w:tcW w:w="3118" w:type="dxa"/>
            <w:shd w:val="clear" w:color="auto" w:fill="auto"/>
            <w:noWrap/>
            <w:vAlign w:val="center"/>
            <w:hideMark/>
          </w:tcPr>
          <w:p w14:paraId="47811DD6" w14:textId="77777777" w:rsidR="00030089" w:rsidRPr="005C71C0" w:rsidRDefault="00030089" w:rsidP="008547F7">
            <w:pPr>
              <w:spacing w:after="0" w:line="240" w:lineRule="auto"/>
              <w:jc w:val="right"/>
              <w:rPr>
                <w:rFonts w:ascii="Arial" w:eastAsia="Times New Roman" w:hAnsi="Arial" w:cs="Arial"/>
                <w:sz w:val="18"/>
                <w:szCs w:val="20"/>
              </w:rPr>
            </w:pPr>
            <w:r w:rsidRPr="005C71C0">
              <w:rPr>
                <w:rFonts w:ascii="Arial" w:eastAsia="Times New Roman" w:hAnsi="Arial" w:cs="Arial"/>
                <w:sz w:val="18"/>
                <w:szCs w:val="20"/>
              </w:rPr>
              <w:t>1</w:t>
            </w:r>
            <w:r>
              <w:rPr>
                <w:rFonts w:ascii="Arial" w:eastAsia="Times New Roman" w:hAnsi="Arial" w:cs="Arial"/>
                <w:sz w:val="18"/>
                <w:szCs w:val="20"/>
              </w:rPr>
              <w:t xml:space="preserve"> </w:t>
            </w:r>
            <w:r w:rsidRPr="005C71C0">
              <w:rPr>
                <w:rFonts w:ascii="Arial" w:eastAsia="Times New Roman" w:hAnsi="Arial" w:cs="Arial"/>
                <w:sz w:val="18"/>
                <w:szCs w:val="20"/>
              </w:rPr>
              <w:t>574</w:t>
            </w:r>
          </w:p>
        </w:tc>
      </w:tr>
      <w:tr w:rsidR="00030089" w:rsidRPr="005C71C0" w14:paraId="5F58FECE" w14:textId="77777777" w:rsidTr="008547F7">
        <w:trPr>
          <w:trHeight w:val="300"/>
        </w:trPr>
        <w:tc>
          <w:tcPr>
            <w:tcW w:w="2410" w:type="dxa"/>
            <w:shd w:val="clear" w:color="auto" w:fill="auto"/>
            <w:noWrap/>
            <w:vAlign w:val="center"/>
            <w:hideMark/>
          </w:tcPr>
          <w:p w14:paraId="4121D2A7" w14:textId="77777777" w:rsidR="00030089" w:rsidRPr="005C71C0" w:rsidRDefault="00030089" w:rsidP="008547F7">
            <w:pPr>
              <w:spacing w:after="0" w:line="240" w:lineRule="auto"/>
              <w:rPr>
                <w:rFonts w:ascii="Arial" w:eastAsia="Times New Roman" w:hAnsi="Arial" w:cs="Arial"/>
                <w:sz w:val="20"/>
                <w:szCs w:val="20"/>
              </w:rPr>
            </w:pPr>
            <w:r w:rsidRPr="005C71C0">
              <w:rPr>
                <w:rFonts w:ascii="Arial" w:eastAsia="Times New Roman" w:hAnsi="Arial" w:cs="Arial"/>
                <w:sz w:val="18"/>
                <w:szCs w:val="20"/>
              </w:rPr>
              <w:t>Plastic</w:t>
            </w:r>
            <w:r>
              <w:rPr>
                <w:rFonts w:ascii="Arial" w:eastAsia="Times New Roman" w:hAnsi="Arial" w:cs="Arial"/>
                <w:sz w:val="18"/>
                <w:szCs w:val="20"/>
              </w:rPr>
              <w:t xml:space="preserve"> (PET and HDPE)</w:t>
            </w:r>
          </w:p>
        </w:tc>
        <w:tc>
          <w:tcPr>
            <w:tcW w:w="3118" w:type="dxa"/>
            <w:shd w:val="clear" w:color="auto" w:fill="auto"/>
            <w:noWrap/>
            <w:vAlign w:val="center"/>
            <w:hideMark/>
          </w:tcPr>
          <w:p w14:paraId="499B214A" w14:textId="77777777" w:rsidR="00030089" w:rsidRPr="005C71C0" w:rsidRDefault="00030089" w:rsidP="008547F7">
            <w:pPr>
              <w:spacing w:after="0" w:line="240" w:lineRule="auto"/>
              <w:jc w:val="right"/>
              <w:rPr>
                <w:rFonts w:ascii="Arial" w:eastAsia="Times New Roman" w:hAnsi="Arial" w:cs="Arial"/>
                <w:sz w:val="18"/>
                <w:szCs w:val="20"/>
              </w:rPr>
            </w:pPr>
            <w:r w:rsidRPr="005C71C0">
              <w:rPr>
                <w:rFonts w:ascii="Arial" w:eastAsia="Times New Roman" w:hAnsi="Arial" w:cs="Arial"/>
                <w:sz w:val="18"/>
                <w:szCs w:val="20"/>
              </w:rPr>
              <w:t>248</w:t>
            </w:r>
          </w:p>
        </w:tc>
      </w:tr>
      <w:tr w:rsidR="00030089" w:rsidRPr="005C71C0" w14:paraId="3814D685" w14:textId="77777777" w:rsidTr="008547F7">
        <w:trPr>
          <w:trHeight w:val="300"/>
        </w:trPr>
        <w:tc>
          <w:tcPr>
            <w:tcW w:w="2410" w:type="dxa"/>
            <w:shd w:val="clear" w:color="auto" w:fill="auto"/>
            <w:noWrap/>
            <w:vAlign w:val="center"/>
            <w:hideMark/>
          </w:tcPr>
          <w:p w14:paraId="74340664" w14:textId="77777777" w:rsidR="00030089" w:rsidRPr="005C71C0" w:rsidRDefault="00030089" w:rsidP="008547F7">
            <w:pPr>
              <w:spacing w:after="0" w:line="240" w:lineRule="auto"/>
              <w:rPr>
                <w:rFonts w:ascii="Arial" w:eastAsia="Times New Roman" w:hAnsi="Arial" w:cs="Arial"/>
                <w:sz w:val="20"/>
                <w:szCs w:val="20"/>
              </w:rPr>
            </w:pPr>
            <w:r w:rsidRPr="005C71C0">
              <w:rPr>
                <w:rFonts w:ascii="Arial" w:eastAsia="Times New Roman" w:hAnsi="Arial" w:cs="Arial"/>
                <w:sz w:val="18"/>
                <w:szCs w:val="20"/>
              </w:rPr>
              <w:t>Aluminium</w:t>
            </w:r>
          </w:p>
        </w:tc>
        <w:tc>
          <w:tcPr>
            <w:tcW w:w="3118" w:type="dxa"/>
            <w:shd w:val="clear" w:color="auto" w:fill="auto"/>
            <w:noWrap/>
            <w:vAlign w:val="center"/>
            <w:hideMark/>
          </w:tcPr>
          <w:p w14:paraId="0AE61734" w14:textId="77777777" w:rsidR="00030089" w:rsidRPr="005C71C0" w:rsidRDefault="00030089" w:rsidP="008547F7">
            <w:pPr>
              <w:spacing w:after="0" w:line="240" w:lineRule="auto"/>
              <w:jc w:val="right"/>
              <w:rPr>
                <w:rFonts w:ascii="Arial" w:eastAsia="Times New Roman" w:hAnsi="Arial" w:cs="Arial"/>
                <w:sz w:val="18"/>
                <w:szCs w:val="20"/>
              </w:rPr>
            </w:pPr>
            <w:r w:rsidRPr="005C71C0">
              <w:rPr>
                <w:rFonts w:ascii="Arial" w:eastAsia="Times New Roman" w:hAnsi="Arial" w:cs="Arial"/>
                <w:sz w:val="18"/>
                <w:szCs w:val="20"/>
              </w:rPr>
              <w:t>107</w:t>
            </w:r>
          </w:p>
        </w:tc>
      </w:tr>
      <w:tr w:rsidR="00030089" w:rsidRPr="005C71C0" w14:paraId="4B8D02BB" w14:textId="77777777" w:rsidTr="008547F7">
        <w:trPr>
          <w:trHeight w:val="300"/>
        </w:trPr>
        <w:tc>
          <w:tcPr>
            <w:tcW w:w="2410" w:type="dxa"/>
            <w:shd w:val="clear" w:color="auto" w:fill="auto"/>
            <w:noWrap/>
            <w:vAlign w:val="center"/>
            <w:hideMark/>
          </w:tcPr>
          <w:p w14:paraId="127681BD" w14:textId="77777777" w:rsidR="00030089" w:rsidRPr="005C71C0" w:rsidRDefault="00030089" w:rsidP="008547F7">
            <w:pPr>
              <w:spacing w:after="0" w:line="240" w:lineRule="auto"/>
              <w:rPr>
                <w:rFonts w:ascii="Arial" w:eastAsia="Times New Roman" w:hAnsi="Arial" w:cs="Arial"/>
                <w:sz w:val="20"/>
                <w:szCs w:val="20"/>
              </w:rPr>
            </w:pPr>
            <w:r w:rsidRPr="005C71C0">
              <w:rPr>
                <w:rFonts w:ascii="Arial" w:eastAsia="Times New Roman" w:hAnsi="Arial" w:cs="Arial"/>
                <w:sz w:val="18"/>
                <w:szCs w:val="20"/>
              </w:rPr>
              <w:t>LPB</w:t>
            </w:r>
          </w:p>
        </w:tc>
        <w:tc>
          <w:tcPr>
            <w:tcW w:w="3118" w:type="dxa"/>
            <w:shd w:val="clear" w:color="auto" w:fill="auto"/>
            <w:noWrap/>
            <w:vAlign w:val="center"/>
            <w:hideMark/>
          </w:tcPr>
          <w:p w14:paraId="675BE5D5" w14:textId="77777777" w:rsidR="00030089" w:rsidRPr="005C71C0" w:rsidRDefault="00030089" w:rsidP="008547F7">
            <w:pPr>
              <w:spacing w:after="0" w:line="240" w:lineRule="auto"/>
              <w:jc w:val="right"/>
              <w:rPr>
                <w:rFonts w:ascii="Arial" w:eastAsia="Times New Roman" w:hAnsi="Arial" w:cs="Arial"/>
                <w:sz w:val="18"/>
                <w:szCs w:val="20"/>
              </w:rPr>
            </w:pPr>
            <w:r w:rsidRPr="005C71C0">
              <w:rPr>
                <w:rFonts w:ascii="Arial" w:eastAsia="Times New Roman" w:hAnsi="Arial" w:cs="Arial"/>
                <w:sz w:val="18"/>
                <w:szCs w:val="20"/>
              </w:rPr>
              <w:t>0</w:t>
            </w:r>
          </w:p>
        </w:tc>
      </w:tr>
      <w:tr w:rsidR="00030089" w:rsidRPr="005C71C0" w14:paraId="20758C19" w14:textId="77777777" w:rsidTr="008547F7">
        <w:trPr>
          <w:trHeight w:val="300"/>
        </w:trPr>
        <w:tc>
          <w:tcPr>
            <w:tcW w:w="2410" w:type="dxa"/>
            <w:shd w:val="clear" w:color="auto" w:fill="auto"/>
            <w:noWrap/>
            <w:vAlign w:val="center"/>
            <w:hideMark/>
          </w:tcPr>
          <w:p w14:paraId="7BAE9E6A" w14:textId="77777777" w:rsidR="00030089" w:rsidRPr="005C71C0" w:rsidRDefault="00030089" w:rsidP="008547F7">
            <w:pPr>
              <w:spacing w:after="0" w:line="240" w:lineRule="auto"/>
              <w:rPr>
                <w:rFonts w:ascii="Arial" w:eastAsia="Times New Roman" w:hAnsi="Arial" w:cs="Arial"/>
                <w:b/>
                <w:sz w:val="18"/>
                <w:szCs w:val="20"/>
              </w:rPr>
            </w:pPr>
            <w:r w:rsidRPr="005C71C0">
              <w:rPr>
                <w:rFonts w:ascii="Arial" w:eastAsia="Times New Roman" w:hAnsi="Arial" w:cs="Arial"/>
                <w:b/>
                <w:sz w:val="18"/>
                <w:szCs w:val="20"/>
              </w:rPr>
              <w:t>TOTAL</w:t>
            </w:r>
          </w:p>
          <w:p w14:paraId="75004A95" w14:textId="77777777" w:rsidR="00030089" w:rsidRPr="005C71C0" w:rsidRDefault="00030089" w:rsidP="008547F7">
            <w:pPr>
              <w:spacing w:after="0" w:line="240" w:lineRule="auto"/>
              <w:rPr>
                <w:rFonts w:ascii="Arial" w:eastAsia="Times New Roman" w:hAnsi="Arial" w:cs="Arial"/>
                <w:b/>
                <w:sz w:val="20"/>
                <w:szCs w:val="20"/>
              </w:rPr>
            </w:pPr>
          </w:p>
        </w:tc>
        <w:tc>
          <w:tcPr>
            <w:tcW w:w="3118" w:type="dxa"/>
            <w:shd w:val="clear" w:color="auto" w:fill="auto"/>
            <w:noWrap/>
            <w:vAlign w:val="center"/>
            <w:hideMark/>
          </w:tcPr>
          <w:p w14:paraId="273A1C8F" w14:textId="77777777" w:rsidR="00030089" w:rsidRPr="005C71C0" w:rsidRDefault="00030089" w:rsidP="008547F7">
            <w:pPr>
              <w:spacing w:after="0" w:line="240" w:lineRule="auto"/>
              <w:jc w:val="right"/>
              <w:rPr>
                <w:rFonts w:ascii="Arial" w:eastAsia="Times New Roman" w:hAnsi="Arial" w:cs="Arial"/>
                <w:b/>
                <w:sz w:val="18"/>
                <w:szCs w:val="20"/>
              </w:rPr>
            </w:pPr>
            <w:r w:rsidRPr="005C71C0">
              <w:rPr>
                <w:rFonts w:ascii="Arial" w:eastAsia="Times New Roman" w:hAnsi="Arial" w:cs="Arial"/>
                <w:b/>
                <w:sz w:val="18"/>
                <w:szCs w:val="20"/>
              </w:rPr>
              <w:t>5</w:t>
            </w:r>
            <w:r>
              <w:rPr>
                <w:rFonts w:ascii="Arial" w:eastAsia="Times New Roman" w:hAnsi="Arial" w:cs="Arial"/>
                <w:b/>
                <w:sz w:val="18"/>
                <w:szCs w:val="20"/>
              </w:rPr>
              <w:t xml:space="preserve"> 305</w:t>
            </w:r>
          </w:p>
          <w:p w14:paraId="7B66591C" w14:textId="77777777" w:rsidR="00030089" w:rsidRPr="005C71C0" w:rsidRDefault="00030089" w:rsidP="008547F7">
            <w:pPr>
              <w:spacing w:after="0" w:line="240" w:lineRule="auto"/>
              <w:jc w:val="right"/>
              <w:rPr>
                <w:rFonts w:ascii="Arial" w:eastAsia="Times New Roman" w:hAnsi="Arial" w:cs="Arial"/>
                <w:b/>
                <w:sz w:val="18"/>
                <w:szCs w:val="20"/>
              </w:rPr>
            </w:pPr>
          </w:p>
        </w:tc>
      </w:tr>
    </w:tbl>
    <w:p w14:paraId="588C5766" w14:textId="77777777" w:rsidR="00030089" w:rsidRDefault="00030089" w:rsidP="00030089">
      <w:pPr>
        <w:pStyle w:val="NoSpacing"/>
        <w:spacing w:before="120" w:after="120" w:line="360" w:lineRule="auto"/>
        <w:jc w:val="both"/>
        <w:rPr>
          <w:rFonts w:ascii="Arial" w:hAnsi="Arial" w:cs="Arial"/>
          <w:szCs w:val="28"/>
        </w:rPr>
      </w:pPr>
    </w:p>
    <w:p w14:paraId="1B01C65D" w14:textId="77777777" w:rsidR="00030089" w:rsidRDefault="00030089" w:rsidP="00030089">
      <w:pPr>
        <w:pStyle w:val="NoSpacing"/>
        <w:spacing w:before="120" w:after="120" w:line="360" w:lineRule="auto"/>
        <w:jc w:val="both"/>
        <w:rPr>
          <w:rFonts w:ascii="Arial" w:hAnsi="Arial" w:cs="Arial"/>
          <w:szCs w:val="28"/>
        </w:rPr>
      </w:pPr>
      <w:r>
        <w:rPr>
          <w:rFonts w:ascii="Arial" w:hAnsi="Arial" w:cs="Arial"/>
          <w:szCs w:val="28"/>
        </w:rPr>
        <w:t xml:space="preserve">The </w:t>
      </w:r>
      <w:r w:rsidRPr="005C71C0">
        <w:rPr>
          <w:rFonts w:ascii="Arial" w:hAnsi="Arial" w:cs="Arial"/>
          <w:szCs w:val="28"/>
        </w:rPr>
        <w:t xml:space="preserve">proportion of recycling before </w:t>
      </w:r>
      <w:r>
        <w:rPr>
          <w:rFonts w:ascii="Arial" w:hAnsi="Arial" w:cs="Arial"/>
          <w:szCs w:val="28"/>
        </w:rPr>
        <w:t xml:space="preserve">the </w:t>
      </w:r>
      <w:r w:rsidRPr="005C71C0">
        <w:rPr>
          <w:rFonts w:ascii="Arial" w:hAnsi="Arial" w:cs="Arial"/>
          <w:szCs w:val="28"/>
        </w:rPr>
        <w:t xml:space="preserve">implementation </w:t>
      </w:r>
      <w:r>
        <w:rPr>
          <w:rFonts w:ascii="Arial" w:hAnsi="Arial" w:cs="Arial"/>
          <w:szCs w:val="28"/>
        </w:rPr>
        <w:t xml:space="preserve">of the </w:t>
      </w:r>
      <w:r w:rsidRPr="005C71C0">
        <w:rPr>
          <w:rFonts w:ascii="Arial" w:hAnsi="Arial" w:cs="Arial"/>
          <w:szCs w:val="28"/>
        </w:rPr>
        <w:t xml:space="preserve">NT CDS </w:t>
      </w:r>
      <w:r>
        <w:rPr>
          <w:rFonts w:ascii="Arial" w:hAnsi="Arial" w:cs="Arial"/>
          <w:szCs w:val="28"/>
        </w:rPr>
        <w:t xml:space="preserve">can be estimated using </w:t>
      </w:r>
      <w:r w:rsidRPr="005C71C0">
        <w:rPr>
          <w:rFonts w:ascii="Arial" w:hAnsi="Arial" w:cs="Arial"/>
          <w:szCs w:val="28"/>
        </w:rPr>
        <w:t xml:space="preserve">the </w:t>
      </w:r>
      <w:r>
        <w:rPr>
          <w:rFonts w:ascii="Arial" w:hAnsi="Arial" w:cs="Arial"/>
          <w:szCs w:val="28"/>
        </w:rPr>
        <w:t xml:space="preserve">total national </w:t>
      </w:r>
      <w:r w:rsidRPr="005C71C0">
        <w:rPr>
          <w:rFonts w:ascii="Arial" w:hAnsi="Arial" w:cs="Arial"/>
          <w:szCs w:val="28"/>
        </w:rPr>
        <w:t xml:space="preserve">proportion of beverage containers to </w:t>
      </w:r>
      <w:r w:rsidRPr="001D0D5C">
        <w:rPr>
          <w:rFonts w:ascii="Arial" w:hAnsi="Arial" w:cs="Arial"/>
          <w:szCs w:val="28"/>
        </w:rPr>
        <w:t>total national packaging consumption</w:t>
      </w:r>
      <w:r>
        <w:rPr>
          <w:rFonts w:ascii="Arial" w:hAnsi="Arial" w:cs="Arial"/>
          <w:szCs w:val="28"/>
        </w:rPr>
        <w:t>. These values</w:t>
      </w:r>
      <w:r w:rsidRPr="001D0D5C">
        <w:rPr>
          <w:rFonts w:ascii="Arial" w:hAnsi="Arial" w:cs="Arial"/>
          <w:szCs w:val="28"/>
        </w:rPr>
        <w:t xml:space="preserve"> </w:t>
      </w:r>
      <w:r w:rsidRPr="005C71C0">
        <w:rPr>
          <w:rFonts w:ascii="Arial" w:hAnsi="Arial" w:cs="Arial"/>
          <w:szCs w:val="28"/>
        </w:rPr>
        <w:t>can be calculated using values developed</w:t>
      </w:r>
      <w:r>
        <w:rPr>
          <w:rFonts w:ascii="Arial" w:hAnsi="Arial" w:cs="Arial"/>
          <w:szCs w:val="28"/>
        </w:rPr>
        <w:t xml:space="preserve"> </w:t>
      </w:r>
      <w:r w:rsidRPr="005C71C0">
        <w:rPr>
          <w:rFonts w:ascii="Arial" w:hAnsi="Arial" w:cs="Arial"/>
          <w:szCs w:val="28"/>
        </w:rPr>
        <w:t>for the</w:t>
      </w:r>
      <w:r>
        <w:rPr>
          <w:rFonts w:ascii="Arial" w:hAnsi="Arial" w:cs="Arial"/>
          <w:szCs w:val="28"/>
        </w:rPr>
        <w:t xml:space="preserve"> national</w:t>
      </w:r>
      <w:r w:rsidRPr="005C71C0">
        <w:rPr>
          <w:rFonts w:ascii="Arial" w:hAnsi="Arial" w:cs="Arial"/>
          <w:szCs w:val="28"/>
        </w:rPr>
        <w:t xml:space="preserve"> </w:t>
      </w:r>
      <w:r>
        <w:rPr>
          <w:rFonts w:ascii="Arial" w:hAnsi="Arial" w:cs="Arial"/>
          <w:szCs w:val="28"/>
        </w:rPr>
        <w:t>Packaging Impacts CRIS (</w:t>
      </w:r>
      <w:r w:rsidRPr="005C71C0">
        <w:rPr>
          <w:rFonts w:ascii="Arial" w:hAnsi="Arial" w:cs="Arial"/>
          <w:szCs w:val="28"/>
        </w:rPr>
        <w:t>Table 1</w:t>
      </w:r>
      <w:r>
        <w:rPr>
          <w:rFonts w:ascii="Arial" w:hAnsi="Arial" w:cs="Arial"/>
          <w:szCs w:val="28"/>
        </w:rPr>
        <w:t>.3</w:t>
      </w:r>
      <w:r w:rsidRPr="005C71C0">
        <w:rPr>
          <w:rStyle w:val="FootnoteReference"/>
          <w:rFonts w:ascii="Arial" w:hAnsi="Arial" w:cs="Arial"/>
          <w:szCs w:val="28"/>
        </w:rPr>
        <w:footnoteReference w:id="9"/>
      </w:r>
      <w:r>
        <w:rPr>
          <w:rFonts w:ascii="Arial" w:hAnsi="Arial" w:cs="Arial"/>
          <w:szCs w:val="28"/>
        </w:rPr>
        <w:t>).</w:t>
      </w:r>
    </w:p>
    <w:p w14:paraId="2E239D40" w14:textId="77777777" w:rsidR="00030089" w:rsidRPr="005C71C0" w:rsidRDefault="00030089" w:rsidP="00030089">
      <w:pPr>
        <w:pStyle w:val="NoSpacing"/>
        <w:spacing w:before="120" w:after="120" w:line="360" w:lineRule="auto"/>
        <w:jc w:val="both"/>
        <w:rPr>
          <w:rFonts w:ascii="Arial" w:hAnsi="Arial" w:cs="Arial"/>
          <w:szCs w:val="28"/>
        </w:rPr>
      </w:pPr>
    </w:p>
    <w:p w14:paraId="27547452" w14:textId="77777777" w:rsidR="00030089" w:rsidRPr="00682556" w:rsidRDefault="00030089" w:rsidP="00030089">
      <w:pPr>
        <w:pStyle w:val="Caption"/>
        <w:keepNext/>
        <w:rPr>
          <w:noProof/>
          <w:color w:val="auto"/>
        </w:rPr>
      </w:pPr>
      <w:r w:rsidRPr="00682556">
        <w:rPr>
          <w:noProof/>
          <w:color w:val="auto"/>
        </w:rPr>
        <w:lastRenderedPageBreak/>
        <w:fldChar w:fldCharType="begin"/>
      </w:r>
      <w:r w:rsidRPr="00682556">
        <w:rPr>
          <w:noProof/>
          <w:color w:val="auto"/>
        </w:rPr>
        <w:instrText xml:space="preserve"> SEQ Figure \* ARABIC </w:instrText>
      </w:r>
      <w:r w:rsidRPr="00682556">
        <w:rPr>
          <w:noProof/>
          <w:color w:val="auto"/>
        </w:rPr>
        <w:fldChar w:fldCharType="separate"/>
      </w:r>
      <w:bookmarkStart w:id="27" w:name="_Toc353562487"/>
      <w:r w:rsidR="00740026">
        <w:rPr>
          <w:noProof/>
          <w:color w:val="auto"/>
        </w:rPr>
        <w:t>6</w:t>
      </w:r>
      <w:r w:rsidRPr="00682556">
        <w:rPr>
          <w:noProof/>
          <w:color w:val="auto"/>
        </w:rPr>
        <w:fldChar w:fldCharType="end"/>
      </w:r>
      <w:r w:rsidRPr="00682556">
        <w:rPr>
          <w:noProof/>
          <w:color w:val="auto"/>
        </w:rPr>
        <w:t xml:space="preserve"> Table 1.3: Proportion of beverage containers to other forms of rigid packaging</w:t>
      </w:r>
      <w:bookmarkEnd w:id="27"/>
    </w:p>
    <w:tbl>
      <w:tblPr>
        <w:tblStyle w:val="TableGrid"/>
        <w:tblW w:w="0" w:type="auto"/>
        <w:tblInd w:w="108" w:type="dxa"/>
        <w:tblLook w:val="04A0" w:firstRow="1" w:lastRow="0" w:firstColumn="1" w:lastColumn="0" w:noHBand="0" w:noVBand="1"/>
      </w:tblPr>
      <w:tblGrid>
        <w:gridCol w:w="1276"/>
        <w:gridCol w:w="2891"/>
        <w:gridCol w:w="2967"/>
        <w:gridCol w:w="2612"/>
      </w:tblGrid>
      <w:tr w:rsidR="00030089" w:rsidRPr="005C71C0" w14:paraId="5C1CA05F" w14:textId="77777777" w:rsidTr="008547F7">
        <w:tc>
          <w:tcPr>
            <w:tcW w:w="0" w:type="auto"/>
            <w:shd w:val="pct10" w:color="auto" w:fill="auto"/>
          </w:tcPr>
          <w:p w14:paraId="6DFF3FFC" w14:textId="77777777" w:rsidR="00030089" w:rsidRPr="005C71C0" w:rsidRDefault="00030089" w:rsidP="008547F7">
            <w:pPr>
              <w:pStyle w:val="NoSpacing"/>
              <w:spacing w:before="120" w:after="120"/>
              <w:rPr>
                <w:rFonts w:ascii="Arial" w:hAnsi="Arial" w:cs="Arial"/>
                <w:b/>
                <w:sz w:val="20"/>
                <w:szCs w:val="20"/>
              </w:rPr>
            </w:pPr>
            <w:r w:rsidRPr="005C71C0">
              <w:rPr>
                <w:rFonts w:ascii="Arial" w:hAnsi="Arial" w:cs="Arial"/>
                <w:b/>
                <w:sz w:val="18"/>
                <w:szCs w:val="20"/>
              </w:rPr>
              <w:t>Material type</w:t>
            </w:r>
          </w:p>
        </w:tc>
        <w:tc>
          <w:tcPr>
            <w:tcW w:w="0" w:type="auto"/>
            <w:shd w:val="pct10" w:color="auto" w:fill="auto"/>
          </w:tcPr>
          <w:p w14:paraId="74468A59" w14:textId="77777777" w:rsidR="00030089" w:rsidRPr="005C71C0" w:rsidRDefault="00030089" w:rsidP="008547F7">
            <w:pPr>
              <w:pStyle w:val="NoSpacing"/>
              <w:spacing w:before="120" w:after="120"/>
              <w:jc w:val="right"/>
              <w:rPr>
                <w:rFonts w:ascii="Arial" w:hAnsi="Arial" w:cs="Arial"/>
                <w:b/>
                <w:sz w:val="20"/>
                <w:szCs w:val="20"/>
              </w:rPr>
            </w:pPr>
            <w:r>
              <w:rPr>
                <w:rFonts w:ascii="Arial" w:hAnsi="Arial" w:cs="Arial"/>
                <w:b/>
                <w:sz w:val="18"/>
                <w:szCs w:val="20"/>
              </w:rPr>
              <w:t>National</w:t>
            </w:r>
            <w:r w:rsidRPr="005C71C0">
              <w:rPr>
                <w:rFonts w:ascii="Arial" w:hAnsi="Arial" w:cs="Arial"/>
                <w:b/>
                <w:sz w:val="18"/>
                <w:szCs w:val="20"/>
              </w:rPr>
              <w:t xml:space="preserve"> packaging consumption (tonnes)</w:t>
            </w:r>
          </w:p>
        </w:tc>
        <w:tc>
          <w:tcPr>
            <w:tcW w:w="0" w:type="auto"/>
            <w:shd w:val="pct10" w:color="auto" w:fill="auto"/>
          </w:tcPr>
          <w:p w14:paraId="51367670" w14:textId="77777777" w:rsidR="00030089" w:rsidRPr="005C71C0" w:rsidRDefault="00030089" w:rsidP="008547F7">
            <w:pPr>
              <w:pStyle w:val="NoSpacing"/>
              <w:spacing w:before="120" w:after="120"/>
              <w:jc w:val="right"/>
              <w:rPr>
                <w:rFonts w:ascii="Arial" w:hAnsi="Arial" w:cs="Arial"/>
                <w:b/>
                <w:sz w:val="20"/>
                <w:szCs w:val="20"/>
              </w:rPr>
            </w:pPr>
            <w:r>
              <w:rPr>
                <w:rFonts w:ascii="Arial" w:hAnsi="Arial" w:cs="Arial"/>
                <w:b/>
                <w:sz w:val="18"/>
                <w:szCs w:val="20"/>
              </w:rPr>
              <w:t>B</w:t>
            </w:r>
            <w:r w:rsidRPr="005C71C0">
              <w:rPr>
                <w:rFonts w:ascii="Arial" w:hAnsi="Arial" w:cs="Arial"/>
                <w:b/>
                <w:sz w:val="18"/>
                <w:szCs w:val="20"/>
              </w:rPr>
              <w:t>everage containers</w:t>
            </w:r>
            <w:r>
              <w:rPr>
                <w:rFonts w:ascii="Arial" w:hAnsi="Arial" w:cs="Arial"/>
                <w:b/>
                <w:sz w:val="18"/>
                <w:szCs w:val="20"/>
              </w:rPr>
              <w:t xml:space="preserve"> consumption</w:t>
            </w:r>
            <w:r w:rsidRPr="005C71C0">
              <w:rPr>
                <w:rFonts w:ascii="Arial" w:hAnsi="Arial" w:cs="Arial"/>
                <w:b/>
                <w:sz w:val="18"/>
                <w:szCs w:val="20"/>
              </w:rPr>
              <w:t xml:space="preserve"> (tonnes)</w:t>
            </w:r>
          </w:p>
        </w:tc>
        <w:tc>
          <w:tcPr>
            <w:tcW w:w="0" w:type="auto"/>
            <w:shd w:val="pct10" w:color="auto" w:fill="auto"/>
          </w:tcPr>
          <w:p w14:paraId="316A7523" w14:textId="77777777" w:rsidR="00030089" w:rsidRPr="005C71C0" w:rsidRDefault="00030089" w:rsidP="008547F7">
            <w:pPr>
              <w:pStyle w:val="NoSpacing"/>
              <w:spacing w:before="120" w:after="120"/>
              <w:jc w:val="right"/>
              <w:rPr>
                <w:rFonts w:ascii="Arial" w:hAnsi="Arial" w:cs="Arial"/>
                <w:b/>
                <w:sz w:val="18"/>
                <w:szCs w:val="20"/>
              </w:rPr>
            </w:pPr>
            <w:r>
              <w:rPr>
                <w:rFonts w:ascii="Arial" w:hAnsi="Arial" w:cs="Arial"/>
                <w:b/>
                <w:sz w:val="18"/>
                <w:szCs w:val="20"/>
              </w:rPr>
              <w:t>P</w:t>
            </w:r>
            <w:r w:rsidRPr="005C71C0">
              <w:rPr>
                <w:rFonts w:ascii="Arial" w:hAnsi="Arial" w:cs="Arial"/>
                <w:b/>
                <w:sz w:val="18"/>
                <w:szCs w:val="20"/>
              </w:rPr>
              <w:t>roportion of beverage containers (</w:t>
            </w:r>
            <w:r>
              <w:rPr>
                <w:rFonts w:ascii="Arial" w:hAnsi="Arial" w:cs="Arial"/>
                <w:b/>
                <w:sz w:val="18"/>
                <w:szCs w:val="20"/>
              </w:rPr>
              <w:t>%</w:t>
            </w:r>
            <w:r w:rsidRPr="005C71C0">
              <w:rPr>
                <w:rFonts w:ascii="Arial" w:hAnsi="Arial" w:cs="Arial"/>
                <w:b/>
                <w:sz w:val="18"/>
                <w:szCs w:val="20"/>
              </w:rPr>
              <w:t>)</w:t>
            </w:r>
          </w:p>
        </w:tc>
      </w:tr>
      <w:tr w:rsidR="00030089" w:rsidRPr="0021732F" w14:paraId="4D782DF4" w14:textId="77777777" w:rsidTr="008547F7">
        <w:trPr>
          <w:trHeight w:hRule="exact" w:val="301"/>
        </w:trPr>
        <w:tc>
          <w:tcPr>
            <w:tcW w:w="0" w:type="auto"/>
            <w:vAlign w:val="center"/>
          </w:tcPr>
          <w:p w14:paraId="5141427D" w14:textId="77777777" w:rsidR="00030089" w:rsidRPr="008B6DFF" w:rsidRDefault="00030089" w:rsidP="008547F7">
            <w:pPr>
              <w:rPr>
                <w:rFonts w:ascii="Arial" w:eastAsia="Times New Roman" w:hAnsi="Arial" w:cs="Arial"/>
                <w:sz w:val="18"/>
                <w:szCs w:val="20"/>
              </w:rPr>
            </w:pPr>
            <w:r w:rsidRPr="008B6DFF">
              <w:rPr>
                <w:rFonts w:ascii="Arial" w:eastAsia="Times New Roman" w:hAnsi="Arial" w:cs="Arial"/>
                <w:sz w:val="18"/>
                <w:szCs w:val="20"/>
              </w:rPr>
              <w:t>Paper/board</w:t>
            </w:r>
          </w:p>
        </w:tc>
        <w:tc>
          <w:tcPr>
            <w:tcW w:w="0" w:type="auto"/>
            <w:vAlign w:val="center"/>
          </w:tcPr>
          <w:p w14:paraId="4FA0976A" w14:textId="77777777" w:rsidR="00030089" w:rsidRPr="0021732F" w:rsidRDefault="00030089" w:rsidP="008547F7">
            <w:pPr>
              <w:jc w:val="right"/>
              <w:rPr>
                <w:rFonts w:ascii="Arial" w:eastAsia="Times New Roman" w:hAnsi="Arial" w:cs="Arial"/>
                <w:sz w:val="18"/>
                <w:szCs w:val="20"/>
              </w:rPr>
            </w:pPr>
            <w:r w:rsidRPr="0021732F">
              <w:rPr>
                <w:rFonts w:ascii="Arial" w:eastAsia="Times New Roman" w:hAnsi="Arial" w:cs="Arial"/>
                <w:sz w:val="18"/>
                <w:szCs w:val="20"/>
              </w:rPr>
              <w:t>2 680 000</w:t>
            </w:r>
          </w:p>
        </w:tc>
        <w:tc>
          <w:tcPr>
            <w:tcW w:w="0" w:type="auto"/>
            <w:vAlign w:val="center"/>
          </w:tcPr>
          <w:p w14:paraId="5EDDADD3" w14:textId="77777777" w:rsidR="00030089" w:rsidRPr="0021732F" w:rsidRDefault="00030089" w:rsidP="008547F7">
            <w:pPr>
              <w:jc w:val="right"/>
              <w:rPr>
                <w:rFonts w:ascii="Arial" w:eastAsia="Times New Roman" w:hAnsi="Arial" w:cs="Arial"/>
                <w:sz w:val="18"/>
                <w:szCs w:val="20"/>
              </w:rPr>
            </w:pPr>
            <w:r w:rsidRPr="0021732F">
              <w:rPr>
                <w:rFonts w:ascii="Arial" w:eastAsia="Times New Roman" w:hAnsi="Arial" w:cs="Arial"/>
                <w:sz w:val="18"/>
                <w:szCs w:val="20"/>
              </w:rPr>
              <w:t>0</w:t>
            </w:r>
          </w:p>
        </w:tc>
        <w:tc>
          <w:tcPr>
            <w:tcW w:w="0" w:type="auto"/>
            <w:vAlign w:val="center"/>
          </w:tcPr>
          <w:p w14:paraId="79625C34" w14:textId="77777777" w:rsidR="00030089" w:rsidRPr="0021732F" w:rsidRDefault="00030089" w:rsidP="008547F7">
            <w:pPr>
              <w:jc w:val="right"/>
              <w:rPr>
                <w:rFonts w:ascii="Arial" w:eastAsia="Times New Roman" w:hAnsi="Arial" w:cs="Arial"/>
                <w:b/>
                <w:sz w:val="18"/>
                <w:szCs w:val="20"/>
              </w:rPr>
            </w:pPr>
            <w:r w:rsidRPr="0021732F">
              <w:rPr>
                <w:rFonts w:ascii="Arial" w:eastAsia="Times New Roman" w:hAnsi="Arial" w:cs="Arial"/>
                <w:b/>
                <w:sz w:val="18"/>
                <w:szCs w:val="20"/>
              </w:rPr>
              <w:t>0</w:t>
            </w:r>
          </w:p>
        </w:tc>
      </w:tr>
      <w:tr w:rsidR="00030089" w:rsidRPr="0021732F" w14:paraId="6E546AE0" w14:textId="77777777" w:rsidTr="008547F7">
        <w:trPr>
          <w:trHeight w:hRule="exact" w:val="301"/>
        </w:trPr>
        <w:tc>
          <w:tcPr>
            <w:tcW w:w="0" w:type="auto"/>
            <w:vAlign w:val="center"/>
          </w:tcPr>
          <w:p w14:paraId="1687B53F" w14:textId="77777777" w:rsidR="00030089" w:rsidRPr="008B6DFF" w:rsidRDefault="00030089" w:rsidP="008547F7">
            <w:pPr>
              <w:rPr>
                <w:rFonts w:ascii="Arial" w:eastAsia="Times New Roman" w:hAnsi="Arial" w:cs="Arial"/>
                <w:sz w:val="18"/>
                <w:szCs w:val="20"/>
              </w:rPr>
            </w:pPr>
            <w:r w:rsidRPr="008B6DFF">
              <w:rPr>
                <w:rFonts w:ascii="Arial" w:eastAsia="Times New Roman" w:hAnsi="Arial" w:cs="Arial"/>
                <w:sz w:val="18"/>
                <w:szCs w:val="20"/>
              </w:rPr>
              <w:t>Glass</w:t>
            </w:r>
          </w:p>
        </w:tc>
        <w:tc>
          <w:tcPr>
            <w:tcW w:w="0" w:type="auto"/>
            <w:vAlign w:val="center"/>
          </w:tcPr>
          <w:p w14:paraId="6F40EFED" w14:textId="77777777" w:rsidR="00030089" w:rsidRPr="0021732F" w:rsidRDefault="00030089" w:rsidP="008547F7">
            <w:pPr>
              <w:jc w:val="right"/>
              <w:rPr>
                <w:rFonts w:ascii="Arial" w:eastAsia="Times New Roman" w:hAnsi="Arial" w:cs="Arial"/>
                <w:sz w:val="18"/>
                <w:szCs w:val="20"/>
              </w:rPr>
            </w:pPr>
            <w:r w:rsidRPr="0021732F">
              <w:rPr>
                <w:rFonts w:ascii="Arial" w:eastAsia="Times New Roman" w:hAnsi="Arial" w:cs="Arial"/>
                <w:sz w:val="18"/>
                <w:szCs w:val="20"/>
              </w:rPr>
              <w:t>991 000</w:t>
            </w:r>
          </w:p>
        </w:tc>
        <w:tc>
          <w:tcPr>
            <w:tcW w:w="0" w:type="auto"/>
            <w:vAlign w:val="center"/>
          </w:tcPr>
          <w:p w14:paraId="29414039" w14:textId="77777777" w:rsidR="00030089" w:rsidRPr="0021732F" w:rsidRDefault="00030089" w:rsidP="008547F7">
            <w:pPr>
              <w:jc w:val="right"/>
              <w:rPr>
                <w:rFonts w:ascii="Arial" w:eastAsia="Times New Roman" w:hAnsi="Arial" w:cs="Arial"/>
                <w:sz w:val="18"/>
                <w:szCs w:val="20"/>
              </w:rPr>
            </w:pPr>
            <w:r w:rsidRPr="0021732F">
              <w:rPr>
                <w:rFonts w:ascii="Arial" w:eastAsia="Times New Roman" w:hAnsi="Arial" w:cs="Arial"/>
                <w:sz w:val="18"/>
                <w:szCs w:val="20"/>
              </w:rPr>
              <w:t>786 000</w:t>
            </w:r>
          </w:p>
        </w:tc>
        <w:tc>
          <w:tcPr>
            <w:tcW w:w="0" w:type="auto"/>
            <w:vAlign w:val="center"/>
          </w:tcPr>
          <w:p w14:paraId="47499E8D" w14:textId="77777777" w:rsidR="00030089" w:rsidRPr="0021732F" w:rsidRDefault="00030089" w:rsidP="008547F7">
            <w:pPr>
              <w:jc w:val="right"/>
              <w:rPr>
                <w:rFonts w:ascii="Arial" w:eastAsia="Times New Roman" w:hAnsi="Arial" w:cs="Arial"/>
                <w:b/>
                <w:sz w:val="18"/>
                <w:szCs w:val="20"/>
              </w:rPr>
            </w:pPr>
            <w:r w:rsidRPr="0021732F">
              <w:rPr>
                <w:rFonts w:ascii="Arial" w:eastAsia="Times New Roman" w:hAnsi="Arial" w:cs="Arial"/>
                <w:b/>
                <w:sz w:val="18"/>
                <w:szCs w:val="20"/>
              </w:rPr>
              <w:t>79%</w:t>
            </w:r>
          </w:p>
        </w:tc>
      </w:tr>
      <w:tr w:rsidR="00030089" w:rsidRPr="0021732F" w14:paraId="11421DC4" w14:textId="77777777" w:rsidTr="008547F7">
        <w:trPr>
          <w:trHeight w:hRule="exact" w:val="301"/>
        </w:trPr>
        <w:tc>
          <w:tcPr>
            <w:tcW w:w="0" w:type="auto"/>
            <w:vAlign w:val="center"/>
          </w:tcPr>
          <w:p w14:paraId="3795038B" w14:textId="77777777" w:rsidR="00030089" w:rsidRPr="008B6DFF" w:rsidRDefault="00030089" w:rsidP="008547F7">
            <w:pPr>
              <w:rPr>
                <w:rFonts w:ascii="Arial" w:eastAsia="Times New Roman" w:hAnsi="Arial" w:cs="Arial"/>
                <w:sz w:val="18"/>
                <w:szCs w:val="20"/>
              </w:rPr>
            </w:pPr>
            <w:r w:rsidRPr="008B6DFF">
              <w:rPr>
                <w:rFonts w:ascii="Arial" w:eastAsia="Times New Roman" w:hAnsi="Arial" w:cs="Arial"/>
                <w:sz w:val="18"/>
                <w:szCs w:val="20"/>
              </w:rPr>
              <w:t>Plastic</w:t>
            </w:r>
          </w:p>
        </w:tc>
        <w:tc>
          <w:tcPr>
            <w:tcW w:w="0" w:type="auto"/>
            <w:vAlign w:val="center"/>
          </w:tcPr>
          <w:p w14:paraId="6AB5C230" w14:textId="77777777" w:rsidR="00030089" w:rsidRPr="0021732F" w:rsidRDefault="00030089" w:rsidP="008547F7">
            <w:pPr>
              <w:jc w:val="right"/>
              <w:rPr>
                <w:rFonts w:ascii="Arial" w:eastAsia="Times New Roman" w:hAnsi="Arial" w:cs="Arial"/>
                <w:sz w:val="18"/>
                <w:szCs w:val="20"/>
              </w:rPr>
            </w:pPr>
            <w:r w:rsidRPr="0021732F">
              <w:rPr>
                <w:rFonts w:ascii="Arial" w:eastAsia="Times New Roman" w:hAnsi="Arial" w:cs="Arial"/>
                <w:sz w:val="18"/>
                <w:szCs w:val="20"/>
              </w:rPr>
              <w:t>565 000</w:t>
            </w:r>
          </w:p>
        </w:tc>
        <w:tc>
          <w:tcPr>
            <w:tcW w:w="0" w:type="auto"/>
            <w:vAlign w:val="center"/>
          </w:tcPr>
          <w:p w14:paraId="59E78B58" w14:textId="77777777" w:rsidR="00030089" w:rsidRPr="0021732F" w:rsidRDefault="00030089" w:rsidP="008547F7">
            <w:pPr>
              <w:jc w:val="right"/>
              <w:rPr>
                <w:rFonts w:ascii="Arial" w:eastAsia="Times New Roman" w:hAnsi="Arial" w:cs="Arial"/>
                <w:sz w:val="18"/>
                <w:szCs w:val="20"/>
              </w:rPr>
            </w:pPr>
            <w:r w:rsidRPr="0021732F">
              <w:rPr>
                <w:rFonts w:ascii="Arial" w:eastAsia="Times New Roman" w:hAnsi="Arial" w:cs="Arial"/>
                <w:sz w:val="18"/>
                <w:szCs w:val="20"/>
              </w:rPr>
              <w:t>170 000</w:t>
            </w:r>
          </w:p>
        </w:tc>
        <w:tc>
          <w:tcPr>
            <w:tcW w:w="0" w:type="auto"/>
            <w:vAlign w:val="center"/>
          </w:tcPr>
          <w:p w14:paraId="22D99BFE" w14:textId="77777777" w:rsidR="00030089" w:rsidRPr="0021732F" w:rsidRDefault="00030089" w:rsidP="008547F7">
            <w:pPr>
              <w:jc w:val="right"/>
              <w:rPr>
                <w:rFonts w:ascii="Arial" w:eastAsia="Times New Roman" w:hAnsi="Arial" w:cs="Arial"/>
                <w:b/>
                <w:sz w:val="18"/>
                <w:szCs w:val="20"/>
              </w:rPr>
            </w:pPr>
            <w:r w:rsidRPr="0021732F">
              <w:rPr>
                <w:rFonts w:ascii="Arial" w:eastAsia="Times New Roman" w:hAnsi="Arial" w:cs="Arial"/>
                <w:b/>
                <w:sz w:val="18"/>
                <w:szCs w:val="20"/>
              </w:rPr>
              <w:t>30%</w:t>
            </w:r>
          </w:p>
        </w:tc>
      </w:tr>
      <w:tr w:rsidR="00030089" w:rsidRPr="0021732F" w14:paraId="6E84BC00" w14:textId="77777777" w:rsidTr="008547F7">
        <w:trPr>
          <w:trHeight w:hRule="exact" w:val="301"/>
        </w:trPr>
        <w:tc>
          <w:tcPr>
            <w:tcW w:w="0" w:type="auto"/>
            <w:vAlign w:val="center"/>
          </w:tcPr>
          <w:p w14:paraId="307CAE6A" w14:textId="77777777" w:rsidR="00030089" w:rsidRPr="008B6DFF" w:rsidRDefault="00030089" w:rsidP="008547F7">
            <w:pPr>
              <w:rPr>
                <w:rFonts w:ascii="Arial" w:eastAsia="Times New Roman" w:hAnsi="Arial" w:cs="Arial"/>
                <w:sz w:val="18"/>
                <w:szCs w:val="20"/>
              </w:rPr>
            </w:pPr>
            <w:r w:rsidRPr="008B6DFF">
              <w:rPr>
                <w:rFonts w:ascii="Arial" w:eastAsia="Times New Roman" w:hAnsi="Arial" w:cs="Arial"/>
                <w:sz w:val="18"/>
                <w:szCs w:val="20"/>
              </w:rPr>
              <w:t>Aluminium</w:t>
            </w:r>
          </w:p>
        </w:tc>
        <w:tc>
          <w:tcPr>
            <w:tcW w:w="0" w:type="auto"/>
            <w:vAlign w:val="center"/>
          </w:tcPr>
          <w:p w14:paraId="3A3BD38D" w14:textId="77777777" w:rsidR="00030089" w:rsidRPr="0021732F" w:rsidRDefault="00030089" w:rsidP="008547F7">
            <w:pPr>
              <w:jc w:val="right"/>
              <w:rPr>
                <w:rFonts w:ascii="Arial" w:eastAsia="Times New Roman" w:hAnsi="Arial" w:cs="Arial"/>
                <w:sz w:val="18"/>
                <w:szCs w:val="20"/>
              </w:rPr>
            </w:pPr>
            <w:r w:rsidRPr="0021732F">
              <w:rPr>
                <w:rFonts w:ascii="Arial" w:eastAsia="Times New Roman" w:hAnsi="Arial" w:cs="Arial"/>
                <w:sz w:val="18"/>
                <w:szCs w:val="20"/>
              </w:rPr>
              <w:t>51 600</w:t>
            </w:r>
          </w:p>
        </w:tc>
        <w:tc>
          <w:tcPr>
            <w:tcW w:w="0" w:type="auto"/>
            <w:vAlign w:val="center"/>
          </w:tcPr>
          <w:p w14:paraId="242FA729" w14:textId="77777777" w:rsidR="00030089" w:rsidRPr="0021732F" w:rsidRDefault="00030089" w:rsidP="008547F7">
            <w:pPr>
              <w:jc w:val="right"/>
              <w:rPr>
                <w:rFonts w:ascii="Arial" w:eastAsia="Times New Roman" w:hAnsi="Arial" w:cs="Arial"/>
                <w:sz w:val="18"/>
                <w:szCs w:val="20"/>
              </w:rPr>
            </w:pPr>
            <w:r w:rsidRPr="0021732F">
              <w:rPr>
                <w:rFonts w:ascii="Arial" w:eastAsia="Times New Roman" w:hAnsi="Arial" w:cs="Arial"/>
                <w:sz w:val="18"/>
                <w:szCs w:val="20"/>
              </w:rPr>
              <w:t>51 600</w:t>
            </w:r>
          </w:p>
        </w:tc>
        <w:tc>
          <w:tcPr>
            <w:tcW w:w="0" w:type="auto"/>
            <w:vAlign w:val="center"/>
          </w:tcPr>
          <w:p w14:paraId="532C88B0" w14:textId="77777777" w:rsidR="00030089" w:rsidRPr="0021732F" w:rsidRDefault="00030089" w:rsidP="008547F7">
            <w:pPr>
              <w:jc w:val="right"/>
              <w:rPr>
                <w:rFonts w:ascii="Arial" w:eastAsia="Times New Roman" w:hAnsi="Arial" w:cs="Arial"/>
                <w:b/>
                <w:sz w:val="18"/>
                <w:szCs w:val="20"/>
              </w:rPr>
            </w:pPr>
            <w:r w:rsidRPr="0021732F">
              <w:rPr>
                <w:rFonts w:ascii="Arial" w:eastAsia="Times New Roman" w:hAnsi="Arial" w:cs="Arial"/>
                <w:b/>
                <w:sz w:val="18"/>
                <w:szCs w:val="20"/>
              </w:rPr>
              <w:t>100%</w:t>
            </w:r>
          </w:p>
        </w:tc>
      </w:tr>
    </w:tbl>
    <w:p w14:paraId="752D33B3" w14:textId="77777777" w:rsidR="00030089" w:rsidRPr="00F702E2" w:rsidRDefault="00030089" w:rsidP="00030089">
      <w:pPr>
        <w:pStyle w:val="NoSpacing"/>
        <w:spacing w:before="120" w:after="120" w:line="360" w:lineRule="auto"/>
        <w:rPr>
          <w:rFonts w:ascii="Arial" w:hAnsi="Arial" w:cs="Arial"/>
          <w:sz w:val="24"/>
          <w:szCs w:val="24"/>
        </w:rPr>
      </w:pPr>
      <w:r>
        <w:rPr>
          <w:rFonts w:ascii="Arial" w:hAnsi="Arial" w:cs="Arial"/>
          <w:szCs w:val="28"/>
        </w:rPr>
        <w:br/>
      </w:r>
      <w:r w:rsidRPr="00F702E2">
        <w:rPr>
          <w:rFonts w:ascii="Arial" w:hAnsi="Arial" w:cs="Arial"/>
          <w:sz w:val="24"/>
          <w:szCs w:val="24"/>
        </w:rPr>
        <w:t>Table 1.4 uses the proportion of beverage containers set out in Table 1.3 to estimate the amount of beverage container materials recycled in the NT prior to the NT CDS.</w:t>
      </w:r>
      <w:r w:rsidRPr="00F702E2">
        <w:rPr>
          <w:rFonts w:ascii="Arial" w:hAnsi="Arial" w:cs="Arial"/>
          <w:sz w:val="24"/>
          <w:szCs w:val="24"/>
        </w:rPr>
        <w:br/>
      </w:r>
    </w:p>
    <w:p w14:paraId="622542DA"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8" w:name="_Toc353562488"/>
      <w:r w:rsidR="00740026">
        <w:rPr>
          <w:noProof/>
          <w:color w:val="auto"/>
        </w:rPr>
        <w:t>7</w:t>
      </w:r>
      <w:r w:rsidRPr="00682556">
        <w:rPr>
          <w:noProof/>
          <w:color w:val="auto"/>
        </w:rPr>
        <w:fldChar w:fldCharType="end"/>
      </w:r>
      <w:r w:rsidRPr="00682556">
        <w:rPr>
          <w:noProof/>
          <w:color w:val="auto"/>
        </w:rPr>
        <w:t xml:space="preserve"> Table 1.4: CDS proportion of NT waste recovered</w:t>
      </w:r>
      <w:bookmarkEnd w:id="28"/>
    </w:p>
    <w:tbl>
      <w:tblPr>
        <w:tblpPr w:leftFromText="181" w:rightFromText="181" w:vertAnchor="text" w:horzAnchor="margin" w:tblpY="46"/>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030089" w:rsidRPr="005C71C0" w14:paraId="414D1E2F" w14:textId="77777777" w:rsidTr="008547F7">
        <w:trPr>
          <w:trHeight w:val="300"/>
        </w:trPr>
        <w:tc>
          <w:tcPr>
            <w:tcW w:w="2295" w:type="dxa"/>
            <w:shd w:val="pct10" w:color="auto" w:fill="auto"/>
            <w:noWrap/>
            <w:hideMark/>
          </w:tcPr>
          <w:p w14:paraId="4A828388" w14:textId="77777777" w:rsidR="00030089" w:rsidRPr="005C71C0" w:rsidRDefault="00030089" w:rsidP="008547F7">
            <w:pPr>
              <w:pStyle w:val="NoSpacing"/>
              <w:spacing w:before="120" w:after="120"/>
              <w:rPr>
                <w:rFonts w:ascii="Arial" w:eastAsia="Times New Roman" w:hAnsi="Arial" w:cs="Arial"/>
                <w:b/>
                <w:sz w:val="20"/>
                <w:szCs w:val="20"/>
              </w:rPr>
            </w:pPr>
            <w:r w:rsidRPr="005C71C0">
              <w:rPr>
                <w:rFonts w:ascii="Arial" w:eastAsia="Times New Roman" w:hAnsi="Arial" w:cs="Arial"/>
                <w:b/>
                <w:sz w:val="18"/>
                <w:szCs w:val="20"/>
              </w:rPr>
              <w:t>Materials</w:t>
            </w:r>
          </w:p>
        </w:tc>
        <w:tc>
          <w:tcPr>
            <w:tcW w:w="2295" w:type="dxa"/>
            <w:shd w:val="pct10" w:color="auto" w:fill="auto"/>
            <w:noWrap/>
            <w:hideMark/>
          </w:tcPr>
          <w:p w14:paraId="0BFCC62F" w14:textId="77777777" w:rsidR="00030089" w:rsidRPr="005C71C0" w:rsidRDefault="00030089" w:rsidP="008547F7">
            <w:pPr>
              <w:pStyle w:val="NoSpacing"/>
              <w:spacing w:before="120" w:after="120"/>
              <w:jc w:val="right"/>
              <w:rPr>
                <w:rFonts w:ascii="Arial" w:eastAsia="Times New Roman" w:hAnsi="Arial" w:cs="Arial"/>
                <w:b/>
                <w:sz w:val="20"/>
                <w:szCs w:val="20"/>
              </w:rPr>
            </w:pPr>
            <w:r w:rsidRPr="005C71C0">
              <w:rPr>
                <w:rFonts w:ascii="Arial" w:eastAsia="Times New Roman" w:hAnsi="Arial" w:cs="Arial"/>
                <w:b/>
                <w:sz w:val="18"/>
                <w:szCs w:val="20"/>
              </w:rPr>
              <w:t xml:space="preserve">Packaging </w:t>
            </w:r>
            <w:r>
              <w:rPr>
                <w:rFonts w:ascii="Arial" w:eastAsia="Times New Roman" w:hAnsi="Arial" w:cs="Arial"/>
                <w:b/>
                <w:sz w:val="18"/>
                <w:szCs w:val="20"/>
              </w:rPr>
              <w:t>r</w:t>
            </w:r>
            <w:r w:rsidRPr="005C71C0">
              <w:rPr>
                <w:rFonts w:ascii="Arial" w:eastAsia="Times New Roman" w:hAnsi="Arial" w:cs="Arial"/>
                <w:b/>
                <w:sz w:val="18"/>
                <w:szCs w:val="20"/>
              </w:rPr>
              <w:t>ecycling in the NT pre CDS</w:t>
            </w:r>
            <w:r w:rsidRPr="005C71C0">
              <w:rPr>
                <w:rStyle w:val="FootnoteReference"/>
                <w:rFonts w:ascii="Arial" w:eastAsia="Times New Roman" w:hAnsi="Arial" w:cs="Arial"/>
                <w:b/>
                <w:sz w:val="18"/>
                <w:szCs w:val="20"/>
              </w:rPr>
              <w:footnoteReference w:id="10"/>
            </w:r>
            <w:r w:rsidRPr="005C71C0">
              <w:rPr>
                <w:rFonts w:ascii="Arial" w:eastAsia="Times New Roman" w:hAnsi="Arial" w:cs="Arial"/>
                <w:b/>
                <w:sz w:val="18"/>
                <w:szCs w:val="20"/>
              </w:rPr>
              <w:t xml:space="preserve"> (tonnes)</w:t>
            </w:r>
          </w:p>
        </w:tc>
        <w:tc>
          <w:tcPr>
            <w:tcW w:w="2295" w:type="dxa"/>
            <w:shd w:val="pct10" w:color="auto" w:fill="auto"/>
            <w:noWrap/>
            <w:hideMark/>
          </w:tcPr>
          <w:p w14:paraId="7B4BC160" w14:textId="77777777" w:rsidR="00030089" w:rsidRPr="005C71C0" w:rsidRDefault="00030089" w:rsidP="008547F7">
            <w:pPr>
              <w:pStyle w:val="NoSpacing"/>
              <w:spacing w:before="120" w:after="120"/>
              <w:jc w:val="right"/>
              <w:rPr>
                <w:rFonts w:ascii="Arial" w:eastAsia="Times New Roman" w:hAnsi="Arial" w:cs="Arial"/>
                <w:b/>
                <w:sz w:val="20"/>
                <w:szCs w:val="20"/>
              </w:rPr>
            </w:pPr>
            <w:r>
              <w:rPr>
                <w:rFonts w:ascii="Arial" w:eastAsia="Times New Roman" w:hAnsi="Arial" w:cs="Arial"/>
                <w:b/>
                <w:sz w:val="18"/>
                <w:szCs w:val="20"/>
              </w:rPr>
              <w:t>Tonnes of m</w:t>
            </w:r>
            <w:r w:rsidRPr="005C71C0">
              <w:rPr>
                <w:rFonts w:ascii="Arial" w:eastAsia="Times New Roman" w:hAnsi="Arial" w:cs="Arial"/>
                <w:b/>
                <w:sz w:val="18"/>
                <w:szCs w:val="20"/>
              </w:rPr>
              <w:t xml:space="preserve">aterial not </w:t>
            </w:r>
            <w:r>
              <w:rPr>
                <w:rFonts w:ascii="Arial" w:eastAsia="Times New Roman" w:hAnsi="Arial" w:cs="Arial"/>
                <w:b/>
                <w:sz w:val="18"/>
                <w:szCs w:val="20"/>
              </w:rPr>
              <w:t>c</w:t>
            </w:r>
            <w:r w:rsidRPr="005C71C0">
              <w:rPr>
                <w:rFonts w:ascii="Arial" w:eastAsia="Times New Roman" w:hAnsi="Arial" w:cs="Arial"/>
                <w:b/>
                <w:sz w:val="18"/>
                <w:szCs w:val="20"/>
              </w:rPr>
              <w:t>overed by CDS</w:t>
            </w:r>
            <w:r w:rsidRPr="005C71C0">
              <w:rPr>
                <w:rStyle w:val="FootnoteReference"/>
                <w:rFonts w:ascii="Arial" w:eastAsia="Times New Roman" w:hAnsi="Arial" w:cs="Arial"/>
                <w:b/>
                <w:sz w:val="18"/>
                <w:szCs w:val="20"/>
              </w:rPr>
              <w:footnoteReference w:id="11"/>
            </w:r>
            <w:r>
              <w:rPr>
                <w:rFonts w:ascii="Arial" w:eastAsia="Times New Roman" w:hAnsi="Arial" w:cs="Arial"/>
                <w:b/>
                <w:sz w:val="18"/>
                <w:szCs w:val="20"/>
              </w:rPr>
              <w:t xml:space="preserve"> </w:t>
            </w:r>
          </w:p>
        </w:tc>
        <w:tc>
          <w:tcPr>
            <w:tcW w:w="2295" w:type="dxa"/>
            <w:shd w:val="pct10" w:color="auto" w:fill="auto"/>
          </w:tcPr>
          <w:p w14:paraId="24468AF2" w14:textId="77777777" w:rsidR="00030089" w:rsidRPr="005C71C0" w:rsidRDefault="00030089" w:rsidP="008547F7">
            <w:pPr>
              <w:pStyle w:val="NoSpacing"/>
              <w:spacing w:before="120" w:after="120"/>
              <w:jc w:val="right"/>
              <w:rPr>
                <w:rFonts w:ascii="Arial" w:eastAsia="Times New Roman" w:hAnsi="Arial" w:cs="Arial"/>
                <w:b/>
                <w:sz w:val="18"/>
                <w:szCs w:val="20"/>
              </w:rPr>
            </w:pPr>
            <w:r w:rsidRPr="005C71C0">
              <w:rPr>
                <w:rFonts w:ascii="Arial" w:eastAsia="Times New Roman" w:hAnsi="Arial" w:cs="Arial"/>
                <w:b/>
                <w:sz w:val="18"/>
                <w:szCs w:val="20"/>
              </w:rPr>
              <w:t xml:space="preserve">CDS </w:t>
            </w:r>
            <w:r>
              <w:rPr>
                <w:rFonts w:ascii="Arial" w:eastAsia="Times New Roman" w:hAnsi="Arial" w:cs="Arial"/>
                <w:b/>
                <w:sz w:val="18"/>
                <w:szCs w:val="20"/>
              </w:rPr>
              <w:t>m</w:t>
            </w:r>
            <w:r w:rsidRPr="005C71C0">
              <w:rPr>
                <w:rFonts w:ascii="Arial" w:eastAsia="Times New Roman" w:hAnsi="Arial" w:cs="Arial"/>
                <w:b/>
                <w:sz w:val="18"/>
                <w:szCs w:val="20"/>
              </w:rPr>
              <w:t>aterial</w:t>
            </w:r>
            <w:r>
              <w:rPr>
                <w:rFonts w:ascii="Arial" w:eastAsia="Times New Roman" w:hAnsi="Arial" w:cs="Arial"/>
                <w:b/>
                <w:sz w:val="18"/>
                <w:szCs w:val="20"/>
              </w:rPr>
              <w:t xml:space="preserve"> </w:t>
            </w:r>
            <w:r w:rsidRPr="005C71C0">
              <w:rPr>
                <w:rFonts w:ascii="Arial" w:eastAsia="Times New Roman" w:hAnsi="Arial" w:cs="Arial"/>
                <w:b/>
                <w:sz w:val="18"/>
                <w:szCs w:val="20"/>
              </w:rPr>
              <w:t>(tonnes)</w:t>
            </w:r>
          </w:p>
        </w:tc>
      </w:tr>
      <w:tr w:rsidR="00030089" w:rsidRPr="005C71C0" w14:paraId="2FEAA099" w14:textId="77777777" w:rsidTr="008547F7">
        <w:trPr>
          <w:trHeight w:val="300"/>
        </w:trPr>
        <w:tc>
          <w:tcPr>
            <w:tcW w:w="2295" w:type="dxa"/>
            <w:shd w:val="clear" w:color="auto" w:fill="auto"/>
            <w:noWrap/>
            <w:vAlign w:val="center"/>
            <w:hideMark/>
          </w:tcPr>
          <w:p w14:paraId="468BDAB9" w14:textId="77777777" w:rsidR="00030089" w:rsidRPr="008B6DFF" w:rsidRDefault="00030089" w:rsidP="008547F7">
            <w:pPr>
              <w:spacing w:after="0" w:line="240" w:lineRule="auto"/>
              <w:rPr>
                <w:rFonts w:ascii="Arial" w:eastAsia="Times New Roman" w:hAnsi="Arial" w:cs="Arial"/>
                <w:sz w:val="20"/>
                <w:szCs w:val="20"/>
              </w:rPr>
            </w:pPr>
            <w:r w:rsidRPr="008B6DFF">
              <w:rPr>
                <w:rFonts w:ascii="Arial" w:eastAsia="Times New Roman" w:hAnsi="Arial" w:cs="Arial"/>
                <w:sz w:val="18"/>
                <w:szCs w:val="20"/>
              </w:rPr>
              <w:t>Paper etc</w:t>
            </w:r>
          </w:p>
        </w:tc>
        <w:tc>
          <w:tcPr>
            <w:tcW w:w="2295" w:type="dxa"/>
            <w:shd w:val="clear" w:color="auto" w:fill="auto"/>
            <w:noWrap/>
            <w:vAlign w:val="center"/>
            <w:hideMark/>
          </w:tcPr>
          <w:p w14:paraId="7E52C963" w14:textId="77777777" w:rsidR="00030089" w:rsidRPr="005C71C0" w:rsidRDefault="00030089" w:rsidP="008547F7">
            <w:pPr>
              <w:spacing w:after="0" w:line="240" w:lineRule="auto"/>
              <w:jc w:val="right"/>
              <w:rPr>
                <w:rFonts w:ascii="Arial" w:eastAsia="Times New Roman" w:hAnsi="Arial" w:cs="Arial"/>
                <w:sz w:val="20"/>
                <w:szCs w:val="20"/>
              </w:rPr>
            </w:pPr>
            <w:r w:rsidRPr="005C71C0">
              <w:rPr>
                <w:rFonts w:ascii="Arial" w:eastAsia="Times New Roman" w:hAnsi="Arial" w:cs="Arial"/>
                <w:sz w:val="18"/>
                <w:szCs w:val="20"/>
              </w:rPr>
              <w:t>3</w:t>
            </w:r>
            <w:r>
              <w:rPr>
                <w:rFonts w:ascii="Arial" w:eastAsia="Times New Roman" w:hAnsi="Arial" w:cs="Arial"/>
                <w:sz w:val="18"/>
                <w:szCs w:val="20"/>
              </w:rPr>
              <w:t xml:space="preserve"> </w:t>
            </w:r>
            <w:r w:rsidRPr="005C71C0">
              <w:rPr>
                <w:rFonts w:ascii="Arial" w:eastAsia="Times New Roman" w:hAnsi="Arial" w:cs="Arial"/>
                <w:sz w:val="18"/>
                <w:szCs w:val="20"/>
              </w:rPr>
              <w:t>376</w:t>
            </w:r>
          </w:p>
        </w:tc>
        <w:tc>
          <w:tcPr>
            <w:tcW w:w="2295" w:type="dxa"/>
            <w:shd w:val="clear" w:color="auto" w:fill="auto"/>
            <w:noWrap/>
            <w:vAlign w:val="center"/>
            <w:hideMark/>
          </w:tcPr>
          <w:p w14:paraId="4904E788" w14:textId="77777777" w:rsidR="00030089" w:rsidRPr="005C71C0" w:rsidRDefault="00030089" w:rsidP="008547F7">
            <w:pPr>
              <w:spacing w:after="0" w:line="240" w:lineRule="auto"/>
              <w:jc w:val="right"/>
              <w:rPr>
                <w:rFonts w:ascii="Arial" w:eastAsia="Times New Roman" w:hAnsi="Arial" w:cs="Arial"/>
                <w:sz w:val="20"/>
                <w:szCs w:val="20"/>
              </w:rPr>
            </w:pPr>
            <w:r w:rsidRPr="005C71C0">
              <w:rPr>
                <w:rFonts w:ascii="Arial" w:eastAsia="Times New Roman" w:hAnsi="Arial" w:cs="Arial"/>
                <w:sz w:val="18"/>
                <w:szCs w:val="20"/>
              </w:rPr>
              <w:t>3</w:t>
            </w:r>
            <w:r>
              <w:rPr>
                <w:rFonts w:ascii="Arial" w:eastAsia="Times New Roman" w:hAnsi="Arial" w:cs="Arial"/>
                <w:sz w:val="18"/>
                <w:szCs w:val="20"/>
              </w:rPr>
              <w:t xml:space="preserve"> </w:t>
            </w:r>
            <w:r w:rsidRPr="005C71C0">
              <w:rPr>
                <w:rFonts w:ascii="Arial" w:eastAsia="Times New Roman" w:hAnsi="Arial" w:cs="Arial"/>
                <w:sz w:val="18"/>
                <w:szCs w:val="20"/>
              </w:rPr>
              <w:t>376</w:t>
            </w:r>
          </w:p>
        </w:tc>
        <w:tc>
          <w:tcPr>
            <w:tcW w:w="2295" w:type="dxa"/>
            <w:vAlign w:val="center"/>
          </w:tcPr>
          <w:p w14:paraId="5C331CF4" w14:textId="77777777" w:rsidR="00030089" w:rsidRPr="005C71C0" w:rsidRDefault="00030089" w:rsidP="008547F7">
            <w:pPr>
              <w:spacing w:after="0" w:line="240" w:lineRule="auto"/>
              <w:jc w:val="right"/>
              <w:rPr>
                <w:rFonts w:ascii="Arial" w:eastAsia="Times New Roman" w:hAnsi="Arial" w:cs="Arial"/>
                <w:sz w:val="18"/>
                <w:szCs w:val="20"/>
              </w:rPr>
            </w:pPr>
            <w:r w:rsidRPr="005C71C0">
              <w:rPr>
                <w:rFonts w:ascii="Arial" w:eastAsia="Times New Roman" w:hAnsi="Arial" w:cs="Arial"/>
                <w:sz w:val="18"/>
                <w:szCs w:val="20"/>
              </w:rPr>
              <w:t>0</w:t>
            </w:r>
          </w:p>
        </w:tc>
      </w:tr>
      <w:tr w:rsidR="00030089" w:rsidRPr="005C71C0" w14:paraId="3095C11E" w14:textId="77777777" w:rsidTr="008547F7">
        <w:trPr>
          <w:trHeight w:val="300"/>
        </w:trPr>
        <w:tc>
          <w:tcPr>
            <w:tcW w:w="2295" w:type="dxa"/>
            <w:shd w:val="clear" w:color="auto" w:fill="auto"/>
            <w:noWrap/>
            <w:vAlign w:val="center"/>
            <w:hideMark/>
          </w:tcPr>
          <w:p w14:paraId="571FCCE5" w14:textId="77777777" w:rsidR="00030089" w:rsidRPr="008B6DFF" w:rsidRDefault="00030089" w:rsidP="008547F7">
            <w:pPr>
              <w:spacing w:after="0" w:line="240" w:lineRule="auto"/>
              <w:rPr>
                <w:rFonts w:ascii="Arial" w:eastAsia="Times New Roman" w:hAnsi="Arial" w:cs="Arial"/>
                <w:sz w:val="20"/>
                <w:szCs w:val="20"/>
              </w:rPr>
            </w:pPr>
            <w:r w:rsidRPr="008B6DFF">
              <w:rPr>
                <w:rFonts w:ascii="Arial" w:eastAsia="Times New Roman" w:hAnsi="Arial" w:cs="Arial"/>
                <w:sz w:val="18"/>
                <w:szCs w:val="20"/>
              </w:rPr>
              <w:t>Glass</w:t>
            </w:r>
          </w:p>
        </w:tc>
        <w:tc>
          <w:tcPr>
            <w:tcW w:w="2295" w:type="dxa"/>
            <w:shd w:val="clear" w:color="auto" w:fill="auto"/>
            <w:noWrap/>
            <w:vAlign w:val="center"/>
            <w:hideMark/>
          </w:tcPr>
          <w:p w14:paraId="7A0459AF" w14:textId="77777777" w:rsidR="00030089" w:rsidRPr="005C71C0" w:rsidRDefault="00030089" w:rsidP="008547F7">
            <w:pPr>
              <w:spacing w:after="0" w:line="240" w:lineRule="auto"/>
              <w:jc w:val="right"/>
              <w:rPr>
                <w:rFonts w:ascii="Arial" w:eastAsia="Times New Roman" w:hAnsi="Arial" w:cs="Arial"/>
                <w:sz w:val="20"/>
                <w:szCs w:val="20"/>
              </w:rPr>
            </w:pPr>
            <w:r w:rsidRPr="005C71C0">
              <w:rPr>
                <w:rFonts w:ascii="Arial" w:eastAsia="Times New Roman" w:hAnsi="Arial" w:cs="Arial"/>
                <w:sz w:val="18"/>
                <w:szCs w:val="20"/>
              </w:rPr>
              <w:t>1</w:t>
            </w:r>
            <w:r>
              <w:rPr>
                <w:rFonts w:ascii="Arial" w:eastAsia="Times New Roman" w:hAnsi="Arial" w:cs="Arial"/>
                <w:sz w:val="18"/>
                <w:szCs w:val="20"/>
              </w:rPr>
              <w:t xml:space="preserve"> </w:t>
            </w:r>
            <w:r w:rsidRPr="005C71C0">
              <w:rPr>
                <w:rFonts w:ascii="Arial" w:eastAsia="Times New Roman" w:hAnsi="Arial" w:cs="Arial"/>
                <w:sz w:val="18"/>
                <w:szCs w:val="20"/>
              </w:rPr>
              <w:t>574</w:t>
            </w:r>
          </w:p>
        </w:tc>
        <w:tc>
          <w:tcPr>
            <w:tcW w:w="2295" w:type="dxa"/>
            <w:shd w:val="clear" w:color="auto" w:fill="auto"/>
            <w:noWrap/>
            <w:vAlign w:val="center"/>
            <w:hideMark/>
          </w:tcPr>
          <w:p w14:paraId="13F18F61" w14:textId="77777777" w:rsidR="00030089" w:rsidRPr="005C71C0" w:rsidRDefault="00030089" w:rsidP="008547F7">
            <w:pPr>
              <w:spacing w:after="0" w:line="240" w:lineRule="auto"/>
              <w:jc w:val="right"/>
              <w:rPr>
                <w:rFonts w:ascii="Arial" w:eastAsia="Times New Roman" w:hAnsi="Arial" w:cs="Arial"/>
                <w:sz w:val="20"/>
                <w:szCs w:val="20"/>
              </w:rPr>
            </w:pPr>
            <w:r w:rsidRPr="005C71C0">
              <w:rPr>
                <w:rFonts w:ascii="Arial" w:eastAsia="Times New Roman" w:hAnsi="Arial" w:cs="Arial"/>
                <w:sz w:val="18"/>
                <w:szCs w:val="20"/>
              </w:rPr>
              <w:t>330</w:t>
            </w:r>
          </w:p>
        </w:tc>
        <w:tc>
          <w:tcPr>
            <w:tcW w:w="2295" w:type="dxa"/>
            <w:vAlign w:val="center"/>
          </w:tcPr>
          <w:p w14:paraId="35163902" w14:textId="77777777" w:rsidR="00030089" w:rsidRPr="005C71C0" w:rsidRDefault="00030089" w:rsidP="008547F7">
            <w:pPr>
              <w:spacing w:after="0" w:line="240" w:lineRule="auto"/>
              <w:jc w:val="right"/>
              <w:rPr>
                <w:rFonts w:ascii="Arial" w:eastAsia="Times New Roman" w:hAnsi="Arial" w:cs="Arial"/>
                <w:sz w:val="18"/>
                <w:szCs w:val="20"/>
              </w:rPr>
            </w:pPr>
            <w:r w:rsidRPr="005C71C0">
              <w:rPr>
                <w:rFonts w:ascii="Arial" w:eastAsia="Times New Roman" w:hAnsi="Arial" w:cs="Arial"/>
                <w:sz w:val="18"/>
                <w:szCs w:val="20"/>
              </w:rPr>
              <w:t>1</w:t>
            </w:r>
            <w:r>
              <w:rPr>
                <w:rFonts w:ascii="Arial" w:eastAsia="Times New Roman" w:hAnsi="Arial" w:cs="Arial"/>
                <w:sz w:val="18"/>
                <w:szCs w:val="20"/>
              </w:rPr>
              <w:t xml:space="preserve"> </w:t>
            </w:r>
            <w:r w:rsidRPr="005C71C0">
              <w:rPr>
                <w:rFonts w:ascii="Arial" w:eastAsia="Times New Roman" w:hAnsi="Arial" w:cs="Arial"/>
                <w:sz w:val="18"/>
                <w:szCs w:val="20"/>
              </w:rPr>
              <w:t>244</w:t>
            </w:r>
          </w:p>
        </w:tc>
      </w:tr>
      <w:tr w:rsidR="00030089" w:rsidRPr="005C71C0" w14:paraId="1DE27446" w14:textId="77777777" w:rsidTr="008547F7">
        <w:trPr>
          <w:trHeight w:val="300"/>
        </w:trPr>
        <w:tc>
          <w:tcPr>
            <w:tcW w:w="2295" w:type="dxa"/>
            <w:shd w:val="clear" w:color="auto" w:fill="auto"/>
            <w:noWrap/>
            <w:vAlign w:val="center"/>
            <w:hideMark/>
          </w:tcPr>
          <w:p w14:paraId="7C1E68FF" w14:textId="77777777" w:rsidR="00030089" w:rsidRPr="008B6DFF" w:rsidRDefault="00030089" w:rsidP="008547F7">
            <w:pPr>
              <w:spacing w:after="0" w:line="240" w:lineRule="auto"/>
              <w:rPr>
                <w:rFonts w:ascii="Arial" w:eastAsia="Times New Roman" w:hAnsi="Arial" w:cs="Arial"/>
                <w:sz w:val="20"/>
                <w:szCs w:val="20"/>
              </w:rPr>
            </w:pPr>
            <w:r w:rsidRPr="008B6DFF">
              <w:rPr>
                <w:rFonts w:ascii="Arial" w:eastAsia="Times New Roman" w:hAnsi="Arial" w:cs="Arial"/>
                <w:sz w:val="18"/>
                <w:szCs w:val="20"/>
              </w:rPr>
              <w:t>Plastic</w:t>
            </w:r>
          </w:p>
        </w:tc>
        <w:tc>
          <w:tcPr>
            <w:tcW w:w="2295" w:type="dxa"/>
            <w:shd w:val="clear" w:color="auto" w:fill="auto"/>
            <w:noWrap/>
            <w:vAlign w:val="center"/>
            <w:hideMark/>
          </w:tcPr>
          <w:p w14:paraId="35AEFB51" w14:textId="77777777" w:rsidR="00030089" w:rsidRPr="005C71C0" w:rsidRDefault="00030089" w:rsidP="008547F7">
            <w:pPr>
              <w:spacing w:after="0" w:line="240" w:lineRule="auto"/>
              <w:jc w:val="right"/>
              <w:rPr>
                <w:rFonts w:ascii="Arial" w:eastAsia="Times New Roman" w:hAnsi="Arial" w:cs="Arial"/>
                <w:sz w:val="20"/>
                <w:szCs w:val="20"/>
              </w:rPr>
            </w:pPr>
            <w:r w:rsidRPr="005C71C0">
              <w:rPr>
                <w:rFonts w:ascii="Arial" w:eastAsia="Times New Roman" w:hAnsi="Arial" w:cs="Arial"/>
                <w:sz w:val="18"/>
                <w:szCs w:val="20"/>
              </w:rPr>
              <w:t>248</w:t>
            </w:r>
          </w:p>
        </w:tc>
        <w:tc>
          <w:tcPr>
            <w:tcW w:w="2295" w:type="dxa"/>
            <w:shd w:val="clear" w:color="auto" w:fill="auto"/>
            <w:noWrap/>
            <w:vAlign w:val="center"/>
            <w:hideMark/>
          </w:tcPr>
          <w:p w14:paraId="14EC35DC" w14:textId="77777777" w:rsidR="00030089" w:rsidRPr="005C71C0" w:rsidRDefault="00030089" w:rsidP="008547F7">
            <w:pPr>
              <w:spacing w:after="0" w:line="240" w:lineRule="auto"/>
              <w:jc w:val="right"/>
              <w:rPr>
                <w:rFonts w:ascii="Arial" w:eastAsia="Times New Roman" w:hAnsi="Arial" w:cs="Arial"/>
                <w:sz w:val="20"/>
                <w:szCs w:val="20"/>
              </w:rPr>
            </w:pPr>
            <w:r w:rsidRPr="005C71C0">
              <w:rPr>
                <w:rFonts w:ascii="Arial" w:eastAsia="Times New Roman" w:hAnsi="Arial" w:cs="Arial"/>
                <w:sz w:val="18"/>
                <w:szCs w:val="20"/>
              </w:rPr>
              <w:t>174</w:t>
            </w:r>
          </w:p>
        </w:tc>
        <w:tc>
          <w:tcPr>
            <w:tcW w:w="2295" w:type="dxa"/>
            <w:vAlign w:val="center"/>
          </w:tcPr>
          <w:p w14:paraId="44DAEDD2" w14:textId="77777777" w:rsidR="00030089" w:rsidRPr="005C71C0" w:rsidRDefault="00030089" w:rsidP="008547F7">
            <w:pPr>
              <w:spacing w:after="0" w:line="240" w:lineRule="auto"/>
              <w:jc w:val="right"/>
              <w:rPr>
                <w:rFonts w:ascii="Arial" w:eastAsia="Times New Roman" w:hAnsi="Arial" w:cs="Arial"/>
                <w:sz w:val="18"/>
                <w:szCs w:val="20"/>
              </w:rPr>
            </w:pPr>
            <w:r w:rsidRPr="005C71C0">
              <w:rPr>
                <w:rFonts w:ascii="Arial" w:eastAsia="Times New Roman" w:hAnsi="Arial" w:cs="Arial"/>
                <w:sz w:val="18"/>
                <w:szCs w:val="20"/>
              </w:rPr>
              <w:t>74</w:t>
            </w:r>
          </w:p>
        </w:tc>
      </w:tr>
      <w:tr w:rsidR="00030089" w:rsidRPr="005C71C0" w14:paraId="00CF4125" w14:textId="77777777" w:rsidTr="008547F7">
        <w:trPr>
          <w:trHeight w:val="300"/>
        </w:trPr>
        <w:tc>
          <w:tcPr>
            <w:tcW w:w="2295" w:type="dxa"/>
            <w:shd w:val="clear" w:color="auto" w:fill="auto"/>
            <w:noWrap/>
            <w:vAlign w:val="center"/>
            <w:hideMark/>
          </w:tcPr>
          <w:p w14:paraId="139352E3" w14:textId="77777777" w:rsidR="00030089" w:rsidRPr="008B6DFF" w:rsidRDefault="00030089" w:rsidP="008547F7">
            <w:pPr>
              <w:spacing w:after="0" w:line="240" w:lineRule="auto"/>
              <w:rPr>
                <w:rFonts w:ascii="Arial" w:eastAsia="Times New Roman" w:hAnsi="Arial" w:cs="Arial"/>
                <w:sz w:val="20"/>
                <w:szCs w:val="20"/>
              </w:rPr>
            </w:pPr>
            <w:r w:rsidRPr="008B6DFF">
              <w:rPr>
                <w:rFonts w:ascii="Arial" w:eastAsia="Times New Roman" w:hAnsi="Arial" w:cs="Arial"/>
                <w:sz w:val="18"/>
                <w:szCs w:val="20"/>
              </w:rPr>
              <w:t>Aluminium</w:t>
            </w:r>
          </w:p>
        </w:tc>
        <w:tc>
          <w:tcPr>
            <w:tcW w:w="2295" w:type="dxa"/>
            <w:shd w:val="clear" w:color="auto" w:fill="auto"/>
            <w:noWrap/>
            <w:vAlign w:val="center"/>
            <w:hideMark/>
          </w:tcPr>
          <w:p w14:paraId="15DF7D73" w14:textId="77777777" w:rsidR="00030089" w:rsidRPr="005C71C0" w:rsidRDefault="00030089" w:rsidP="008547F7">
            <w:pPr>
              <w:spacing w:after="0" w:line="240" w:lineRule="auto"/>
              <w:jc w:val="right"/>
              <w:rPr>
                <w:rFonts w:ascii="Arial" w:eastAsia="Times New Roman" w:hAnsi="Arial" w:cs="Arial"/>
                <w:sz w:val="20"/>
                <w:szCs w:val="20"/>
              </w:rPr>
            </w:pPr>
            <w:r w:rsidRPr="005C71C0">
              <w:rPr>
                <w:rFonts w:ascii="Arial" w:eastAsia="Times New Roman" w:hAnsi="Arial" w:cs="Arial"/>
                <w:sz w:val="18"/>
                <w:szCs w:val="20"/>
              </w:rPr>
              <w:t>107</w:t>
            </w:r>
          </w:p>
        </w:tc>
        <w:tc>
          <w:tcPr>
            <w:tcW w:w="2295" w:type="dxa"/>
            <w:shd w:val="clear" w:color="auto" w:fill="auto"/>
            <w:noWrap/>
            <w:vAlign w:val="center"/>
            <w:hideMark/>
          </w:tcPr>
          <w:p w14:paraId="39DC53FC" w14:textId="77777777" w:rsidR="00030089" w:rsidRPr="005C71C0" w:rsidRDefault="00030089" w:rsidP="008547F7">
            <w:pPr>
              <w:spacing w:after="0" w:line="240" w:lineRule="auto"/>
              <w:jc w:val="right"/>
              <w:rPr>
                <w:rFonts w:ascii="Arial" w:eastAsia="Times New Roman" w:hAnsi="Arial" w:cs="Arial"/>
                <w:sz w:val="20"/>
                <w:szCs w:val="20"/>
              </w:rPr>
            </w:pPr>
            <w:r w:rsidRPr="005C71C0">
              <w:rPr>
                <w:rFonts w:ascii="Arial" w:eastAsia="Times New Roman" w:hAnsi="Arial" w:cs="Arial"/>
                <w:sz w:val="18"/>
                <w:szCs w:val="20"/>
              </w:rPr>
              <w:t>0</w:t>
            </w:r>
          </w:p>
        </w:tc>
        <w:tc>
          <w:tcPr>
            <w:tcW w:w="2295" w:type="dxa"/>
            <w:vAlign w:val="center"/>
          </w:tcPr>
          <w:p w14:paraId="548EAEA8" w14:textId="77777777" w:rsidR="00030089" w:rsidRPr="005C71C0" w:rsidRDefault="00030089" w:rsidP="008547F7">
            <w:pPr>
              <w:spacing w:after="0" w:line="240" w:lineRule="auto"/>
              <w:jc w:val="right"/>
              <w:rPr>
                <w:rFonts w:ascii="Arial" w:eastAsia="Times New Roman" w:hAnsi="Arial" w:cs="Arial"/>
                <w:sz w:val="18"/>
                <w:szCs w:val="20"/>
              </w:rPr>
            </w:pPr>
            <w:r w:rsidRPr="005C71C0">
              <w:rPr>
                <w:rFonts w:ascii="Arial" w:eastAsia="Times New Roman" w:hAnsi="Arial" w:cs="Arial"/>
                <w:sz w:val="18"/>
                <w:szCs w:val="20"/>
              </w:rPr>
              <w:t>107</w:t>
            </w:r>
          </w:p>
        </w:tc>
      </w:tr>
      <w:tr w:rsidR="00030089" w:rsidRPr="005C71C0" w14:paraId="0A7BE747" w14:textId="77777777" w:rsidTr="008547F7">
        <w:trPr>
          <w:trHeight w:val="300"/>
        </w:trPr>
        <w:tc>
          <w:tcPr>
            <w:tcW w:w="2295" w:type="dxa"/>
            <w:shd w:val="clear" w:color="auto" w:fill="auto"/>
            <w:noWrap/>
            <w:vAlign w:val="center"/>
            <w:hideMark/>
          </w:tcPr>
          <w:p w14:paraId="2A02E150" w14:textId="77777777" w:rsidR="00030089" w:rsidRPr="008B6DFF" w:rsidRDefault="00030089" w:rsidP="008547F7">
            <w:pPr>
              <w:spacing w:after="0" w:line="240" w:lineRule="auto"/>
              <w:rPr>
                <w:rFonts w:ascii="Arial" w:eastAsia="Times New Roman" w:hAnsi="Arial" w:cs="Arial"/>
                <w:sz w:val="20"/>
                <w:szCs w:val="20"/>
              </w:rPr>
            </w:pPr>
            <w:r w:rsidRPr="008B6DFF">
              <w:rPr>
                <w:rFonts w:ascii="Arial" w:eastAsia="Times New Roman" w:hAnsi="Arial" w:cs="Arial"/>
                <w:sz w:val="18"/>
                <w:szCs w:val="20"/>
              </w:rPr>
              <w:t>LPB</w:t>
            </w:r>
          </w:p>
        </w:tc>
        <w:tc>
          <w:tcPr>
            <w:tcW w:w="2295" w:type="dxa"/>
            <w:shd w:val="clear" w:color="auto" w:fill="auto"/>
            <w:noWrap/>
            <w:vAlign w:val="center"/>
            <w:hideMark/>
          </w:tcPr>
          <w:p w14:paraId="4B8A8EBB" w14:textId="77777777" w:rsidR="00030089" w:rsidRPr="005C71C0" w:rsidRDefault="00030089" w:rsidP="008547F7">
            <w:pPr>
              <w:spacing w:after="0" w:line="240" w:lineRule="auto"/>
              <w:jc w:val="right"/>
              <w:rPr>
                <w:rFonts w:ascii="Arial" w:eastAsia="Times New Roman" w:hAnsi="Arial" w:cs="Arial"/>
                <w:sz w:val="20"/>
                <w:szCs w:val="20"/>
              </w:rPr>
            </w:pPr>
            <w:r w:rsidRPr="005C71C0">
              <w:rPr>
                <w:rFonts w:ascii="Arial" w:eastAsia="Times New Roman" w:hAnsi="Arial" w:cs="Arial"/>
                <w:sz w:val="18"/>
                <w:szCs w:val="20"/>
              </w:rPr>
              <w:t>0</w:t>
            </w:r>
          </w:p>
        </w:tc>
        <w:tc>
          <w:tcPr>
            <w:tcW w:w="2295" w:type="dxa"/>
            <w:shd w:val="clear" w:color="auto" w:fill="auto"/>
            <w:noWrap/>
            <w:vAlign w:val="center"/>
            <w:hideMark/>
          </w:tcPr>
          <w:p w14:paraId="1D928B04" w14:textId="77777777" w:rsidR="00030089" w:rsidRPr="005C71C0" w:rsidRDefault="00030089" w:rsidP="008547F7">
            <w:pPr>
              <w:spacing w:after="0" w:line="240" w:lineRule="auto"/>
              <w:jc w:val="right"/>
              <w:rPr>
                <w:rFonts w:ascii="Arial" w:eastAsia="Times New Roman" w:hAnsi="Arial" w:cs="Arial"/>
                <w:sz w:val="20"/>
                <w:szCs w:val="20"/>
              </w:rPr>
            </w:pPr>
            <w:r w:rsidRPr="005C71C0">
              <w:rPr>
                <w:rFonts w:ascii="Arial" w:eastAsia="Times New Roman" w:hAnsi="Arial" w:cs="Arial"/>
                <w:sz w:val="18"/>
                <w:szCs w:val="20"/>
              </w:rPr>
              <w:t>0</w:t>
            </w:r>
          </w:p>
        </w:tc>
        <w:tc>
          <w:tcPr>
            <w:tcW w:w="2295" w:type="dxa"/>
            <w:vAlign w:val="center"/>
          </w:tcPr>
          <w:p w14:paraId="19EBE9FA" w14:textId="77777777" w:rsidR="00030089" w:rsidRPr="005C71C0" w:rsidRDefault="00030089" w:rsidP="008547F7">
            <w:pPr>
              <w:spacing w:after="0" w:line="240" w:lineRule="auto"/>
              <w:jc w:val="right"/>
              <w:rPr>
                <w:rFonts w:ascii="Arial" w:eastAsia="Times New Roman" w:hAnsi="Arial" w:cs="Arial"/>
                <w:sz w:val="18"/>
                <w:szCs w:val="20"/>
              </w:rPr>
            </w:pPr>
            <w:r w:rsidRPr="005C71C0">
              <w:rPr>
                <w:rFonts w:ascii="Arial" w:eastAsia="Times New Roman" w:hAnsi="Arial" w:cs="Arial"/>
                <w:sz w:val="18"/>
                <w:szCs w:val="20"/>
              </w:rPr>
              <w:t>0</w:t>
            </w:r>
          </w:p>
        </w:tc>
      </w:tr>
      <w:tr w:rsidR="00030089" w:rsidRPr="005C71C0" w14:paraId="2FB2506D" w14:textId="77777777" w:rsidTr="008547F7">
        <w:trPr>
          <w:trHeight w:val="300"/>
        </w:trPr>
        <w:tc>
          <w:tcPr>
            <w:tcW w:w="2295" w:type="dxa"/>
            <w:shd w:val="clear" w:color="auto" w:fill="auto"/>
            <w:noWrap/>
            <w:vAlign w:val="center"/>
            <w:hideMark/>
          </w:tcPr>
          <w:p w14:paraId="4E643EE5" w14:textId="77777777" w:rsidR="00030089" w:rsidRPr="005C71C0" w:rsidRDefault="00030089" w:rsidP="008547F7">
            <w:pPr>
              <w:spacing w:after="0" w:line="240" w:lineRule="auto"/>
              <w:rPr>
                <w:rFonts w:ascii="Arial" w:eastAsia="Times New Roman" w:hAnsi="Arial" w:cs="Arial"/>
                <w:b/>
                <w:sz w:val="20"/>
                <w:szCs w:val="20"/>
              </w:rPr>
            </w:pPr>
            <w:r w:rsidRPr="005C71C0">
              <w:rPr>
                <w:rFonts w:ascii="Arial" w:eastAsia="Times New Roman" w:hAnsi="Arial" w:cs="Arial"/>
                <w:b/>
                <w:sz w:val="18"/>
                <w:szCs w:val="20"/>
              </w:rPr>
              <w:t>TOTAL</w:t>
            </w:r>
          </w:p>
        </w:tc>
        <w:tc>
          <w:tcPr>
            <w:tcW w:w="2295" w:type="dxa"/>
            <w:shd w:val="clear" w:color="auto" w:fill="auto"/>
            <w:noWrap/>
            <w:vAlign w:val="center"/>
            <w:hideMark/>
          </w:tcPr>
          <w:p w14:paraId="76CDC88E" w14:textId="77777777" w:rsidR="00030089" w:rsidRPr="00622F98" w:rsidRDefault="00030089" w:rsidP="008547F7">
            <w:pPr>
              <w:spacing w:after="0" w:line="240" w:lineRule="auto"/>
              <w:jc w:val="right"/>
              <w:rPr>
                <w:rFonts w:ascii="Arial" w:eastAsia="Times New Roman" w:hAnsi="Arial" w:cs="Arial"/>
                <w:b/>
                <w:sz w:val="18"/>
                <w:szCs w:val="20"/>
              </w:rPr>
            </w:pPr>
            <w:r w:rsidRPr="005C71C0">
              <w:rPr>
                <w:rFonts w:ascii="Arial" w:eastAsia="Times New Roman" w:hAnsi="Arial" w:cs="Arial"/>
                <w:b/>
                <w:sz w:val="18"/>
                <w:szCs w:val="20"/>
              </w:rPr>
              <w:t>5</w:t>
            </w:r>
            <w:r>
              <w:rPr>
                <w:rFonts w:ascii="Arial" w:eastAsia="Times New Roman" w:hAnsi="Arial" w:cs="Arial"/>
                <w:b/>
                <w:sz w:val="18"/>
                <w:szCs w:val="20"/>
              </w:rPr>
              <w:t xml:space="preserve"> 305</w:t>
            </w:r>
          </w:p>
        </w:tc>
        <w:tc>
          <w:tcPr>
            <w:tcW w:w="2295" w:type="dxa"/>
            <w:shd w:val="clear" w:color="auto" w:fill="auto"/>
            <w:noWrap/>
            <w:vAlign w:val="center"/>
            <w:hideMark/>
          </w:tcPr>
          <w:p w14:paraId="4F93E8F8" w14:textId="77777777" w:rsidR="00030089" w:rsidRPr="00622F98" w:rsidRDefault="00030089" w:rsidP="008547F7">
            <w:pPr>
              <w:spacing w:after="0" w:line="240" w:lineRule="auto"/>
              <w:jc w:val="right"/>
              <w:rPr>
                <w:rFonts w:ascii="Arial" w:eastAsia="Times New Roman" w:hAnsi="Arial" w:cs="Arial"/>
                <w:b/>
                <w:sz w:val="18"/>
                <w:szCs w:val="20"/>
              </w:rPr>
            </w:pPr>
            <w:r w:rsidRPr="005C71C0">
              <w:rPr>
                <w:rFonts w:ascii="Arial" w:eastAsia="Times New Roman" w:hAnsi="Arial" w:cs="Arial"/>
                <w:b/>
                <w:sz w:val="18"/>
                <w:szCs w:val="20"/>
              </w:rPr>
              <w:t>3</w:t>
            </w:r>
            <w:r>
              <w:rPr>
                <w:rFonts w:ascii="Arial" w:eastAsia="Times New Roman" w:hAnsi="Arial" w:cs="Arial"/>
                <w:b/>
                <w:sz w:val="18"/>
                <w:szCs w:val="20"/>
              </w:rPr>
              <w:t xml:space="preserve"> 880</w:t>
            </w:r>
          </w:p>
        </w:tc>
        <w:tc>
          <w:tcPr>
            <w:tcW w:w="2295" w:type="dxa"/>
            <w:vAlign w:val="center"/>
          </w:tcPr>
          <w:p w14:paraId="785D55D2" w14:textId="77777777" w:rsidR="00030089" w:rsidRPr="005C71C0" w:rsidRDefault="00030089" w:rsidP="008547F7">
            <w:pPr>
              <w:spacing w:after="0" w:line="240" w:lineRule="auto"/>
              <w:jc w:val="right"/>
              <w:rPr>
                <w:rFonts w:ascii="Arial" w:eastAsia="Times New Roman" w:hAnsi="Arial" w:cs="Arial"/>
                <w:b/>
                <w:sz w:val="18"/>
                <w:szCs w:val="20"/>
              </w:rPr>
            </w:pPr>
            <w:r>
              <w:rPr>
                <w:rFonts w:ascii="Arial" w:eastAsia="Times New Roman" w:hAnsi="Arial" w:cs="Arial"/>
                <w:b/>
                <w:sz w:val="18"/>
                <w:szCs w:val="20"/>
              </w:rPr>
              <w:t>1 425</w:t>
            </w:r>
          </w:p>
        </w:tc>
      </w:tr>
    </w:tbl>
    <w:p w14:paraId="66C43817" w14:textId="77777777" w:rsidR="00030089" w:rsidRDefault="00030089" w:rsidP="00030089">
      <w:pPr>
        <w:pStyle w:val="Header"/>
        <w:spacing w:before="240" w:after="120" w:line="360" w:lineRule="auto"/>
        <w:jc w:val="both"/>
        <w:rPr>
          <w:rFonts w:ascii="Arial" w:hAnsi="Arial" w:cs="Arial"/>
          <w:b/>
          <w:szCs w:val="28"/>
        </w:rPr>
      </w:pPr>
    </w:p>
    <w:p w14:paraId="514041E3" w14:textId="77777777" w:rsidR="005342FF" w:rsidRDefault="005342FF" w:rsidP="00030089">
      <w:pPr>
        <w:pStyle w:val="Header"/>
        <w:spacing w:before="240" w:after="120" w:line="360" w:lineRule="auto"/>
        <w:jc w:val="both"/>
        <w:rPr>
          <w:rFonts w:ascii="Arial" w:hAnsi="Arial" w:cs="Arial"/>
          <w:b/>
          <w:szCs w:val="28"/>
        </w:rPr>
      </w:pPr>
    </w:p>
    <w:p w14:paraId="292C9036" w14:textId="77777777" w:rsidR="005342FF" w:rsidRDefault="005342FF" w:rsidP="00030089">
      <w:pPr>
        <w:pStyle w:val="Header"/>
        <w:spacing w:before="240" w:after="120" w:line="360" w:lineRule="auto"/>
        <w:jc w:val="both"/>
        <w:rPr>
          <w:rFonts w:ascii="Arial" w:hAnsi="Arial" w:cs="Arial"/>
          <w:b/>
          <w:szCs w:val="28"/>
        </w:rPr>
      </w:pPr>
    </w:p>
    <w:p w14:paraId="2DA52CED" w14:textId="77777777" w:rsidR="005342FF" w:rsidRDefault="005342FF" w:rsidP="00030089">
      <w:pPr>
        <w:pStyle w:val="Header"/>
        <w:spacing w:before="240" w:after="120" w:line="360" w:lineRule="auto"/>
        <w:jc w:val="both"/>
        <w:rPr>
          <w:rFonts w:ascii="Arial" w:hAnsi="Arial" w:cs="Arial"/>
          <w:b/>
          <w:szCs w:val="28"/>
        </w:rPr>
      </w:pPr>
    </w:p>
    <w:p w14:paraId="34B95A9D" w14:textId="77777777" w:rsidR="005342FF" w:rsidRDefault="005342FF" w:rsidP="00030089">
      <w:pPr>
        <w:pStyle w:val="Header"/>
        <w:spacing w:before="240" w:after="120" w:line="360" w:lineRule="auto"/>
        <w:jc w:val="both"/>
        <w:rPr>
          <w:rFonts w:ascii="Arial" w:hAnsi="Arial" w:cs="Arial"/>
          <w:b/>
          <w:szCs w:val="28"/>
        </w:rPr>
      </w:pPr>
    </w:p>
    <w:p w14:paraId="10A8CA09" w14:textId="77777777" w:rsidR="00030089" w:rsidRDefault="00030089" w:rsidP="00030089">
      <w:pPr>
        <w:pStyle w:val="Header"/>
        <w:spacing w:before="240" w:after="120" w:line="360" w:lineRule="auto"/>
        <w:jc w:val="both"/>
        <w:rPr>
          <w:rFonts w:ascii="Arial" w:hAnsi="Arial" w:cs="Arial"/>
          <w:szCs w:val="28"/>
        </w:rPr>
      </w:pPr>
      <w:r w:rsidRPr="000B5EA6">
        <w:rPr>
          <w:rFonts w:ascii="Arial" w:hAnsi="Arial" w:cs="Arial"/>
          <w:b/>
          <w:szCs w:val="28"/>
        </w:rPr>
        <w:t>Step 2.</w:t>
      </w:r>
      <w:r w:rsidRPr="000B5EA6">
        <w:rPr>
          <w:rFonts w:ascii="Arial" w:hAnsi="Arial" w:cs="Arial"/>
          <w:szCs w:val="28"/>
        </w:rPr>
        <w:t xml:space="preserve"> </w:t>
      </w:r>
      <w:r w:rsidRPr="00C93844">
        <w:rPr>
          <w:rFonts w:ascii="Arial" w:hAnsi="Arial" w:cs="Arial"/>
          <w:szCs w:val="28"/>
        </w:rPr>
        <w:t>The total amount of beverage containers sold annually in the NT</w:t>
      </w:r>
      <w:r w:rsidRPr="00C93844">
        <w:rPr>
          <w:rStyle w:val="FootnoteReference"/>
          <w:rFonts w:ascii="Arial" w:hAnsi="Arial"/>
          <w:szCs w:val="28"/>
        </w:rPr>
        <w:footnoteReference w:id="12"/>
      </w:r>
      <w:r w:rsidRPr="00C93844">
        <w:rPr>
          <w:rFonts w:ascii="Arial" w:hAnsi="Arial" w:cs="Arial"/>
          <w:szCs w:val="28"/>
        </w:rPr>
        <w:t xml:space="preserve"> can be ascertained from CDS sales data available through the NT CDS </w:t>
      </w:r>
      <w:r w:rsidRPr="00C93844">
        <w:rPr>
          <w:rFonts w:ascii="Arial" w:hAnsi="Arial" w:cs="Arial"/>
          <w:i/>
          <w:szCs w:val="28"/>
        </w:rPr>
        <w:t>Quarterly Reports</w:t>
      </w:r>
      <w:r>
        <w:rPr>
          <w:rStyle w:val="FootnoteReference"/>
          <w:rFonts w:ascii="Arial" w:hAnsi="Arial"/>
          <w:i/>
          <w:szCs w:val="28"/>
        </w:rPr>
        <w:footnoteReference w:id="13"/>
      </w:r>
      <w:r w:rsidRPr="00C93844">
        <w:rPr>
          <w:rFonts w:ascii="Arial" w:hAnsi="Arial" w:cs="Arial"/>
          <w:i/>
          <w:szCs w:val="28"/>
        </w:rPr>
        <w:t>.</w:t>
      </w:r>
      <w:r w:rsidRPr="00C93844">
        <w:rPr>
          <w:rFonts w:ascii="Arial" w:hAnsi="Arial" w:cs="Arial"/>
          <w:szCs w:val="28"/>
        </w:rPr>
        <w:t xml:space="preserve"> Table </w:t>
      </w:r>
      <w:r>
        <w:rPr>
          <w:rFonts w:ascii="Arial" w:hAnsi="Arial" w:cs="Arial"/>
          <w:szCs w:val="28"/>
        </w:rPr>
        <w:t>1.5</w:t>
      </w:r>
      <w:r w:rsidRPr="00C93844">
        <w:rPr>
          <w:rFonts w:ascii="Arial" w:hAnsi="Arial" w:cs="Arial"/>
          <w:szCs w:val="28"/>
        </w:rPr>
        <w:t xml:space="preserve"> demonstrates that</w:t>
      </w:r>
      <w:r w:rsidRPr="000B5EA6">
        <w:rPr>
          <w:rFonts w:ascii="Arial" w:hAnsi="Arial" w:cs="Arial"/>
          <w:szCs w:val="28"/>
        </w:rPr>
        <w:t xml:space="preserve"> some </w:t>
      </w:r>
      <w:r>
        <w:rPr>
          <w:rFonts w:ascii="Arial" w:hAnsi="Arial" w:cs="Arial"/>
          <w:szCs w:val="28"/>
        </w:rPr>
        <w:t xml:space="preserve">11 599 </w:t>
      </w:r>
      <w:r w:rsidRPr="000B5EA6">
        <w:rPr>
          <w:rFonts w:ascii="Arial" w:hAnsi="Arial" w:cs="Arial"/>
          <w:szCs w:val="28"/>
        </w:rPr>
        <w:t xml:space="preserve">tonnes of beverage containers were sold annually in the NT </w:t>
      </w:r>
      <w:r>
        <w:rPr>
          <w:rFonts w:ascii="Arial" w:hAnsi="Arial" w:cs="Arial"/>
          <w:szCs w:val="28"/>
        </w:rPr>
        <w:t xml:space="preserve">in the first year of the </w:t>
      </w:r>
      <w:r w:rsidRPr="000B5EA6">
        <w:rPr>
          <w:rFonts w:ascii="Arial" w:hAnsi="Arial" w:cs="Arial"/>
          <w:szCs w:val="28"/>
        </w:rPr>
        <w:t>NT CDS’s introduction.</w:t>
      </w:r>
    </w:p>
    <w:p w14:paraId="365B8287" w14:textId="77777777" w:rsidR="00030089" w:rsidRDefault="00030089" w:rsidP="00030089">
      <w:pPr>
        <w:pStyle w:val="Header"/>
        <w:spacing w:before="240" w:after="120" w:line="360" w:lineRule="auto"/>
        <w:jc w:val="both"/>
        <w:rPr>
          <w:rFonts w:ascii="Arial" w:hAnsi="Arial" w:cs="Arial"/>
          <w:szCs w:val="28"/>
        </w:rPr>
      </w:pPr>
    </w:p>
    <w:p w14:paraId="6FAB44EA" w14:textId="65E61C8F" w:rsidR="00F702E2" w:rsidRDefault="00F702E2">
      <w:pPr>
        <w:rPr>
          <w:rFonts w:ascii="Arial" w:hAnsi="Arial" w:cs="Arial"/>
          <w:szCs w:val="28"/>
        </w:rPr>
      </w:pPr>
      <w:r>
        <w:rPr>
          <w:rFonts w:ascii="Arial" w:hAnsi="Arial" w:cs="Arial"/>
          <w:szCs w:val="28"/>
        </w:rPr>
        <w:br w:type="page"/>
      </w:r>
    </w:p>
    <w:p w14:paraId="187FB6FA" w14:textId="77777777" w:rsidR="00030089" w:rsidRPr="00682556" w:rsidRDefault="00030089" w:rsidP="00030089">
      <w:pPr>
        <w:pStyle w:val="Caption"/>
        <w:keepNext/>
        <w:rPr>
          <w:noProof/>
          <w:color w:val="auto"/>
        </w:rPr>
      </w:pPr>
      <w:r w:rsidRPr="00682556">
        <w:rPr>
          <w:noProof/>
          <w:color w:val="auto"/>
        </w:rPr>
        <w:lastRenderedPageBreak/>
        <w:fldChar w:fldCharType="begin"/>
      </w:r>
      <w:r w:rsidRPr="00682556">
        <w:rPr>
          <w:noProof/>
          <w:color w:val="auto"/>
        </w:rPr>
        <w:instrText xml:space="preserve"> SEQ Figure \* ARABIC </w:instrText>
      </w:r>
      <w:r w:rsidRPr="00682556">
        <w:rPr>
          <w:noProof/>
          <w:color w:val="auto"/>
        </w:rPr>
        <w:fldChar w:fldCharType="separate"/>
      </w:r>
      <w:bookmarkStart w:id="29" w:name="_Toc353562489"/>
      <w:r w:rsidR="00740026">
        <w:rPr>
          <w:noProof/>
          <w:color w:val="auto"/>
        </w:rPr>
        <w:t>8</w:t>
      </w:r>
      <w:r w:rsidRPr="00682556">
        <w:rPr>
          <w:noProof/>
          <w:color w:val="auto"/>
        </w:rPr>
        <w:fldChar w:fldCharType="end"/>
      </w:r>
      <w:r w:rsidRPr="00682556">
        <w:rPr>
          <w:noProof/>
          <w:color w:val="auto"/>
        </w:rPr>
        <w:t xml:space="preserve"> Table 1.</w:t>
      </w:r>
      <w:r w:rsidRPr="00682556" w:rsidDel="00731E7D">
        <w:rPr>
          <w:noProof/>
          <w:color w:val="auto"/>
        </w:rPr>
        <w:t xml:space="preserve"> </w:t>
      </w:r>
      <w:r w:rsidRPr="00682556">
        <w:rPr>
          <w:noProof/>
          <w:color w:val="auto"/>
        </w:rPr>
        <w:t>5: Beverage containers sold (tonnes)</w:t>
      </w:r>
      <w:bookmarkEnd w:id="29"/>
    </w:p>
    <w:tbl>
      <w:tblPr>
        <w:tblW w:w="8931" w:type="dxa"/>
        <w:tblInd w:w="108" w:type="dxa"/>
        <w:tblLayout w:type="fixed"/>
        <w:tblLook w:val="04A0" w:firstRow="1" w:lastRow="0" w:firstColumn="1" w:lastColumn="0" w:noHBand="0" w:noVBand="1"/>
      </w:tblPr>
      <w:tblGrid>
        <w:gridCol w:w="2232"/>
        <w:gridCol w:w="2233"/>
        <w:gridCol w:w="2233"/>
        <w:gridCol w:w="2233"/>
      </w:tblGrid>
      <w:tr w:rsidR="00030089" w:rsidRPr="00445151" w14:paraId="4C96D027" w14:textId="77777777" w:rsidTr="008547F7">
        <w:trPr>
          <w:trHeight w:val="300"/>
        </w:trPr>
        <w:tc>
          <w:tcPr>
            <w:tcW w:w="2232" w:type="dxa"/>
            <w:tcBorders>
              <w:top w:val="single" w:sz="4" w:space="0" w:color="auto"/>
              <w:left w:val="single" w:sz="4" w:space="0" w:color="auto"/>
              <w:bottom w:val="single" w:sz="4" w:space="0" w:color="auto"/>
              <w:right w:val="single" w:sz="4" w:space="0" w:color="auto"/>
            </w:tcBorders>
            <w:shd w:val="pct10" w:color="auto" w:fill="auto"/>
            <w:noWrap/>
          </w:tcPr>
          <w:p w14:paraId="769B52EF" w14:textId="77777777" w:rsidR="00030089" w:rsidRPr="00445151" w:rsidRDefault="00030089" w:rsidP="008547F7">
            <w:pPr>
              <w:spacing w:after="0" w:line="240" w:lineRule="auto"/>
              <w:rPr>
                <w:rFonts w:ascii="Arial" w:eastAsia="Times New Roman" w:hAnsi="Arial" w:cs="Arial"/>
                <w:b/>
                <w:sz w:val="20"/>
                <w:szCs w:val="20"/>
              </w:rPr>
            </w:pPr>
            <w:r w:rsidRPr="00445151">
              <w:rPr>
                <w:rFonts w:ascii="Arial" w:eastAsia="Times New Roman" w:hAnsi="Arial" w:cs="Arial"/>
                <w:b/>
                <w:sz w:val="18"/>
                <w:szCs w:val="20"/>
              </w:rPr>
              <w:t xml:space="preserve">Containers </w:t>
            </w:r>
            <w:r>
              <w:rPr>
                <w:rFonts w:ascii="Arial" w:eastAsia="Times New Roman" w:hAnsi="Arial" w:cs="Arial"/>
                <w:b/>
                <w:sz w:val="18"/>
                <w:szCs w:val="20"/>
              </w:rPr>
              <w:t>s</w:t>
            </w:r>
            <w:r w:rsidRPr="00445151">
              <w:rPr>
                <w:rFonts w:ascii="Arial" w:eastAsia="Times New Roman" w:hAnsi="Arial" w:cs="Arial"/>
                <w:b/>
                <w:sz w:val="18"/>
                <w:szCs w:val="20"/>
              </w:rPr>
              <w:t>old</w:t>
            </w:r>
          </w:p>
        </w:tc>
        <w:tc>
          <w:tcPr>
            <w:tcW w:w="2233" w:type="dxa"/>
            <w:tcBorders>
              <w:top w:val="single" w:sz="4" w:space="0" w:color="auto"/>
              <w:left w:val="single" w:sz="4" w:space="0" w:color="auto"/>
              <w:bottom w:val="single" w:sz="4" w:space="0" w:color="auto"/>
              <w:right w:val="single" w:sz="4" w:space="0" w:color="auto"/>
            </w:tcBorders>
            <w:shd w:val="pct10" w:color="auto" w:fill="auto"/>
            <w:noWrap/>
          </w:tcPr>
          <w:p w14:paraId="3FC98AEB" w14:textId="77777777" w:rsidR="00030089" w:rsidRPr="00445151" w:rsidRDefault="00030089" w:rsidP="008547F7">
            <w:pPr>
              <w:spacing w:after="0" w:line="240" w:lineRule="auto"/>
              <w:jc w:val="right"/>
              <w:rPr>
                <w:rFonts w:ascii="Arial" w:eastAsia="Times New Roman" w:hAnsi="Arial" w:cs="Arial"/>
                <w:b/>
                <w:sz w:val="20"/>
                <w:szCs w:val="20"/>
              </w:rPr>
            </w:pPr>
            <w:r w:rsidRPr="00445151">
              <w:rPr>
                <w:rFonts w:ascii="Arial" w:eastAsia="Times New Roman" w:hAnsi="Arial" w:cs="Arial"/>
                <w:b/>
                <w:sz w:val="18"/>
                <w:szCs w:val="20"/>
              </w:rPr>
              <w:t xml:space="preserve">Annual </w:t>
            </w:r>
            <w:r>
              <w:rPr>
                <w:rFonts w:ascii="Arial" w:eastAsia="Times New Roman" w:hAnsi="Arial" w:cs="Arial"/>
                <w:b/>
                <w:sz w:val="18"/>
                <w:szCs w:val="20"/>
              </w:rPr>
              <w:t>u</w:t>
            </w:r>
            <w:r w:rsidRPr="00445151">
              <w:rPr>
                <w:rFonts w:ascii="Arial" w:eastAsia="Times New Roman" w:hAnsi="Arial" w:cs="Arial"/>
                <w:b/>
                <w:sz w:val="18"/>
                <w:szCs w:val="20"/>
              </w:rPr>
              <w:t xml:space="preserve">nit </w:t>
            </w:r>
            <w:r>
              <w:rPr>
                <w:rFonts w:ascii="Arial" w:eastAsia="Times New Roman" w:hAnsi="Arial" w:cs="Arial"/>
                <w:b/>
                <w:sz w:val="18"/>
                <w:szCs w:val="20"/>
              </w:rPr>
              <w:t>s</w:t>
            </w:r>
            <w:r w:rsidRPr="00445151">
              <w:rPr>
                <w:rFonts w:ascii="Arial" w:eastAsia="Times New Roman" w:hAnsi="Arial" w:cs="Arial"/>
                <w:b/>
                <w:sz w:val="18"/>
                <w:szCs w:val="20"/>
              </w:rPr>
              <w:t>ales</w:t>
            </w:r>
          </w:p>
        </w:tc>
        <w:tc>
          <w:tcPr>
            <w:tcW w:w="2233" w:type="dxa"/>
            <w:tcBorders>
              <w:top w:val="single" w:sz="4" w:space="0" w:color="auto"/>
              <w:left w:val="single" w:sz="4" w:space="0" w:color="auto"/>
              <w:bottom w:val="single" w:sz="4" w:space="0" w:color="auto"/>
              <w:right w:val="single" w:sz="4" w:space="0" w:color="auto"/>
            </w:tcBorders>
            <w:shd w:val="pct10" w:color="auto" w:fill="auto"/>
            <w:noWrap/>
          </w:tcPr>
          <w:p w14:paraId="31E32905" w14:textId="77777777" w:rsidR="00030089" w:rsidRPr="00445151" w:rsidRDefault="00030089" w:rsidP="008547F7">
            <w:pPr>
              <w:spacing w:after="0" w:line="240" w:lineRule="auto"/>
              <w:jc w:val="right"/>
              <w:rPr>
                <w:rFonts w:ascii="Arial" w:eastAsia="Times New Roman" w:hAnsi="Arial" w:cs="Arial"/>
                <w:b/>
                <w:sz w:val="18"/>
                <w:szCs w:val="20"/>
              </w:rPr>
            </w:pPr>
            <w:r w:rsidRPr="00445151">
              <w:rPr>
                <w:rFonts w:ascii="Arial" w:eastAsia="Times New Roman" w:hAnsi="Arial" w:cs="Arial"/>
                <w:b/>
                <w:sz w:val="18"/>
                <w:szCs w:val="20"/>
              </w:rPr>
              <w:t xml:space="preserve">Conversion </w:t>
            </w:r>
            <w:r>
              <w:rPr>
                <w:rFonts w:ascii="Arial" w:eastAsia="Times New Roman" w:hAnsi="Arial" w:cs="Arial"/>
                <w:b/>
                <w:sz w:val="18"/>
                <w:szCs w:val="20"/>
              </w:rPr>
              <w:t>r</w:t>
            </w:r>
            <w:r w:rsidRPr="00445151">
              <w:rPr>
                <w:rFonts w:ascii="Arial" w:eastAsia="Times New Roman" w:hAnsi="Arial" w:cs="Arial"/>
                <w:b/>
                <w:sz w:val="18"/>
                <w:szCs w:val="20"/>
              </w:rPr>
              <w:t xml:space="preserve">ate: </w:t>
            </w:r>
            <w:r>
              <w:rPr>
                <w:rFonts w:ascii="Arial" w:eastAsia="Times New Roman" w:hAnsi="Arial" w:cs="Arial"/>
                <w:b/>
                <w:sz w:val="18"/>
                <w:szCs w:val="20"/>
              </w:rPr>
              <w:t>u</w:t>
            </w:r>
            <w:r w:rsidRPr="00445151">
              <w:rPr>
                <w:rFonts w:ascii="Arial" w:eastAsia="Times New Roman" w:hAnsi="Arial" w:cs="Arial"/>
                <w:b/>
                <w:sz w:val="18"/>
                <w:szCs w:val="20"/>
              </w:rPr>
              <w:t xml:space="preserve">nits per </w:t>
            </w:r>
            <w:r>
              <w:rPr>
                <w:rFonts w:ascii="Arial" w:eastAsia="Times New Roman" w:hAnsi="Arial" w:cs="Arial"/>
                <w:b/>
                <w:sz w:val="18"/>
                <w:szCs w:val="20"/>
              </w:rPr>
              <w:t>t</w:t>
            </w:r>
            <w:r w:rsidRPr="00445151">
              <w:rPr>
                <w:rFonts w:ascii="Arial" w:eastAsia="Times New Roman" w:hAnsi="Arial" w:cs="Arial"/>
                <w:b/>
                <w:sz w:val="18"/>
                <w:szCs w:val="20"/>
              </w:rPr>
              <w:t>onne</w:t>
            </w:r>
            <w:r w:rsidRPr="00445151">
              <w:rPr>
                <w:rStyle w:val="FootnoteReference"/>
                <w:rFonts w:ascii="Arial" w:eastAsia="Times New Roman" w:hAnsi="Arial"/>
                <w:b/>
                <w:sz w:val="18"/>
                <w:szCs w:val="20"/>
              </w:rPr>
              <w:footnoteReference w:id="14"/>
            </w:r>
          </w:p>
          <w:p w14:paraId="72A981E0" w14:textId="77777777" w:rsidR="00030089" w:rsidRPr="00445151" w:rsidRDefault="00030089" w:rsidP="008547F7">
            <w:pPr>
              <w:spacing w:after="0" w:line="240" w:lineRule="auto"/>
              <w:jc w:val="right"/>
              <w:rPr>
                <w:rFonts w:ascii="Arial" w:eastAsia="Times New Roman" w:hAnsi="Arial" w:cs="Arial"/>
                <w:b/>
                <w:sz w:val="20"/>
                <w:szCs w:val="20"/>
              </w:rPr>
            </w:pPr>
          </w:p>
        </w:tc>
        <w:tc>
          <w:tcPr>
            <w:tcW w:w="2233" w:type="dxa"/>
            <w:tcBorders>
              <w:top w:val="single" w:sz="4" w:space="0" w:color="auto"/>
              <w:left w:val="single" w:sz="4" w:space="0" w:color="auto"/>
              <w:bottom w:val="single" w:sz="4" w:space="0" w:color="auto"/>
              <w:right w:val="single" w:sz="4" w:space="0" w:color="auto"/>
            </w:tcBorders>
            <w:shd w:val="pct10" w:color="auto" w:fill="auto"/>
            <w:noWrap/>
          </w:tcPr>
          <w:p w14:paraId="6BE85F24" w14:textId="77777777" w:rsidR="00030089" w:rsidRPr="00445151" w:rsidRDefault="00030089" w:rsidP="008547F7">
            <w:pPr>
              <w:spacing w:after="0" w:line="240" w:lineRule="auto"/>
              <w:jc w:val="right"/>
              <w:rPr>
                <w:rFonts w:ascii="Arial" w:eastAsia="Times New Roman" w:hAnsi="Arial" w:cs="Arial"/>
                <w:b/>
                <w:sz w:val="18"/>
                <w:szCs w:val="20"/>
              </w:rPr>
            </w:pPr>
            <w:r>
              <w:rPr>
                <w:rFonts w:ascii="Arial" w:eastAsia="Times New Roman" w:hAnsi="Arial" w:cs="Arial"/>
                <w:b/>
                <w:sz w:val="18"/>
                <w:szCs w:val="20"/>
              </w:rPr>
              <w:t>T</w:t>
            </w:r>
            <w:r w:rsidRPr="00445151">
              <w:rPr>
                <w:rFonts w:ascii="Arial" w:eastAsia="Times New Roman" w:hAnsi="Arial" w:cs="Arial"/>
                <w:b/>
                <w:sz w:val="18"/>
                <w:szCs w:val="20"/>
              </w:rPr>
              <w:t>onnes</w:t>
            </w:r>
          </w:p>
        </w:tc>
      </w:tr>
      <w:tr w:rsidR="00030089" w:rsidRPr="00445151" w14:paraId="36968F28" w14:textId="77777777" w:rsidTr="008547F7">
        <w:trPr>
          <w:trHeight w:val="300"/>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C4D8C" w14:textId="77777777" w:rsidR="00030089" w:rsidRPr="00445151" w:rsidRDefault="00030089" w:rsidP="008547F7">
            <w:pPr>
              <w:spacing w:after="0" w:line="240" w:lineRule="auto"/>
              <w:rPr>
                <w:rFonts w:ascii="Arial" w:eastAsia="Times New Roman" w:hAnsi="Arial" w:cs="Arial"/>
                <w:b/>
                <w:sz w:val="20"/>
                <w:szCs w:val="20"/>
              </w:rPr>
            </w:pPr>
            <w:r w:rsidRPr="00445151">
              <w:rPr>
                <w:rFonts w:ascii="Arial" w:eastAsia="Times New Roman" w:hAnsi="Arial" w:cs="Arial"/>
                <w:b/>
                <w:sz w:val="18"/>
                <w:szCs w:val="20"/>
              </w:rPr>
              <w:t>Glass</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7C47B" w14:textId="77777777" w:rsidR="00030089" w:rsidRPr="00445151" w:rsidRDefault="00030089" w:rsidP="008547F7">
            <w:pPr>
              <w:spacing w:after="0" w:line="240" w:lineRule="auto"/>
              <w:jc w:val="right"/>
              <w:rPr>
                <w:rFonts w:ascii="Arial" w:eastAsia="Times New Roman" w:hAnsi="Arial" w:cs="Arial"/>
                <w:sz w:val="18"/>
                <w:szCs w:val="18"/>
              </w:rPr>
            </w:pPr>
            <w:r w:rsidRPr="00445151">
              <w:rPr>
                <w:rFonts w:ascii="Arial" w:eastAsia="Times New Roman" w:hAnsi="Arial" w:cs="Arial"/>
                <w:sz w:val="18"/>
                <w:szCs w:val="18"/>
              </w:rPr>
              <w:t>42 656 570</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98D9B" w14:textId="77777777" w:rsidR="00030089" w:rsidRPr="00445151" w:rsidRDefault="00030089" w:rsidP="008547F7">
            <w:pPr>
              <w:spacing w:after="0" w:line="240" w:lineRule="auto"/>
              <w:jc w:val="right"/>
              <w:rPr>
                <w:rFonts w:ascii="Arial" w:eastAsia="Times New Roman" w:hAnsi="Arial" w:cs="Arial"/>
                <w:sz w:val="18"/>
                <w:szCs w:val="18"/>
              </w:rPr>
            </w:pPr>
            <w:r w:rsidRPr="00445151">
              <w:rPr>
                <w:rFonts w:ascii="Arial" w:eastAsia="Times New Roman" w:hAnsi="Arial" w:cs="Arial"/>
                <w:sz w:val="18"/>
                <w:szCs w:val="18"/>
              </w:rPr>
              <w:t>4</w:t>
            </w:r>
            <w:r>
              <w:rPr>
                <w:rFonts w:ascii="Arial" w:eastAsia="Times New Roman" w:hAnsi="Arial" w:cs="Arial"/>
                <w:sz w:val="18"/>
                <w:szCs w:val="18"/>
              </w:rPr>
              <w:t xml:space="preserve"> </w:t>
            </w:r>
            <w:r w:rsidRPr="00445151">
              <w:rPr>
                <w:rFonts w:ascii="Arial" w:eastAsia="Times New Roman" w:hAnsi="Arial" w:cs="Arial"/>
                <w:sz w:val="18"/>
                <w:szCs w:val="18"/>
              </w:rPr>
              <w:t xml:space="preserve">784 </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A54DD" w14:textId="77777777" w:rsidR="00030089" w:rsidRPr="00445151" w:rsidRDefault="00030089" w:rsidP="008547F7">
            <w:pPr>
              <w:spacing w:after="0" w:line="240" w:lineRule="auto"/>
              <w:jc w:val="right"/>
              <w:rPr>
                <w:rFonts w:ascii="Arial" w:eastAsia="Times New Roman" w:hAnsi="Arial" w:cs="Arial"/>
                <w:sz w:val="18"/>
                <w:szCs w:val="18"/>
              </w:rPr>
            </w:pPr>
            <w:r w:rsidRPr="00445151">
              <w:rPr>
                <w:rFonts w:ascii="Arial" w:eastAsia="Times New Roman" w:hAnsi="Arial" w:cs="Arial"/>
                <w:sz w:val="18"/>
                <w:szCs w:val="18"/>
              </w:rPr>
              <w:t>8 917</w:t>
            </w:r>
          </w:p>
        </w:tc>
      </w:tr>
      <w:tr w:rsidR="00030089" w:rsidRPr="00445151" w14:paraId="43AE782E" w14:textId="77777777" w:rsidTr="008547F7">
        <w:trPr>
          <w:trHeight w:val="300"/>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EC886" w14:textId="77777777" w:rsidR="00030089" w:rsidRPr="00445151" w:rsidRDefault="00030089" w:rsidP="008547F7">
            <w:pPr>
              <w:spacing w:after="0" w:line="240" w:lineRule="auto"/>
              <w:rPr>
                <w:rFonts w:ascii="Arial" w:eastAsia="Times New Roman" w:hAnsi="Arial" w:cs="Arial"/>
                <w:b/>
                <w:sz w:val="20"/>
                <w:szCs w:val="20"/>
              </w:rPr>
            </w:pPr>
            <w:r w:rsidRPr="00445151">
              <w:rPr>
                <w:rFonts w:ascii="Arial" w:eastAsia="Times New Roman" w:hAnsi="Arial" w:cs="Arial"/>
                <w:b/>
                <w:sz w:val="18"/>
                <w:szCs w:val="20"/>
              </w:rPr>
              <w:t>PET</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F9218" w14:textId="77777777" w:rsidR="00030089" w:rsidRPr="00445151" w:rsidRDefault="00030089" w:rsidP="008547F7">
            <w:pPr>
              <w:spacing w:after="0" w:line="240" w:lineRule="auto"/>
              <w:jc w:val="right"/>
              <w:rPr>
                <w:rFonts w:ascii="Arial" w:eastAsia="Times New Roman" w:hAnsi="Arial" w:cs="Arial"/>
                <w:sz w:val="18"/>
                <w:szCs w:val="18"/>
              </w:rPr>
            </w:pPr>
            <w:r>
              <w:rPr>
                <w:rFonts w:ascii="Arial" w:eastAsia="Times New Roman" w:hAnsi="Arial" w:cs="Arial"/>
                <w:sz w:val="18"/>
                <w:szCs w:val="18"/>
              </w:rPr>
              <w:t>31 147 739</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4A59E" w14:textId="77777777" w:rsidR="00030089" w:rsidRPr="00445151" w:rsidRDefault="00030089" w:rsidP="008547F7">
            <w:pPr>
              <w:spacing w:after="0" w:line="240" w:lineRule="auto"/>
              <w:jc w:val="right"/>
              <w:rPr>
                <w:rFonts w:ascii="Arial" w:eastAsia="Times New Roman" w:hAnsi="Arial" w:cs="Arial"/>
                <w:sz w:val="18"/>
                <w:szCs w:val="18"/>
              </w:rPr>
            </w:pPr>
            <w:r w:rsidRPr="00445151">
              <w:rPr>
                <w:rFonts w:ascii="Arial" w:eastAsia="Times New Roman" w:hAnsi="Arial" w:cs="Arial"/>
                <w:sz w:val="18"/>
                <w:szCs w:val="18"/>
              </w:rPr>
              <w:t>29 205</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284D3" w14:textId="77777777" w:rsidR="00030089" w:rsidRPr="00445151" w:rsidRDefault="00030089" w:rsidP="008547F7">
            <w:pPr>
              <w:spacing w:after="0" w:line="240" w:lineRule="auto"/>
              <w:jc w:val="right"/>
              <w:rPr>
                <w:rFonts w:ascii="Arial" w:eastAsia="Times New Roman" w:hAnsi="Arial" w:cs="Arial"/>
                <w:sz w:val="18"/>
                <w:szCs w:val="18"/>
              </w:rPr>
            </w:pPr>
            <w:r>
              <w:rPr>
                <w:rFonts w:ascii="Arial" w:eastAsia="Times New Roman" w:hAnsi="Arial" w:cs="Arial"/>
                <w:sz w:val="18"/>
                <w:szCs w:val="18"/>
              </w:rPr>
              <w:t>1067</w:t>
            </w:r>
          </w:p>
        </w:tc>
      </w:tr>
      <w:tr w:rsidR="00030089" w:rsidRPr="00445151" w14:paraId="7777B30E" w14:textId="77777777" w:rsidTr="008547F7">
        <w:trPr>
          <w:trHeight w:val="300"/>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55B46" w14:textId="77777777" w:rsidR="00030089" w:rsidRPr="00445151" w:rsidRDefault="00030089" w:rsidP="008547F7">
            <w:pPr>
              <w:spacing w:after="0" w:line="240" w:lineRule="auto"/>
              <w:rPr>
                <w:rFonts w:ascii="Arial" w:eastAsia="Times New Roman" w:hAnsi="Arial" w:cs="Arial"/>
                <w:b/>
                <w:sz w:val="18"/>
                <w:szCs w:val="20"/>
              </w:rPr>
            </w:pPr>
            <w:r>
              <w:rPr>
                <w:rFonts w:ascii="Arial" w:eastAsia="Times New Roman" w:hAnsi="Arial" w:cs="Arial"/>
                <w:b/>
                <w:sz w:val="18"/>
                <w:szCs w:val="20"/>
              </w:rPr>
              <w:t>HDPE</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B48BF" w14:textId="77777777" w:rsidR="00030089" w:rsidRPr="00445151" w:rsidRDefault="00030089" w:rsidP="008547F7">
            <w:pPr>
              <w:spacing w:after="0" w:line="240" w:lineRule="auto"/>
              <w:jc w:val="right"/>
              <w:rPr>
                <w:rFonts w:ascii="Arial" w:eastAsia="Times New Roman" w:hAnsi="Arial" w:cs="Arial"/>
                <w:sz w:val="18"/>
                <w:szCs w:val="18"/>
              </w:rPr>
            </w:pPr>
            <w:r>
              <w:rPr>
                <w:rFonts w:ascii="Arial" w:eastAsia="Times New Roman" w:hAnsi="Arial" w:cs="Arial"/>
                <w:sz w:val="18"/>
                <w:szCs w:val="18"/>
              </w:rPr>
              <w:t>3 929 055</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2A9B1" w14:textId="77777777" w:rsidR="00030089" w:rsidRPr="00445151" w:rsidRDefault="00030089" w:rsidP="008547F7">
            <w:pPr>
              <w:spacing w:after="0" w:line="240" w:lineRule="auto"/>
              <w:jc w:val="right"/>
              <w:rPr>
                <w:rFonts w:ascii="Arial" w:eastAsia="Times New Roman" w:hAnsi="Arial" w:cs="Arial"/>
                <w:sz w:val="18"/>
                <w:szCs w:val="18"/>
              </w:rPr>
            </w:pPr>
            <w:r>
              <w:rPr>
                <w:rFonts w:ascii="Arial" w:eastAsia="Times New Roman" w:hAnsi="Arial" w:cs="Arial"/>
                <w:sz w:val="18"/>
                <w:szCs w:val="18"/>
              </w:rPr>
              <w:t>20 008</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4D121" w14:textId="77777777" w:rsidR="00030089" w:rsidRPr="00445151" w:rsidRDefault="00030089" w:rsidP="008547F7">
            <w:pPr>
              <w:spacing w:after="0" w:line="240" w:lineRule="auto"/>
              <w:jc w:val="right"/>
              <w:rPr>
                <w:rFonts w:ascii="Arial" w:eastAsia="Times New Roman" w:hAnsi="Arial" w:cs="Arial"/>
                <w:sz w:val="18"/>
                <w:szCs w:val="18"/>
              </w:rPr>
            </w:pPr>
            <w:r>
              <w:rPr>
                <w:rFonts w:ascii="Arial" w:eastAsia="Times New Roman" w:hAnsi="Arial" w:cs="Arial"/>
                <w:sz w:val="18"/>
                <w:szCs w:val="18"/>
              </w:rPr>
              <w:t>196</w:t>
            </w:r>
          </w:p>
        </w:tc>
      </w:tr>
      <w:tr w:rsidR="00030089" w:rsidRPr="00445151" w14:paraId="138FF1C1" w14:textId="77777777" w:rsidTr="008547F7">
        <w:trPr>
          <w:trHeight w:val="300"/>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D18A5" w14:textId="77777777" w:rsidR="00030089" w:rsidRPr="00445151" w:rsidRDefault="00030089" w:rsidP="008547F7">
            <w:pPr>
              <w:spacing w:after="0" w:line="240" w:lineRule="auto"/>
              <w:rPr>
                <w:rFonts w:ascii="Arial" w:eastAsia="Times New Roman" w:hAnsi="Arial" w:cs="Arial"/>
                <w:b/>
                <w:sz w:val="20"/>
                <w:szCs w:val="20"/>
              </w:rPr>
            </w:pPr>
            <w:r w:rsidRPr="00445151">
              <w:rPr>
                <w:rFonts w:ascii="Arial" w:eastAsia="Times New Roman" w:hAnsi="Arial" w:cs="Arial"/>
                <w:b/>
                <w:sz w:val="18"/>
                <w:szCs w:val="20"/>
              </w:rPr>
              <w:t>A</w:t>
            </w:r>
            <w:r>
              <w:rPr>
                <w:rFonts w:ascii="Arial" w:eastAsia="Times New Roman" w:hAnsi="Arial" w:cs="Arial"/>
                <w:b/>
                <w:sz w:val="18"/>
                <w:szCs w:val="20"/>
              </w:rPr>
              <w:t>l</w:t>
            </w:r>
            <w:r w:rsidRPr="00445151">
              <w:rPr>
                <w:rFonts w:ascii="Arial" w:eastAsia="Times New Roman" w:hAnsi="Arial" w:cs="Arial"/>
                <w:b/>
                <w:sz w:val="18"/>
                <w:szCs w:val="20"/>
              </w:rPr>
              <w:t>uminium</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755D2" w14:textId="77777777" w:rsidR="00030089" w:rsidRPr="00445151" w:rsidRDefault="00030089" w:rsidP="008547F7">
            <w:pPr>
              <w:spacing w:after="0" w:line="240" w:lineRule="auto"/>
              <w:jc w:val="right"/>
              <w:rPr>
                <w:rFonts w:ascii="Arial" w:eastAsia="Times New Roman" w:hAnsi="Arial" w:cs="Arial"/>
                <w:sz w:val="18"/>
                <w:szCs w:val="18"/>
              </w:rPr>
            </w:pPr>
            <w:r w:rsidRPr="00445151">
              <w:rPr>
                <w:rFonts w:ascii="Arial" w:eastAsia="Times New Roman" w:hAnsi="Arial" w:cs="Arial"/>
                <w:sz w:val="18"/>
                <w:szCs w:val="18"/>
              </w:rPr>
              <w:t>68 079 993</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437FF" w14:textId="77777777" w:rsidR="00030089" w:rsidRPr="00445151" w:rsidRDefault="00030089" w:rsidP="008547F7">
            <w:pPr>
              <w:spacing w:after="0" w:line="240" w:lineRule="auto"/>
              <w:jc w:val="right"/>
              <w:rPr>
                <w:rFonts w:ascii="Arial" w:eastAsia="Times New Roman" w:hAnsi="Arial" w:cs="Arial"/>
                <w:sz w:val="18"/>
                <w:szCs w:val="18"/>
              </w:rPr>
            </w:pPr>
            <w:r w:rsidRPr="00445151">
              <w:rPr>
                <w:rFonts w:ascii="Arial" w:eastAsia="Times New Roman" w:hAnsi="Arial" w:cs="Arial"/>
                <w:sz w:val="18"/>
                <w:szCs w:val="18"/>
              </w:rPr>
              <w:t>66</w:t>
            </w:r>
            <w:r>
              <w:rPr>
                <w:rFonts w:ascii="Arial" w:eastAsia="Times New Roman" w:hAnsi="Arial" w:cs="Arial"/>
                <w:sz w:val="18"/>
                <w:szCs w:val="18"/>
              </w:rPr>
              <w:t xml:space="preserve"> </w:t>
            </w:r>
            <w:r w:rsidRPr="00445151">
              <w:rPr>
                <w:rFonts w:ascii="Arial" w:eastAsia="Times New Roman" w:hAnsi="Arial" w:cs="Arial"/>
                <w:sz w:val="18"/>
                <w:szCs w:val="18"/>
              </w:rPr>
              <w:t xml:space="preserve">821 </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52241" w14:textId="77777777" w:rsidR="00030089" w:rsidRPr="00445151" w:rsidRDefault="00030089" w:rsidP="008547F7">
            <w:pPr>
              <w:spacing w:after="0" w:line="240" w:lineRule="auto"/>
              <w:jc w:val="right"/>
              <w:rPr>
                <w:rFonts w:ascii="Arial" w:eastAsia="Times New Roman" w:hAnsi="Arial" w:cs="Arial"/>
                <w:sz w:val="18"/>
                <w:szCs w:val="18"/>
              </w:rPr>
            </w:pPr>
            <w:r w:rsidRPr="00445151">
              <w:rPr>
                <w:rFonts w:ascii="Arial" w:eastAsia="Times New Roman" w:hAnsi="Arial" w:cs="Arial"/>
                <w:sz w:val="18"/>
                <w:szCs w:val="18"/>
              </w:rPr>
              <w:t>1 019</w:t>
            </w:r>
          </w:p>
        </w:tc>
      </w:tr>
      <w:tr w:rsidR="00030089" w:rsidRPr="00445151" w14:paraId="6160B905" w14:textId="77777777" w:rsidTr="008547F7">
        <w:trPr>
          <w:trHeight w:val="300"/>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A404C" w14:textId="77777777" w:rsidR="00030089" w:rsidRPr="00445151" w:rsidRDefault="00030089" w:rsidP="008547F7">
            <w:pPr>
              <w:spacing w:after="0" w:line="240" w:lineRule="auto"/>
              <w:rPr>
                <w:rFonts w:ascii="Arial" w:eastAsia="Times New Roman" w:hAnsi="Arial" w:cs="Arial"/>
                <w:b/>
                <w:sz w:val="20"/>
                <w:szCs w:val="20"/>
              </w:rPr>
            </w:pPr>
            <w:r w:rsidRPr="00445151">
              <w:rPr>
                <w:rFonts w:ascii="Arial" w:eastAsia="Times New Roman" w:hAnsi="Arial" w:cs="Arial"/>
                <w:b/>
                <w:sz w:val="18"/>
                <w:szCs w:val="20"/>
              </w:rPr>
              <w:t>LPB</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16C84" w14:textId="77777777" w:rsidR="00030089" w:rsidRPr="00445151" w:rsidRDefault="00030089" w:rsidP="008547F7">
            <w:pPr>
              <w:spacing w:after="0" w:line="240" w:lineRule="auto"/>
              <w:jc w:val="right"/>
              <w:rPr>
                <w:rFonts w:ascii="Arial" w:eastAsia="Times New Roman" w:hAnsi="Arial" w:cs="Arial"/>
                <w:sz w:val="18"/>
                <w:szCs w:val="18"/>
              </w:rPr>
            </w:pPr>
            <w:r w:rsidRPr="00445151">
              <w:rPr>
                <w:rFonts w:ascii="Arial" w:eastAsia="Times New Roman" w:hAnsi="Arial" w:cs="Arial"/>
                <w:sz w:val="18"/>
                <w:szCs w:val="18"/>
              </w:rPr>
              <w:t>9 153 322</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CD3AE" w14:textId="77777777" w:rsidR="00030089" w:rsidRPr="00445151" w:rsidRDefault="00030089" w:rsidP="008547F7">
            <w:pPr>
              <w:spacing w:after="0" w:line="240" w:lineRule="auto"/>
              <w:jc w:val="right"/>
              <w:rPr>
                <w:rFonts w:ascii="Arial" w:eastAsia="Times New Roman" w:hAnsi="Arial" w:cs="Arial"/>
                <w:sz w:val="18"/>
                <w:szCs w:val="18"/>
              </w:rPr>
            </w:pPr>
            <w:r w:rsidRPr="00445151">
              <w:rPr>
                <w:rFonts w:ascii="Arial" w:eastAsia="Times New Roman" w:hAnsi="Arial" w:cs="Arial"/>
                <w:sz w:val="18"/>
                <w:szCs w:val="18"/>
              </w:rPr>
              <w:t>24</w:t>
            </w:r>
            <w:r>
              <w:rPr>
                <w:rFonts w:ascii="Arial" w:eastAsia="Times New Roman" w:hAnsi="Arial" w:cs="Arial"/>
                <w:sz w:val="18"/>
                <w:szCs w:val="18"/>
              </w:rPr>
              <w:t xml:space="preserve"> </w:t>
            </w:r>
            <w:r w:rsidRPr="00445151">
              <w:rPr>
                <w:rFonts w:ascii="Arial" w:eastAsia="Times New Roman" w:hAnsi="Arial" w:cs="Arial"/>
                <w:sz w:val="18"/>
                <w:szCs w:val="18"/>
              </w:rPr>
              <w:t xml:space="preserve">060 </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177E0" w14:textId="77777777" w:rsidR="00030089" w:rsidRPr="00445151" w:rsidRDefault="00030089" w:rsidP="008547F7">
            <w:pPr>
              <w:spacing w:after="0" w:line="240" w:lineRule="auto"/>
              <w:jc w:val="right"/>
              <w:rPr>
                <w:rFonts w:ascii="Arial" w:eastAsia="Times New Roman" w:hAnsi="Arial" w:cs="Arial"/>
                <w:sz w:val="18"/>
                <w:szCs w:val="18"/>
              </w:rPr>
            </w:pPr>
            <w:r w:rsidRPr="00445151">
              <w:rPr>
                <w:rFonts w:ascii="Arial" w:eastAsia="Times New Roman" w:hAnsi="Arial" w:cs="Arial"/>
                <w:sz w:val="18"/>
                <w:szCs w:val="18"/>
              </w:rPr>
              <w:t>380</w:t>
            </w:r>
          </w:p>
        </w:tc>
      </w:tr>
      <w:tr w:rsidR="00030089" w:rsidRPr="00445151" w14:paraId="6A8BD370" w14:textId="77777777" w:rsidTr="008547F7">
        <w:trPr>
          <w:trHeight w:val="300"/>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6DD31" w14:textId="77777777" w:rsidR="00030089" w:rsidRPr="00445151" w:rsidRDefault="00030089" w:rsidP="008547F7">
            <w:pPr>
              <w:spacing w:after="0" w:line="240" w:lineRule="auto"/>
              <w:rPr>
                <w:rFonts w:ascii="Arial" w:eastAsia="Times New Roman" w:hAnsi="Arial" w:cs="Arial"/>
                <w:b/>
                <w:sz w:val="18"/>
                <w:szCs w:val="20"/>
              </w:rPr>
            </w:pPr>
            <w:r w:rsidRPr="00445151">
              <w:rPr>
                <w:rFonts w:ascii="Arial" w:eastAsia="Times New Roman" w:hAnsi="Arial" w:cs="Arial"/>
                <w:b/>
                <w:sz w:val="18"/>
                <w:szCs w:val="20"/>
              </w:rPr>
              <w:t>Other</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07B9D" w14:textId="77777777" w:rsidR="00030089" w:rsidRPr="00445151" w:rsidRDefault="00030089" w:rsidP="008547F7">
            <w:pPr>
              <w:spacing w:after="0" w:line="240" w:lineRule="auto"/>
              <w:jc w:val="right"/>
              <w:rPr>
                <w:rFonts w:ascii="Arial" w:eastAsia="Times New Roman" w:hAnsi="Arial" w:cs="Arial"/>
                <w:sz w:val="18"/>
                <w:szCs w:val="18"/>
              </w:rPr>
            </w:pPr>
            <w:r>
              <w:rPr>
                <w:rFonts w:ascii="Arial" w:eastAsia="Times New Roman" w:hAnsi="Arial" w:cs="Arial"/>
                <w:sz w:val="18"/>
                <w:szCs w:val="18"/>
              </w:rPr>
              <w:t>4</w:t>
            </w:r>
            <w:r w:rsidRPr="00445151">
              <w:rPr>
                <w:rFonts w:ascii="Arial" w:eastAsia="Times New Roman" w:hAnsi="Arial" w:cs="Arial"/>
                <w:sz w:val="18"/>
                <w:szCs w:val="18"/>
              </w:rPr>
              <w:t>37 734</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31592" w14:textId="77777777" w:rsidR="00030089" w:rsidRPr="00445151" w:rsidRDefault="00030089" w:rsidP="008547F7">
            <w:pPr>
              <w:spacing w:after="0" w:line="240" w:lineRule="auto"/>
              <w:jc w:val="right"/>
              <w:rPr>
                <w:rFonts w:ascii="Arial" w:eastAsia="Times New Roman" w:hAnsi="Arial" w:cs="Arial"/>
                <w:sz w:val="18"/>
                <w:szCs w:val="18"/>
              </w:rPr>
            </w:pPr>
            <w:r w:rsidRPr="00445151">
              <w:rPr>
                <w:rFonts w:ascii="Arial" w:eastAsia="Times New Roman" w:hAnsi="Arial" w:cs="Arial"/>
                <w:sz w:val="18"/>
                <w:szCs w:val="18"/>
              </w:rPr>
              <w:t>21 540</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4C39" w14:textId="77777777" w:rsidR="00030089" w:rsidRPr="00445151" w:rsidRDefault="00030089" w:rsidP="008547F7">
            <w:pPr>
              <w:spacing w:after="0" w:line="240" w:lineRule="auto"/>
              <w:jc w:val="right"/>
              <w:rPr>
                <w:rFonts w:ascii="Arial" w:eastAsia="Times New Roman" w:hAnsi="Arial" w:cs="Arial"/>
                <w:sz w:val="18"/>
                <w:szCs w:val="18"/>
              </w:rPr>
            </w:pPr>
            <w:r>
              <w:rPr>
                <w:rFonts w:ascii="Arial" w:eastAsia="Times New Roman" w:hAnsi="Arial" w:cs="Arial"/>
                <w:sz w:val="18"/>
                <w:szCs w:val="18"/>
              </w:rPr>
              <w:t>20</w:t>
            </w:r>
          </w:p>
        </w:tc>
      </w:tr>
      <w:tr w:rsidR="00030089" w:rsidRPr="00445151" w14:paraId="7C0DF0EF" w14:textId="77777777" w:rsidTr="008547F7">
        <w:trPr>
          <w:trHeight w:val="300"/>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B5A63" w14:textId="77777777" w:rsidR="00030089" w:rsidRPr="00445151" w:rsidRDefault="00030089" w:rsidP="008547F7">
            <w:pPr>
              <w:spacing w:after="0" w:line="240" w:lineRule="auto"/>
              <w:rPr>
                <w:rFonts w:ascii="Arial" w:eastAsia="Times New Roman" w:hAnsi="Arial" w:cs="Arial"/>
                <w:b/>
                <w:sz w:val="20"/>
                <w:szCs w:val="20"/>
              </w:rPr>
            </w:pPr>
            <w:r w:rsidRPr="00445151">
              <w:rPr>
                <w:rFonts w:ascii="Arial" w:eastAsia="Times New Roman" w:hAnsi="Arial" w:cs="Arial"/>
                <w:b/>
                <w:sz w:val="18"/>
                <w:szCs w:val="20"/>
              </w:rPr>
              <w:t>Total</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7549E" w14:textId="77777777" w:rsidR="00030089" w:rsidRPr="00445151" w:rsidRDefault="00030089" w:rsidP="008547F7">
            <w:pPr>
              <w:spacing w:after="0" w:line="240" w:lineRule="auto"/>
              <w:jc w:val="right"/>
              <w:rPr>
                <w:rFonts w:ascii="Arial" w:eastAsia="Times New Roman" w:hAnsi="Arial" w:cs="Arial"/>
                <w:b/>
                <w:sz w:val="18"/>
                <w:szCs w:val="18"/>
              </w:rPr>
            </w:pPr>
            <w:r w:rsidRPr="00445151">
              <w:rPr>
                <w:rFonts w:ascii="Arial" w:eastAsia="Times New Roman" w:hAnsi="Arial" w:cs="Arial"/>
                <w:b/>
                <w:sz w:val="18"/>
                <w:szCs w:val="18"/>
              </w:rPr>
              <w:t xml:space="preserve">155 </w:t>
            </w:r>
            <w:r>
              <w:rPr>
                <w:rFonts w:ascii="Arial" w:eastAsia="Times New Roman" w:hAnsi="Arial" w:cs="Arial"/>
                <w:b/>
                <w:sz w:val="18"/>
                <w:szCs w:val="18"/>
              </w:rPr>
              <w:t>404</w:t>
            </w:r>
            <w:r w:rsidRPr="00445151">
              <w:rPr>
                <w:rFonts w:ascii="Arial" w:eastAsia="Times New Roman" w:hAnsi="Arial" w:cs="Arial"/>
                <w:b/>
                <w:sz w:val="18"/>
                <w:szCs w:val="18"/>
              </w:rPr>
              <w:t xml:space="preserve"> 413 </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60446" w14:textId="77777777" w:rsidR="00030089" w:rsidRPr="00445151" w:rsidRDefault="00030089" w:rsidP="008547F7">
            <w:pPr>
              <w:spacing w:after="0" w:line="240" w:lineRule="auto"/>
              <w:jc w:val="right"/>
              <w:rPr>
                <w:rFonts w:ascii="Arial" w:eastAsia="Times New Roman" w:hAnsi="Arial" w:cs="Arial"/>
                <w:b/>
                <w:sz w:val="18"/>
                <w:szCs w:val="18"/>
              </w:rPr>
            </w:pP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EA0DC" w14:textId="77777777" w:rsidR="00030089" w:rsidRPr="00445151" w:rsidRDefault="00030089" w:rsidP="008547F7">
            <w:pPr>
              <w:spacing w:after="0" w:line="240" w:lineRule="auto"/>
              <w:jc w:val="right"/>
              <w:rPr>
                <w:rFonts w:ascii="Arial" w:eastAsia="Times New Roman" w:hAnsi="Arial" w:cs="Arial"/>
                <w:b/>
                <w:sz w:val="18"/>
                <w:szCs w:val="18"/>
              </w:rPr>
            </w:pPr>
            <w:r w:rsidRPr="00445151">
              <w:rPr>
                <w:rFonts w:ascii="Arial" w:eastAsia="Times New Roman" w:hAnsi="Arial" w:cs="Arial"/>
                <w:b/>
                <w:sz w:val="18"/>
                <w:szCs w:val="18"/>
              </w:rPr>
              <w:t>1</w:t>
            </w:r>
            <w:r>
              <w:rPr>
                <w:rFonts w:ascii="Arial" w:eastAsia="Times New Roman" w:hAnsi="Arial" w:cs="Arial"/>
                <w:b/>
                <w:sz w:val="18"/>
                <w:szCs w:val="18"/>
              </w:rPr>
              <w:t>1</w:t>
            </w:r>
            <w:r w:rsidRPr="00445151">
              <w:rPr>
                <w:rFonts w:ascii="Arial" w:eastAsia="Times New Roman" w:hAnsi="Arial" w:cs="Arial"/>
                <w:b/>
                <w:sz w:val="18"/>
                <w:szCs w:val="18"/>
              </w:rPr>
              <w:t xml:space="preserve"> </w:t>
            </w:r>
            <w:r>
              <w:rPr>
                <w:rFonts w:ascii="Arial" w:eastAsia="Times New Roman" w:hAnsi="Arial" w:cs="Arial"/>
                <w:b/>
                <w:sz w:val="18"/>
                <w:szCs w:val="18"/>
              </w:rPr>
              <w:t>599</w:t>
            </w:r>
          </w:p>
        </w:tc>
      </w:tr>
    </w:tbl>
    <w:p w14:paraId="3DE0F8EF" w14:textId="77777777" w:rsidR="00030089" w:rsidRPr="000B5EA6" w:rsidRDefault="00030089" w:rsidP="00030089">
      <w:pPr>
        <w:pStyle w:val="NoSpacing"/>
        <w:spacing w:before="120" w:after="120" w:line="360" w:lineRule="auto"/>
        <w:rPr>
          <w:rFonts w:ascii="Arial" w:hAnsi="Arial" w:cs="Arial"/>
          <w:szCs w:val="28"/>
        </w:rPr>
      </w:pPr>
    </w:p>
    <w:p w14:paraId="7ABAC941" w14:textId="77777777" w:rsidR="00030089" w:rsidRPr="000B5EA6" w:rsidRDefault="00030089" w:rsidP="00030089">
      <w:pPr>
        <w:pStyle w:val="Header"/>
        <w:spacing w:after="120" w:line="360" w:lineRule="auto"/>
        <w:jc w:val="both"/>
        <w:rPr>
          <w:rFonts w:ascii="Arial" w:hAnsi="Arial" w:cs="Arial"/>
          <w:szCs w:val="28"/>
        </w:rPr>
      </w:pPr>
      <w:r w:rsidRPr="000B5EA6">
        <w:rPr>
          <w:rFonts w:ascii="Arial" w:hAnsi="Arial" w:cs="Arial"/>
          <w:szCs w:val="28"/>
        </w:rPr>
        <w:t xml:space="preserve">Results for the above calculations demonstrate that: </w:t>
      </w:r>
    </w:p>
    <w:p w14:paraId="6AC7BA0C" w14:textId="77777777" w:rsidR="00030089" w:rsidRDefault="00030089" w:rsidP="00030089">
      <w:pPr>
        <w:pStyle w:val="Header"/>
        <w:numPr>
          <w:ilvl w:val="0"/>
          <w:numId w:val="29"/>
        </w:numPr>
        <w:spacing w:before="120" w:line="360" w:lineRule="auto"/>
        <w:jc w:val="both"/>
        <w:rPr>
          <w:rFonts w:ascii="Arial" w:hAnsi="Arial" w:cs="Arial"/>
          <w:szCs w:val="28"/>
        </w:rPr>
      </w:pPr>
      <w:r w:rsidRPr="000B5EA6">
        <w:rPr>
          <w:rFonts w:ascii="Arial" w:hAnsi="Arial" w:cs="Arial"/>
          <w:szCs w:val="28"/>
        </w:rPr>
        <w:t xml:space="preserve">beverage container </w:t>
      </w:r>
      <w:r w:rsidRPr="00134976">
        <w:rPr>
          <w:rFonts w:ascii="Arial" w:hAnsi="Arial" w:cs="Arial"/>
          <w:szCs w:val="28"/>
        </w:rPr>
        <w:t>consumption</w:t>
      </w:r>
      <w:r w:rsidRPr="000B5EA6">
        <w:rPr>
          <w:rFonts w:ascii="Arial" w:hAnsi="Arial" w:cs="Arial"/>
          <w:szCs w:val="28"/>
        </w:rPr>
        <w:t xml:space="preserve"> </w:t>
      </w:r>
      <w:r>
        <w:rPr>
          <w:rFonts w:ascii="Arial" w:hAnsi="Arial" w:cs="Arial"/>
          <w:szCs w:val="28"/>
        </w:rPr>
        <w:t xml:space="preserve">during the first year of the </w:t>
      </w:r>
      <w:r w:rsidRPr="000B5EA6">
        <w:rPr>
          <w:rFonts w:ascii="Arial" w:hAnsi="Arial" w:cs="Arial"/>
          <w:szCs w:val="28"/>
        </w:rPr>
        <w:t>NT CDS was</w:t>
      </w:r>
      <w:r>
        <w:rPr>
          <w:rFonts w:ascii="Arial" w:hAnsi="Arial" w:cs="Arial"/>
          <w:szCs w:val="28"/>
        </w:rPr>
        <w:t xml:space="preserve"> 11 599</w:t>
      </w:r>
      <w:r w:rsidRPr="000B5EA6">
        <w:rPr>
          <w:rFonts w:ascii="Arial" w:hAnsi="Arial" w:cs="Arial"/>
          <w:szCs w:val="28"/>
        </w:rPr>
        <w:t xml:space="preserve"> tonnes per annum</w:t>
      </w:r>
      <w:r>
        <w:rPr>
          <w:rFonts w:ascii="Arial" w:hAnsi="Arial" w:cs="Arial"/>
          <w:szCs w:val="28"/>
        </w:rPr>
        <w:t>: it is assumed that the consumption for the year prior was of a similar volume</w:t>
      </w:r>
      <w:r w:rsidRPr="000B5EA6">
        <w:rPr>
          <w:rFonts w:ascii="Arial" w:hAnsi="Arial" w:cs="Arial"/>
          <w:szCs w:val="28"/>
        </w:rPr>
        <w:t xml:space="preserve">; </w:t>
      </w:r>
    </w:p>
    <w:p w14:paraId="0B394CBB" w14:textId="77777777" w:rsidR="00030089" w:rsidRDefault="00030089" w:rsidP="00030089">
      <w:pPr>
        <w:pStyle w:val="Header"/>
        <w:numPr>
          <w:ilvl w:val="0"/>
          <w:numId w:val="29"/>
        </w:numPr>
        <w:spacing w:line="360" w:lineRule="auto"/>
        <w:ind w:left="1071" w:hanging="357"/>
        <w:jc w:val="both"/>
        <w:rPr>
          <w:rFonts w:ascii="Arial" w:hAnsi="Arial" w:cs="Arial"/>
          <w:szCs w:val="28"/>
        </w:rPr>
      </w:pPr>
      <w:r w:rsidRPr="000B5EA6">
        <w:rPr>
          <w:rFonts w:ascii="Arial" w:hAnsi="Arial" w:cs="Arial"/>
          <w:szCs w:val="28"/>
        </w:rPr>
        <w:t xml:space="preserve">beverage container </w:t>
      </w:r>
      <w:r w:rsidRPr="00134976">
        <w:rPr>
          <w:rFonts w:ascii="Arial" w:hAnsi="Arial" w:cs="Arial"/>
          <w:szCs w:val="28"/>
        </w:rPr>
        <w:t>recycling</w:t>
      </w:r>
      <w:r w:rsidRPr="000B5EA6">
        <w:rPr>
          <w:rFonts w:ascii="Arial" w:hAnsi="Arial" w:cs="Arial"/>
          <w:szCs w:val="28"/>
        </w:rPr>
        <w:t xml:space="preserve"> prior to the introduction of the NT CDS was 1</w:t>
      </w:r>
      <w:r>
        <w:rPr>
          <w:rFonts w:ascii="Arial" w:hAnsi="Arial" w:cs="Arial"/>
          <w:szCs w:val="28"/>
        </w:rPr>
        <w:t xml:space="preserve"> </w:t>
      </w:r>
      <w:r w:rsidRPr="000B5EA6">
        <w:rPr>
          <w:rFonts w:ascii="Arial" w:hAnsi="Arial" w:cs="Arial"/>
          <w:szCs w:val="28"/>
        </w:rPr>
        <w:t>4</w:t>
      </w:r>
      <w:r>
        <w:rPr>
          <w:rFonts w:ascii="Arial" w:hAnsi="Arial" w:cs="Arial"/>
          <w:szCs w:val="28"/>
        </w:rPr>
        <w:t>25</w:t>
      </w:r>
      <w:r w:rsidRPr="000B5EA6">
        <w:rPr>
          <w:rFonts w:ascii="Arial" w:hAnsi="Arial" w:cs="Arial"/>
          <w:szCs w:val="28"/>
        </w:rPr>
        <w:t xml:space="preserve"> tonnes per annum; </w:t>
      </w:r>
    </w:p>
    <w:p w14:paraId="30416AD7" w14:textId="77777777" w:rsidR="00030089" w:rsidRDefault="00030089" w:rsidP="00030089">
      <w:pPr>
        <w:pStyle w:val="Header"/>
        <w:numPr>
          <w:ilvl w:val="0"/>
          <w:numId w:val="29"/>
        </w:numPr>
        <w:tabs>
          <w:tab w:val="clear" w:pos="9026"/>
          <w:tab w:val="right" w:pos="6663"/>
        </w:tabs>
        <w:spacing w:line="360" w:lineRule="auto"/>
        <w:ind w:left="1071" w:hanging="357"/>
        <w:jc w:val="both"/>
        <w:rPr>
          <w:rFonts w:ascii="Arial" w:hAnsi="Arial" w:cs="Arial"/>
          <w:szCs w:val="28"/>
        </w:rPr>
      </w:pPr>
      <w:r w:rsidRPr="000B5EA6">
        <w:rPr>
          <w:rFonts w:ascii="Arial" w:hAnsi="Arial" w:cs="Arial"/>
          <w:szCs w:val="28"/>
        </w:rPr>
        <w:t>the beverage container recycling rate prior to the introduction of the NT CDS was approximately 1</w:t>
      </w:r>
      <w:r>
        <w:rPr>
          <w:rFonts w:ascii="Arial" w:hAnsi="Arial" w:cs="Arial"/>
          <w:szCs w:val="28"/>
        </w:rPr>
        <w:t>2.3 per cent</w:t>
      </w:r>
      <w:r w:rsidRPr="000B5EA6">
        <w:rPr>
          <w:rFonts w:ascii="Arial" w:hAnsi="Arial" w:cs="Arial"/>
          <w:szCs w:val="28"/>
        </w:rPr>
        <w:t>.</w:t>
      </w:r>
    </w:p>
    <w:p w14:paraId="58AC89D4" w14:textId="77777777" w:rsidR="00030089" w:rsidRDefault="00030089" w:rsidP="00030089">
      <w:pPr>
        <w:jc w:val="both"/>
        <w:rPr>
          <w:rFonts w:ascii="Arial" w:hAnsi="Arial" w:cs="Arial"/>
          <w:szCs w:val="28"/>
        </w:rPr>
      </w:pPr>
      <w:r w:rsidRPr="000C5FD0">
        <w:rPr>
          <w:rFonts w:ascii="Arial" w:hAnsi="Arial" w:cs="Arial"/>
          <w:b/>
          <w:sz w:val="18"/>
          <w:szCs w:val="18"/>
        </w:rPr>
        <w:t xml:space="preserve"> </w:t>
      </w:r>
    </w:p>
    <w:p w14:paraId="6E306E0B" w14:textId="77777777" w:rsidR="00030089" w:rsidRDefault="00030089" w:rsidP="00030089">
      <w:pPr>
        <w:spacing w:line="360" w:lineRule="auto"/>
        <w:jc w:val="both"/>
        <w:rPr>
          <w:rFonts w:ascii="Arial" w:hAnsi="Arial" w:cs="Arial"/>
          <w:szCs w:val="28"/>
        </w:rPr>
      </w:pPr>
      <w:r w:rsidRPr="00C67089">
        <w:rPr>
          <w:rFonts w:ascii="Arial" w:hAnsi="Arial" w:cs="Arial"/>
          <w:szCs w:val="28"/>
        </w:rPr>
        <w:t>The above calculations show that</w:t>
      </w:r>
      <w:r>
        <w:rPr>
          <w:rFonts w:ascii="Arial" w:hAnsi="Arial" w:cs="Arial"/>
          <w:szCs w:val="28"/>
        </w:rPr>
        <w:t>, by national standards</w:t>
      </w:r>
      <w:r w:rsidRPr="00C67089">
        <w:rPr>
          <w:rFonts w:ascii="Arial" w:hAnsi="Arial" w:cs="Arial"/>
          <w:szCs w:val="28"/>
        </w:rPr>
        <w:t xml:space="preserve">, the NT had </w:t>
      </w:r>
      <w:r>
        <w:rPr>
          <w:rFonts w:ascii="Arial" w:hAnsi="Arial" w:cs="Arial"/>
          <w:szCs w:val="28"/>
        </w:rPr>
        <w:t>a</w:t>
      </w:r>
      <w:r w:rsidRPr="00C67089">
        <w:rPr>
          <w:rFonts w:ascii="Arial" w:hAnsi="Arial" w:cs="Arial"/>
          <w:szCs w:val="28"/>
        </w:rPr>
        <w:t xml:space="preserve"> low rate of beverage container recycling </w:t>
      </w:r>
      <w:r>
        <w:rPr>
          <w:rFonts w:ascii="Arial" w:hAnsi="Arial" w:cs="Arial"/>
          <w:szCs w:val="28"/>
        </w:rPr>
        <w:t>(12.3%) before the NT CDS was introduced. The NT rate was 12.3 per cent compared to the national rate of 47 per cent.</w:t>
      </w:r>
      <w:r>
        <w:rPr>
          <w:rStyle w:val="FootnoteReference"/>
          <w:rFonts w:ascii="Arial" w:hAnsi="Arial"/>
          <w:szCs w:val="28"/>
        </w:rPr>
        <w:footnoteReference w:id="15"/>
      </w:r>
    </w:p>
    <w:p w14:paraId="52FA88A4" w14:textId="77777777" w:rsidR="00030089" w:rsidRDefault="00030089" w:rsidP="00030089">
      <w:pPr>
        <w:pStyle w:val="ListParagraph"/>
        <w:numPr>
          <w:ilvl w:val="1"/>
          <w:numId w:val="3"/>
        </w:numPr>
        <w:spacing w:after="200" w:line="360" w:lineRule="auto"/>
        <w:ind w:left="567" w:hanging="573"/>
        <w:outlineLvl w:val="1"/>
        <w:rPr>
          <w:rFonts w:ascii="Arial" w:hAnsi="Arial" w:cs="Arial"/>
          <w:b/>
          <w:szCs w:val="28"/>
        </w:rPr>
      </w:pPr>
      <w:bookmarkStart w:id="30" w:name="_Toc351459080"/>
      <w:bookmarkStart w:id="31" w:name="_Toc351459164"/>
      <w:bookmarkStart w:id="32" w:name="_Toc351459206"/>
      <w:bookmarkStart w:id="33" w:name="_Toc351459254"/>
      <w:bookmarkStart w:id="34" w:name="_Toc351459320"/>
      <w:bookmarkStart w:id="35" w:name="_Toc351459395"/>
      <w:bookmarkStart w:id="36" w:name="_Toc351463490"/>
      <w:bookmarkStart w:id="37" w:name="_Toc351979151"/>
      <w:bookmarkStart w:id="38" w:name="_Toc351980304"/>
      <w:bookmarkStart w:id="39" w:name="_Toc352070844"/>
      <w:bookmarkStart w:id="40" w:name="_Toc352071023"/>
      <w:bookmarkStart w:id="41" w:name="_Toc351459255"/>
      <w:bookmarkStart w:id="42" w:name="_Toc351459321"/>
      <w:bookmarkStart w:id="43" w:name="_Toc351459396"/>
      <w:bookmarkStart w:id="44" w:name="_Toc351463491"/>
      <w:bookmarkStart w:id="45" w:name="_Toc351979152"/>
      <w:bookmarkStart w:id="46" w:name="_Toc351980305"/>
      <w:bookmarkStart w:id="47" w:name="_Toc352070845"/>
      <w:bookmarkStart w:id="48" w:name="_Toc352071024"/>
      <w:bookmarkStart w:id="49" w:name="_Toc353562539"/>
      <w:bookmarkStart w:id="50" w:name="_Toc34731544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Arial" w:hAnsi="Arial" w:cs="Arial"/>
          <w:b/>
          <w:szCs w:val="28"/>
        </w:rPr>
        <w:t>Importance of Raising the Recycling Rate in the Northern Territory</w:t>
      </w:r>
      <w:bookmarkEnd w:id="49"/>
      <w:r>
        <w:rPr>
          <w:rFonts w:ascii="Arial" w:hAnsi="Arial" w:cs="Arial"/>
          <w:b/>
          <w:szCs w:val="28"/>
        </w:rPr>
        <w:t xml:space="preserve"> </w:t>
      </w:r>
    </w:p>
    <w:p w14:paraId="7058E3F3" w14:textId="77777777" w:rsidR="00030089" w:rsidRPr="000729A4" w:rsidRDefault="00030089" w:rsidP="00030089">
      <w:pPr>
        <w:spacing w:line="360" w:lineRule="auto"/>
        <w:jc w:val="both"/>
        <w:rPr>
          <w:rFonts w:ascii="Arial" w:hAnsi="Arial" w:cs="Arial"/>
          <w:szCs w:val="28"/>
        </w:rPr>
      </w:pPr>
      <w:r w:rsidRPr="000729A4">
        <w:rPr>
          <w:rFonts w:ascii="Arial" w:hAnsi="Arial" w:cs="Arial"/>
          <w:szCs w:val="28"/>
        </w:rPr>
        <w:t>Given the large distances between N</w:t>
      </w:r>
      <w:r>
        <w:rPr>
          <w:rFonts w:ascii="Arial" w:hAnsi="Arial" w:cs="Arial"/>
          <w:szCs w:val="28"/>
        </w:rPr>
        <w:t>T</w:t>
      </w:r>
      <w:r w:rsidRPr="000729A4">
        <w:rPr>
          <w:rFonts w:ascii="Arial" w:hAnsi="Arial" w:cs="Arial"/>
          <w:szCs w:val="28"/>
        </w:rPr>
        <w:t xml:space="preserve"> settlements and a generally low population density it might be argued that recycling in the NT is inherently inefficient and therefore the NT’s low recycling rate relative to the rest of Australia is justifiable and unmanageable. </w:t>
      </w:r>
      <w:r>
        <w:rPr>
          <w:rFonts w:ascii="Arial" w:hAnsi="Arial" w:cs="Arial"/>
          <w:szCs w:val="28"/>
        </w:rPr>
        <w:t xml:space="preserve">The NT population is mostly located in small, compact settlements. Even remote Indigenous  communities consist of houses arranged in close proximity to each other. Travel </w:t>
      </w:r>
      <w:r w:rsidRPr="00134976">
        <w:rPr>
          <w:rFonts w:ascii="Arial" w:hAnsi="Arial" w:cs="Arial"/>
          <w:szCs w:val="28"/>
        </w:rPr>
        <w:t xml:space="preserve">within </w:t>
      </w:r>
      <w:r>
        <w:rPr>
          <w:rFonts w:ascii="Arial" w:hAnsi="Arial" w:cs="Arial"/>
          <w:szCs w:val="28"/>
        </w:rPr>
        <w:t>NT settlements is very easy, which is not the case in other more congested states.</w:t>
      </w:r>
      <w:r w:rsidRPr="000729A4">
        <w:rPr>
          <w:rFonts w:ascii="Arial" w:hAnsi="Arial" w:cs="Arial"/>
          <w:szCs w:val="28"/>
        </w:rPr>
        <w:t xml:space="preserve"> </w:t>
      </w:r>
      <w:r>
        <w:rPr>
          <w:rFonts w:ascii="Arial" w:hAnsi="Arial" w:cs="Arial"/>
          <w:szCs w:val="28"/>
        </w:rPr>
        <w:t>The</w:t>
      </w:r>
      <w:r w:rsidRPr="000729A4">
        <w:rPr>
          <w:rFonts w:ascii="Arial" w:hAnsi="Arial" w:cs="Arial"/>
          <w:szCs w:val="28"/>
        </w:rPr>
        <w:t xml:space="preserve"> higher costs of inter-settlement and interstate transport </w:t>
      </w:r>
      <w:r>
        <w:rPr>
          <w:rFonts w:ascii="Arial" w:hAnsi="Arial" w:cs="Arial"/>
          <w:szCs w:val="28"/>
        </w:rPr>
        <w:lastRenderedPageBreak/>
        <w:t xml:space="preserve">experienced by the NT </w:t>
      </w:r>
      <w:r w:rsidRPr="000729A4">
        <w:rPr>
          <w:rFonts w:ascii="Arial" w:hAnsi="Arial" w:cs="Arial"/>
          <w:szCs w:val="28"/>
        </w:rPr>
        <w:t>predominantly impact the value of recyclate</w:t>
      </w:r>
      <w:r>
        <w:rPr>
          <w:rFonts w:ascii="Arial" w:hAnsi="Arial" w:cs="Arial"/>
          <w:szCs w:val="28"/>
        </w:rPr>
        <w:t>, due to embedded transport costs</w:t>
      </w:r>
      <w:r w:rsidRPr="000729A4">
        <w:rPr>
          <w:rFonts w:ascii="Arial" w:hAnsi="Arial" w:cs="Arial"/>
          <w:szCs w:val="28"/>
        </w:rPr>
        <w:t xml:space="preserve">. </w:t>
      </w:r>
      <w:r>
        <w:rPr>
          <w:rFonts w:ascii="Arial" w:hAnsi="Arial" w:cs="Arial"/>
          <w:szCs w:val="28"/>
        </w:rPr>
        <w:t>T</w:t>
      </w:r>
      <w:r w:rsidRPr="000729A4">
        <w:rPr>
          <w:rFonts w:ascii="Arial" w:hAnsi="Arial" w:cs="Arial"/>
          <w:szCs w:val="28"/>
        </w:rPr>
        <w:t>h</w:t>
      </w:r>
      <w:r>
        <w:rPr>
          <w:rFonts w:ascii="Arial" w:hAnsi="Arial" w:cs="Arial"/>
          <w:szCs w:val="28"/>
        </w:rPr>
        <w:t>ese</w:t>
      </w:r>
      <w:r w:rsidRPr="000729A4">
        <w:rPr>
          <w:rFonts w:ascii="Arial" w:hAnsi="Arial" w:cs="Arial"/>
          <w:szCs w:val="28"/>
        </w:rPr>
        <w:t xml:space="preserve"> cost</w:t>
      </w:r>
      <w:r>
        <w:rPr>
          <w:rFonts w:ascii="Arial" w:hAnsi="Arial" w:cs="Arial"/>
          <w:szCs w:val="28"/>
        </w:rPr>
        <w:t>s</w:t>
      </w:r>
      <w:r w:rsidRPr="000729A4">
        <w:rPr>
          <w:rFonts w:ascii="Arial" w:hAnsi="Arial" w:cs="Arial"/>
          <w:szCs w:val="28"/>
        </w:rPr>
        <w:t xml:space="preserve"> </w:t>
      </w:r>
      <w:r>
        <w:rPr>
          <w:rFonts w:ascii="Arial" w:hAnsi="Arial" w:cs="Arial"/>
          <w:szCs w:val="28"/>
        </w:rPr>
        <w:t>are</w:t>
      </w:r>
      <w:r w:rsidRPr="000729A4">
        <w:rPr>
          <w:rFonts w:ascii="Arial" w:hAnsi="Arial" w:cs="Arial"/>
          <w:szCs w:val="28"/>
        </w:rPr>
        <w:t xml:space="preserve"> not so great as to negate the range of benefits that recycling generates such as avoided environmental costs, avoided kerbside costs, reduced landfill costs and reduced litter-recovery costs. </w:t>
      </w:r>
      <w:r>
        <w:rPr>
          <w:rFonts w:ascii="Arial" w:hAnsi="Arial" w:cs="Arial"/>
          <w:szCs w:val="28"/>
        </w:rPr>
        <w:t>In addition</w:t>
      </w:r>
      <w:r w:rsidRPr="000729A4">
        <w:rPr>
          <w:rFonts w:ascii="Arial" w:hAnsi="Arial" w:cs="Arial"/>
          <w:szCs w:val="28"/>
        </w:rPr>
        <w:t xml:space="preserve"> the NT is currently experiencing unprecedented development as a major site of mineral and hydrocarbon export. Darwin is rapidly consolidating as a major international port and Australian gateway to Asia. In this context it is important that best practice environmental re</w:t>
      </w:r>
      <w:r>
        <w:rPr>
          <w:rFonts w:ascii="Arial" w:hAnsi="Arial" w:cs="Arial"/>
          <w:szCs w:val="28"/>
        </w:rPr>
        <w:t xml:space="preserve">gulation </w:t>
      </w:r>
      <w:r w:rsidRPr="000729A4">
        <w:rPr>
          <w:rFonts w:ascii="Arial" w:hAnsi="Arial" w:cs="Arial"/>
          <w:szCs w:val="28"/>
        </w:rPr>
        <w:t>take place at all levels of the economy to ensure sustainable outcomes into the future. As the NT’s population grows, the impacts of not recycling will also grow, as will the costs associated with remediating waste management problems that have grown in both breadth and complexity.</w:t>
      </w:r>
    </w:p>
    <w:bookmarkEnd w:id="50"/>
    <w:p w14:paraId="1D2DE275" w14:textId="77777777" w:rsidR="00030089" w:rsidRPr="00C67089" w:rsidRDefault="00030089" w:rsidP="00030089">
      <w:pPr>
        <w:pStyle w:val="ListParagraph"/>
        <w:autoSpaceDE w:val="0"/>
        <w:autoSpaceDN w:val="0"/>
        <w:adjustRightInd w:val="0"/>
        <w:spacing w:after="0" w:line="360" w:lineRule="auto"/>
        <w:ind w:left="1440"/>
        <w:rPr>
          <w:rFonts w:ascii="Arial" w:hAnsi="Arial" w:cs="Arial"/>
          <w:szCs w:val="28"/>
        </w:rPr>
      </w:pPr>
    </w:p>
    <w:p w14:paraId="04555BAE" w14:textId="77777777" w:rsidR="00030089" w:rsidRPr="00C67089" w:rsidRDefault="00030089" w:rsidP="00030089">
      <w:pPr>
        <w:pStyle w:val="ListParagraph"/>
        <w:numPr>
          <w:ilvl w:val="1"/>
          <w:numId w:val="3"/>
        </w:numPr>
        <w:spacing w:after="200" w:line="360" w:lineRule="auto"/>
        <w:ind w:left="567" w:hanging="573"/>
        <w:outlineLvl w:val="1"/>
        <w:rPr>
          <w:rFonts w:ascii="Arial" w:hAnsi="Arial" w:cs="Arial"/>
          <w:b/>
          <w:szCs w:val="28"/>
        </w:rPr>
      </w:pPr>
      <w:bookmarkStart w:id="51" w:name="_Toc347315452"/>
      <w:bookmarkStart w:id="52" w:name="_Toc353562540"/>
      <w:r w:rsidRPr="00C67089">
        <w:rPr>
          <w:rFonts w:ascii="Arial" w:hAnsi="Arial" w:cs="Arial"/>
          <w:b/>
          <w:szCs w:val="28"/>
        </w:rPr>
        <w:t>I</w:t>
      </w:r>
      <w:bookmarkEnd w:id="51"/>
      <w:r>
        <w:rPr>
          <w:rFonts w:ascii="Arial" w:hAnsi="Arial" w:cs="Arial"/>
          <w:b/>
          <w:szCs w:val="28"/>
        </w:rPr>
        <w:t>ntroduction of the NT CDS</w:t>
      </w:r>
      <w:bookmarkEnd w:id="52"/>
    </w:p>
    <w:p w14:paraId="59AAC607" w14:textId="77777777" w:rsidR="00030089" w:rsidRPr="00C67089" w:rsidRDefault="00030089" w:rsidP="00030089">
      <w:pPr>
        <w:tabs>
          <w:tab w:val="left" w:pos="-709"/>
        </w:tabs>
        <w:spacing w:line="360" w:lineRule="auto"/>
        <w:jc w:val="both"/>
        <w:rPr>
          <w:rFonts w:ascii="Arial" w:hAnsi="Arial" w:cs="Arial"/>
          <w:szCs w:val="28"/>
        </w:rPr>
      </w:pPr>
      <w:r w:rsidRPr="00C67089">
        <w:rPr>
          <w:rFonts w:ascii="Arial" w:hAnsi="Arial" w:cs="Arial"/>
          <w:szCs w:val="28"/>
        </w:rPr>
        <w:t xml:space="preserve">In light of the above considerations, </w:t>
      </w:r>
      <w:r>
        <w:rPr>
          <w:rFonts w:ascii="Arial" w:hAnsi="Arial" w:cs="Arial"/>
          <w:szCs w:val="28"/>
        </w:rPr>
        <w:t>the</w:t>
      </w:r>
      <w:r w:rsidRPr="00C67089">
        <w:rPr>
          <w:rFonts w:ascii="Arial" w:hAnsi="Arial" w:cs="Arial"/>
          <w:szCs w:val="28"/>
        </w:rPr>
        <w:t xml:space="preserve"> </w:t>
      </w:r>
      <w:r>
        <w:rPr>
          <w:rFonts w:ascii="Arial" w:hAnsi="Arial" w:cs="Arial"/>
          <w:szCs w:val="28"/>
        </w:rPr>
        <w:t>NT Government</w:t>
      </w:r>
      <w:r w:rsidRPr="00C67089">
        <w:rPr>
          <w:rFonts w:ascii="Arial" w:hAnsi="Arial" w:cs="Arial"/>
          <w:szCs w:val="28"/>
        </w:rPr>
        <w:t xml:space="preserve"> investigated the potential for a NT </w:t>
      </w:r>
      <w:r>
        <w:rPr>
          <w:rFonts w:ascii="Arial" w:hAnsi="Arial" w:cs="Arial"/>
          <w:szCs w:val="28"/>
        </w:rPr>
        <w:t>CDS.</w:t>
      </w:r>
      <w:r w:rsidRPr="00C67089">
        <w:rPr>
          <w:rFonts w:ascii="Arial" w:hAnsi="Arial" w:cs="Arial"/>
          <w:szCs w:val="28"/>
        </w:rPr>
        <w:t xml:space="preserve"> </w:t>
      </w:r>
      <w:r>
        <w:rPr>
          <w:rFonts w:ascii="Arial" w:hAnsi="Arial" w:cs="Arial"/>
          <w:szCs w:val="28"/>
        </w:rPr>
        <w:t>T</w:t>
      </w:r>
      <w:r w:rsidRPr="00C67089">
        <w:rPr>
          <w:rFonts w:ascii="Arial" w:hAnsi="Arial" w:cs="Arial"/>
          <w:szCs w:val="28"/>
        </w:rPr>
        <w:t>he</w:t>
      </w:r>
      <w:r>
        <w:rPr>
          <w:rFonts w:ascii="Arial" w:hAnsi="Arial" w:cs="Arial"/>
          <w:szCs w:val="28"/>
        </w:rPr>
        <w:t xml:space="preserve"> </w:t>
      </w:r>
      <w:r w:rsidRPr="00F40D69">
        <w:rPr>
          <w:rFonts w:ascii="Arial" w:hAnsi="Arial" w:cs="Arial"/>
          <w:i/>
        </w:rPr>
        <w:t>Environment Protection (Beverage Containers and Plastic Bags) Act 2011 (</w:t>
      </w:r>
      <w:r w:rsidRPr="00F40D69">
        <w:rPr>
          <w:rFonts w:ascii="Arial" w:hAnsi="Arial" w:cs="Arial"/>
        </w:rPr>
        <w:t>EP (BC&amp;PB) Act) was</w:t>
      </w:r>
      <w:r>
        <w:rPr>
          <w:rFonts w:ascii="Arial" w:hAnsi="Arial" w:cs="Arial"/>
          <w:szCs w:val="28"/>
        </w:rPr>
        <w:t xml:space="preserve"> introduced and a CDS</w:t>
      </w:r>
      <w:r w:rsidRPr="00C67089">
        <w:rPr>
          <w:rFonts w:ascii="Arial" w:hAnsi="Arial" w:cs="Arial"/>
          <w:szCs w:val="28"/>
        </w:rPr>
        <w:t xml:space="preserve"> has been </w:t>
      </w:r>
      <w:r>
        <w:rPr>
          <w:rFonts w:ascii="Arial" w:hAnsi="Arial" w:cs="Arial"/>
          <w:szCs w:val="28"/>
        </w:rPr>
        <w:t>in operation</w:t>
      </w:r>
      <w:r w:rsidRPr="00C67089">
        <w:rPr>
          <w:rFonts w:ascii="Arial" w:hAnsi="Arial" w:cs="Arial"/>
          <w:szCs w:val="28"/>
        </w:rPr>
        <w:t xml:space="preserve"> since 3 January 2012. </w:t>
      </w:r>
    </w:p>
    <w:p w14:paraId="077BCDA4" w14:textId="77777777" w:rsidR="00030089" w:rsidRDefault="00030089" w:rsidP="00030089">
      <w:pPr>
        <w:tabs>
          <w:tab w:val="left" w:pos="-709"/>
        </w:tabs>
        <w:spacing w:line="360" w:lineRule="auto"/>
        <w:jc w:val="both"/>
        <w:rPr>
          <w:rFonts w:ascii="Arial" w:hAnsi="Arial" w:cs="Arial"/>
          <w:szCs w:val="28"/>
        </w:rPr>
      </w:pPr>
      <w:r>
        <w:rPr>
          <w:rFonts w:ascii="Arial" w:hAnsi="Arial" w:cs="Arial"/>
          <w:szCs w:val="28"/>
        </w:rPr>
        <w:t>A</w:t>
      </w:r>
      <w:r w:rsidRPr="00C67089">
        <w:rPr>
          <w:rFonts w:ascii="Arial" w:hAnsi="Arial" w:cs="Arial"/>
          <w:szCs w:val="28"/>
        </w:rPr>
        <w:t xml:space="preserve"> plastic bag ban</w:t>
      </w:r>
      <w:r>
        <w:rPr>
          <w:rFonts w:ascii="Arial" w:hAnsi="Arial" w:cs="Arial"/>
          <w:szCs w:val="28"/>
        </w:rPr>
        <w:t xml:space="preserve"> was also introduced under</w:t>
      </w:r>
      <w:r w:rsidRPr="00C67089">
        <w:rPr>
          <w:rFonts w:ascii="Arial" w:hAnsi="Arial" w:cs="Arial"/>
          <w:szCs w:val="28"/>
        </w:rPr>
        <w:t xml:space="preserve"> the EP (BC&amp;PB)</w:t>
      </w:r>
      <w:r>
        <w:rPr>
          <w:rFonts w:ascii="Arial" w:hAnsi="Arial" w:cs="Arial"/>
          <w:szCs w:val="28"/>
        </w:rPr>
        <w:t xml:space="preserve"> Act, </w:t>
      </w:r>
      <w:r w:rsidRPr="00C67089">
        <w:rPr>
          <w:rFonts w:ascii="Arial" w:hAnsi="Arial" w:cs="Arial"/>
          <w:szCs w:val="28"/>
        </w:rPr>
        <w:t xml:space="preserve">and kerbside </w:t>
      </w:r>
      <w:r>
        <w:rPr>
          <w:rFonts w:ascii="Arial" w:hAnsi="Arial" w:cs="Arial"/>
          <w:szCs w:val="28"/>
        </w:rPr>
        <w:t xml:space="preserve">recycling </w:t>
      </w:r>
      <w:r w:rsidRPr="00C67089">
        <w:rPr>
          <w:rFonts w:ascii="Arial" w:hAnsi="Arial" w:cs="Arial"/>
          <w:szCs w:val="28"/>
        </w:rPr>
        <w:t>in Palmerston and Darwin</w:t>
      </w:r>
      <w:r>
        <w:rPr>
          <w:rFonts w:ascii="Arial" w:hAnsi="Arial" w:cs="Arial"/>
          <w:szCs w:val="28"/>
        </w:rPr>
        <w:t xml:space="preserve"> continues</w:t>
      </w:r>
      <w:r w:rsidRPr="00C67089">
        <w:rPr>
          <w:rFonts w:ascii="Arial" w:hAnsi="Arial" w:cs="Arial"/>
          <w:szCs w:val="28"/>
        </w:rPr>
        <w:t xml:space="preserve">. </w:t>
      </w:r>
      <w:r>
        <w:rPr>
          <w:rFonts w:ascii="Arial" w:hAnsi="Arial" w:cs="Arial"/>
          <w:szCs w:val="28"/>
        </w:rPr>
        <w:t xml:space="preserve">In terms of beverage containers, kerbside is highly susceptible to contamination. The plastic bag ban has been highly effective in reducing plastic bag litter. </w:t>
      </w:r>
      <w:r w:rsidRPr="00C67089">
        <w:rPr>
          <w:rFonts w:ascii="Arial" w:hAnsi="Arial" w:cs="Arial"/>
          <w:szCs w:val="28"/>
        </w:rPr>
        <w:t xml:space="preserve">Integrating these other waste management reforms with </w:t>
      </w:r>
      <w:r>
        <w:rPr>
          <w:rFonts w:ascii="Arial" w:hAnsi="Arial" w:cs="Arial"/>
          <w:szCs w:val="28"/>
        </w:rPr>
        <w:t>a</w:t>
      </w:r>
      <w:r w:rsidRPr="00C67089">
        <w:rPr>
          <w:rFonts w:ascii="Arial" w:hAnsi="Arial" w:cs="Arial"/>
          <w:szCs w:val="28"/>
        </w:rPr>
        <w:t xml:space="preserve"> CDS complements and augments the NT CDS’s outcomes.</w:t>
      </w:r>
      <w:r>
        <w:rPr>
          <w:rFonts w:ascii="Arial" w:hAnsi="Arial" w:cs="Arial"/>
          <w:szCs w:val="28"/>
        </w:rPr>
        <w:t xml:space="preserve"> Together these reforms target a range of packaging material that includes plastic bags, paper and beverage containers. Some containers have a high aluminium and HDPE plastic content, encompassing the most valuable packaging materials in terms of their market value when sold as recyclate. Many beverage containers, such as those made from aluminium and certain plastics, also have particularly high amounts of resources embedded in their production, including energy and water. Beverage containers are the most likely form of packaging to be consumed away from home, making them particularly prone to littering. Beverage containers are also the easiest packaging material to link to an incentive-based scheme such as a CDS. Their size makes it particularly easy for individuals to collect, handle and return to a depot for recycling.</w:t>
      </w:r>
    </w:p>
    <w:p w14:paraId="338CD0EA" w14:textId="77777777" w:rsidR="00030089" w:rsidRPr="00F702E2" w:rsidRDefault="00030089" w:rsidP="00030089">
      <w:pPr>
        <w:pStyle w:val="Default"/>
        <w:rPr>
          <w:sz w:val="24"/>
          <w:szCs w:val="24"/>
        </w:rPr>
      </w:pPr>
      <w:r w:rsidRPr="00F702E2">
        <w:rPr>
          <w:sz w:val="24"/>
          <w:szCs w:val="24"/>
        </w:rPr>
        <w:lastRenderedPageBreak/>
        <w:t>Under the CDS, a 10 cent refundable deposit is provided on those containers returned to approved collection depots. Collection depots return the collected containers to relevant CDS coordinators who pay the 10 cent deposit plus a handling fee per container.</w:t>
      </w:r>
    </w:p>
    <w:p w14:paraId="3C376DA9" w14:textId="77777777" w:rsidR="00030089" w:rsidRPr="00F702E2" w:rsidRDefault="00030089" w:rsidP="00030089">
      <w:pPr>
        <w:tabs>
          <w:tab w:val="left" w:pos="-709"/>
        </w:tabs>
        <w:spacing w:line="360" w:lineRule="auto"/>
        <w:jc w:val="both"/>
        <w:rPr>
          <w:rFonts w:ascii="Arial" w:hAnsi="Arial" w:cs="Arial"/>
          <w:szCs w:val="24"/>
        </w:rPr>
      </w:pPr>
      <w:r w:rsidRPr="00F702E2">
        <w:rPr>
          <w:rFonts w:ascii="Arial" w:hAnsi="Arial" w:cs="Arial"/>
          <w:szCs w:val="24"/>
        </w:rPr>
        <w:t>Assessments undertaken prior to the scheme’s commencement highlighted that a CDS in the NT would need to have the following characteristics:</w:t>
      </w:r>
    </w:p>
    <w:p w14:paraId="3576BF44" w14:textId="77777777" w:rsidR="00030089" w:rsidRPr="00F702E2" w:rsidRDefault="00030089" w:rsidP="00030089">
      <w:pPr>
        <w:pStyle w:val="NoSpacing"/>
        <w:numPr>
          <w:ilvl w:val="0"/>
          <w:numId w:val="5"/>
        </w:numPr>
        <w:spacing w:after="240" w:line="360" w:lineRule="auto"/>
        <w:jc w:val="both"/>
        <w:rPr>
          <w:rFonts w:ascii="Arial" w:hAnsi="Arial" w:cs="Arial"/>
          <w:sz w:val="24"/>
          <w:szCs w:val="24"/>
        </w:rPr>
      </w:pPr>
      <w:r w:rsidRPr="00F702E2">
        <w:rPr>
          <w:rFonts w:ascii="Arial" w:hAnsi="Arial" w:cs="Arial"/>
          <w:sz w:val="24"/>
          <w:szCs w:val="24"/>
        </w:rPr>
        <w:t>ability to provide reasonable access to communities across the NT;</w:t>
      </w:r>
    </w:p>
    <w:p w14:paraId="2794697F" w14:textId="77777777" w:rsidR="00030089" w:rsidRPr="00F702E2" w:rsidRDefault="00030089" w:rsidP="00030089">
      <w:pPr>
        <w:pStyle w:val="NoSpacing"/>
        <w:numPr>
          <w:ilvl w:val="0"/>
          <w:numId w:val="5"/>
        </w:numPr>
        <w:spacing w:after="240" w:line="360" w:lineRule="auto"/>
        <w:jc w:val="both"/>
        <w:rPr>
          <w:rFonts w:ascii="Arial" w:hAnsi="Arial" w:cs="Arial"/>
          <w:sz w:val="24"/>
          <w:szCs w:val="24"/>
        </w:rPr>
      </w:pPr>
      <w:r w:rsidRPr="00F702E2">
        <w:rPr>
          <w:rFonts w:ascii="Arial" w:hAnsi="Arial" w:cs="Arial"/>
          <w:sz w:val="24"/>
          <w:szCs w:val="24"/>
        </w:rPr>
        <w:t>opportunities for business development, especially recycling and environmental business in the NT;</w:t>
      </w:r>
    </w:p>
    <w:p w14:paraId="03A00628" w14:textId="77777777" w:rsidR="00030089" w:rsidRPr="00F702E2" w:rsidRDefault="00030089" w:rsidP="00030089">
      <w:pPr>
        <w:pStyle w:val="NoSpacing"/>
        <w:numPr>
          <w:ilvl w:val="0"/>
          <w:numId w:val="5"/>
        </w:numPr>
        <w:spacing w:after="240" w:line="360" w:lineRule="auto"/>
        <w:jc w:val="both"/>
        <w:rPr>
          <w:rFonts w:ascii="Arial" w:hAnsi="Arial" w:cs="Arial"/>
          <w:sz w:val="24"/>
          <w:szCs w:val="24"/>
        </w:rPr>
      </w:pPr>
      <w:r w:rsidRPr="00F702E2">
        <w:rPr>
          <w:rFonts w:ascii="Arial" w:hAnsi="Arial" w:cs="Arial"/>
          <w:sz w:val="24"/>
          <w:szCs w:val="24"/>
        </w:rPr>
        <w:t>responsiveness to community and industry needs, including minimising costs and maximising benefits to the community and industry; and</w:t>
      </w:r>
    </w:p>
    <w:p w14:paraId="2D18D7EB" w14:textId="77777777" w:rsidR="00030089" w:rsidRPr="00F702E2" w:rsidRDefault="00030089" w:rsidP="00030089">
      <w:pPr>
        <w:pStyle w:val="NoSpacing"/>
        <w:numPr>
          <w:ilvl w:val="0"/>
          <w:numId w:val="5"/>
        </w:numPr>
        <w:spacing w:line="360" w:lineRule="auto"/>
        <w:jc w:val="both"/>
        <w:rPr>
          <w:rFonts w:ascii="Arial" w:hAnsi="Arial" w:cs="Arial"/>
          <w:sz w:val="24"/>
          <w:szCs w:val="24"/>
        </w:rPr>
      </w:pPr>
      <w:r w:rsidRPr="00F702E2">
        <w:rPr>
          <w:rFonts w:ascii="Arial" w:hAnsi="Arial" w:cs="Arial"/>
          <w:sz w:val="24"/>
          <w:szCs w:val="24"/>
        </w:rPr>
        <w:t>ability to ensure that waste management arrangements are in place for the re-use, recycling or appropriate disposal of containers collected.</w:t>
      </w:r>
    </w:p>
    <w:p w14:paraId="2D200C5E" w14:textId="77777777" w:rsidR="00030089" w:rsidRPr="00F702E2" w:rsidRDefault="00030089" w:rsidP="00030089">
      <w:pPr>
        <w:pStyle w:val="NormalWeb"/>
        <w:spacing w:before="240" w:beforeAutospacing="0" w:after="240" w:afterAutospacing="0" w:line="360" w:lineRule="auto"/>
        <w:jc w:val="both"/>
        <w:rPr>
          <w:rFonts w:ascii="Arial" w:hAnsi="Arial" w:cs="Arial"/>
        </w:rPr>
      </w:pPr>
      <w:r w:rsidRPr="00F702E2">
        <w:rPr>
          <w:rFonts w:ascii="Arial" w:hAnsi="Arial" w:cs="Arial"/>
        </w:rPr>
        <w:t xml:space="preserve">The legislation package also bans single use light weight plastic bags in the NT. </w:t>
      </w:r>
    </w:p>
    <w:p w14:paraId="41873C41" w14:textId="77777777" w:rsidR="00030089" w:rsidRPr="00F702E2" w:rsidRDefault="00030089" w:rsidP="00030089">
      <w:pPr>
        <w:pStyle w:val="NormalWeb"/>
        <w:spacing w:before="240" w:beforeAutospacing="0" w:after="240" w:afterAutospacing="0" w:line="360" w:lineRule="auto"/>
        <w:jc w:val="both"/>
        <w:rPr>
          <w:rFonts w:ascii="Arial" w:hAnsi="Arial" w:cs="Arial"/>
        </w:rPr>
      </w:pPr>
      <w:r w:rsidRPr="00F702E2">
        <w:rPr>
          <w:rFonts w:ascii="Arial" w:hAnsi="Arial" w:cs="Arial"/>
        </w:rPr>
        <w:t xml:space="preserve">The EP (BC&amp;PB) Act, supported by the </w:t>
      </w:r>
      <w:r w:rsidRPr="00F702E2">
        <w:rPr>
          <w:rFonts w:ascii="Arial" w:hAnsi="Arial" w:cs="Arial"/>
          <w:i/>
        </w:rPr>
        <w:t xml:space="preserve">Environment Protection (Beverage Containers and Plastic Bags) Regulations 2012 (NT), </w:t>
      </w:r>
      <w:r w:rsidRPr="00F702E2">
        <w:rPr>
          <w:rFonts w:ascii="Arial" w:hAnsi="Arial" w:cs="Arial"/>
        </w:rPr>
        <w:t>requires beverage manufacturers to implement the scheme by:</w:t>
      </w:r>
    </w:p>
    <w:p w14:paraId="7C1F55BD" w14:textId="77777777" w:rsidR="00030089" w:rsidRPr="00F702E2" w:rsidRDefault="00030089" w:rsidP="00030089">
      <w:pPr>
        <w:pStyle w:val="NoSpacing"/>
        <w:numPr>
          <w:ilvl w:val="0"/>
          <w:numId w:val="5"/>
        </w:numPr>
        <w:spacing w:after="240" w:line="360" w:lineRule="auto"/>
        <w:rPr>
          <w:rFonts w:ascii="Arial" w:hAnsi="Arial" w:cs="Arial"/>
          <w:sz w:val="24"/>
          <w:szCs w:val="24"/>
        </w:rPr>
      </w:pPr>
      <w:r w:rsidRPr="00F702E2">
        <w:rPr>
          <w:rFonts w:ascii="Arial" w:hAnsi="Arial" w:cs="Arial"/>
          <w:sz w:val="24"/>
          <w:szCs w:val="24"/>
        </w:rPr>
        <w:t>developing a waste management arrangement for the collection and reprocessing of the empty beverage containers;</w:t>
      </w:r>
    </w:p>
    <w:p w14:paraId="5929227A" w14:textId="77777777" w:rsidR="00030089" w:rsidRPr="00F702E2" w:rsidRDefault="00030089" w:rsidP="00030089">
      <w:pPr>
        <w:pStyle w:val="NoSpacing"/>
        <w:numPr>
          <w:ilvl w:val="0"/>
          <w:numId w:val="5"/>
        </w:numPr>
        <w:spacing w:after="240" w:line="360" w:lineRule="auto"/>
        <w:rPr>
          <w:rFonts w:ascii="Arial" w:hAnsi="Arial" w:cs="Arial"/>
          <w:sz w:val="24"/>
          <w:szCs w:val="24"/>
        </w:rPr>
      </w:pPr>
      <w:r w:rsidRPr="00F702E2">
        <w:rPr>
          <w:rFonts w:ascii="Arial" w:hAnsi="Arial" w:cs="Arial"/>
          <w:sz w:val="24"/>
          <w:szCs w:val="24"/>
        </w:rPr>
        <w:t>applying for an approval for the beverages to be sold into the NT; and</w:t>
      </w:r>
    </w:p>
    <w:p w14:paraId="1A1C950A" w14:textId="77777777" w:rsidR="00030089" w:rsidRPr="00F702E2" w:rsidRDefault="00030089" w:rsidP="00030089">
      <w:pPr>
        <w:pStyle w:val="NoSpacing"/>
        <w:numPr>
          <w:ilvl w:val="0"/>
          <w:numId w:val="5"/>
        </w:numPr>
        <w:spacing w:after="240" w:line="360" w:lineRule="auto"/>
        <w:rPr>
          <w:rFonts w:ascii="Arial" w:hAnsi="Arial" w:cs="Arial"/>
          <w:sz w:val="24"/>
          <w:szCs w:val="24"/>
        </w:rPr>
      </w:pPr>
      <w:r w:rsidRPr="00F702E2">
        <w:rPr>
          <w:rFonts w:ascii="Arial" w:hAnsi="Arial" w:cs="Arial"/>
          <w:sz w:val="24"/>
          <w:szCs w:val="24"/>
        </w:rPr>
        <w:t>specifying labelling requirements (consistent with the SA scheme) over a transitional period to allow for to the refund to be claimed.</w:t>
      </w:r>
    </w:p>
    <w:p w14:paraId="558E57A1" w14:textId="77777777" w:rsidR="00030089" w:rsidRDefault="00030089" w:rsidP="00030089">
      <w:pPr>
        <w:pStyle w:val="Default"/>
        <w:rPr>
          <w:sz w:val="24"/>
          <w:szCs w:val="24"/>
        </w:rPr>
      </w:pPr>
      <w:r w:rsidRPr="00F702E2">
        <w:rPr>
          <w:sz w:val="24"/>
          <w:szCs w:val="24"/>
        </w:rPr>
        <w:t xml:space="preserve">To be redeemable under the NT CDS beverage containers must have been purchased in the NT after the commencement of the scheme. </w:t>
      </w:r>
    </w:p>
    <w:p w14:paraId="46D3316C" w14:textId="77777777" w:rsidR="00F702E2" w:rsidRPr="00F702E2" w:rsidRDefault="00F702E2" w:rsidP="00030089">
      <w:pPr>
        <w:pStyle w:val="Default"/>
        <w:rPr>
          <w:sz w:val="24"/>
          <w:szCs w:val="24"/>
        </w:rPr>
      </w:pPr>
    </w:p>
    <w:p w14:paraId="590A72EB" w14:textId="77777777" w:rsidR="00F702E2" w:rsidRDefault="00F702E2">
      <w:pPr>
        <w:rPr>
          <w:rFonts w:ascii="Arial" w:hAnsi="Arial" w:cs="Arial"/>
          <w:b/>
          <w:szCs w:val="28"/>
        </w:rPr>
      </w:pPr>
      <w:bookmarkStart w:id="53" w:name="_Toc353562541"/>
      <w:bookmarkStart w:id="54" w:name="_Toc347315465"/>
      <w:r>
        <w:rPr>
          <w:rFonts w:ascii="Arial" w:hAnsi="Arial" w:cs="Arial"/>
          <w:b/>
          <w:szCs w:val="28"/>
        </w:rPr>
        <w:br w:type="page"/>
      </w:r>
    </w:p>
    <w:p w14:paraId="50C4A1C4" w14:textId="2F1BD015" w:rsidR="00030089" w:rsidRPr="00C67089" w:rsidRDefault="00030089" w:rsidP="00030089">
      <w:pPr>
        <w:pStyle w:val="ListParagraph"/>
        <w:numPr>
          <w:ilvl w:val="1"/>
          <w:numId w:val="3"/>
        </w:numPr>
        <w:spacing w:after="200" w:line="360" w:lineRule="auto"/>
        <w:ind w:left="567" w:hanging="573"/>
        <w:outlineLvl w:val="1"/>
        <w:rPr>
          <w:rFonts w:ascii="Arial" w:hAnsi="Arial" w:cs="Arial"/>
          <w:b/>
          <w:szCs w:val="28"/>
        </w:rPr>
      </w:pPr>
      <w:r>
        <w:rPr>
          <w:rFonts w:ascii="Arial" w:hAnsi="Arial" w:cs="Arial"/>
          <w:b/>
          <w:szCs w:val="28"/>
        </w:rPr>
        <w:lastRenderedPageBreak/>
        <w:t>Mutual R</w:t>
      </w:r>
      <w:r w:rsidRPr="00C67089">
        <w:rPr>
          <w:rFonts w:ascii="Arial" w:hAnsi="Arial" w:cs="Arial"/>
          <w:b/>
          <w:szCs w:val="28"/>
        </w:rPr>
        <w:t xml:space="preserve">ecognition </w:t>
      </w:r>
      <w:r>
        <w:rPr>
          <w:rFonts w:ascii="Arial" w:hAnsi="Arial" w:cs="Arial"/>
          <w:b/>
          <w:szCs w:val="28"/>
        </w:rPr>
        <w:t>P</w:t>
      </w:r>
      <w:r w:rsidRPr="00C67089">
        <w:rPr>
          <w:rFonts w:ascii="Arial" w:hAnsi="Arial" w:cs="Arial"/>
          <w:b/>
          <w:szCs w:val="28"/>
        </w:rPr>
        <w:t>rinciples</w:t>
      </w:r>
      <w:bookmarkEnd w:id="53"/>
      <w:r w:rsidRPr="00C67089">
        <w:rPr>
          <w:rFonts w:ascii="Arial" w:hAnsi="Arial" w:cs="Arial"/>
          <w:b/>
          <w:szCs w:val="28"/>
        </w:rPr>
        <w:t xml:space="preserve"> </w:t>
      </w:r>
      <w:bookmarkEnd w:id="54"/>
    </w:p>
    <w:p w14:paraId="227EB3B9" w14:textId="77777777" w:rsidR="00030089" w:rsidRPr="00C67089" w:rsidRDefault="00030089" w:rsidP="00030089">
      <w:pPr>
        <w:autoSpaceDE w:val="0"/>
        <w:autoSpaceDN w:val="0"/>
        <w:adjustRightInd w:val="0"/>
        <w:spacing w:before="160" w:after="160" w:line="360" w:lineRule="auto"/>
        <w:jc w:val="both"/>
        <w:rPr>
          <w:rFonts w:ascii="Arial" w:hAnsi="Arial" w:cs="Arial"/>
          <w:b/>
          <w:szCs w:val="28"/>
        </w:rPr>
      </w:pPr>
      <w:r>
        <w:rPr>
          <w:rFonts w:ascii="Arial" w:hAnsi="Arial" w:cs="Arial"/>
        </w:rPr>
        <w:t xml:space="preserve">The </w:t>
      </w:r>
      <w:r w:rsidRPr="00791D3C">
        <w:rPr>
          <w:rFonts w:ascii="Arial" w:hAnsi="Arial" w:cs="Arial"/>
          <w:i/>
        </w:rPr>
        <w:t>Mutual Recognition Act 1992</w:t>
      </w:r>
      <w:r w:rsidRPr="00791D3C">
        <w:rPr>
          <w:rFonts w:ascii="Arial" w:hAnsi="Arial" w:cs="Arial"/>
        </w:rPr>
        <w:t xml:space="preserve"> (Cth)</w:t>
      </w:r>
      <w:r>
        <w:rPr>
          <w:rFonts w:ascii="Arial" w:hAnsi="Arial" w:cs="Arial"/>
        </w:rPr>
        <w:t xml:space="preserve"> (MRA)</w:t>
      </w:r>
      <w:r w:rsidRPr="00791D3C">
        <w:rPr>
          <w:rFonts w:ascii="Arial" w:hAnsi="Arial" w:cs="Arial"/>
        </w:rPr>
        <w:t xml:space="preserve"> and the </w:t>
      </w:r>
      <w:r w:rsidRPr="00791D3C">
        <w:rPr>
          <w:rFonts w:ascii="Arial" w:hAnsi="Arial" w:cs="Arial"/>
          <w:i/>
        </w:rPr>
        <w:t>Trans</w:t>
      </w:r>
      <w:r w:rsidRPr="00791D3C">
        <w:rPr>
          <w:rFonts w:ascii="Arial" w:hAnsi="Arial" w:cs="Arial"/>
          <w:i/>
        </w:rPr>
        <w:noBreakHyphen/>
        <w:t>Tasman Mutual Recognition Act 1997</w:t>
      </w:r>
      <w:r>
        <w:rPr>
          <w:rFonts w:ascii="Arial" w:hAnsi="Arial" w:cs="Arial"/>
        </w:rPr>
        <w:t xml:space="preserve"> (Cth)</w:t>
      </w:r>
      <w:r w:rsidRPr="00791D3C">
        <w:rPr>
          <w:rFonts w:ascii="Arial" w:hAnsi="Arial" w:cs="Arial"/>
        </w:rPr>
        <w:t xml:space="preserve"> </w:t>
      </w:r>
      <w:r>
        <w:rPr>
          <w:rFonts w:ascii="Arial" w:hAnsi="Arial" w:cs="Arial"/>
        </w:rPr>
        <w:t>(TTMRA)</w:t>
      </w:r>
      <w:r w:rsidRPr="00C67089">
        <w:rPr>
          <w:rFonts w:ascii="Arial" w:hAnsi="Arial" w:cs="Arial"/>
          <w:szCs w:val="28"/>
        </w:rPr>
        <w:t xml:space="preserve"> apply as laws of the NT by virtue of the </w:t>
      </w:r>
      <w:r w:rsidRPr="00C67089">
        <w:rPr>
          <w:rFonts w:ascii="Arial" w:hAnsi="Arial" w:cs="Arial"/>
          <w:i/>
          <w:szCs w:val="28"/>
        </w:rPr>
        <w:t xml:space="preserve">Mutual Recognition (Northern Territory) Act </w:t>
      </w:r>
      <w:r w:rsidRPr="00C67089">
        <w:rPr>
          <w:rFonts w:ascii="Arial" w:hAnsi="Arial" w:cs="Arial"/>
          <w:szCs w:val="28"/>
        </w:rPr>
        <w:t xml:space="preserve">(NT) and the </w:t>
      </w:r>
      <w:r w:rsidRPr="00C67089">
        <w:rPr>
          <w:rFonts w:ascii="Arial" w:hAnsi="Arial" w:cs="Arial"/>
          <w:i/>
          <w:szCs w:val="28"/>
        </w:rPr>
        <w:t>Trans-Tasman Mutual Recognition Act 1998</w:t>
      </w:r>
      <w:r w:rsidRPr="00C67089">
        <w:rPr>
          <w:rFonts w:ascii="Arial" w:hAnsi="Arial" w:cs="Arial"/>
          <w:szCs w:val="28"/>
        </w:rPr>
        <w:t xml:space="preserve"> (NT) respectively.</w:t>
      </w:r>
    </w:p>
    <w:p w14:paraId="71C179AD" w14:textId="77777777" w:rsidR="00030089" w:rsidRPr="00C67089" w:rsidRDefault="00030089" w:rsidP="00030089">
      <w:pPr>
        <w:tabs>
          <w:tab w:val="left" w:pos="-709"/>
        </w:tabs>
        <w:spacing w:line="360" w:lineRule="auto"/>
        <w:jc w:val="both"/>
        <w:rPr>
          <w:rFonts w:ascii="Arial" w:hAnsi="Arial" w:cs="Arial"/>
          <w:szCs w:val="28"/>
        </w:rPr>
      </w:pPr>
      <w:r w:rsidRPr="00C67089">
        <w:rPr>
          <w:rFonts w:ascii="Arial" w:hAnsi="Arial" w:cs="Arial"/>
          <w:szCs w:val="28"/>
        </w:rPr>
        <w:t>In relation to goods, the MRA and TTMRA apply the ‘mutual recognition principle’. The mutual recognition principle, as explained at section 9 of the MRA, provides that goods produced in or imported into the first State, that may be lawfully sold in that State, may, by virtue of the MRA, be sold in the second State. The Trans-Tasman mutual recognition principle as explained at section 10 of the TTMRA is that goods produced in or imported into New Zealand, that may be lawfully sold in New Zealand, may by virtue of the TTMRA be lawfully sold in an Australian jurisdiction.</w:t>
      </w:r>
    </w:p>
    <w:p w14:paraId="2665C7E7" w14:textId="77777777" w:rsidR="00030089" w:rsidRPr="00C67089" w:rsidRDefault="00030089" w:rsidP="00030089">
      <w:pPr>
        <w:spacing w:line="360" w:lineRule="auto"/>
        <w:jc w:val="both"/>
        <w:rPr>
          <w:rFonts w:ascii="Arial" w:hAnsi="Arial" w:cs="Arial"/>
          <w:szCs w:val="28"/>
        </w:rPr>
      </w:pPr>
      <w:r w:rsidRPr="00C67089">
        <w:rPr>
          <w:rFonts w:ascii="Arial" w:hAnsi="Arial" w:cs="Arial"/>
          <w:szCs w:val="28"/>
        </w:rPr>
        <w:t xml:space="preserve">These acts provide that sales of goods to which the principle applies do not require compliance with further requirements of a type set out in the Acts that might otherwise be required under the laws of the importing jurisdiction. These include quality or performance standards, inspection requirements </w:t>
      </w:r>
      <w:r>
        <w:rPr>
          <w:rFonts w:ascii="Arial" w:hAnsi="Arial" w:cs="Arial"/>
          <w:szCs w:val="28"/>
        </w:rPr>
        <w:t>and</w:t>
      </w:r>
      <w:r w:rsidRPr="00C67089">
        <w:rPr>
          <w:rFonts w:ascii="Arial" w:hAnsi="Arial" w:cs="Arial"/>
          <w:szCs w:val="28"/>
        </w:rPr>
        <w:t xml:space="preserve"> label</w:t>
      </w:r>
      <w:r>
        <w:rPr>
          <w:rFonts w:ascii="Arial" w:hAnsi="Arial" w:cs="Arial"/>
          <w:szCs w:val="28"/>
        </w:rPr>
        <w:t>l</w:t>
      </w:r>
      <w:r w:rsidRPr="00C67089">
        <w:rPr>
          <w:rFonts w:ascii="Arial" w:hAnsi="Arial" w:cs="Arial"/>
          <w:szCs w:val="28"/>
        </w:rPr>
        <w:t xml:space="preserve">ing standards. </w:t>
      </w:r>
    </w:p>
    <w:p w14:paraId="29B2AB88" w14:textId="77777777" w:rsidR="00030089" w:rsidRPr="00C67089" w:rsidRDefault="00030089" w:rsidP="00030089">
      <w:pPr>
        <w:spacing w:line="360" w:lineRule="auto"/>
        <w:jc w:val="both"/>
        <w:rPr>
          <w:rFonts w:ascii="Arial" w:hAnsi="Arial" w:cs="Arial"/>
          <w:szCs w:val="28"/>
        </w:rPr>
      </w:pPr>
      <w:r w:rsidRPr="00C67089">
        <w:rPr>
          <w:rFonts w:ascii="Arial" w:hAnsi="Arial" w:cs="Arial"/>
          <w:szCs w:val="28"/>
        </w:rPr>
        <w:t>The NT CDS component of the EP (BC&amp;PB) Act</w:t>
      </w:r>
      <w:r w:rsidRPr="00C67089">
        <w:rPr>
          <w:rFonts w:ascii="Arial" w:hAnsi="Arial" w:cs="Arial"/>
          <w:i/>
          <w:szCs w:val="28"/>
        </w:rPr>
        <w:t xml:space="preserve"> </w:t>
      </w:r>
      <w:r w:rsidRPr="00C67089">
        <w:rPr>
          <w:rFonts w:ascii="Arial" w:hAnsi="Arial" w:cs="Arial"/>
          <w:szCs w:val="28"/>
        </w:rPr>
        <w:t>requires all beverages sold in the NT to carry a label alerting the purchaser to the availability of 10</w:t>
      </w:r>
      <w:r>
        <w:rPr>
          <w:rFonts w:ascii="Arial" w:hAnsi="Arial" w:cs="Arial"/>
          <w:szCs w:val="28"/>
        </w:rPr>
        <w:t xml:space="preserve"> </w:t>
      </w:r>
      <w:r w:rsidRPr="00C67089">
        <w:rPr>
          <w:rFonts w:ascii="Arial" w:hAnsi="Arial" w:cs="Arial"/>
          <w:szCs w:val="28"/>
        </w:rPr>
        <w:t>c</w:t>
      </w:r>
      <w:r>
        <w:rPr>
          <w:rFonts w:ascii="Arial" w:hAnsi="Arial" w:cs="Arial"/>
          <w:szCs w:val="28"/>
        </w:rPr>
        <w:t>ent</w:t>
      </w:r>
      <w:r w:rsidRPr="00C67089">
        <w:rPr>
          <w:rFonts w:ascii="Arial" w:hAnsi="Arial" w:cs="Arial"/>
          <w:szCs w:val="28"/>
        </w:rPr>
        <w:t xml:space="preserve"> redemption in the NT if bought there. This provision was designed to conform to the statutory exemptions available under the mutual recognition. </w:t>
      </w:r>
      <w:r>
        <w:rPr>
          <w:rFonts w:ascii="Arial" w:hAnsi="Arial" w:cs="Arial"/>
          <w:szCs w:val="28"/>
        </w:rPr>
        <w:t>To provide certainty to those businesses who have already heavily invested in the scheme,</w:t>
      </w:r>
      <w:r w:rsidRPr="00C67089">
        <w:rPr>
          <w:rFonts w:ascii="Arial" w:hAnsi="Arial" w:cs="Arial"/>
          <w:szCs w:val="28"/>
        </w:rPr>
        <w:t xml:space="preserve"> the NT is taking the necessary steps to secure permanent exemption of the CDS from the operation of the MRA and TTMRA.</w:t>
      </w:r>
    </w:p>
    <w:p w14:paraId="466B463D" w14:textId="77777777" w:rsidR="00030089" w:rsidRPr="00C67089" w:rsidRDefault="00030089" w:rsidP="00030089">
      <w:pPr>
        <w:autoSpaceDE w:val="0"/>
        <w:autoSpaceDN w:val="0"/>
        <w:adjustRightInd w:val="0"/>
        <w:spacing w:line="360" w:lineRule="auto"/>
        <w:jc w:val="both"/>
        <w:rPr>
          <w:rFonts w:ascii="Arial" w:hAnsi="Arial" w:cs="Arial"/>
          <w:color w:val="000000"/>
          <w:szCs w:val="28"/>
        </w:rPr>
      </w:pPr>
      <w:r w:rsidRPr="00C67089">
        <w:rPr>
          <w:rFonts w:ascii="Arial" w:hAnsi="Arial" w:cs="Arial"/>
          <w:color w:val="000000"/>
          <w:szCs w:val="28"/>
        </w:rPr>
        <w:t>The MRA and the TTMRA make provision for specific goods or laws to be permanently exempted from their scope by their inclusion in schedules to the MRA or TTMRA. The process for adding permanent exemptions</w:t>
      </w:r>
      <w:r>
        <w:rPr>
          <w:rFonts w:ascii="Arial" w:hAnsi="Arial" w:cs="Arial"/>
          <w:color w:val="000000"/>
          <w:szCs w:val="28"/>
        </w:rPr>
        <w:t xml:space="preserve"> requires</w:t>
      </w:r>
      <w:r w:rsidRPr="00C67089">
        <w:rPr>
          <w:rFonts w:ascii="Arial" w:hAnsi="Arial" w:cs="Arial"/>
          <w:color w:val="000000"/>
          <w:szCs w:val="28"/>
        </w:rPr>
        <w:t xml:space="preserve"> the support of the relevant Ministerial Council to seek unanimous agreement of Heads of Government (COAG) to the exemption</w:t>
      </w:r>
      <w:r>
        <w:rPr>
          <w:rFonts w:ascii="Arial" w:hAnsi="Arial" w:cs="Arial"/>
          <w:color w:val="000000"/>
          <w:szCs w:val="28"/>
        </w:rPr>
        <w:t>;</w:t>
      </w:r>
      <w:r w:rsidRPr="00C67089">
        <w:rPr>
          <w:rFonts w:ascii="Arial" w:hAnsi="Arial" w:cs="Arial"/>
          <w:color w:val="000000"/>
          <w:szCs w:val="28"/>
        </w:rPr>
        <w:t xml:space="preserve"> the making of regulations by the Comm</w:t>
      </w:r>
      <w:r>
        <w:rPr>
          <w:rFonts w:ascii="Arial" w:hAnsi="Arial" w:cs="Arial"/>
          <w:color w:val="000000"/>
          <w:szCs w:val="28"/>
        </w:rPr>
        <w:t>onwealth to amend the relevant s</w:t>
      </w:r>
      <w:r w:rsidRPr="00C67089">
        <w:rPr>
          <w:rFonts w:ascii="Arial" w:hAnsi="Arial" w:cs="Arial"/>
          <w:color w:val="000000"/>
          <w:szCs w:val="28"/>
        </w:rPr>
        <w:t xml:space="preserve">chedules to the MRA/TTMRA and the prior signification of consent to the amendments by all </w:t>
      </w:r>
      <w:r>
        <w:rPr>
          <w:rFonts w:ascii="Arial" w:hAnsi="Arial" w:cs="Arial"/>
          <w:color w:val="000000"/>
          <w:szCs w:val="28"/>
        </w:rPr>
        <w:t>jurisdictions by Gazette notice.</w:t>
      </w:r>
    </w:p>
    <w:p w14:paraId="1C727717" w14:textId="77777777" w:rsidR="00030089" w:rsidRPr="00C67089" w:rsidRDefault="00030089" w:rsidP="00030089">
      <w:pPr>
        <w:autoSpaceDE w:val="0"/>
        <w:autoSpaceDN w:val="0"/>
        <w:adjustRightInd w:val="0"/>
        <w:spacing w:line="360" w:lineRule="auto"/>
        <w:jc w:val="both"/>
        <w:rPr>
          <w:rFonts w:ascii="Arial" w:hAnsi="Arial" w:cs="Arial"/>
          <w:color w:val="000000"/>
          <w:szCs w:val="28"/>
        </w:rPr>
      </w:pPr>
      <w:r w:rsidRPr="00C67089">
        <w:rPr>
          <w:rFonts w:ascii="Arial" w:hAnsi="Arial" w:cs="Arial"/>
          <w:color w:val="000000"/>
          <w:szCs w:val="28"/>
        </w:rPr>
        <w:t xml:space="preserve">Because the permanent exemption process is lengthy, the mutual recognition schemes also allow individual jurisdictions to unilaterally invoke temporary exemptions from application of the mutual recognition principle. Temporary exemptions have a limited life of twelve months and cannot be extended. </w:t>
      </w:r>
    </w:p>
    <w:p w14:paraId="6E4F7A87" w14:textId="77777777" w:rsidR="00030089" w:rsidRPr="00C67089" w:rsidRDefault="00030089" w:rsidP="00030089">
      <w:pPr>
        <w:autoSpaceDE w:val="0"/>
        <w:autoSpaceDN w:val="0"/>
        <w:adjustRightInd w:val="0"/>
        <w:spacing w:line="360" w:lineRule="auto"/>
        <w:jc w:val="both"/>
        <w:rPr>
          <w:rFonts w:ascii="Arial" w:hAnsi="Arial" w:cs="Arial"/>
          <w:szCs w:val="28"/>
        </w:rPr>
      </w:pPr>
      <w:r w:rsidRPr="00C67089">
        <w:rPr>
          <w:rFonts w:ascii="Arial" w:hAnsi="Arial" w:cs="Arial"/>
          <w:color w:val="000000"/>
          <w:szCs w:val="28"/>
        </w:rPr>
        <w:lastRenderedPageBreak/>
        <w:t xml:space="preserve">Regulations have been enacted in the NT to temporarily exempt the </w:t>
      </w:r>
      <w:r w:rsidRPr="00C67089">
        <w:rPr>
          <w:rFonts w:ascii="Arial" w:hAnsi="Arial" w:cs="Arial"/>
          <w:szCs w:val="28"/>
        </w:rPr>
        <w:t xml:space="preserve">EP (BC&amp;PB) Act </w:t>
      </w:r>
      <w:r w:rsidRPr="00C67089">
        <w:rPr>
          <w:rFonts w:ascii="Arial" w:hAnsi="Arial" w:cs="Arial"/>
          <w:color w:val="000000"/>
          <w:szCs w:val="28"/>
        </w:rPr>
        <w:t xml:space="preserve">to the extent that it relates to regulated containers from the mutual recognition principle as applied to goods under the MRA and TTMRA. </w:t>
      </w:r>
      <w:r w:rsidRPr="00C67089">
        <w:rPr>
          <w:rFonts w:ascii="Arial" w:hAnsi="Arial" w:cs="Arial"/>
          <w:szCs w:val="28"/>
        </w:rPr>
        <w:t>The temporary exemption for beverage containers expire</w:t>
      </w:r>
      <w:r>
        <w:rPr>
          <w:rFonts w:ascii="Arial" w:hAnsi="Arial" w:cs="Arial"/>
          <w:szCs w:val="28"/>
        </w:rPr>
        <w:t>d</w:t>
      </w:r>
      <w:r w:rsidRPr="00C67089">
        <w:rPr>
          <w:rFonts w:ascii="Arial" w:hAnsi="Arial" w:cs="Arial"/>
          <w:szCs w:val="28"/>
        </w:rPr>
        <w:t xml:space="preserve"> on </w:t>
      </w:r>
      <w:r>
        <w:rPr>
          <w:rFonts w:ascii="Arial" w:hAnsi="Arial" w:cs="Arial"/>
          <w:szCs w:val="28"/>
        </w:rPr>
        <w:t>2</w:t>
      </w:r>
      <w:r w:rsidRPr="00C67089">
        <w:rPr>
          <w:rFonts w:ascii="Arial" w:hAnsi="Arial" w:cs="Arial"/>
          <w:szCs w:val="28"/>
        </w:rPr>
        <w:t xml:space="preserve"> January 2013.</w:t>
      </w:r>
    </w:p>
    <w:p w14:paraId="7A1C90B0" w14:textId="77777777" w:rsidR="00030089" w:rsidRPr="00C67089" w:rsidRDefault="00030089" w:rsidP="00030089">
      <w:pPr>
        <w:autoSpaceDE w:val="0"/>
        <w:autoSpaceDN w:val="0"/>
        <w:adjustRightInd w:val="0"/>
        <w:spacing w:line="360" w:lineRule="auto"/>
        <w:jc w:val="both"/>
        <w:rPr>
          <w:rFonts w:ascii="Arial" w:hAnsi="Arial" w:cs="Arial"/>
          <w:szCs w:val="28"/>
        </w:rPr>
      </w:pPr>
      <w:r w:rsidRPr="00C67089">
        <w:rPr>
          <w:rFonts w:ascii="Arial" w:hAnsi="Arial" w:cs="Arial"/>
          <w:szCs w:val="28"/>
        </w:rPr>
        <w:t xml:space="preserve">The EP (BC&amp;PB) Act </w:t>
      </w:r>
      <w:r>
        <w:rPr>
          <w:rFonts w:ascii="Arial" w:hAnsi="Arial" w:cs="Arial"/>
          <w:szCs w:val="28"/>
        </w:rPr>
        <w:t>allows beverage manufacturers/importers a</w:t>
      </w:r>
      <w:r w:rsidRPr="00C67089">
        <w:rPr>
          <w:rFonts w:ascii="Arial" w:hAnsi="Arial" w:cs="Arial"/>
          <w:szCs w:val="28"/>
        </w:rPr>
        <w:t xml:space="preserve"> two year period to make the required changes to their labels. The reason for this is to minimise the inconvenience and cost incurred by those companies in doing so. </w:t>
      </w:r>
      <w:r>
        <w:rPr>
          <w:rFonts w:ascii="Arial" w:hAnsi="Arial" w:cs="Arial"/>
          <w:szCs w:val="28"/>
        </w:rPr>
        <w:t xml:space="preserve">Allowing a two year transitional period enables the changing of labels </w:t>
      </w:r>
      <w:r w:rsidRPr="00C67089">
        <w:rPr>
          <w:rFonts w:ascii="Arial" w:hAnsi="Arial" w:cs="Arial"/>
          <w:szCs w:val="28"/>
        </w:rPr>
        <w:t>during</w:t>
      </w:r>
      <w:r>
        <w:rPr>
          <w:rFonts w:ascii="Arial" w:hAnsi="Arial" w:cs="Arial"/>
          <w:szCs w:val="28"/>
        </w:rPr>
        <w:t xml:space="preserve"> already scheduled labelling changes.</w:t>
      </w:r>
    </w:p>
    <w:p w14:paraId="34E7B5AF" w14:textId="77777777" w:rsidR="00030089" w:rsidRDefault="00030089" w:rsidP="00030089">
      <w:pPr>
        <w:autoSpaceDE w:val="0"/>
        <w:autoSpaceDN w:val="0"/>
        <w:adjustRightInd w:val="0"/>
        <w:spacing w:line="360" w:lineRule="auto"/>
        <w:jc w:val="both"/>
        <w:rPr>
          <w:rFonts w:ascii="Arial" w:hAnsi="Arial" w:cs="Arial"/>
          <w:szCs w:val="28"/>
        </w:rPr>
      </w:pPr>
      <w:r>
        <w:rPr>
          <w:rFonts w:ascii="Arial" w:hAnsi="Arial" w:cs="Arial"/>
          <w:szCs w:val="28"/>
        </w:rPr>
        <w:t>Many</w:t>
      </w:r>
      <w:r w:rsidRPr="00C67089">
        <w:rPr>
          <w:rFonts w:ascii="Arial" w:hAnsi="Arial" w:cs="Arial"/>
          <w:szCs w:val="28"/>
        </w:rPr>
        <w:t xml:space="preserve"> beverage manufacturers have transit</w:t>
      </w:r>
      <w:r>
        <w:rPr>
          <w:rFonts w:ascii="Arial" w:hAnsi="Arial" w:cs="Arial"/>
          <w:szCs w:val="28"/>
        </w:rPr>
        <w:t>ed</w:t>
      </w:r>
      <w:r w:rsidRPr="00C67089">
        <w:rPr>
          <w:rFonts w:ascii="Arial" w:hAnsi="Arial" w:cs="Arial"/>
          <w:szCs w:val="28"/>
        </w:rPr>
        <w:t xml:space="preserve"> to the new label</w:t>
      </w:r>
      <w:r>
        <w:rPr>
          <w:rFonts w:ascii="Arial" w:hAnsi="Arial" w:cs="Arial"/>
          <w:szCs w:val="28"/>
        </w:rPr>
        <w:t xml:space="preserve"> since the introduction of the CDS</w:t>
      </w:r>
      <w:r w:rsidRPr="00C67089">
        <w:rPr>
          <w:rFonts w:ascii="Arial" w:hAnsi="Arial" w:cs="Arial"/>
          <w:szCs w:val="28"/>
        </w:rPr>
        <w:t xml:space="preserve">. </w:t>
      </w:r>
      <w:bookmarkStart w:id="55" w:name="_Toc325459234"/>
      <w:bookmarkStart w:id="56" w:name="_Toc325531783"/>
      <w:bookmarkStart w:id="57" w:name="_Toc325531832"/>
      <w:bookmarkStart w:id="58" w:name="_Toc346008376"/>
      <w:r>
        <w:rPr>
          <w:rFonts w:ascii="Arial" w:hAnsi="Arial" w:cs="Arial"/>
          <w:szCs w:val="28"/>
        </w:rPr>
        <w:br w:type="page"/>
      </w:r>
    </w:p>
    <w:p w14:paraId="3831DD41" w14:textId="77777777" w:rsidR="00030089" w:rsidRPr="00FE611A" w:rsidRDefault="00030089" w:rsidP="00030089">
      <w:pPr>
        <w:pStyle w:val="ListParagraph"/>
        <w:numPr>
          <w:ilvl w:val="0"/>
          <w:numId w:val="3"/>
        </w:numPr>
        <w:spacing w:after="200" w:line="360" w:lineRule="auto"/>
        <w:ind w:left="357" w:hanging="357"/>
        <w:contextualSpacing w:val="0"/>
        <w:jc w:val="both"/>
        <w:outlineLvl w:val="0"/>
        <w:rPr>
          <w:rFonts w:ascii="Arial" w:hAnsi="Arial" w:cs="Arial"/>
          <w:b/>
          <w:szCs w:val="28"/>
        </w:rPr>
      </w:pPr>
      <w:bookmarkStart w:id="59" w:name="_Toc353562542"/>
      <w:r w:rsidRPr="00FE611A">
        <w:rPr>
          <w:rFonts w:ascii="Arial" w:hAnsi="Arial" w:cs="Arial"/>
          <w:b/>
          <w:szCs w:val="28"/>
        </w:rPr>
        <w:lastRenderedPageBreak/>
        <w:t>OBJECTIVES OF GOVERNMENT ACTION</w:t>
      </w:r>
      <w:bookmarkEnd w:id="55"/>
      <w:bookmarkEnd w:id="56"/>
      <w:bookmarkEnd w:id="57"/>
      <w:bookmarkEnd w:id="58"/>
      <w:bookmarkEnd w:id="59"/>
    </w:p>
    <w:p w14:paraId="6C01E8EB" w14:textId="77777777" w:rsidR="00030089" w:rsidRDefault="00030089" w:rsidP="00030089">
      <w:pPr>
        <w:spacing w:after="0" w:line="360" w:lineRule="auto"/>
        <w:jc w:val="both"/>
        <w:rPr>
          <w:rFonts w:ascii="Arial" w:hAnsi="Arial" w:cs="Arial"/>
          <w:color w:val="943634" w:themeColor="accent2" w:themeShade="BF"/>
          <w:szCs w:val="28"/>
        </w:rPr>
      </w:pPr>
      <w:r>
        <w:rPr>
          <w:rFonts w:ascii="Arial" w:hAnsi="Arial" w:cs="Arial"/>
          <w:szCs w:val="28"/>
        </w:rPr>
        <w:t>Noting</w:t>
      </w:r>
      <w:r w:rsidRPr="004A6C3E">
        <w:rPr>
          <w:rFonts w:ascii="Arial" w:hAnsi="Arial" w:cs="Arial"/>
          <w:szCs w:val="28"/>
        </w:rPr>
        <w:t xml:space="preserve"> the gap between NT and national rates of waste recovery and recycling, the </w:t>
      </w:r>
      <w:r>
        <w:rPr>
          <w:rFonts w:ascii="Arial" w:hAnsi="Arial" w:cs="Arial"/>
          <w:szCs w:val="28"/>
        </w:rPr>
        <w:t>objective</w:t>
      </w:r>
      <w:r w:rsidRPr="004A6C3E">
        <w:rPr>
          <w:rFonts w:ascii="Arial" w:hAnsi="Arial" w:cs="Arial"/>
          <w:szCs w:val="28"/>
        </w:rPr>
        <w:t xml:space="preserve"> of this Decision RIS</w:t>
      </w:r>
      <w:r>
        <w:rPr>
          <w:rFonts w:ascii="Arial" w:hAnsi="Arial" w:cs="Arial"/>
          <w:szCs w:val="28"/>
        </w:rPr>
        <w:t xml:space="preserve"> </w:t>
      </w:r>
      <w:r w:rsidRPr="004A6C3E">
        <w:rPr>
          <w:rFonts w:ascii="Arial" w:hAnsi="Arial" w:cs="Arial"/>
          <w:szCs w:val="28"/>
        </w:rPr>
        <w:t xml:space="preserve">is to </w:t>
      </w:r>
      <w:r>
        <w:rPr>
          <w:rFonts w:ascii="Arial" w:hAnsi="Arial" w:cs="Arial"/>
          <w:szCs w:val="28"/>
        </w:rPr>
        <w:t>analyse whether more efficient structures exist for the reuse and recycling of waste materials’</w:t>
      </w:r>
      <w:r w:rsidRPr="004A6C3E">
        <w:rPr>
          <w:rFonts w:ascii="Arial" w:hAnsi="Arial" w:cs="Arial"/>
          <w:szCs w:val="28"/>
        </w:rPr>
        <w:t>.</w:t>
      </w:r>
      <w:r w:rsidRPr="000729A4">
        <w:rPr>
          <w:rFonts w:ascii="Arial" w:hAnsi="Arial" w:cs="Arial"/>
          <w:color w:val="943634" w:themeColor="accent2" w:themeShade="BF"/>
          <w:szCs w:val="28"/>
        </w:rPr>
        <w:br w:type="page"/>
      </w:r>
    </w:p>
    <w:p w14:paraId="20516533" w14:textId="77777777" w:rsidR="00030089" w:rsidRPr="005B3F19" w:rsidRDefault="00030089" w:rsidP="00030089">
      <w:pPr>
        <w:pStyle w:val="ListParagraph"/>
        <w:numPr>
          <w:ilvl w:val="0"/>
          <w:numId w:val="3"/>
        </w:numPr>
        <w:spacing w:after="200" w:line="360" w:lineRule="auto"/>
        <w:ind w:left="357" w:hanging="357"/>
        <w:contextualSpacing w:val="0"/>
        <w:jc w:val="both"/>
        <w:outlineLvl w:val="0"/>
        <w:rPr>
          <w:rFonts w:ascii="Arial" w:hAnsi="Arial" w:cs="Arial"/>
          <w:b/>
          <w:szCs w:val="28"/>
        </w:rPr>
      </w:pPr>
      <w:bookmarkStart w:id="60" w:name="_Toc324847695"/>
      <w:bookmarkStart w:id="61" w:name="_Toc324847734"/>
      <w:bookmarkStart w:id="62" w:name="_Toc324847696"/>
      <w:bookmarkStart w:id="63" w:name="_Toc324847735"/>
      <w:bookmarkStart w:id="64" w:name="_Toc325459235"/>
      <w:bookmarkStart w:id="65" w:name="_Toc325531784"/>
      <w:bookmarkStart w:id="66" w:name="_Toc325531833"/>
      <w:bookmarkStart w:id="67" w:name="_Toc346008377"/>
      <w:bookmarkStart w:id="68" w:name="_Toc353562543"/>
      <w:bookmarkEnd w:id="60"/>
      <w:bookmarkEnd w:id="61"/>
      <w:bookmarkEnd w:id="62"/>
      <w:bookmarkEnd w:id="63"/>
      <w:r w:rsidRPr="000729A4">
        <w:rPr>
          <w:rFonts w:ascii="Arial" w:hAnsi="Arial" w:cs="Arial"/>
          <w:b/>
          <w:szCs w:val="28"/>
        </w:rPr>
        <w:lastRenderedPageBreak/>
        <w:t>OPTIONS TO ADDRESS THE PROBLEM</w:t>
      </w:r>
      <w:bookmarkEnd w:id="64"/>
      <w:bookmarkEnd w:id="65"/>
      <w:bookmarkEnd w:id="66"/>
      <w:bookmarkEnd w:id="67"/>
      <w:r w:rsidRPr="000729A4">
        <w:rPr>
          <w:rFonts w:ascii="Arial" w:hAnsi="Arial" w:cs="Arial"/>
          <w:b/>
          <w:szCs w:val="28"/>
        </w:rPr>
        <w:t>S</w:t>
      </w:r>
      <w:bookmarkEnd w:id="68"/>
    </w:p>
    <w:p w14:paraId="6DA429AB" w14:textId="77777777" w:rsidR="00030089" w:rsidRDefault="00030089" w:rsidP="00030089">
      <w:pPr>
        <w:spacing w:line="360" w:lineRule="auto"/>
        <w:jc w:val="both"/>
        <w:rPr>
          <w:rFonts w:ascii="Arial" w:hAnsi="Arial" w:cs="Arial"/>
          <w:szCs w:val="28"/>
        </w:rPr>
      </w:pPr>
      <w:r w:rsidRPr="000729A4">
        <w:rPr>
          <w:rFonts w:ascii="Arial" w:hAnsi="Arial" w:cs="Arial"/>
          <w:szCs w:val="28"/>
        </w:rPr>
        <w:t>As part of the Decision Regulation Impact Statement (DRI</w:t>
      </w:r>
      <w:r>
        <w:rPr>
          <w:rFonts w:ascii="Arial" w:hAnsi="Arial" w:cs="Arial"/>
          <w:szCs w:val="28"/>
        </w:rPr>
        <w:t>S)</w:t>
      </w:r>
      <w:r w:rsidRPr="00FE611A">
        <w:rPr>
          <w:rFonts w:ascii="Arial" w:hAnsi="Arial" w:cs="Arial"/>
          <w:szCs w:val="28"/>
        </w:rPr>
        <w:t xml:space="preserve"> process</w:t>
      </w:r>
      <w:r>
        <w:rPr>
          <w:rFonts w:ascii="Arial" w:hAnsi="Arial" w:cs="Arial"/>
          <w:szCs w:val="28"/>
        </w:rPr>
        <w:t xml:space="preserve"> four</w:t>
      </w:r>
      <w:r w:rsidRPr="00FE611A">
        <w:rPr>
          <w:rFonts w:ascii="Arial" w:hAnsi="Arial" w:cs="Arial"/>
          <w:szCs w:val="28"/>
        </w:rPr>
        <w:t xml:space="preserve"> options </w:t>
      </w:r>
      <w:r>
        <w:rPr>
          <w:rFonts w:ascii="Arial" w:hAnsi="Arial" w:cs="Arial"/>
          <w:szCs w:val="28"/>
        </w:rPr>
        <w:t>are considered</w:t>
      </w:r>
      <w:r w:rsidRPr="00FE611A">
        <w:rPr>
          <w:rFonts w:ascii="Arial" w:hAnsi="Arial" w:cs="Arial"/>
          <w:szCs w:val="28"/>
        </w:rPr>
        <w:t xml:space="preserve"> to achieve the</w:t>
      </w:r>
      <w:r>
        <w:rPr>
          <w:rFonts w:ascii="Arial" w:hAnsi="Arial" w:cs="Arial"/>
          <w:szCs w:val="28"/>
        </w:rPr>
        <w:t xml:space="preserve"> NT</w:t>
      </w:r>
      <w:r w:rsidRPr="00FE611A">
        <w:rPr>
          <w:rFonts w:ascii="Arial" w:hAnsi="Arial" w:cs="Arial"/>
          <w:szCs w:val="28"/>
        </w:rPr>
        <w:t xml:space="preserve"> </w:t>
      </w:r>
      <w:r>
        <w:rPr>
          <w:rFonts w:ascii="Arial" w:hAnsi="Arial" w:cs="Arial"/>
          <w:szCs w:val="28"/>
        </w:rPr>
        <w:t>G</w:t>
      </w:r>
      <w:r w:rsidRPr="00FE611A">
        <w:rPr>
          <w:rFonts w:ascii="Arial" w:hAnsi="Arial" w:cs="Arial"/>
          <w:szCs w:val="28"/>
        </w:rPr>
        <w:t>overnment’s objective. The detailed analysis of each of these options is provided in Section 4.2.</w:t>
      </w:r>
      <w:r w:rsidRPr="00DB65DA">
        <w:rPr>
          <w:rFonts w:ascii="Arial" w:hAnsi="Arial" w:cs="Arial"/>
          <w:szCs w:val="28"/>
        </w:rPr>
        <w:t xml:space="preserve"> </w:t>
      </w:r>
    </w:p>
    <w:p w14:paraId="4DDF84A6" w14:textId="77777777" w:rsidR="00030089" w:rsidRDefault="00030089" w:rsidP="00030089">
      <w:pPr>
        <w:spacing w:line="360" w:lineRule="auto"/>
        <w:jc w:val="both"/>
        <w:rPr>
          <w:rFonts w:ascii="Arial" w:hAnsi="Arial" w:cs="Arial"/>
          <w:szCs w:val="28"/>
        </w:rPr>
      </w:pPr>
      <w:r>
        <w:rPr>
          <w:rFonts w:ascii="Arial" w:hAnsi="Arial" w:cs="Arial"/>
          <w:szCs w:val="28"/>
        </w:rPr>
        <w:t>Before outlining the cost and benefits of the options a background section outlines the costs and benefits achieved by the NT CDS in its first 12 months of operation. During this time the scheme had a significant impact on the NT recycling rate and on externalities such as littering and litter clean-up costs, landfill costs, and broader environmental costs. In its first year, the NT CDS achieved a beverage container return rate of 33.8 per cent.</w:t>
      </w:r>
    </w:p>
    <w:p w14:paraId="00E7918B" w14:textId="77777777" w:rsidR="00F702E2" w:rsidRDefault="00F702E2" w:rsidP="00030089">
      <w:pPr>
        <w:spacing w:line="360" w:lineRule="auto"/>
        <w:jc w:val="both"/>
        <w:rPr>
          <w:rFonts w:ascii="Arial" w:hAnsi="Arial" w:cs="Arial"/>
          <w:szCs w:val="28"/>
        </w:rPr>
      </w:pPr>
    </w:p>
    <w:p w14:paraId="12F0B3FE" w14:textId="77777777" w:rsidR="00030089" w:rsidRDefault="00030089" w:rsidP="00030089">
      <w:pPr>
        <w:pStyle w:val="ListParagraph"/>
        <w:numPr>
          <w:ilvl w:val="1"/>
          <w:numId w:val="31"/>
        </w:numPr>
        <w:spacing w:after="200" w:line="360" w:lineRule="auto"/>
        <w:ind w:left="567" w:hanging="573"/>
        <w:jc w:val="both"/>
        <w:outlineLvl w:val="1"/>
        <w:rPr>
          <w:rFonts w:ascii="Arial" w:hAnsi="Arial" w:cs="Arial"/>
          <w:b/>
          <w:szCs w:val="28"/>
        </w:rPr>
      </w:pPr>
      <w:bookmarkStart w:id="69" w:name="_Toc324847698"/>
      <w:bookmarkStart w:id="70" w:name="_Toc324847737"/>
      <w:bookmarkStart w:id="71" w:name="_Toc324852380"/>
      <w:bookmarkStart w:id="72" w:name="_Toc324859509"/>
      <w:bookmarkStart w:id="73" w:name="_Toc324859665"/>
      <w:bookmarkStart w:id="74" w:name="_Toc324859934"/>
      <w:bookmarkStart w:id="75" w:name="_Toc324861382"/>
      <w:bookmarkStart w:id="76" w:name="_Toc324861441"/>
      <w:bookmarkStart w:id="77" w:name="_Toc324861464"/>
      <w:bookmarkStart w:id="78" w:name="_Toc324862181"/>
      <w:bookmarkStart w:id="79" w:name="_Toc324862584"/>
      <w:bookmarkStart w:id="80" w:name="_Toc324862704"/>
      <w:bookmarkStart w:id="81" w:name="_Toc324862749"/>
      <w:bookmarkStart w:id="82" w:name="_Toc325031491"/>
      <w:bookmarkStart w:id="83" w:name="_Toc325031514"/>
      <w:bookmarkStart w:id="84" w:name="_Toc325101527"/>
      <w:bookmarkStart w:id="85" w:name="_Toc325101551"/>
      <w:bookmarkStart w:id="86" w:name="_Toc324847699"/>
      <w:bookmarkStart w:id="87" w:name="_Toc324847738"/>
      <w:bookmarkStart w:id="88" w:name="_Toc324852381"/>
      <w:bookmarkStart w:id="89" w:name="_Toc324859510"/>
      <w:bookmarkStart w:id="90" w:name="_Toc324859666"/>
      <w:bookmarkStart w:id="91" w:name="_Toc324859935"/>
      <w:bookmarkStart w:id="92" w:name="_Toc324861383"/>
      <w:bookmarkStart w:id="93" w:name="_Toc324861442"/>
      <w:bookmarkStart w:id="94" w:name="_Toc324861465"/>
      <w:bookmarkStart w:id="95" w:name="_Toc324862182"/>
      <w:bookmarkStart w:id="96" w:name="_Toc324862585"/>
      <w:bookmarkStart w:id="97" w:name="_Toc324862705"/>
      <w:bookmarkStart w:id="98" w:name="_Toc324862750"/>
      <w:bookmarkStart w:id="99" w:name="_Toc325031492"/>
      <w:bookmarkStart w:id="100" w:name="_Toc325031515"/>
      <w:bookmarkStart w:id="101" w:name="_Toc325101528"/>
      <w:bookmarkStart w:id="102" w:name="_Toc325101552"/>
      <w:bookmarkStart w:id="103" w:name="_Toc324847700"/>
      <w:bookmarkStart w:id="104" w:name="_Toc324847739"/>
      <w:bookmarkStart w:id="105" w:name="_Toc324852382"/>
      <w:bookmarkStart w:id="106" w:name="_Toc324859511"/>
      <w:bookmarkStart w:id="107" w:name="_Toc324859667"/>
      <w:bookmarkStart w:id="108" w:name="_Toc324859936"/>
      <w:bookmarkStart w:id="109" w:name="_Toc324861384"/>
      <w:bookmarkStart w:id="110" w:name="_Toc324861443"/>
      <w:bookmarkStart w:id="111" w:name="_Toc324861466"/>
      <w:bookmarkStart w:id="112" w:name="_Toc324862183"/>
      <w:bookmarkStart w:id="113" w:name="_Toc324862586"/>
      <w:bookmarkStart w:id="114" w:name="_Toc324862706"/>
      <w:bookmarkStart w:id="115" w:name="_Toc324862751"/>
      <w:bookmarkStart w:id="116" w:name="_Toc325031493"/>
      <w:bookmarkStart w:id="117" w:name="_Toc325031516"/>
      <w:bookmarkStart w:id="118" w:name="_Toc325101529"/>
      <w:bookmarkStart w:id="119" w:name="_Toc325101553"/>
      <w:bookmarkStart w:id="120" w:name="_Toc324847701"/>
      <w:bookmarkStart w:id="121" w:name="_Toc324847740"/>
      <w:bookmarkStart w:id="122" w:name="_Toc324852383"/>
      <w:bookmarkStart w:id="123" w:name="_Toc324859512"/>
      <w:bookmarkStart w:id="124" w:name="_Toc324859668"/>
      <w:bookmarkStart w:id="125" w:name="_Toc324859937"/>
      <w:bookmarkStart w:id="126" w:name="_Toc324861385"/>
      <w:bookmarkStart w:id="127" w:name="_Toc324861444"/>
      <w:bookmarkStart w:id="128" w:name="_Toc324861467"/>
      <w:bookmarkStart w:id="129" w:name="_Toc324862184"/>
      <w:bookmarkStart w:id="130" w:name="_Toc324862587"/>
      <w:bookmarkStart w:id="131" w:name="_Toc324862707"/>
      <w:bookmarkStart w:id="132" w:name="_Toc324862752"/>
      <w:bookmarkStart w:id="133" w:name="_Toc325031494"/>
      <w:bookmarkStart w:id="134" w:name="_Toc325031517"/>
      <w:bookmarkStart w:id="135" w:name="_Toc325101530"/>
      <w:bookmarkStart w:id="136" w:name="_Toc325101554"/>
      <w:bookmarkStart w:id="137" w:name="_Toc324847702"/>
      <w:bookmarkStart w:id="138" w:name="_Toc324847741"/>
      <w:bookmarkStart w:id="139" w:name="_Toc324852384"/>
      <w:bookmarkStart w:id="140" w:name="_Toc324859513"/>
      <w:bookmarkStart w:id="141" w:name="_Toc324859669"/>
      <w:bookmarkStart w:id="142" w:name="_Toc324859938"/>
      <w:bookmarkStart w:id="143" w:name="_Toc324861386"/>
      <w:bookmarkStart w:id="144" w:name="_Toc324861445"/>
      <w:bookmarkStart w:id="145" w:name="_Toc324861468"/>
      <w:bookmarkStart w:id="146" w:name="_Toc324862185"/>
      <w:bookmarkStart w:id="147" w:name="_Toc324862588"/>
      <w:bookmarkStart w:id="148" w:name="_Toc324862708"/>
      <w:bookmarkStart w:id="149" w:name="_Toc324862753"/>
      <w:bookmarkStart w:id="150" w:name="_Toc325031495"/>
      <w:bookmarkStart w:id="151" w:name="_Toc325031518"/>
      <w:bookmarkStart w:id="152" w:name="_Toc325101531"/>
      <w:bookmarkStart w:id="153" w:name="_Toc325101555"/>
      <w:bookmarkStart w:id="154" w:name="_Toc325459236"/>
      <w:bookmarkStart w:id="155" w:name="_Toc325531785"/>
      <w:bookmarkStart w:id="156" w:name="_Toc325531834"/>
      <w:bookmarkStart w:id="157" w:name="_Toc346008378"/>
      <w:bookmarkStart w:id="158" w:name="_Toc353562544"/>
      <w:bookmarkStart w:id="159" w:name="_Toc325459240"/>
      <w:bookmarkStart w:id="160" w:name="_Toc325531789"/>
      <w:bookmarkStart w:id="161" w:name="_Toc32553183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ascii="Arial" w:hAnsi="Arial" w:cs="Arial"/>
          <w:b/>
          <w:szCs w:val="28"/>
        </w:rPr>
        <w:t xml:space="preserve">Option One – </w:t>
      </w:r>
      <w:bookmarkEnd w:id="154"/>
      <w:bookmarkEnd w:id="155"/>
      <w:bookmarkEnd w:id="156"/>
      <w:bookmarkEnd w:id="157"/>
      <w:r>
        <w:rPr>
          <w:rFonts w:ascii="Arial" w:hAnsi="Arial" w:cs="Arial"/>
          <w:b/>
          <w:szCs w:val="28"/>
        </w:rPr>
        <w:t>the Status Quo</w:t>
      </w:r>
      <w:bookmarkEnd w:id="158"/>
    </w:p>
    <w:p w14:paraId="3735C907" w14:textId="77777777" w:rsidR="00030089" w:rsidRDefault="00030089" w:rsidP="00030089">
      <w:pPr>
        <w:spacing w:line="360" w:lineRule="auto"/>
        <w:jc w:val="both"/>
        <w:rPr>
          <w:rFonts w:ascii="Arial" w:hAnsi="Arial" w:cs="Arial"/>
          <w:szCs w:val="28"/>
        </w:rPr>
      </w:pPr>
      <w:r w:rsidRPr="00293B49">
        <w:rPr>
          <w:rFonts w:ascii="Arial" w:hAnsi="Arial" w:cs="Arial"/>
          <w:bCs/>
          <w:color w:val="000000"/>
          <w:szCs w:val="28"/>
        </w:rPr>
        <w:t>Th</w:t>
      </w:r>
      <w:r w:rsidRPr="003D52A0">
        <w:rPr>
          <w:rFonts w:ascii="Arial" w:hAnsi="Arial" w:cs="Arial"/>
          <w:bCs/>
          <w:color w:val="000000"/>
          <w:szCs w:val="28"/>
        </w:rPr>
        <w:t>is</w:t>
      </w:r>
      <w:r>
        <w:rPr>
          <w:rFonts w:ascii="Arial" w:hAnsi="Arial" w:cs="Arial"/>
          <w:b/>
          <w:bCs/>
          <w:color w:val="000000"/>
          <w:szCs w:val="28"/>
        </w:rPr>
        <w:t xml:space="preserve"> </w:t>
      </w:r>
      <w:r>
        <w:rPr>
          <w:rFonts w:ascii="Arial" w:hAnsi="Arial" w:cs="Arial"/>
          <w:szCs w:val="28"/>
        </w:rPr>
        <w:t xml:space="preserve">option projects the NT CDS’s achievements in its first 12 months over a 25 year analysis period. It projects an incremental rate increase until an 80 per cent return rate is achieved in 2029.  Given the uncertainty surrounding the NT CDS that results from a prior legal challenge to the scheme and subsequent appeal process a 50 per cent uncertainty factor has been applied to the operation of the NT CDS. </w:t>
      </w:r>
    </w:p>
    <w:p w14:paraId="1BF95043" w14:textId="77777777" w:rsidR="00F702E2" w:rsidRDefault="00F702E2" w:rsidP="00030089">
      <w:pPr>
        <w:spacing w:line="360" w:lineRule="auto"/>
        <w:jc w:val="both"/>
        <w:rPr>
          <w:rFonts w:ascii="Arial" w:hAnsi="Arial" w:cs="Arial"/>
          <w:szCs w:val="28"/>
        </w:rPr>
      </w:pPr>
    </w:p>
    <w:p w14:paraId="256DDC66" w14:textId="77777777" w:rsidR="00030089" w:rsidRDefault="00030089" w:rsidP="00030089">
      <w:pPr>
        <w:pStyle w:val="ListParagraph"/>
        <w:numPr>
          <w:ilvl w:val="1"/>
          <w:numId w:val="31"/>
        </w:numPr>
        <w:spacing w:after="200" w:line="360" w:lineRule="auto"/>
        <w:ind w:left="567" w:hanging="573"/>
        <w:jc w:val="both"/>
        <w:outlineLvl w:val="1"/>
        <w:rPr>
          <w:rFonts w:ascii="Arial" w:hAnsi="Arial" w:cs="Arial"/>
          <w:b/>
          <w:szCs w:val="28"/>
        </w:rPr>
      </w:pPr>
      <w:bookmarkStart w:id="162" w:name="_Toc325459237"/>
      <w:bookmarkStart w:id="163" w:name="_Toc325531786"/>
      <w:bookmarkStart w:id="164" w:name="_Toc325531835"/>
      <w:bookmarkStart w:id="165" w:name="_Toc346008379"/>
      <w:bookmarkStart w:id="166" w:name="_Toc353562545"/>
      <w:r>
        <w:rPr>
          <w:rFonts w:ascii="Arial" w:hAnsi="Arial" w:cs="Arial"/>
          <w:b/>
          <w:szCs w:val="28"/>
        </w:rPr>
        <w:t>Option Two – National Packaging Recovery Scheme</w:t>
      </w:r>
      <w:bookmarkEnd w:id="162"/>
      <w:bookmarkEnd w:id="163"/>
      <w:bookmarkEnd w:id="164"/>
      <w:bookmarkEnd w:id="165"/>
      <w:bookmarkEnd w:id="166"/>
    </w:p>
    <w:p w14:paraId="02ACFA25" w14:textId="77777777" w:rsidR="00030089" w:rsidRDefault="00030089" w:rsidP="00030089">
      <w:pPr>
        <w:spacing w:line="360" w:lineRule="auto"/>
        <w:jc w:val="both"/>
        <w:rPr>
          <w:rFonts w:ascii="Arial" w:hAnsi="Arial" w:cs="Arial"/>
        </w:rPr>
      </w:pPr>
      <w:r w:rsidRPr="000729A4">
        <w:rPr>
          <w:rFonts w:ascii="Arial" w:hAnsi="Arial" w:cs="Arial"/>
        </w:rPr>
        <w:t xml:space="preserve">Option </w:t>
      </w:r>
      <w:r>
        <w:rPr>
          <w:rFonts w:ascii="Arial" w:hAnsi="Arial" w:cs="Arial"/>
        </w:rPr>
        <w:t>Two</w:t>
      </w:r>
      <w:r w:rsidRPr="000729A4">
        <w:rPr>
          <w:rFonts w:ascii="Arial" w:hAnsi="Arial" w:cs="Arial"/>
        </w:rPr>
        <w:t xml:space="preserve"> constitutes a nationally harmoni</w:t>
      </w:r>
      <w:r>
        <w:rPr>
          <w:rFonts w:ascii="Arial" w:hAnsi="Arial" w:cs="Arial"/>
        </w:rPr>
        <w:t>s</w:t>
      </w:r>
      <w:r w:rsidRPr="000729A4">
        <w:rPr>
          <w:rFonts w:ascii="Arial" w:hAnsi="Arial" w:cs="Arial"/>
        </w:rPr>
        <w:t>ed approach. It links directly to the national process</w:t>
      </w:r>
      <w:r>
        <w:rPr>
          <w:rFonts w:ascii="Arial" w:hAnsi="Arial" w:cs="Arial"/>
        </w:rPr>
        <w:t xml:space="preserve"> currently being undertaken to investigate</w:t>
      </w:r>
      <w:r w:rsidRPr="000729A4">
        <w:rPr>
          <w:rFonts w:ascii="Arial" w:hAnsi="Arial" w:cs="Arial"/>
        </w:rPr>
        <w:t xml:space="preserve"> options for regulating the impacts of packaging, including </w:t>
      </w:r>
      <w:r>
        <w:rPr>
          <w:rFonts w:ascii="Arial" w:hAnsi="Arial" w:cs="Arial"/>
        </w:rPr>
        <w:t>options for</w:t>
      </w:r>
      <w:r w:rsidRPr="000729A4">
        <w:rPr>
          <w:rFonts w:ascii="Arial" w:hAnsi="Arial" w:cs="Arial"/>
        </w:rPr>
        <w:t xml:space="preserve"> a national container deposit scheme</w:t>
      </w:r>
      <w:r>
        <w:rPr>
          <w:rFonts w:ascii="Arial" w:hAnsi="Arial" w:cs="Arial"/>
        </w:rPr>
        <w:t>.</w:t>
      </w:r>
      <w:r w:rsidRPr="000729A4">
        <w:rPr>
          <w:rFonts w:ascii="Arial" w:hAnsi="Arial" w:cs="Arial"/>
        </w:rPr>
        <w:t xml:space="preserve"> This process is set out in the national Packaging Impacts CRIS</w:t>
      </w:r>
      <w:r>
        <w:rPr>
          <w:rStyle w:val="FootnoteReference"/>
          <w:rFonts w:ascii="Arial" w:hAnsi="Arial" w:cs="Arial"/>
        </w:rPr>
        <w:footnoteReference w:customMarkFollows="1" w:id="16"/>
        <w:t>[1]</w:t>
      </w:r>
      <w:r w:rsidRPr="000729A4">
        <w:rPr>
          <w:rFonts w:ascii="Arial" w:hAnsi="Arial" w:cs="Arial"/>
        </w:rPr>
        <w:t xml:space="preserve">. </w:t>
      </w:r>
    </w:p>
    <w:p w14:paraId="4104FCB0" w14:textId="77777777" w:rsidR="00030089" w:rsidRPr="000729A4" w:rsidRDefault="00030089" w:rsidP="00030089">
      <w:pPr>
        <w:spacing w:line="360" w:lineRule="auto"/>
        <w:jc w:val="both"/>
        <w:rPr>
          <w:rFonts w:ascii="Arial" w:hAnsi="Arial" w:cs="Arial"/>
        </w:rPr>
      </w:pPr>
      <w:r>
        <w:rPr>
          <w:rFonts w:ascii="Arial" w:hAnsi="Arial" w:cs="Arial"/>
        </w:rPr>
        <w:t>In undertaking this national process</w:t>
      </w:r>
      <w:r w:rsidRPr="000729A4">
        <w:rPr>
          <w:rFonts w:ascii="Arial" w:hAnsi="Arial" w:cs="Arial"/>
        </w:rPr>
        <w:t xml:space="preserve"> COAG</w:t>
      </w:r>
      <w:r>
        <w:rPr>
          <w:rFonts w:ascii="Arial" w:hAnsi="Arial" w:cs="Arial"/>
        </w:rPr>
        <w:t xml:space="preserve"> will</w:t>
      </w:r>
      <w:r w:rsidRPr="000729A4">
        <w:rPr>
          <w:rFonts w:ascii="Arial" w:hAnsi="Arial" w:cs="Arial"/>
        </w:rPr>
        <w:t xml:space="preserve"> consider </w:t>
      </w:r>
      <w:r>
        <w:rPr>
          <w:rFonts w:ascii="Arial" w:hAnsi="Arial" w:cs="Arial"/>
        </w:rPr>
        <w:t>n</w:t>
      </w:r>
      <w:r w:rsidRPr="000729A4">
        <w:rPr>
          <w:rFonts w:ascii="Arial" w:hAnsi="Arial" w:cs="Arial"/>
        </w:rPr>
        <w:t xml:space="preserve">ational </w:t>
      </w:r>
      <w:r>
        <w:rPr>
          <w:rFonts w:ascii="Arial" w:hAnsi="Arial" w:cs="Arial"/>
        </w:rPr>
        <w:t>h</w:t>
      </w:r>
      <w:r w:rsidRPr="000729A4">
        <w:rPr>
          <w:rFonts w:ascii="Arial" w:hAnsi="Arial" w:cs="Arial"/>
        </w:rPr>
        <w:t xml:space="preserve">armonisation </w:t>
      </w:r>
      <w:r>
        <w:rPr>
          <w:rFonts w:ascii="Arial" w:hAnsi="Arial" w:cs="Arial"/>
        </w:rPr>
        <w:t xml:space="preserve">issues </w:t>
      </w:r>
      <w:r w:rsidRPr="000729A4">
        <w:rPr>
          <w:rFonts w:ascii="Arial" w:hAnsi="Arial" w:cs="Arial"/>
        </w:rPr>
        <w:t xml:space="preserve">and </w:t>
      </w:r>
      <w:r>
        <w:rPr>
          <w:rFonts w:ascii="Arial" w:hAnsi="Arial" w:cs="Arial"/>
        </w:rPr>
        <w:t xml:space="preserve">as </w:t>
      </w:r>
      <w:r w:rsidRPr="000729A4">
        <w:rPr>
          <w:rFonts w:ascii="Arial" w:hAnsi="Arial" w:cs="Arial"/>
        </w:rPr>
        <w:t xml:space="preserve">such will </w:t>
      </w:r>
      <w:r>
        <w:rPr>
          <w:rFonts w:ascii="Arial" w:hAnsi="Arial" w:cs="Arial"/>
        </w:rPr>
        <w:t>recommend</w:t>
      </w:r>
      <w:r w:rsidRPr="000729A4">
        <w:rPr>
          <w:rFonts w:ascii="Arial" w:hAnsi="Arial" w:cs="Arial"/>
        </w:rPr>
        <w:t xml:space="preserve"> </w:t>
      </w:r>
      <w:r>
        <w:rPr>
          <w:rFonts w:ascii="Arial" w:hAnsi="Arial" w:cs="Arial"/>
        </w:rPr>
        <w:t>its own decision</w:t>
      </w:r>
      <w:r w:rsidRPr="000729A4">
        <w:rPr>
          <w:rFonts w:ascii="Arial" w:hAnsi="Arial" w:cs="Arial"/>
        </w:rPr>
        <w:t xml:space="preserve"> </w:t>
      </w:r>
      <w:r>
        <w:rPr>
          <w:rFonts w:ascii="Arial" w:hAnsi="Arial" w:cs="Arial"/>
        </w:rPr>
        <w:t>within</w:t>
      </w:r>
      <w:r w:rsidRPr="000729A4">
        <w:rPr>
          <w:rFonts w:ascii="Arial" w:hAnsi="Arial" w:cs="Arial"/>
        </w:rPr>
        <w:t xml:space="preserve"> </w:t>
      </w:r>
      <w:r>
        <w:rPr>
          <w:rFonts w:ascii="Arial" w:hAnsi="Arial" w:cs="Arial"/>
        </w:rPr>
        <w:t>its</w:t>
      </w:r>
      <w:r w:rsidRPr="000729A4">
        <w:rPr>
          <w:rFonts w:ascii="Arial" w:hAnsi="Arial" w:cs="Arial"/>
        </w:rPr>
        <w:t xml:space="preserve"> </w:t>
      </w:r>
      <w:r>
        <w:rPr>
          <w:rFonts w:ascii="Arial" w:hAnsi="Arial" w:cs="Arial"/>
        </w:rPr>
        <w:t>Packaging Impacts Decision RIS</w:t>
      </w:r>
      <w:r w:rsidRPr="000729A4">
        <w:rPr>
          <w:rFonts w:ascii="Arial" w:hAnsi="Arial" w:cs="Arial"/>
        </w:rPr>
        <w:t>.</w:t>
      </w:r>
      <w:r w:rsidRPr="00CD0DD7">
        <w:rPr>
          <w:rFonts w:ascii="Arial" w:hAnsi="Arial" w:cs="Arial"/>
        </w:rPr>
        <w:t xml:space="preserve"> </w:t>
      </w:r>
      <w:r>
        <w:rPr>
          <w:rFonts w:ascii="Arial" w:hAnsi="Arial" w:cs="Arial"/>
        </w:rPr>
        <w:t>It should also be noted that the NT Government has</w:t>
      </w:r>
      <w:r w:rsidRPr="000729A4">
        <w:rPr>
          <w:rFonts w:ascii="Arial" w:hAnsi="Arial" w:cs="Arial"/>
        </w:rPr>
        <w:t xml:space="preserve"> received </w:t>
      </w:r>
      <w:r>
        <w:rPr>
          <w:rFonts w:ascii="Arial" w:hAnsi="Arial" w:cs="Arial"/>
        </w:rPr>
        <w:t xml:space="preserve">in principle </w:t>
      </w:r>
      <w:r w:rsidRPr="000729A4">
        <w:rPr>
          <w:rFonts w:ascii="Arial" w:hAnsi="Arial" w:cs="Arial"/>
        </w:rPr>
        <w:t xml:space="preserve">support </w:t>
      </w:r>
      <w:r>
        <w:rPr>
          <w:rFonts w:ascii="Arial" w:hAnsi="Arial" w:cs="Arial"/>
        </w:rPr>
        <w:t xml:space="preserve">in writing </w:t>
      </w:r>
      <w:r w:rsidRPr="000729A4">
        <w:rPr>
          <w:rFonts w:ascii="Arial" w:hAnsi="Arial" w:cs="Arial"/>
        </w:rPr>
        <w:t>from all States and Territories to approve permanent exemption</w:t>
      </w:r>
      <w:r>
        <w:rPr>
          <w:rFonts w:ascii="Arial" w:hAnsi="Arial" w:cs="Arial"/>
        </w:rPr>
        <w:t xml:space="preserve"> for the continuation of the NT CDS in its current format. </w:t>
      </w:r>
    </w:p>
    <w:p w14:paraId="775EBBF6" w14:textId="77777777" w:rsidR="00030089" w:rsidRDefault="00030089" w:rsidP="00030089">
      <w:pPr>
        <w:spacing w:line="360" w:lineRule="auto"/>
        <w:jc w:val="both"/>
        <w:rPr>
          <w:rFonts w:ascii="Arial" w:hAnsi="Arial" w:cs="Arial"/>
        </w:rPr>
      </w:pPr>
      <w:r w:rsidRPr="000729A4">
        <w:rPr>
          <w:rFonts w:ascii="Arial" w:hAnsi="Arial" w:cs="Arial"/>
        </w:rPr>
        <w:lastRenderedPageBreak/>
        <w:t>In principle, the NT Government supports a national CDS. Clearly</w:t>
      </w:r>
      <w:r>
        <w:rPr>
          <w:rFonts w:ascii="Arial" w:hAnsi="Arial" w:cs="Arial"/>
        </w:rPr>
        <w:t>, however,</w:t>
      </w:r>
      <w:r w:rsidRPr="000729A4">
        <w:rPr>
          <w:rFonts w:ascii="Arial" w:hAnsi="Arial" w:cs="Arial"/>
        </w:rPr>
        <w:t xml:space="preserve"> a national scheme will </w:t>
      </w:r>
      <w:r>
        <w:rPr>
          <w:rFonts w:ascii="Arial" w:hAnsi="Arial" w:cs="Arial"/>
        </w:rPr>
        <w:t xml:space="preserve">not </w:t>
      </w:r>
      <w:r w:rsidRPr="000729A4">
        <w:rPr>
          <w:rFonts w:ascii="Arial" w:hAnsi="Arial" w:cs="Arial"/>
        </w:rPr>
        <w:t>be introduced</w:t>
      </w:r>
      <w:r>
        <w:rPr>
          <w:rFonts w:ascii="Arial" w:hAnsi="Arial" w:cs="Arial"/>
        </w:rPr>
        <w:t>, if at all,</w:t>
      </w:r>
      <w:r w:rsidRPr="000729A4">
        <w:rPr>
          <w:rFonts w:ascii="Arial" w:hAnsi="Arial" w:cs="Arial"/>
        </w:rPr>
        <w:t xml:space="preserve"> before 2017. In</w:t>
      </w:r>
      <w:r>
        <w:rPr>
          <w:rFonts w:ascii="Arial" w:hAnsi="Arial" w:cs="Arial"/>
        </w:rPr>
        <w:t>deed t</w:t>
      </w:r>
      <w:r w:rsidRPr="000729A4">
        <w:rPr>
          <w:rFonts w:ascii="Arial" w:hAnsi="Arial" w:cs="Arial"/>
        </w:rPr>
        <w:t>here is no certainty that a national scheme will in fact be introduced</w:t>
      </w:r>
      <w:r>
        <w:rPr>
          <w:rFonts w:ascii="Arial" w:hAnsi="Arial" w:cs="Arial"/>
        </w:rPr>
        <w:t xml:space="preserve"> at all</w:t>
      </w:r>
      <w:r w:rsidRPr="000729A4">
        <w:rPr>
          <w:rFonts w:ascii="Arial" w:hAnsi="Arial" w:cs="Arial"/>
        </w:rPr>
        <w:t>. It should be noted that the NT Government began rolling out its CDS before the release of the COAG Packaging Impacts Consultation RIS.</w:t>
      </w:r>
    </w:p>
    <w:p w14:paraId="4688E62B" w14:textId="77777777" w:rsidR="00F702E2" w:rsidRDefault="00F702E2" w:rsidP="00030089">
      <w:pPr>
        <w:spacing w:line="360" w:lineRule="auto"/>
        <w:jc w:val="both"/>
        <w:rPr>
          <w:rFonts w:ascii="Arial" w:hAnsi="Arial" w:cs="Arial"/>
        </w:rPr>
      </w:pPr>
    </w:p>
    <w:p w14:paraId="085DBCEA" w14:textId="77777777" w:rsidR="00030089" w:rsidRDefault="00030089" w:rsidP="00030089">
      <w:pPr>
        <w:pStyle w:val="ListParagraph"/>
        <w:numPr>
          <w:ilvl w:val="1"/>
          <w:numId w:val="31"/>
        </w:numPr>
        <w:spacing w:after="200" w:line="360" w:lineRule="auto"/>
        <w:ind w:left="567" w:hanging="573"/>
        <w:jc w:val="both"/>
        <w:outlineLvl w:val="1"/>
        <w:rPr>
          <w:rFonts w:ascii="Arial" w:hAnsi="Arial" w:cs="Arial"/>
          <w:b/>
          <w:szCs w:val="28"/>
        </w:rPr>
      </w:pPr>
      <w:bookmarkStart w:id="167" w:name="_Toc351979160"/>
      <w:bookmarkStart w:id="168" w:name="_Toc351980313"/>
      <w:bookmarkStart w:id="169" w:name="_Toc352070853"/>
      <w:bookmarkStart w:id="170" w:name="_Toc352071032"/>
      <w:bookmarkStart w:id="171" w:name="_Toc351979161"/>
      <w:bookmarkStart w:id="172" w:name="_Toc351980314"/>
      <w:bookmarkStart w:id="173" w:name="_Toc352070854"/>
      <w:bookmarkStart w:id="174" w:name="_Toc352071033"/>
      <w:bookmarkStart w:id="175" w:name="_Toc325459238"/>
      <w:bookmarkStart w:id="176" w:name="_Toc325531787"/>
      <w:bookmarkStart w:id="177" w:name="_Toc325531836"/>
      <w:bookmarkStart w:id="178" w:name="_Toc346008380"/>
      <w:bookmarkStart w:id="179" w:name="_Toc353562546"/>
      <w:bookmarkEnd w:id="167"/>
      <w:bookmarkEnd w:id="168"/>
      <w:bookmarkEnd w:id="169"/>
      <w:bookmarkEnd w:id="170"/>
      <w:bookmarkEnd w:id="171"/>
      <w:bookmarkEnd w:id="172"/>
      <w:bookmarkEnd w:id="173"/>
      <w:bookmarkEnd w:id="174"/>
      <w:r>
        <w:rPr>
          <w:rFonts w:ascii="Arial" w:hAnsi="Arial" w:cs="Arial"/>
          <w:b/>
          <w:szCs w:val="28"/>
        </w:rPr>
        <w:t>Option Three – Permanent Exemption From the MRA is Granted</w:t>
      </w:r>
      <w:bookmarkEnd w:id="175"/>
      <w:bookmarkEnd w:id="176"/>
      <w:bookmarkEnd w:id="177"/>
      <w:bookmarkEnd w:id="178"/>
      <w:bookmarkEnd w:id="179"/>
    </w:p>
    <w:p w14:paraId="0F2509BE" w14:textId="77777777" w:rsidR="00030089" w:rsidRDefault="00030089" w:rsidP="00030089">
      <w:pPr>
        <w:spacing w:line="360" w:lineRule="auto"/>
        <w:jc w:val="both"/>
        <w:rPr>
          <w:rFonts w:ascii="Arial" w:hAnsi="Arial" w:cs="Arial"/>
          <w:szCs w:val="28"/>
        </w:rPr>
      </w:pPr>
      <w:r>
        <w:rPr>
          <w:rFonts w:ascii="Arial" w:hAnsi="Arial" w:cs="Arial"/>
          <w:szCs w:val="28"/>
        </w:rPr>
        <w:t xml:space="preserve">Granting of a permanent exemption from the MRA and the </w:t>
      </w:r>
      <w:r w:rsidRPr="00791D3C">
        <w:rPr>
          <w:rFonts w:ascii="Arial" w:hAnsi="Arial" w:cs="Arial"/>
          <w:i/>
        </w:rPr>
        <w:t>Trans</w:t>
      </w:r>
      <w:r w:rsidRPr="00791D3C">
        <w:rPr>
          <w:rFonts w:ascii="Arial" w:hAnsi="Arial" w:cs="Arial"/>
          <w:i/>
        </w:rPr>
        <w:noBreakHyphen/>
        <w:t>Tasman Mutual Recognition Act 1997</w:t>
      </w:r>
      <w:r>
        <w:rPr>
          <w:rFonts w:ascii="Arial" w:hAnsi="Arial" w:cs="Arial"/>
        </w:rPr>
        <w:t xml:space="preserve"> (Cth) (</w:t>
      </w:r>
      <w:r>
        <w:rPr>
          <w:rFonts w:ascii="Arial" w:hAnsi="Arial" w:cs="Arial"/>
          <w:szCs w:val="28"/>
        </w:rPr>
        <w:t>TTMRA) will result in the EP (BC&amp;PB) Act continuing to achieve its objectives and allowing the scheme to expand. This option projects achievements of the NT CDS within the first 12 months of its operation</w:t>
      </w:r>
      <w:r w:rsidRPr="00DB65DA">
        <w:rPr>
          <w:rFonts w:ascii="Arial" w:hAnsi="Arial" w:cs="Arial"/>
          <w:szCs w:val="28"/>
        </w:rPr>
        <w:t xml:space="preserve"> </w:t>
      </w:r>
      <w:r>
        <w:rPr>
          <w:rFonts w:ascii="Arial" w:hAnsi="Arial" w:cs="Arial"/>
          <w:szCs w:val="28"/>
        </w:rPr>
        <w:t xml:space="preserve">over a 25 year period and factoring in the achievement of an 80 per cent return rate. </w:t>
      </w:r>
    </w:p>
    <w:p w14:paraId="0CF2D292" w14:textId="77777777" w:rsidR="00F702E2" w:rsidRDefault="00F702E2" w:rsidP="00030089">
      <w:pPr>
        <w:spacing w:line="360" w:lineRule="auto"/>
        <w:jc w:val="both"/>
        <w:rPr>
          <w:rFonts w:ascii="Arial" w:hAnsi="Arial" w:cs="Arial"/>
          <w:szCs w:val="28"/>
        </w:rPr>
      </w:pPr>
    </w:p>
    <w:p w14:paraId="1AF3825C" w14:textId="77777777" w:rsidR="00030089" w:rsidRDefault="00030089" w:rsidP="00030089">
      <w:pPr>
        <w:pStyle w:val="ListParagraph"/>
        <w:numPr>
          <w:ilvl w:val="1"/>
          <w:numId w:val="31"/>
        </w:numPr>
        <w:spacing w:after="200" w:line="360" w:lineRule="auto"/>
        <w:ind w:left="567" w:hanging="573"/>
        <w:jc w:val="both"/>
        <w:outlineLvl w:val="1"/>
        <w:rPr>
          <w:rFonts w:ascii="Arial" w:hAnsi="Arial" w:cs="Arial"/>
          <w:b/>
          <w:szCs w:val="28"/>
        </w:rPr>
      </w:pPr>
      <w:bookmarkStart w:id="180" w:name="_Toc325459239"/>
      <w:bookmarkStart w:id="181" w:name="_Toc325531788"/>
      <w:bookmarkStart w:id="182" w:name="_Toc325531837"/>
      <w:bookmarkStart w:id="183" w:name="_Toc353562547"/>
      <w:bookmarkStart w:id="184" w:name="_Toc346008381"/>
      <w:r>
        <w:rPr>
          <w:rFonts w:ascii="Arial" w:hAnsi="Arial" w:cs="Arial"/>
          <w:b/>
          <w:szCs w:val="28"/>
        </w:rPr>
        <w:t>Option Four – Other Less Trade-restrictive Approaches</w:t>
      </w:r>
      <w:bookmarkEnd w:id="180"/>
      <w:bookmarkEnd w:id="181"/>
      <w:bookmarkEnd w:id="182"/>
      <w:bookmarkEnd w:id="183"/>
      <w:r>
        <w:rPr>
          <w:rFonts w:ascii="Arial" w:hAnsi="Arial" w:cs="Arial"/>
          <w:b/>
          <w:szCs w:val="28"/>
        </w:rPr>
        <w:t xml:space="preserve"> </w:t>
      </w:r>
      <w:bookmarkEnd w:id="184"/>
    </w:p>
    <w:p w14:paraId="0ADCD014" w14:textId="77777777" w:rsidR="00030089" w:rsidRPr="00212599" w:rsidRDefault="00030089" w:rsidP="00030089">
      <w:pPr>
        <w:spacing w:line="360" w:lineRule="auto"/>
        <w:jc w:val="both"/>
        <w:rPr>
          <w:rFonts w:ascii="Arial" w:hAnsi="Arial" w:cs="Arial"/>
          <w:szCs w:val="28"/>
        </w:rPr>
      </w:pPr>
      <w:r w:rsidRPr="00212599">
        <w:rPr>
          <w:rFonts w:ascii="Arial" w:hAnsi="Arial" w:cs="Arial"/>
          <w:szCs w:val="28"/>
        </w:rPr>
        <w:t xml:space="preserve">In response to industry feedback during consultation, this option considers the costs and benefits of the NT signing the Australian Packaging Covenant (APC), which </w:t>
      </w:r>
      <w:r>
        <w:rPr>
          <w:rFonts w:ascii="Arial" w:hAnsi="Arial" w:cs="Arial"/>
          <w:szCs w:val="28"/>
        </w:rPr>
        <w:t xml:space="preserve">then </w:t>
      </w:r>
      <w:r w:rsidRPr="00212599">
        <w:rPr>
          <w:rFonts w:ascii="Arial" w:hAnsi="Arial" w:cs="Arial"/>
          <w:szCs w:val="28"/>
        </w:rPr>
        <w:t>moves to operate under co-regulatory stewardship</w:t>
      </w:r>
      <w:r>
        <w:rPr>
          <w:rFonts w:ascii="Arial" w:hAnsi="Arial" w:cs="Arial"/>
          <w:szCs w:val="28"/>
        </w:rPr>
        <w:t xml:space="preserve"> as set out under Option Two A of the Packaging Impacts CRIS.</w:t>
      </w:r>
    </w:p>
    <w:p w14:paraId="54273BC6" w14:textId="77777777" w:rsidR="00030089" w:rsidRPr="00FE611A" w:rsidRDefault="00030089" w:rsidP="00030089">
      <w:pPr>
        <w:spacing w:after="0" w:line="360" w:lineRule="auto"/>
        <w:rPr>
          <w:rFonts w:ascii="Arial" w:hAnsi="Arial" w:cs="Arial"/>
          <w:b/>
          <w:szCs w:val="28"/>
        </w:rPr>
      </w:pPr>
      <w:r w:rsidRPr="00FE611A">
        <w:rPr>
          <w:rFonts w:ascii="Arial" w:hAnsi="Arial" w:cs="Arial"/>
          <w:b/>
          <w:szCs w:val="28"/>
        </w:rPr>
        <w:br w:type="page"/>
      </w:r>
    </w:p>
    <w:p w14:paraId="002CF0BA" w14:textId="77777777" w:rsidR="00030089" w:rsidRDefault="00030089" w:rsidP="00030089">
      <w:pPr>
        <w:pStyle w:val="ListParagraph"/>
        <w:numPr>
          <w:ilvl w:val="0"/>
          <w:numId w:val="3"/>
        </w:numPr>
        <w:spacing w:after="200" w:line="360" w:lineRule="auto"/>
        <w:contextualSpacing w:val="0"/>
        <w:outlineLvl w:val="0"/>
        <w:rPr>
          <w:rFonts w:ascii="Arial" w:hAnsi="Arial" w:cs="Arial"/>
          <w:b/>
          <w:szCs w:val="28"/>
        </w:rPr>
      </w:pPr>
      <w:bookmarkStart w:id="185" w:name="_Toc346008382"/>
      <w:bookmarkStart w:id="186" w:name="_Toc353562548"/>
      <w:r w:rsidRPr="00FE611A">
        <w:rPr>
          <w:rFonts w:ascii="Arial" w:hAnsi="Arial" w:cs="Arial"/>
          <w:b/>
          <w:szCs w:val="28"/>
        </w:rPr>
        <w:lastRenderedPageBreak/>
        <w:t>IMPACT ANALYSIS</w:t>
      </w:r>
      <w:bookmarkEnd w:id="159"/>
      <w:bookmarkEnd w:id="160"/>
      <w:bookmarkEnd w:id="161"/>
      <w:bookmarkEnd w:id="185"/>
      <w:bookmarkEnd w:id="186"/>
    </w:p>
    <w:p w14:paraId="571BC239" w14:textId="77777777" w:rsidR="00030089" w:rsidRDefault="00030089" w:rsidP="00030089">
      <w:pPr>
        <w:pStyle w:val="Default"/>
      </w:pPr>
      <w:r w:rsidRPr="00FE611A">
        <w:t xml:space="preserve">The purpose of an impact analysis is to present indicative information relating to: </w:t>
      </w:r>
    </w:p>
    <w:p w14:paraId="5EF6D674" w14:textId="77777777" w:rsidR="00030089" w:rsidRDefault="00030089" w:rsidP="00030089">
      <w:pPr>
        <w:pStyle w:val="Default"/>
        <w:numPr>
          <w:ilvl w:val="0"/>
          <w:numId w:val="14"/>
        </w:numPr>
      </w:pPr>
      <w:r w:rsidRPr="00FE611A">
        <w:t xml:space="preserve">the estimated net economic impacts of the options being considered by governments; </w:t>
      </w:r>
    </w:p>
    <w:p w14:paraId="3E8E0EE3" w14:textId="77777777" w:rsidR="00030089" w:rsidRDefault="00030089" w:rsidP="00030089">
      <w:pPr>
        <w:pStyle w:val="Default"/>
        <w:numPr>
          <w:ilvl w:val="0"/>
          <w:numId w:val="14"/>
        </w:numPr>
      </w:pPr>
      <w:r w:rsidRPr="00FE611A">
        <w:t xml:space="preserve">the impacts on different groups within the community that are likely to be affected by the options; </w:t>
      </w:r>
    </w:p>
    <w:p w14:paraId="6ADDDFC5" w14:textId="77777777" w:rsidR="00030089" w:rsidRDefault="00030089" w:rsidP="00030089">
      <w:pPr>
        <w:pStyle w:val="Default"/>
        <w:numPr>
          <w:ilvl w:val="0"/>
          <w:numId w:val="13"/>
        </w:numPr>
      </w:pPr>
      <w:r w:rsidRPr="00FE611A">
        <w:t xml:space="preserve">the risks associated with each option; and </w:t>
      </w:r>
    </w:p>
    <w:p w14:paraId="5CDE8971" w14:textId="77777777" w:rsidR="00030089" w:rsidRDefault="00030089" w:rsidP="00030089">
      <w:pPr>
        <w:pStyle w:val="Default"/>
        <w:numPr>
          <w:ilvl w:val="0"/>
          <w:numId w:val="13"/>
        </w:numPr>
      </w:pPr>
      <w:r w:rsidRPr="00FE611A">
        <w:t xml:space="preserve">any effects they may have on </w:t>
      </w:r>
      <w:r>
        <w:t xml:space="preserve">national </w:t>
      </w:r>
      <w:r w:rsidRPr="00FE611A">
        <w:t xml:space="preserve">competition. </w:t>
      </w:r>
    </w:p>
    <w:p w14:paraId="604B9E13" w14:textId="77777777" w:rsidR="00030089" w:rsidRDefault="00030089" w:rsidP="00030089">
      <w:pPr>
        <w:pStyle w:val="Default"/>
      </w:pPr>
      <w:r w:rsidRPr="00FE611A">
        <w:t>Groups within the community expected to be affected to varying degrees include:</w:t>
      </w:r>
    </w:p>
    <w:p w14:paraId="4FFC1991" w14:textId="77777777" w:rsidR="00030089" w:rsidRDefault="00030089" w:rsidP="00030089">
      <w:pPr>
        <w:pStyle w:val="Default"/>
        <w:numPr>
          <w:ilvl w:val="0"/>
          <w:numId w:val="11"/>
        </w:numPr>
      </w:pPr>
      <w:r w:rsidRPr="00FE611A">
        <w:t>households/consumers (in all jurisdictions including the NT and New Zealand);</w:t>
      </w:r>
    </w:p>
    <w:p w14:paraId="156DA147" w14:textId="77777777" w:rsidR="00030089" w:rsidRDefault="00030089" w:rsidP="00030089">
      <w:pPr>
        <w:pStyle w:val="Default"/>
        <w:numPr>
          <w:ilvl w:val="0"/>
          <w:numId w:val="11"/>
        </w:numPr>
      </w:pPr>
      <w:r w:rsidRPr="00FE611A">
        <w:t>businesses (in all jurisdictions including the NT and New Zealand) including:</w:t>
      </w:r>
    </w:p>
    <w:p w14:paraId="29D0CCDA" w14:textId="77777777" w:rsidR="00030089" w:rsidRDefault="00030089" w:rsidP="00030089">
      <w:pPr>
        <w:pStyle w:val="Default"/>
        <w:numPr>
          <w:ilvl w:val="1"/>
          <w:numId w:val="34"/>
        </w:numPr>
      </w:pPr>
      <w:r w:rsidRPr="00FE611A">
        <w:t xml:space="preserve">beverage manufacturers; </w:t>
      </w:r>
    </w:p>
    <w:p w14:paraId="4A4F998B" w14:textId="77777777" w:rsidR="00030089" w:rsidRDefault="00030089" w:rsidP="00030089">
      <w:pPr>
        <w:pStyle w:val="Default"/>
        <w:numPr>
          <w:ilvl w:val="1"/>
          <w:numId w:val="34"/>
        </w:numPr>
      </w:pPr>
      <w:r w:rsidRPr="00FE611A">
        <w:t xml:space="preserve">beverage importers and exporters; </w:t>
      </w:r>
    </w:p>
    <w:p w14:paraId="6AC234DF" w14:textId="77777777" w:rsidR="00030089" w:rsidRDefault="00030089" w:rsidP="00030089">
      <w:pPr>
        <w:pStyle w:val="Default"/>
        <w:numPr>
          <w:ilvl w:val="1"/>
          <w:numId w:val="34"/>
        </w:numPr>
      </w:pPr>
      <w:r w:rsidRPr="00FE611A">
        <w:t xml:space="preserve">retailers; and </w:t>
      </w:r>
    </w:p>
    <w:p w14:paraId="377344E0" w14:textId="77777777" w:rsidR="00030089" w:rsidRDefault="00030089" w:rsidP="00030089">
      <w:pPr>
        <w:pStyle w:val="Default"/>
        <w:numPr>
          <w:ilvl w:val="1"/>
          <w:numId w:val="34"/>
        </w:numPr>
      </w:pPr>
      <w:r w:rsidRPr="00FE611A">
        <w:t>the waste management industry.</w:t>
      </w:r>
    </w:p>
    <w:p w14:paraId="5C26147F" w14:textId="77777777" w:rsidR="00030089" w:rsidRDefault="00030089" w:rsidP="00030089">
      <w:pPr>
        <w:pStyle w:val="Default"/>
        <w:numPr>
          <w:ilvl w:val="0"/>
          <w:numId w:val="11"/>
        </w:numPr>
      </w:pPr>
      <w:r w:rsidRPr="00FE611A">
        <w:t xml:space="preserve">the NT Government and NT local government; </w:t>
      </w:r>
      <w:r>
        <w:t>and</w:t>
      </w:r>
    </w:p>
    <w:p w14:paraId="3BED4525" w14:textId="77777777" w:rsidR="00030089" w:rsidRDefault="00030089" w:rsidP="00030089">
      <w:pPr>
        <w:pStyle w:val="Default"/>
        <w:numPr>
          <w:ilvl w:val="0"/>
          <w:numId w:val="11"/>
        </w:numPr>
      </w:pPr>
      <w:r w:rsidRPr="00FE611A">
        <w:t>the broader NT, N</w:t>
      </w:r>
      <w:r>
        <w:t xml:space="preserve">ew </w:t>
      </w:r>
      <w:r w:rsidRPr="00FE611A">
        <w:t>Z</w:t>
      </w:r>
      <w:r>
        <w:t>ealand</w:t>
      </w:r>
      <w:r w:rsidRPr="00FE611A">
        <w:t xml:space="preserve"> and Australian community.</w:t>
      </w:r>
    </w:p>
    <w:p w14:paraId="188283B2" w14:textId="77777777" w:rsidR="00030089" w:rsidRPr="00FE611A" w:rsidRDefault="00030089" w:rsidP="00030089">
      <w:pPr>
        <w:pStyle w:val="Default"/>
        <w:rPr>
          <w:color w:val="943634" w:themeColor="accent2" w:themeShade="BF"/>
        </w:rPr>
      </w:pPr>
      <w:r w:rsidRPr="00FE611A">
        <w:t>This section provides an analysis of the effectiveness and efficiency of each option in achieving the NT’s environmental objectives. The analysis involves approximate estimates of costs and benefits based on assumptions</w:t>
      </w:r>
      <w:r>
        <w:t xml:space="preserve"> that are described prior to their use</w:t>
      </w:r>
      <w:r w:rsidRPr="00FE611A">
        <w:t xml:space="preserve">. </w:t>
      </w:r>
    </w:p>
    <w:p w14:paraId="620302AD" w14:textId="77777777" w:rsidR="00030089" w:rsidRPr="00FE611A" w:rsidRDefault="00030089" w:rsidP="00030089">
      <w:pPr>
        <w:pStyle w:val="Default"/>
      </w:pPr>
      <w:r w:rsidRPr="00FE611A">
        <w:t xml:space="preserve">In some instances estimates are based on those presented in the </w:t>
      </w:r>
      <w:r>
        <w:t>national</w:t>
      </w:r>
      <w:r w:rsidRPr="00FE611A">
        <w:t xml:space="preserve"> </w:t>
      </w:r>
      <w:r w:rsidRPr="0013055D">
        <w:t>Packaging Impacts CRIS</w:t>
      </w:r>
      <w:r w:rsidRPr="00FE611A">
        <w:rPr>
          <w:rStyle w:val="FootnoteReference"/>
          <w:rFonts w:cs="Arial"/>
        </w:rPr>
        <w:footnoteReference w:id="17"/>
      </w:r>
      <w:r>
        <w:t>.</w:t>
      </w:r>
      <w:r w:rsidRPr="00FE611A">
        <w:t xml:space="preserve"> The results presented in that document are generally expressed in present values, meaning costs and benefits across a 25-year assessment period (2011 to 2035) were converted to 2011 dollars using the standard discount rate of </w:t>
      </w:r>
      <w:r>
        <w:t>seven per cent</w:t>
      </w:r>
      <w:r w:rsidRPr="00FE611A">
        <w:t xml:space="preserve">. Sensitivity testing was undertaken to test the impacts of changing key assumptions and inputs to the analysis. </w:t>
      </w:r>
    </w:p>
    <w:p w14:paraId="288A9DD6" w14:textId="77777777" w:rsidR="00030089" w:rsidRPr="00FE611A" w:rsidRDefault="00030089" w:rsidP="00030089">
      <w:pPr>
        <w:pStyle w:val="Default"/>
      </w:pPr>
      <w:r w:rsidRPr="00FE611A">
        <w:lastRenderedPageBreak/>
        <w:t xml:space="preserve">In order to undertake a cost-benefit analysis on the options, the Packaging Impacts CRIS estimated the projected packaging recycling and litter reduction performance for its base case and each option. </w:t>
      </w:r>
      <w:r>
        <w:t>These</w:t>
      </w:r>
      <w:r w:rsidRPr="00FE611A">
        <w:t xml:space="preserve"> projections were based on past recycling and litter trends and a professional assessment of the likely impacts of the initiatives identified for each option. </w:t>
      </w:r>
    </w:p>
    <w:p w14:paraId="68D5DF4D" w14:textId="77777777" w:rsidR="00030089" w:rsidRPr="00FE611A" w:rsidRDefault="00030089" w:rsidP="00030089">
      <w:pPr>
        <w:pStyle w:val="Default"/>
      </w:pPr>
      <w:r w:rsidRPr="00FE611A">
        <w:t>The packaging consumption projections presented in the Packaging Impacts CRIS were based on population projections and historical packaging consumption growth rates. Between 2003 and 2010 packaging consumption in Australia increased at 51</w:t>
      </w:r>
      <w:r>
        <w:t xml:space="preserve"> per cent</w:t>
      </w:r>
      <w:r w:rsidRPr="00FE611A">
        <w:t xml:space="preserve"> of the rate of population growth. For this analysis the ratio of packaging consumption growth to population growth was assumed to be 51</w:t>
      </w:r>
      <w:r>
        <w:t xml:space="preserve"> per cent</w:t>
      </w:r>
      <w:r w:rsidRPr="00FE611A">
        <w:t xml:space="preserve"> from 2011 to 2015, 50 per cent from 2016 to 2020 and 49</w:t>
      </w:r>
      <w:r>
        <w:t xml:space="preserve"> per cent</w:t>
      </w:r>
      <w:r w:rsidRPr="00FE611A">
        <w:t xml:space="preserve"> from 2021 to 2035. The ratio decreases marginally over time due to increased light weighting of packaging. </w:t>
      </w:r>
    </w:p>
    <w:p w14:paraId="6FE46E87" w14:textId="77777777" w:rsidR="00030089" w:rsidRPr="00FE611A" w:rsidRDefault="00030089" w:rsidP="00030089">
      <w:pPr>
        <w:pStyle w:val="Default"/>
      </w:pPr>
      <w:r w:rsidRPr="00FE611A">
        <w:t xml:space="preserve">Recycling projections presented in the Packaging Impacts CRIS were </w:t>
      </w:r>
      <w:r>
        <w:t>broken down</w:t>
      </w:r>
      <w:r w:rsidRPr="00FE611A">
        <w:t xml:space="preserve"> by consumption location (at-home versus away-from-home) and for each product type (beverage containers, non-beverage packaging) based on: </w:t>
      </w:r>
    </w:p>
    <w:p w14:paraId="29711DEA" w14:textId="77777777" w:rsidR="00030089" w:rsidRDefault="00030089" w:rsidP="00030089">
      <w:pPr>
        <w:pStyle w:val="Default"/>
        <w:numPr>
          <w:ilvl w:val="0"/>
          <w:numId w:val="12"/>
        </w:numPr>
      </w:pPr>
      <w:r w:rsidRPr="00FE611A">
        <w:t xml:space="preserve">a range of identified initiatives (including the time period over which each initiative was assumed to operate); </w:t>
      </w:r>
    </w:p>
    <w:p w14:paraId="739570FF" w14:textId="77777777" w:rsidR="00030089" w:rsidRDefault="00030089" w:rsidP="00030089">
      <w:pPr>
        <w:pStyle w:val="Default"/>
        <w:numPr>
          <w:ilvl w:val="0"/>
          <w:numId w:val="12"/>
        </w:numPr>
      </w:pPr>
      <w:r w:rsidRPr="00FE611A">
        <w:t xml:space="preserve">packaging industry plans and targets; </w:t>
      </w:r>
    </w:p>
    <w:p w14:paraId="471CE26B" w14:textId="77777777" w:rsidR="00030089" w:rsidRDefault="00030089" w:rsidP="00030089">
      <w:pPr>
        <w:pStyle w:val="Default"/>
        <w:numPr>
          <w:ilvl w:val="0"/>
          <w:numId w:val="12"/>
        </w:numPr>
      </w:pPr>
      <w:r w:rsidRPr="00FE611A">
        <w:t xml:space="preserve">experience in other jurisdictions; and </w:t>
      </w:r>
    </w:p>
    <w:p w14:paraId="3A26FF69" w14:textId="77777777" w:rsidR="00030089" w:rsidRDefault="00030089" w:rsidP="00030089">
      <w:pPr>
        <w:pStyle w:val="Default"/>
        <w:numPr>
          <w:ilvl w:val="0"/>
          <w:numId w:val="12"/>
        </w:numPr>
      </w:pPr>
      <w:r w:rsidRPr="00FE611A">
        <w:t xml:space="preserve">assumptions about the maximum achievable recycling rate by product or material. </w:t>
      </w:r>
    </w:p>
    <w:p w14:paraId="05211F23" w14:textId="45D5FCB2" w:rsidR="00030089" w:rsidRDefault="00030089" w:rsidP="00030089">
      <w:pPr>
        <w:pStyle w:val="Default"/>
      </w:pPr>
      <w:r w:rsidRPr="00FE611A">
        <w:t xml:space="preserve">Due to the lack of data on litter quantities at a national level, litter projections presented in the Packaging Impacts CRIS were developed based on an estimate of the proportion of packaging that could be available to be littered. This was estimated to be around </w:t>
      </w:r>
      <w:r>
        <w:t>one</w:t>
      </w:r>
      <w:r w:rsidRPr="00FE611A">
        <w:t xml:space="preserve"> million tonnes in 2010. Total litter per annum was estimated to be between 40</w:t>
      </w:r>
      <w:r>
        <w:t xml:space="preserve"> </w:t>
      </w:r>
      <w:r w:rsidRPr="00FE611A">
        <w:t>000 to 160</w:t>
      </w:r>
      <w:r>
        <w:t xml:space="preserve"> </w:t>
      </w:r>
      <w:r w:rsidRPr="00FE611A">
        <w:t xml:space="preserve">000 tonnes, which is between </w:t>
      </w:r>
      <w:r>
        <w:t>four per cent</w:t>
      </w:r>
      <w:r w:rsidRPr="00FE611A">
        <w:t xml:space="preserve"> and 16</w:t>
      </w:r>
      <w:r>
        <w:t xml:space="preserve"> per cent</w:t>
      </w:r>
      <w:r w:rsidRPr="00FE611A">
        <w:t xml:space="preserve"> of total packaging that is available to be </w:t>
      </w:r>
      <w:r>
        <w:t>littered</w:t>
      </w:r>
      <w:r w:rsidRPr="00FE611A">
        <w:t xml:space="preserve">. The core assumption for the Packaging Impacts CRIS base case </w:t>
      </w:r>
      <w:r>
        <w:t>is</w:t>
      </w:r>
      <w:r w:rsidRPr="00FE611A">
        <w:t xml:space="preserve"> that litter volumes would represent </w:t>
      </w:r>
      <w:r>
        <w:t>six per cent</w:t>
      </w:r>
      <w:r w:rsidRPr="00FE611A">
        <w:t xml:space="preserve"> of packaging available to be littered, representing around 60</w:t>
      </w:r>
      <w:r>
        <w:t xml:space="preserve"> </w:t>
      </w:r>
      <w:r w:rsidRPr="00FE611A">
        <w:t>000 tonnes in 2010, which was assessed to be the most reasonable estimate within the above range. Litter projections were presented in the Packaging Impacts CRIS on a per tonne basis to ensure consistency with collect</w:t>
      </w:r>
      <w:r>
        <w:t xml:space="preserve">ion and recycling projections. </w:t>
      </w:r>
    </w:p>
    <w:p w14:paraId="5A84E170" w14:textId="77777777" w:rsidR="00F702E2" w:rsidRDefault="00F702E2" w:rsidP="00030089">
      <w:pPr>
        <w:pStyle w:val="Default"/>
      </w:pPr>
    </w:p>
    <w:p w14:paraId="65A4D840" w14:textId="77777777" w:rsidR="00F702E2" w:rsidRDefault="00F702E2">
      <w:pPr>
        <w:rPr>
          <w:rFonts w:ascii="Arial" w:hAnsi="Arial" w:cs="Arial"/>
          <w:b/>
          <w:szCs w:val="28"/>
        </w:rPr>
      </w:pPr>
      <w:bookmarkStart w:id="187" w:name="_Toc325459242"/>
      <w:bookmarkStart w:id="188" w:name="_Toc325531790"/>
      <w:bookmarkStart w:id="189" w:name="_Toc325531839"/>
      <w:bookmarkStart w:id="190" w:name="_Toc346008383"/>
      <w:bookmarkStart w:id="191" w:name="_Toc353562549"/>
      <w:r>
        <w:rPr>
          <w:rFonts w:ascii="Arial" w:hAnsi="Arial" w:cs="Arial"/>
          <w:b/>
          <w:szCs w:val="28"/>
        </w:rPr>
        <w:br w:type="page"/>
      </w:r>
    </w:p>
    <w:p w14:paraId="62B439D6" w14:textId="36C95A95" w:rsidR="00030089" w:rsidRDefault="00030089" w:rsidP="00030089">
      <w:pPr>
        <w:pStyle w:val="ListParagraph"/>
        <w:numPr>
          <w:ilvl w:val="1"/>
          <w:numId w:val="3"/>
        </w:numPr>
        <w:spacing w:after="200" w:line="360" w:lineRule="auto"/>
        <w:ind w:left="567" w:hanging="573"/>
        <w:jc w:val="both"/>
        <w:outlineLvl w:val="1"/>
        <w:rPr>
          <w:rFonts w:ascii="Arial" w:hAnsi="Arial" w:cs="Arial"/>
          <w:b/>
          <w:szCs w:val="28"/>
        </w:rPr>
      </w:pPr>
      <w:r w:rsidRPr="006F0D70">
        <w:rPr>
          <w:rFonts w:ascii="Arial" w:hAnsi="Arial" w:cs="Arial"/>
          <w:b/>
          <w:szCs w:val="28"/>
        </w:rPr>
        <w:lastRenderedPageBreak/>
        <w:t>Cost Benefit Analysis</w:t>
      </w:r>
      <w:bookmarkEnd w:id="187"/>
      <w:bookmarkEnd w:id="188"/>
      <w:bookmarkEnd w:id="189"/>
      <w:bookmarkEnd w:id="190"/>
      <w:bookmarkEnd w:id="191"/>
    </w:p>
    <w:p w14:paraId="371BA275" w14:textId="77777777" w:rsidR="00030089" w:rsidRDefault="00030089" w:rsidP="00030089">
      <w:pPr>
        <w:rPr>
          <w:rFonts w:ascii="Arial" w:hAnsi="Arial" w:cs="Arial"/>
          <w:szCs w:val="28"/>
        </w:rPr>
      </w:pPr>
      <w:r>
        <w:rPr>
          <w:rFonts w:ascii="Arial" w:hAnsi="Arial" w:cs="Arial"/>
          <w:szCs w:val="28"/>
        </w:rPr>
        <w:t xml:space="preserve">The following parameters apply across all options: </w:t>
      </w:r>
    </w:p>
    <w:p w14:paraId="3A342291" w14:textId="77777777" w:rsidR="00030089" w:rsidRPr="00FA0B0B" w:rsidRDefault="00030089" w:rsidP="00030089">
      <w:pPr>
        <w:pStyle w:val="Default"/>
        <w:numPr>
          <w:ilvl w:val="0"/>
          <w:numId w:val="15"/>
        </w:numPr>
      </w:pPr>
      <w:r>
        <w:t xml:space="preserve"> </w:t>
      </w:r>
      <w:r w:rsidRPr="00FA0B0B">
        <w:rPr>
          <w:bCs/>
        </w:rPr>
        <w:t>the base year of the appraisal is 2011. To allow for consistency of analysis across all options, the data for the years 2011 and 2012 for Options One and Three was calculated on the basis of subtracting the Consumer Price Index (CPI) for those years;</w:t>
      </w:r>
    </w:p>
    <w:p w14:paraId="7D1EFA20" w14:textId="77777777" w:rsidR="00030089" w:rsidRPr="00CB15D4" w:rsidRDefault="00030089" w:rsidP="00030089">
      <w:pPr>
        <w:pStyle w:val="Default"/>
        <w:numPr>
          <w:ilvl w:val="0"/>
          <w:numId w:val="15"/>
        </w:numPr>
      </w:pPr>
      <w:r>
        <w:rPr>
          <w:bCs/>
        </w:rPr>
        <w:t>e</w:t>
      </w:r>
      <w:r w:rsidRPr="00FE611A">
        <w:rPr>
          <w:bCs/>
        </w:rPr>
        <w:t>valuation period: 25 years, from 201</w:t>
      </w:r>
      <w:r>
        <w:rPr>
          <w:bCs/>
        </w:rPr>
        <w:t>3</w:t>
      </w:r>
      <w:r w:rsidRPr="00FE611A">
        <w:rPr>
          <w:bCs/>
        </w:rPr>
        <w:t xml:space="preserve"> t</w:t>
      </w:r>
      <w:r w:rsidRPr="00FE611A">
        <w:t>he total period of evaluation needs to be long enough to capture all potential costs and benefits of the proposal. 25 years is used to maintain consistency with the current Packaging Impacts CRIS process</w:t>
      </w:r>
      <w:r>
        <w:t xml:space="preserve">; </w:t>
      </w:r>
    </w:p>
    <w:p w14:paraId="286E9B95" w14:textId="77777777" w:rsidR="00030089" w:rsidRDefault="00030089" w:rsidP="00030089">
      <w:pPr>
        <w:pStyle w:val="Default"/>
        <w:numPr>
          <w:ilvl w:val="0"/>
          <w:numId w:val="15"/>
        </w:numPr>
      </w:pPr>
      <w:r w:rsidRPr="00FE611A">
        <w:rPr>
          <w:bCs/>
        </w:rPr>
        <w:t>Net Present Value (NPV) is</w:t>
      </w:r>
      <w:r w:rsidRPr="00FE611A">
        <w:rPr>
          <w:b/>
          <w:bCs/>
        </w:rPr>
        <w:t xml:space="preserve"> </w:t>
      </w:r>
      <w:r w:rsidRPr="00FE611A">
        <w:t xml:space="preserve">calculated by subtracting estimated costs over the evaluation period from benefits. A positive NPV indicates that an option would result in a net benefit to the Australian economy, whereas a negative NPV suggests that an option would impose a net cost. </w:t>
      </w:r>
    </w:p>
    <w:p w14:paraId="365363A5" w14:textId="77777777" w:rsidR="00030089" w:rsidRPr="00E559BD" w:rsidRDefault="00030089" w:rsidP="00030089">
      <w:pPr>
        <w:pStyle w:val="Default"/>
        <w:numPr>
          <w:ilvl w:val="0"/>
          <w:numId w:val="15"/>
        </w:numPr>
      </w:pPr>
      <w:r w:rsidRPr="00095FEF">
        <w:rPr>
          <w:bCs/>
        </w:rPr>
        <w:t>Discounting has been applied at 7% for calculations made over 25 years;</w:t>
      </w:r>
    </w:p>
    <w:p w14:paraId="3822737B" w14:textId="77777777" w:rsidR="00030089" w:rsidRDefault="00030089" w:rsidP="00030089">
      <w:pPr>
        <w:pStyle w:val="Default"/>
        <w:numPr>
          <w:ilvl w:val="0"/>
          <w:numId w:val="15"/>
        </w:numPr>
      </w:pPr>
      <w:r>
        <w:t xml:space="preserve">Sensitivity testing has been applied at 3 and 10%; </w:t>
      </w:r>
    </w:p>
    <w:p w14:paraId="1CB4F48D" w14:textId="77777777" w:rsidR="00030089" w:rsidRPr="00095FEF" w:rsidRDefault="00030089" w:rsidP="00030089">
      <w:pPr>
        <w:rPr>
          <w:rFonts w:ascii="Arial" w:hAnsi="Arial" w:cs="Arial"/>
          <w:szCs w:val="28"/>
        </w:rPr>
      </w:pPr>
      <w:r>
        <w:rPr>
          <w:rFonts w:ascii="Arial" w:hAnsi="Arial" w:cs="Arial"/>
          <w:szCs w:val="28"/>
        </w:rPr>
        <w:t>In addition, a 50% uncertainty has been applied to Option One, and further sensitivity analysis has been applied to Option Three due to unique circumstances that may arise in the Northern Territory.</w:t>
      </w:r>
    </w:p>
    <w:p w14:paraId="651687E8" w14:textId="77777777" w:rsidR="00030089" w:rsidRDefault="00030089" w:rsidP="00030089">
      <w:pPr>
        <w:pStyle w:val="Default"/>
      </w:pPr>
      <w:r w:rsidRPr="00755DBB">
        <w:t xml:space="preserve">Estimations that are based on the Packaging Impacts CRIS pertain to costs and benefits for Option </w:t>
      </w:r>
      <w:r>
        <w:t>4</w:t>
      </w:r>
      <w:r w:rsidRPr="00755DBB">
        <w:t xml:space="preserve">(A), the Boomerang Alliance CDS. This is required as appropriate NT data </w:t>
      </w:r>
      <w:r>
        <w:t>are</w:t>
      </w:r>
      <w:r w:rsidRPr="00755DBB">
        <w:t xml:space="preserve"> not available. This is particularly the case when it comes to estimating the scheme operation and compliance costs where depots across the NT have widely varying costs.</w:t>
      </w:r>
    </w:p>
    <w:p w14:paraId="2C68C273" w14:textId="77777777" w:rsidR="00030089" w:rsidRDefault="00030089" w:rsidP="00030089">
      <w:pPr>
        <w:pStyle w:val="Default"/>
      </w:pPr>
      <w:r>
        <w:t xml:space="preserve">Listed below in Figure 4.1 are the assumptions of the national options taken from the Packaging Impacts CRIS for Options Two and Four. </w:t>
      </w:r>
    </w:p>
    <w:p w14:paraId="7155E3DA" w14:textId="77777777" w:rsidR="00F702E2" w:rsidRDefault="00F702E2">
      <w:pPr>
        <w:rPr>
          <w:rFonts w:asciiTheme="minorHAnsi" w:eastAsiaTheme="minorEastAsia" w:hAnsiTheme="minorHAnsi"/>
          <w:b/>
          <w:bCs/>
          <w:noProof/>
          <w:sz w:val="18"/>
          <w:szCs w:val="18"/>
          <w:lang w:eastAsia="en-AU"/>
        </w:rPr>
      </w:pPr>
      <w:r>
        <w:rPr>
          <w:noProof/>
        </w:rPr>
        <w:br w:type="page"/>
      </w:r>
    </w:p>
    <w:p w14:paraId="3F89A115" w14:textId="0008EC17" w:rsidR="00030089" w:rsidRPr="00682556" w:rsidRDefault="00030089" w:rsidP="00030089">
      <w:pPr>
        <w:pStyle w:val="Caption"/>
        <w:keepNext/>
        <w:rPr>
          <w:noProof/>
          <w:color w:val="auto"/>
        </w:rPr>
      </w:pPr>
      <w:r w:rsidRPr="00682556">
        <w:rPr>
          <w:noProof/>
          <w:color w:val="auto"/>
        </w:rPr>
        <w:lastRenderedPageBreak/>
        <w:fldChar w:fldCharType="begin"/>
      </w:r>
      <w:r w:rsidRPr="00682556">
        <w:rPr>
          <w:noProof/>
          <w:color w:val="auto"/>
        </w:rPr>
        <w:instrText xml:space="preserve"> SEQ Figure \* ARABIC </w:instrText>
      </w:r>
      <w:r w:rsidRPr="00682556">
        <w:rPr>
          <w:noProof/>
          <w:color w:val="auto"/>
        </w:rPr>
        <w:fldChar w:fldCharType="separate"/>
      </w:r>
      <w:bookmarkStart w:id="192" w:name="_Toc353562490"/>
      <w:r w:rsidR="00740026">
        <w:rPr>
          <w:noProof/>
          <w:color w:val="auto"/>
        </w:rPr>
        <w:t>9</w:t>
      </w:r>
      <w:r w:rsidRPr="00682556">
        <w:rPr>
          <w:noProof/>
          <w:color w:val="auto"/>
        </w:rPr>
        <w:fldChar w:fldCharType="end"/>
      </w:r>
      <w:r w:rsidRPr="00682556">
        <w:rPr>
          <w:noProof/>
          <w:color w:val="auto"/>
        </w:rPr>
        <w:t xml:space="preserve"> Figure 4.</w:t>
      </w:r>
      <w:r>
        <w:rPr>
          <w:noProof/>
          <w:color w:val="auto"/>
        </w:rPr>
        <w:t>1</w:t>
      </w:r>
      <w:r w:rsidRPr="00682556">
        <w:rPr>
          <w:noProof/>
          <w:color w:val="auto"/>
        </w:rPr>
        <w:t>: Packaging Impacts CRIS’s key assumptions and estimates</w:t>
      </w:r>
      <w:bookmarkEnd w:id="192"/>
    </w:p>
    <w:p w14:paraId="1DF5707B" w14:textId="51582178" w:rsidR="00030089" w:rsidRDefault="00030089" w:rsidP="00030089">
      <w:pPr>
        <w:pStyle w:val="Default"/>
      </w:pPr>
      <w:r>
        <w:rPr>
          <w:noProof/>
          <w:lang w:val="en-AU" w:bidi="ar-SA"/>
        </w:rPr>
        <mc:AlternateContent>
          <mc:Choice Requires="wps">
            <w:drawing>
              <wp:anchor distT="0" distB="0" distL="114300" distR="114300" simplePos="0" relativeHeight="251659264" behindDoc="0" locked="0" layoutInCell="1" allowOverlap="1" wp14:anchorId="2221E686" wp14:editId="6228C69B">
                <wp:simplePos x="0" y="0"/>
                <wp:positionH relativeFrom="column">
                  <wp:posOffset>81280</wp:posOffset>
                </wp:positionH>
                <wp:positionV relativeFrom="paragraph">
                  <wp:posOffset>74930</wp:posOffset>
                </wp:positionV>
                <wp:extent cx="5258435" cy="3733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8435" cy="373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12E41" w14:textId="77777777" w:rsidR="00290CD0" w:rsidRDefault="00290CD0" w:rsidP="00030089">
                            <w:r w:rsidRPr="00CA0F5D">
                              <w:rPr>
                                <w:noProof/>
                                <w:lang w:eastAsia="en-AU"/>
                              </w:rPr>
                              <w:drawing>
                                <wp:inline distT="0" distB="0" distL="0" distR="0" wp14:anchorId="13E1EE92" wp14:editId="5D8A0B7D">
                                  <wp:extent cx="5011595" cy="3597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8591" cy="360223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6.4pt;margin-top:5.9pt;width:414.0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" stroked="f">
                <v:textbox>
                  <w:txbxContent>
                    <w:p w14:paraId="2EB12E41" w14:textId="77777777" w:rsidR="00290CD0" w:rsidRDefault="00290CD0" w:rsidP="00030089">
                      <w:r w:rsidRPr="00CA0F5D">
                        <w:rPr>
                          <w:noProof/>
                          <w:lang w:eastAsia="en-AU"/>
                        </w:rPr>
                        <w:drawing>
                          <wp:inline distT="0" distB="0" distL="0" distR="0" wp14:anchorId="13E1EE92" wp14:editId="5D8A0B7D">
                            <wp:extent cx="5011595" cy="3597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8591" cy="3602237"/>
                                    </a:xfrm>
                                    <a:prstGeom prst="rect">
                                      <a:avLst/>
                                    </a:prstGeom>
                                    <a:noFill/>
                                    <a:ln>
                                      <a:noFill/>
                                    </a:ln>
                                  </pic:spPr>
                                </pic:pic>
                              </a:graphicData>
                            </a:graphic>
                          </wp:inline>
                        </w:drawing>
                      </w:r>
                    </w:p>
                  </w:txbxContent>
                </v:textbox>
              </v:shape>
            </w:pict>
          </mc:Fallback>
        </mc:AlternateContent>
      </w:r>
    </w:p>
    <w:p w14:paraId="6BE8EDF5" w14:textId="77777777" w:rsidR="00030089" w:rsidRDefault="00030089" w:rsidP="00030089">
      <w:pPr>
        <w:pStyle w:val="Default"/>
      </w:pPr>
    </w:p>
    <w:p w14:paraId="61FDB096" w14:textId="77777777" w:rsidR="00030089" w:rsidRDefault="00030089" w:rsidP="00030089">
      <w:pPr>
        <w:pStyle w:val="Default"/>
      </w:pPr>
    </w:p>
    <w:p w14:paraId="5C6C4993" w14:textId="77777777" w:rsidR="00030089" w:rsidRDefault="00030089" w:rsidP="00030089">
      <w:pPr>
        <w:pStyle w:val="Default"/>
      </w:pPr>
    </w:p>
    <w:p w14:paraId="414F7980" w14:textId="77777777" w:rsidR="00030089" w:rsidRDefault="00030089" w:rsidP="00030089">
      <w:pPr>
        <w:pStyle w:val="Default"/>
      </w:pPr>
    </w:p>
    <w:p w14:paraId="20F4E8F6" w14:textId="77777777" w:rsidR="00030089" w:rsidRDefault="00030089" w:rsidP="00030089">
      <w:pPr>
        <w:pStyle w:val="Default"/>
      </w:pPr>
    </w:p>
    <w:p w14:paraId="6E99E774" w14:textId="77777777" w:rsidR="00030089" w:rsidRDefault="00030089" w:rsidP="00030089">
      <w:pPr>
        <w:pStyle w:val="Default"/>
      </w:pPr>
    </w:p>
    <w:p w14:paraId="21512EED" w14:textId="77777777" w:rsidR="00030089" w:rsidRDefault="00030089" w:rsidP="00030089">
      <w:pPr>
        <w:pStyle w:val="Default"/>
      </w:pPr>
    </w:p>
    <w:p w14:paraId="4281EF39" w14:textId="77777777" w:rsidR="00030089" w:rsidRDefault="00030089" w:rsidP="00030089">
      <w:pPr>
        <w:pStyle w:val="Default"/>
      </w:pPr>
    </w:p>
    <w:p w14:paraId="0DC32F3B" w14:textId="77777777" w:rsidR="00030089" w:rsidRDefault="00030089" w:rsidP="00030089">
      <w:pPr>
        <w:pStyle w:val="Default"/>
      </w:pPr>
    </w:p>
    <w:p w14:paraId="13F7B5E4" w14:textId="77777777" w:rsidR="00030089" w:rsidRDefault="00030089" w:rsidP="00030089">
      <w:pPr>
        <w:pStyle w:val="ListParagraph"/>
        <w:numPr>
          <w:ilvl w:val="2"/>
          <w:numId w:val="3"/>
        </w:numPr>
        <w:spacing w:after="200" w:line="360" w:lineRule="auto"/>
        <w:ind w:hanging="788"/>
        <w:jc w:val="both"/>
        <w:outlineLvl w:val="2"/>
        <w:rPr>
          <w:rFonts w:ascii="Arial" w:hAnsi="Arial" w:cs="Arial"/>
          <w:b/>
          <w:szCs w:val="28"/>
        </w:rPr>
      </w:pPr>
      <w:bookmarkStart w:id="193" w:name="_Toc325459243"/>
      <w:bookmarkStart w:id="194" w:name="_Toc325531791"/>
      <w:bookmarkStart w:id="195" w:name="_Toc325531840"/>
      <w:bookmarkStart w:id="196" w:name="_Toc353562550"/>
      <w:r w:rsidRPr="00FE611A">
        <w:rPr>
          <w:rFonts w:ascii="Arial" w:hAnsi="Arial" w:cs="Arial"/>
          <w:b/>
          <w:szCs w:val="28"/>
        </w:rPr>
        <w:t>Key Results</w:t>
      </w:r>
      <w:bookmarkEnd w:id="193"/>
      <w:bookmarkEnd w:id="194"/>
      <w:bookmarkEnd w:id="195"/>
      <w:bookmarkEnd w:id="196"/>
    </w:p>
    <w:p w14:paraId="21099BEF" w14:textId="77777777" w:rsidR="00030089" w:rsidRDefault="00030089" w:rsidP="00030089">
      <w:pPr>
        <w:pStyle w:val="Default"/>
      </w:pPr>
      <w:r w:rsidRPr="001E417F">
        <w:t>Table 4.</w:t>
      </w:r>
      <w:r>
        <w:t>1</w:t>
      </w:r>
      <w:r w:rsidRPr="001E417F">
        <w:t xml:space="preserve"> summarises the key findings of this document’s cost benefit analysis. Options One and Three explore the impacts on the Northern Territory (NT), whilst Option Two and Four are national models.</w:t>
      </w:r>
      <w:r>
        <w:t xml:space="preserve"> Table 4.1 shows that of the NT models, Option Three</w:t>
      </w:r>
      <w:r w:rsidRPr="002036A3">
        <w:t xml:space="preserve"> </w:t>
      </w:r>
      <w:r>
        <w:t xml:space="preserve">is </w:t>
      </w:r>
      <w:r w:rsidRPr="002036A3">
        <w:t xml:space="preserve">the most expensive with the </w:t>
      </w:r>
      <w:r>
        <w:t>greatest</w:t>
      </w:r>
      <w:r w:rsidRPr="002036A3">
        <w:t xml:space="preserve"> </w:t>
      </w:r>
      <w:r>
        <w:t xml:space="preserve">market </w:t>
      </w:r>
      <w:r w:rsidRPr="002036A3">
        <w:t>benefit</w:t>
      </w:r>
      <w:r>
        <w:t>,</w:t>
      </w:r>
      <w:r w:rsidRPr="002036A3">
        <w:t xml:space="preserve"> and</w:t>
      </w:r>
      <w:r>
        <w:t xml:space="preserve"> of the national options, </w:t>
      </w:r>
      <w:r w:rsidRPr="002036A3">
        <w:t xml:space="preserve">Option </w:t>
      </w:r>
      <w:r>
        <w:t xml:space="preserve">Four </w:t>
      </w:r>
      <w:r w:rsidRPr="002036A3">
        <w:t xml:space="preserve">is the least costly option but with the </w:t>
      </w:r>
      <w:r>
        <w:t>least market</w:t>
      </w:r>
      <w:r w:rsidRPr="002036A3">
        <w:t xml:space="preserve"> benefit.</w:t>
      </w:r>
    </w:p>
    <w:p w14:paraId="08AFEAD5"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197" w:name="_Toc353562491"/>
      <w:r w:rsidR="00740026">
        <w:rPr>
          <w:noProof/>
          <w:color w:val="auto"/>
        </w:rPr>
        <w:t>10</w:t>
      </w:r>
      <w:r w:rsidRPr="00682556">
        <w:rPr>
          <w:noProof/>
          <w:color w:val="auto"/>
        </w:rPr>
        <w:fldChar w:fldCharType="end"/>
      </w:r>
      <w:r w:rsidRPr="00682556">
        <w:rPr>
          <w:noProof/>
          <w:color w:val="auto"/>
        </w:rPr>
        <w:t xml:space="preserve"> Table 4.</w:t>
      </w:r>
      <w:r>
        <w:rPr>
          <w:noProof/>
          <w:color w:val="auto"/>
        </w:rPr>
        <w:t>1</w:t>
      </w:r>
      <w:r w:rsidRPr="00682556">
        <w:rPr>
          <w:noProof/>
          <w:color w:val="auto"/>
        </w:rPr>
        <w:t>: Key market costs and benefits over 25 years discounted at 7 per cent</w:t>
      </w:r>
      <w:bookmarkEnd w:id="197"/>
    </w:p>
    <w:tbl>
      <w:tblPr>
        <w:tblW w:w="0" w:type="auto"/>
        <w:jc w:val="center"/>
        <w:tblInd w:w="-1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968"/>
        <w:gridCol w:w="1696"/>
        <w:gridCol w:w="1696"/>
        <w:gridCol w:w="1696"/>
        <w:gridCol w:w="1696"/>
      </w:tblGrid>
      <w:tr w:rsidR="00030089" w:rsidRPr="006C7FB7" w14:paraId="29ED8702" w14:textId="77777777" w:rsidTr="008547F7">
        <w:trPr>
          <w:jc w:val="center"/>
        </w:trPr>
        <w:tc>
          <w:tcPr>
            <w:tcW w:w="1968" w:type="dxa"/>
            <w:shd w:val="pct10" w:color="auto" w:fill="FFFFFF" w:themeFill="background1"/>
            <w:tcMar>
              <w:top w:w="0" w:type="dxa"/>
              <w:left w:w="108" w:type="dxa"/>
              <w:bottom w:w="0" w:type="dxa"/>
              <w:right w:w="108" w:type="dxa"/>
            </w:tcMar>
          </w:tcPr>
          <w:p w14:paraId="5FD09A09" w14:textId="77777777" w:rsidR="00030089" w:rsidRPr="00071702" w:rsidRDefault="00030089" w:rsidP="008547F7">
            <w:pPr>
              <w:pStyle w:val="NoSpacing"/>
              <w:spacing w:before="60" w:line="360" w:lineRule="auto"/>
              <w:rPr>
                <w:rFonts w:ascii="Arial" w:hAnsi="Arial" w:cs="Arial"/>
                <w:b/>
                <w:sz w:val="16"/>
                <w:szCs w:val="16"/>
              </w:rPr>
            </w:pPr>
            <w:r w:rsidRPr="00071702">
              <w:rPr>
                <w:rFonts w:ascii="Arial" w:hAnsi="Arial" w:cs="Arial"/>
                <w:b/>
                <w:sz w:val="16"/>
                <w:szCs w:val="16"/>
              </w:rPr>
              <w:t>Options</w:t>
            </w:r>
          </w:p>
          <w:p w14:paraId="60B22EFF" w14:textId="77777777" w:rsidR="00030089" w:rsidRPr="00071702" w:rsidRDefault="00030089" w:rsidP="008547F7">
            <w:pPr>
              <w:pStyle w:val="NoSpacing"/>
              <w:spacing w:before="60" w:line="360" w:lineRule="auto"/>
              <w:ind w:left="39" w:firstLine="103"/>
              <w:rPr>
                <w:rFonts w:ascii="Arial" w:hAnsi="Arial" w:cs="Arial"/>
                <w:b/>
                <w:sz w:val="16"/>
                <w:szCs w:val="16"/>
              </w:rPr>
            </w:pPr>
          </w:p>
        </w:tc>
        <w:tc>
          <w:tcPr>
            <w:tcW w:w="1696" w:type="dxa"/>
            <w:shd w:val="pct10" w:color="auto" w:fill="FFFFFF" w:themeFill="background1"/>
          </w:tcPr>
          <w:p w14:paraId="2EC1E3C6" w14:textId="77777777" w:rsidR="00030089" w:rsidRPr="00071702" w:rsidRDefault="00030089" w:rsidP="008547F7">
            <w:pPr>
              <w:pStyle w:val="NoSpacing"/>
              <w:spacing w:before="60" w:line="360" w:lineRule="auto"/>
              <w:jc w:val="right"/>
              <w:rPr>
                <w:rFonts w:ascii="Arial" w:hAnsi="Arial" w:cs="Arial"/>
                <w:b/>
                <w:sz w:val="16"/>
                <w:szCs w:val="16"/>
              </w:rPr>
            </w:pPr>
            <w:r w:rsidRPr="00071702">
              <w:rPr>
                <w:rFonts w:ascii="Arial" w:hAnsi="Arial" w:cs="Arial"/>
                <w:b/>
                <w:sz w:val="16"/>
                <w:szCs w:val="16"/>
              </w:rPr>
              <w:t>Option 1</w:t>
            </w:r>
          </w:p>
          <w:p w14:paraId="5F4BF56D" w14:textId="77777777" w:rsidR="00030089" w:rsidRPr="00071702" w:rsidRDefault="00030089" w:rsidP="008547F7">
            <w:pPr>
              <w:pStyle w:val="NoSpacing"/>
              <w:spacing w:before="60" w:line="360" w:lineRule="auto"/>
              <w:jc w:val="right"/>
              <w:rPr>
                <w:rFonts w:ascii="Arial" w:hAnsi="Arial" w:cs="Arial"/>
                <w:sz w:val="16"/>
                <w:szCs w:val="16"/>
              </w:rPr>
            </w:pPr>
          </w:p>
        </w:tc>
        <w:tc>
          <w:tcPr>
            <w:tcW w:w="1696" w:type="dxa"/>
            <w:shd w:val="pct10" w:color="auto" w:fill="FFFFFF" w:themeFill="background1"/>
            <w:tcMar>
              <w:top w:w="0" w:type="dxa"/>
              <w:left w:w="108" w:type="dxa"/>
              <w:bottom w:w="0" w:type="dxa"/>
              <w:right w:w="108" w:type="dxa"/>
            </w:tcMar>
            <w:hideMark/>
          </w:tcPr>
          <w:p w14:paraId="00132FEB" w14:textId="77777777" w:rsidR="00030089" w:rsidRPr="00071702" w:rsidRDefault="00030089" w:rsidP="008547F7">
            <w:pPr>
              <w:pStyle w:val="NoSpacing"/>
              <w:spacing w:before="60" w:line="360" w:lineRule="auto"/>
              <w:jc w:val="right"/>
              <w:rPr>
                <w:rFonts w:ascii="Arial" w:hAnsi="Arial" w:cs="Arial"/>
                <w:b/>
                <w:sz w:val="16"/>
                <w:szCs w:val="16"/>
              </w:rPr>
            </w:pPr>
            <w:r w:rsidRPr="00071702">
              <w:rPr>
                <w:rFonts w:ascii="Arial" w:hAnsi="Arial" w:cs="Arial"/>
                <w:b/>
                <w:sz w:val="16"/>
                <w:szCs w:val="16"/>
              </w:rPr>
              <w:t>Option 2</w:t>
            </w:r>
          </w:p>
          <w:p w14:paraId="7B21EB43" w14:textId="77777777" w:rsidR="00030089" w:rsidRPr="00071702" w:rsidRDefault="00030089" w:rsidP="008547F7">
            <w:pPr>
              <w:pStyle w:val="NoSpacing"/>
              <w:spacing w:before="60" w:line="360" w:lineRule="auto"/>
              <w:jc w:val="right"/>
              <w:rPr>
                <w:rFonts w:ascii="Arial" w:hAnsi="Arial" w:cs="Arial"/>
                <w:b/>
                <w:color w:val="0070C0"/>
                <w:sz w:val="16"/>
                <w:szCs w:val="16"/>
              </w:rPr>
            </w:pPr>
          </w:p>
        </w:tc>
        <w:tc>
          <w:tcPr>
            <w:tcW w:w="1696" w:type="dxa"/>
            <w:shd w:val="pct10" w:color="auto" w:fill="FFFFFF" w:themeFill="background1"/>
            <w:tcMar>
              <w:top w:w="0" w:type="dxa"/>
              <w:left w:w="108" w:type="dxa"/>
              <w:bottom w:w="0" w:type="dxa"/>
              <w:right w:w="108" w:type="dxa"/>
            </w:tcMar>
            <w:hideMark/>
          </w:tcPr>
          <w:p w14:paraId="5F4B5F94" w14:textId="77777777" w:rsidR="00030089" w:rsidRPr="001D692B" w:rsidRDefault="00030089" w:rsidP="008547F7">
            <w:pPr>
              <w:pStyle w:val="NoSpacing"/>
              <w:spacing w:before="60" w:line="360" w:lineRule="auto"/>
              <w:jc w:val="right"/>
              <w:rPr>
                <w:rFonts w:ascii="Arial" w:hAnsi="Arial" w:cs="Arial"/>
                <w:b/>
                <w:sz w:val="16"/>
                <w:szCs w:val="16"/>
              </w:rPr>
            </w:pPr>
            <w:r w:rsidRPr="001D692B">
              <w:rPr>
                <w:rFonts w:ascii="Arial" w:hAnsi="Arial" w:cs="Arial"/>
                <w:b/>
                <w:sz w:val="16"/>
                <w:szCs w:val="16"/>
              </w:rPr>
              <w:t>Option 3</w:t>
            </w:r>
          </w:p>
          <w:p w14:paraId="699E8A01" w14:textId="77777777" w:rsidR="00030089" w:rsidRPr="00071702" w:rsidRDefault="00030089" w:rsidP="008547F7">
            <w:pPr>
              <w:pStyle w:val="NoSpacing"/>
              <w:spacing w:before="60" w:line="360" w:lineRule="auto"/>
              <w:jc w:val="right"/>
              <w:rPr>
                <w:rFonts w:ascii="Arial" w:hAnsi="Arial" w:cs="Arial"/>
                <w:color w:val="0070C0"/>
                <w:sz w:val="16"/>
                <w:szCs w:val="16"/>
              </w:rPr>
            </w:pPr>
          </w:p>
        </w:tc>
        <w:tc>
          <w:tcPr>
            <w:tcW w:w="1696" w:type="dxa"/>
            <w:shd w:val="pct10" w:color="auto" w:fill="FFFFFF" w:themeFill="background1"/>
            <w:tcMar>
              <w:top w:w="0" w:type="dxa"/>
              <w:left w:w="108" w:type="dxa"/>
              <w:bottom w:w="0" w:type="dxa"/>
              <w:right w:w="108" w:type="dxa"/>
            </w:tcMar>
            <w:hideMark/>
          </w:tcPr>
          <w:p w14:paraId="02212F05" w14:textId="77777777" w:rsidR="00030089" w:rsidRPr="00732FFB" w:rsidRDefault="00030089" w:rsidP="008547F7">
            <w:pPr>
              <w:pStyle w:val="NoSpacing"/>
              <w:spacing w:before="60" w:line="360" w:lineRule="auto"/>
              <w:jc w:val="right"/>
              <w:rPr>
                <w:rFonts w:ascii="Arial" w:hAnsi="Arial" w:cs="Arial"/>
                <w:b/>
                <w:sz w:val="16"/>
                <w:szCs w:val="16"/>
              </w:rPr>
            </w:pPr>
            <w:r w:rsidRPr="00732FFB">
              <w:rPr>
                <w:rFonts w:ascii="Arial" w:hAnsi="Arial" w:cs="Arial"/>
                <w:b/>
                <w:sz w:val="16"/>
                <w:szCs w:val="16"/>
              </w:rPr>
              <w:t xml:space="preserve">Option 4 </w:t>
            </w:r>
          </w:p>
          <w:p w14:paraId="4E158072" w14:textId="77777777" w:rsidR="00030089" w:rsidRPr="00071702" w:rsidRDefault="00030089" w:rsidP="008547F7">
            <w:pPr>
              <w:pStyle w:val="NoSpacing"/>
              <w:spacing w:before="60" w:line="360" w:lineRule="auto"/>
              <w:jc w:val="right"/>
              <w:rPr>
                <w:rFonts w:ascii="Arial" w:hAnsi="Arial" w:cs="Arial"/>
                <w:color w:val="0070C0"/>
                <w:sz w:val="16"/>
                <w:szCs w:val="16"/>
              </w:rPr>
            </w:pPr>
          </w:p>
        </w:tc>
      </w:tr>
      <w:tr w:rsidR="00030089" w:rsidRPr="006C7FB7" w14:paraId="713B1D0E" w14:textId="77777777" w:rsidTr="008547F7">
        <w:trPr>
          <w:jc w:val="center"/>
        </w:trPr>
        <w:tc>
          <w:tcPr>
            <w:tcW w:w="1968" w:type="dxa"/>
            <w:shd w:val="clear" w:color="auto" w:fill="FFFFFF" w:themeFill="background1"/>
            <w:tcMar>
              <w:top w:w="0" w:type="dxa"/>
              <w:left w:w="108" w:type="dxa"/>
              <w:bottom w:w="0" w:type="dxa"/>
              <w:right w:w="108" w:type="dxa"/>
            </w:tcMar>
            <w:hideMark/>
          </w:tcPr>
          <w:p w14:paraId="1861304B" w14:textId="77777777" w:rsidR="00030089" w:rsidRPr="009B4D6B" w:rsidRDefault="00030089" w:rsidP="008547F7">
            <w:pPr>
              <w:pStyle w:val="NoSpacing"/>
              <w:spacing w:before="60" w:line="360" w:lineRule="auto"/>
              <w:rPr>
                <w:rFonts w:ascii="Arial" w:hAnsi="Arial" w:cs="Arial"/>
                <w:sz w:val="16"/>
                <w:szCs w:val="16"/>
              </w:rPr>
            </w:pPr>
            <w:r w:rsidRPr="009B4D6B">
              <w:rPr>
                <w:rFonts w:ascii="Arial" w:hAnsi="Arial" w:cs="Arial"/>
                <w:sz w:val="16"/>
                <w:szCs w:val="16"/>
              </w:rPr>
              <w:t>Costs</w:t>
            </w:r>
          </w:p>
          <w:p w14:paraId="63867B8B" w14:textId="77777777" w:rsidR="00030089" w:rsidRPr="009B4D6B" w:rsidRDefault="00030089" w:rsidP="008547F7">
            <w:pPr>
              <w:pStyle w:val="NoSpacing"/>
              <w:spacing w:before="60" w:line="360" w:lineRule="auto"/>
              <w:rPr>
                <w:rFonts w:ascii="Arial" w:hAnsi="Arial" w:cs="Arial"/>
                <w:sz w:val="16"/>
                <w:szCs w:val="16"/>
              </w:rPr>
            </w:pPr>
          </w:p>
        </w:tc>
        <w:tc>
          <w:tcPr>
            <w:tcW w:w="1696" w:type="dxa"/>
          </w:tcPr>
          <w:p w14:paraId="393E7C95" w14:textId="77777777" w:rsidR="00030089" w:rsidRPr="00ED6987" w:rsidRDefault="00030089" w:rsidP="008547F7">
            <w:pPr>
              <w:pStyle w:val="NoSpacing"/>
              <w:spacing w:before="60" w:line="360" w:lineRule="auto"/>
              <w:jc w:val="right"/>
              <w:rPr>
                <w:rFonts w:ascii="Arial" w:hAnsi="Arial" w:cs="Arial"/>
                <w:color w:val="0070C0"/>
                <w:sz w:val="16"/>
                <w:szCs w:val="16"/>
              </w:rPr>
            </w:pPr>
            <w:r w:rsidRPr="00792CEC">
              <w:rPr>
                <w:rFonts w:ascii="Arial" w:hAnsi="Arial" w:cs="Arial"/>
                <w:color w:val="000000"/>
                <w:sz w:val="16"/>
                <w:szCs w:val="16"/>
              </w:rPr>
              <w:t>$17</w:t>
            </w:r>
            <w:r>
              <w:rPr>
                <w:rFonts w:ascii="Arial" w:hAnsi="Arial" w:cs="Arial"/>
                <w:color w:val="000000"/>
                <w:sz w:val="16"/>
                <w:szCs w:val="16"/>
              </w:rPr>
              <w:t xml:space="preserve"> </w:t>
            </w:r>
            <w:r w:rsidRPr="00792CEC">
              <w:rPr>
                <w:rFonts w:ascii="Arial" w:hAnsi="Arial" w:cs="Arial"/>
                <w:color w:val="000000"/>
                <w:sz w:val="16"/>
                <w:szCs w:val="16"/>
              </w:rPr>
              <w:t>283</w:t>
            </w:r>
            <w:r>
              <w:rPr>
                <w:rFonts w:ascii="Arial" w:hAnsi="Arial" w:cs="Arial"/>
                <w:color w:val="000000"/>
                <w:sz w:val="16"/>
                <w:szCs w:val="16"/>
              </w:rPr>
              <w:t xml:space="preserve"> </w:t>
            </w:r>
            <w:r w:rsidRPr="00792CEC">
              <w:rPr>
                <w:rFonts w:ascii="Arial" w:hAnsi="Arial" w:cs="Arial"/>
                <w:color w:val="000000"/>
                <w:sz w:val="16"/>
                <w:szCs w:val="16"/>
              </w:rPr>
              <w:t>828</w:t>
            </w:r>
          </w:p>
        </w:tc>
        <w:tc>
          <w:tcPr>
            <w:tcW w:w="1696" w:type="dxa"/>
            <w:tcMar>
              <w:top w:w="0" w:type="dxa"/>
              <w:left w:w="108" w:type="dxa"/>
              <w:bottom w:w="0" w:type="dxa"/>
              <w:right w:w="108" w:type="dxa"/>
            </w:tcMar>
            <w:hideMark/>
          </w:tcPr>
          <w:p w14:paraId="2D3E27FD" w14:textId="77777777" w:rsidR="00030089" w:rsidRDefault="00030089" w:rsidP="008547F7">
            <w:pPr>
              <w:pStyle w:val="NoSpacing"/>
              <w:spacing w:before="60" w:line="360" w:lineRule="auto"/>
              <w:jc w:val="right"/>
              <w:rPr>
                <w:rFonts w:ascii="Arial" w:hAnsi="Arial" w:cs="Arial"/>
                <w:sz w:val="16"/>
                <w:szCs w:val="16"/>
              </w:rPr>
            </w:pPr>
            <w:r>
              <w:rPr>
                <w:rFonts w:ascii="Arial" w:hAnsi="Arial" w:cs="Arial"/>
                <w:sz w:val="16"/>
                <w:szCs w:val="16"/>
              </w:rPr>
              <w:t>$4 848 000 000</w:t>
            </w:r>
          </w:p>
          <w:p w14:paraId="4490CFCE" w14:textId="77777777" w:rsidR="00030089" w:rsidRPr="00071702" w:rsidRDefault="00030089" w:rsidP="008547F7">
            <w:pPr>
              <w:pStyle w:val="NoSpacing"/>
              <w:spacing w:before="60" w:line="360" w:lineRule="auto"/>
              <w:jc w:val="right"/>
              <w:rPr>
                <w:rFonts w:ascii="Arial" w:hAnsi="Arial" w:cs="Arial"/>
                <w:color w:val="0070C0"/>
                <w:sz w:val="16"/>
                <w:szCs w:val="16"/>
              </w:rPr>
            </w:pPr>
          </w:p>
        </w:tc>
        <w:tc>
          <w:tcPr>
            <w:tcW w:w="1696" w:type="dxa"/>
            <w:tcMar>
              <w:top w:w="0" w:type="dxa"/>
              <w:left w:w="108" w:type="dxa"/>
              <w:bottom w:w="0" w:type="dxa"/>
              <w:right w:w="108" w:type="dxa"/>
            </w:tcMar>
            <w:hideMark/>
          </w:tcPr>
          <w:p w14:paraId="0280E2D6" w14:textId="77777777" w:rsidR="00030089" w:rsidRPr="00ED6987" w:rsidRDefault="00030089" w:rsidP="008547F7">
            <w:pPr>
              <w:pStyle w:val="NoSpacing"/>
              <w:spacing w:before="60" w:line="360" w:lineRule="auto"/>
              <w:jc w:val="right"/>
              <w:rPr>
                <w:rFonts w:ascii="Arial" w:hAnsi="Arial" w:cs="Arial"/>
                <w:sz w:val="16"/>
                <w:szCs w:val="16"/>
              </w:rPr>
            </w:pPr>
            <w:r w:rsidRPr="00792CEC">
              <w:rPr>
                <w:rFonts w:ascii="Arial" w:hAnsi="Arial" w:cs="Arial"/>
                <w:color w:val="000000"/>
                <w:sz w:val="16"/>
                <w:szCs w:val="16"/>
              </w:rPr>
              <w:t>$34</w:t>
            </w:r>
            <w:r>
              <w:rPr>
                <w:rFonts w:ascii="Arial" w:hAnsi="Arial" w:cs="Arial"/>
                <w:color w:val="000000"/>
                <w:sz w:val="16"/>
                <w:szCs w:val="16"/>
              </w:rPr>
              <w:t xml:space="preserve"> </w:t>
            </w:r>
            <w:r w:rsidRPr="00792CEC">
              <w:rPr>
                <w:rFonts w:ascii="Arial" w:hAnsi="Arial" w:cs="Arial"/>
                <w:color w:val="000000"/>
                <w:sz w:val="16"/>
                <w:szCs w:val="16"/>
              </w:rPr>
              <w:t>567</w:t>
            </w:r>
            <w:r>
              <w:rPr>
                <w:rFonts w:ascii="Arial" w:hAnsi="Arial" w:cs="Arial"/>
                <w:color w:val="000000"/>
                <w:sz w:val="16"/>
                <w:szCs w:val="16"/>
              </w:rPr>
              <w:t xml:space="preserve"> </w:t>
            </w:r>
            <w:r w:rsidRPr="00792CEC">
              <w:rPr>
                <w:rFonts w:ascii="Arial" w:hAnsi="Arial" w:cs="Arial"/>
                <w:color w:val="000000"/>
                <w:sz w:val="16"/>
                <w:szCs w:val="16"/>
              </w:rPr>
              <w:t>655</w:t>
            </w:r>
          </w:p>
        </w:tc>
        <w:tc>
          <w:tcPr>
            <w:tcW w:w="1696" w:type="dxa"/>
            <w:tcMar>
              <w:top w:w="0" w:type="dxa"/>
              <w:left w:w="108" w:type="dxa"/>
              <w:bottom w:w="0" w:type="dxa"/>
              <w:right w:w="108" w:type="dxa"/>
            </w:tcMar>
            <w:hideMark/>
          </w:tcPr>
          <w:p w14:paraId="258AECC8" w14:textId="77777777" w:rsidR="00030089" w:rsidRPr="006E78B4" w:rsidRDefault="00030089" w:rsidP="008547F7">
            <w:pPr>
              <w:pStyle w:val="NoSpacing"/>
              <w:spacing w:before="60" w:line="360" w:lineRule="auto"/>
              <w:jc w:val="right"/>
              <w:rPr>
                <w:rFonts w:ascii="Arial" w:hAnsi="Arial" w:cs="Arial"/>
                <w:sz w:val="16"/>
                <w:szCs w:val="16"/>
              </w:rPr>
            </w:pPr>
            <w:r>
              <w:rPr>
                <w:rFonts w:ascii="Arial" w:hAnsi="Arial" w:cs="Arial"/>
                <w:sz w:val="16"/>
                <w:szCs w:val="16"/>
              </w:rPr>
              <w:t>$257 000 000</w:t>
            </w:r>
          </w:p>
          <w:p w14:paraId="5DAA819C" w14:textId="77777777" w:rsidR="00030089" w:rsidRPr="006F200D" w:rsidRDefault="00030089" w:rsidP="008547F7">
            <w:pPr>
              <w:pStyle w:val="NoSpacing"/>
              <w:spacing w:before="60" w:line="360" w:lineRule="auto"/>
              <w:jc w:val="right"/>
              <w:rPr>
                <w:rFonts w:ascii="Arial" w:hAnsi="Arial" w:cs="Arial"/>
                <w:sz w:val="16"/>
                <w:szCs w:val="16"/>
              </w:rPr>
            </w:pPr>
          </w:p>
        </w:tc>
      </w:tr>
      <w:tr w:rsidR="00030089" w:rsidRPr="006C7FB7" w14:paraId="4F128476" w14:textId="77777777" w:rsidTr="008547F7">
        <w:trPr>
          <w:jc w:val="center"/>
        </w:trPr>
        <w:tc>
          <w:tcPr>
            <w:tcW w:w="1968" w:type="dxa"/>
            <w:shd w:val="clear" w:color="auto" w:fill="FFFFFF" w:themeFill="background1"/>
            <w:tcMar>
              <w:top w:w="0" w:type="dxa"/>
              <w:left w:w="108" w:type="dxa"/>
              <w:bottom w:w="0" w:type="dxa"/>
              <w:right w:w="108" w:type="dxa"/>
            </w:tcMar>
            <w:hideMark/>
          </w:tcPr>
          <w:p w14:paraId="03D684B2" w14:textId="77777777" w:rsidR="00030089" w:rsidRPr="009B4D6B" w:rsidRDefault="00030089" w:rsidP="008547F7">
            <w:pPr>
              <w:pStyle w:val="NoSpacing"/>
              <w:spacing w:before="60" w:line="360" w:lineRule="auto"/>
              <w:rPr>
                <w:rFonts w:ascii="Arial" w:hAnsi="Arial" w:cs="Arial"/>
                <w:sz w:val="16"/>
                <w:szCs w:val="16"/>
              </w:rPr>
            </w:pPr>
            <w:r w:rsidRPr="009B4D6B">
              <w:rPr>
                <w:rFonts w:ascii="Arial" w:hAnsi="Arial" w:cs="Arial"/>
                <w:sz w:val="16"/>
                <w:szCs w:val="16"/>
              </w:rPr>
              <w:t>Market Benefits</w:t>
            </w:r>
          </w:p>
          <w:p w14:paraId="57AD55A3" w14:textId="77777777" w:rsidR="00030089" w:rsidRPr="009B4D6B" w:rsidRDefault="00030089" w:rsidP="008547F7">
            <w:pPr>
              <w:pStyle w:val="NoSpacing"/>
              <w:spacing w:before="60" w:line="360" w:lineRule="auto"/>
              <w:rPr>
                <w:rFonts w:ascii="Arial" w:hAnsi="Arial" w:cs="Arial"/>
                <w:sz w:val="16"/>
                <w:szCs w:val="16"/>
              </w:rPr>
            </w:pPr>
          </w:p>
        </w:tc>
        <w:tc>
          <w:tcPr>
            <w:tcW w:w="1696" w:type="dxa"/>
          </w:tcPr>
          <w:p w14:paraId="2FBB382A" w14:textId="77777777" w:rsidR="00030089" w:rsidRPr="00ED6987" w:rsidRDefault="00030089" w:rsidP="008547F7">
            <w:pPr>
              <w:pStyle w:val="NoSpacing"/>
              <w:spacing w:before="60" w:line="360" w:lineRule="auto"/>
              <w:jc w:val="right"/>
              <w:rPr>
                <w:rFonts w:ascii="Arial" w:hAnsi="Arial" w:cs="Arial"/>
                <w:color w:val="0070C0"/>
                <w:sz w:val="16"/>
                <w:szCs w:val="16"/>
              </w:rPr>
            </w:pPr>
            <w:r w:rsidRPr="00792CEC">
              <w:rPr>
                <w:rFonts w:ascii="Arial" w:hAnsi="Arial" w:cs="Arial"/>
                <w:color w:val="000000"/>
                <w:sz w:val="16"/>
                <w:szCs w:val="16"/>
              </w:rPr>
              <w:t>$22</w:t>
            </w:r>
            <w:r>
              <w:rPr>
                <w:rFonts w:ascii="Arial" w:hAnsi="Arial" w:cs="Arial"/>
                <w:color w:val="000000"/>
                <w:sz w:val="16"/>
                <w:szCs w:val="16"/>
              </w:rPr>
              <w:t xml:space="preserve"> </w:t>
            </w:r>
            <w:r w:rsidRPr="00792CEC">
              <w:rPr>
                <w:rFonts w:ascii="Arial" w:hAnsi="Arial" w:cs="Arial"/>
                <w:color w:val="000000"/>
                <w:sz w:val="16"/>
                <w:szCs w:val="16"/>
              </w:rPr>
              <w:t>222</w:t>
            </w:r>
            <w:r>
              <w:rPr>
                <w:rFonts w:ascii="Arial" w:hAnsi="Arial" w:cs="Arial"/>
                <w:color w:val="000000"/>
                <w:sz w:val="16"/>
                <w:szCs w:val="16"/>
              </w:rPr>
              <w:t xml:space="preserve"> </w:t>
            </w:r>
            <w:r w:rsidRPr="00792CEC">
              <w:rPr>
                <w:rFonts w:ascii="Arial" w:hAnsi="Arial" w:cs="Arial"/>
                <w:color w:val="000000"/>
                <w:sz w:val="16"/>
                <w:szCs w:val="16"/>
              </w:rPr>
              <w:t>782</w:t>
            </w:r>
          </w:p>
        </w:tc>
        <w:tc>
          <w:tcPr>
            <w:tcW w:w="1696" w:type="dxa"/>
            <w:tcMar>
              <w:top w:w="0" w:type="dxa"/>
              <w:left w:w="108" w:type="dxa"/>
              <w:bottom w:w="0" w:type="dxa"/>
              <w:right w:w="108" w:type="dxa"/>
            </w:tcMar>
            <w:hideMark/>
          </w:tcPr>
          <w:p w14:paraId="3C6676F4" w14:textId="77777777" w:rsidR="00030089" w:rsidRPr="00071702" w:rsidRDefault="00030089" w:rsidP="008547F7">
            <w:pPr>
              <w:pStyle w:val="NoSpacing"/>
              <w:spacing w:before="60" w:line="360" w:lineRule="auto"/>
              <w:jc w:val="right"/>
              <w:rPr>
                <w:rFonts w:ascii="Arial" w:hAnsi="Arial" w:cs="Arial"/>
                <w:color w:val="0070C0"/>
                <w:sz w:val="16"/>
                <w:szCs w:val="16"/>
              </w:rPr>
            </w:pPr>
            <w:r>
              <w:rPr>
                <w:rFonts w:ascii="Arial" w:hAnsi="Arial" w:cs="Arial"/>
                <w:sz w:val="16"/>
                <w:szCs w:val="16"/>
              </w:rPr>
              <w:t>$3 433 000 000</w:t>
            </w:r>
          </w:p>
        </w:tc>
        <w:tc>
          <w:tcPr>
            <w:tcW w:w="1696" w:type="dxa"/>
            <w:tcMar>
              <w:top w:w="0" w:type="dxa"/>
              <w:left w:w="108" w:type="dxa"/>
              <w:bottom w:w="0" w:type="dxa"/>
              <w:right w:w="108" w:type="dxa"/>
            </w:tcMar>
          </w:tcPr>
          <w:p w14:paraId="41EE445C" w14:textId="77777777" w:rsidR="00030089" w:rsidRPr="00ED6987" w:rsidRDefault="00030089" w:rsidP="008547F7">
            <w:pPr>
              <w:pStyle w:val="NoSpacing"/>
              <w:spacing w:before="60" w:line="360" w:lineRule="auto"/>
              <w:jc w:val="right"/>
              <w:rPr>
                <w:rFonts w:ascii="Arial" w:hAnsi="Arial" w:cs="Arial"/>
                <w:sz w:val="16"/>
                <w:szCs w:val="16"/>
              </w:rPr>
            </w:pPr>
            <w:r w:rsidRPr="00792CEC">
              <w:rPr>
                <w:rFonts w:ascii="Arial" w:hAnsi="Arial" w:cs="Arial"/>
                <w:color w:val="000000"/>
                <w:sz w:val="16"/>
                <w:szCs w:val="16"/>
              </w:rPr>
              <w:t>$44</w:t>
            </w:r>
            <w:r>
              <w:rPr>
                <w:rFonts w:ascii="Arial" w:hAnsi="Arial" w:cs="Arial"/>
                <w:color w:val="000000"/>
                <w:sz w:val="16"/>
                <w:szCs w:val="16"/>
              </w:rPr>
              <w:t xml:space="preserve"> </w:t>
            </w:r>
            <w:r w:rsidRPr="00792CEC">
              <w:rPr>
                <w:rFonts w:ascii="Arial" w:hAnsi="Arial" w:cs="Arial"/>
                <w:color w:val="000000"/>
                <w:sz w:val="16"/>
                <w:szCs w:val="16"/>
              </w:rPr>
              <w:t>445</w:t>
            </w:r>
            <w:r>
              <w:rPr>
                <w:rFonts w:ascii="Arial" w:hAnsi="Arial" w:cs="Arial"/>
                <w:color w:val="000000"/>
                <w:sz w:val="16"/>
                <w:szCs w:val="16"/>
              </w:rPr>
              <w:t xml:space="preserve"> </w:t>
            </w:r>
            <w:r w:rsidRPr="00792CEC">
              <w:rPr>
                <w:rFonts w:ascii="Arial" w:hAnsi="Arial" w:cs="Arial"/>
                <w:color w:val="000000"/>
                <w:sz w:val="16"/>
                <w:szCs w:val="16"/>
              </w:rPr>
              <w:t>564</w:t>
            </w:r>
          </w:p>
        </w:tc>
        <w:tc>
          <w:tcPr>
            <w:tcW w:w="1696" w:type="dxa"/>
            <w:tcMar>
              <w:top w:w="0" w:type="dxa"/>
              <w:left w:w="108" w:type="dxa"/>
              <w:bottom w:w="0" w:type="dxa"/>
              <w:right w:w="108" w:type="dxa"/>
            </w:tcMar>
            <w:hideMark/>
          </w:tcPr>
          <w:p w14:paraId="6CC14F77" w14:textId="77777777" w:rsidR="00030089" w:rsidRPr="00732FFB" w:rsidRDefault="00030089" w:rsidP="008547F7">
            <w:pPr>
              <w:pStyle w:val="NoSpacing"/>
              <w:spacing w:before="60" w:line="360" w:lineRule="auto"/>
              <w:jc w:val="right"/>
              <w:rPr>
                <w:rFonts w:ascii="Arial" w:hAnsi="Arial" w:cs="Arial"/>
                <w:sz w:val="16"/>
                <w:szCs w:val="16"/>
              </w:rPr>
            </w:pPr>
            <w:r>
              <w:rPr>
                <w:rFonts w:ascii="Arial" w:hAnsi="Arial" w:cs="Arial"/>
                <w:sz w:val="16"/>
                <w:szCs w:val="16"/>
              </w:rPr>
              <w:t>$304 000 000</w:t>
            </w:r>
          </w:p>
        </w:tc>
      </w:tr>
      <w:tr w:rsidR="00030089" w:rsidRPr="006C7FB7" w14:paraId="02D3B276" w14:textId="77777777" w:rsidTr="008547F7">
        <w:trPr>
          <w:jc w:val="center"/>
        </w:trPr>
        <w:tc>
          <w:tcPr>
            <w:tcW w:w="1968" w:type="dxa"/>
            <w:shd w:val="clear" w:color="auto" w:fill="FFFFFF" w:themeFill="background1"/>
            <w:tcMar>
              <w:top w:w="0" w:type="dxa"/>
              <w:left w:w="108" w:type="dxa"/>
              <w:bottom w:w="0" w:type="dxa"/>
              <w:right w:w="108" w:type="dxa"/>
            </w:tcMar>
            <w:hideMark/>
          </w:tcPr>
          <w:p w14:paraId="147082DA" w14:textId="77777777" w:rsidR="00030089" w:rsidRPr="00071702" w:rsidRDefault="00030089" w:rsidP="008547F7">
            <w:pPr>
              <w:pStyle w:val="NoSpacing"/>
              <w:spacing w:before="60" w:line="360" w:lineRule="auto"/>
              <w:rPr>
                <w:rFonts w:ascii="Arial" w:hAnsi="Arial" w:cs="Arial"/>
                <w:b/>
                <w:sz w:val="16"/>
                <w:szCs w:val="16"/>
              </w:rPr>
            </w:pPr>
            <w:r>
              <w:rPr>
                <w:rFonts w:ascii="Arial" w:hAnsi="Arial" w:cs="Arial"/>
                <w:b/>
                <w:sz w:val="16"/>
                <w:szCs w:val="16"/>
              </w:rPr>
              <w:t>NPV discounted</w:t>
            </w:r>
          </w:p>
        </w:tc>
        <w:tc>
          <w:tcPr>
            <w:tcW w:w="1696" w:type="dxa"/>
            <w:shd w:val="clear" w:color="auto" w:fill="FFFFFF" w:themeFill="background1"/>
          </w:tcPr>
          <w:p w14:paraId="3B58B2D2" w14:textId="77777777" w:rsidR="00030089" w:rsidRPr="00ED6987" w:rsidRDefault="00030089" w:rsidP="008547F7">
            <w:pPr>
              <w:pStyle w:val="NoSpacing"/>
              <w:spacing w:before="60" w:line="360" w:lineRule="auto"/>
              <w:jc w:val="right"/>
              <w:rPr>
                <w:rFonts w:ascii="Arial" w:hAnsi="Arial" w:cs="Arial"/>
                <w:b/>
                <w:color w:val="000000"/>
                <w:sz w:val="16"/>
                <w:szCs w:val="16"/>
              </w:rPr>
            </w:pPr>
            <w:r w:rsidRPr="00792CEC">
              <w:rPr>
                <w:rFonts w:ascii="Arial" w:hAnsi="Arial" w:cs="Arial"/>
                <w:b/>
                <w:bCs/>
                <w:color w:val="000000"/>
                <w:sz w:val="16"/>
                <w:szCs w:val="16"/>
              </w:rPr>
              <w:t>$4</w:t>
            </w:r>
            <w:r>
              <w:rPr>
                <w:rFonts w:ascii="Arial" w:hAnsi="Arial" w:cs="Arial"/>
                <w:b/>
                <w:bCs/>
                <w:color w:val="000000"/>
                <w:sz w:val="16"/>
                <w:szCs w:val="16"/>
              </w:rPr>
              <w:t xml:space="preserve"> </w:t>
            </w:r>
            <w:r w:rsidRPr="00792CEC">
              <w:rPr>
                <w:rFonts w:ascii="Arial" w:hAnsi="Arial" w:cs="Arial"/>
                <w:b/>
                <w:bCs/>
                <w:color w:val="000000"/>
                <w:sz w:val="16"/>
                <w:szCs w:val="16"/>
              </w:rPr>
              <w:t>938</w:t>
            </w:r>
            <w:r>
              <w:rPr>
                <w:rFonts w:ascii="Arial" w:hAnsi="Arial" w:cs="Arial"/>
                <w:b/>
                <w:bCs/>
                <w:color w:val="000000"/>
                <w:sz w:val="16"/>
                <w:szCs w:val="16"/>
              </w:rPr>
              <w:t xml:space="preserve"> </w:t>
            </w:r>
            <w:r w:rsidRPr="00792CEC">
              <w:rPr>
                <w:rFonts w:ascii="Arial" w:hAnsi="Arial" w:cs="Arial"/>
                <w:b/>
                <w:bCs/>
                <w:color w:val="000000"/>
                <w:sz w:val="16"/>
                <w:szCs w:val="16"/>
              </w:rPr>
              <w:t>955</w:t>
            </w:r>
          </w:p>
        </w:tc>
        <w:tc>
          <w:tcPr>
            <w:tcW w:w="1696" w:type="dxa"/>
            <w:shd w:val="clear" w:color="auto" w:fill="FFFFFF" w:themeFill="background1"/>
            <w:tcMar>
              <w:top w:w="0" w:type="dxa"/>
              <w:left w:w="108" w:type="dxa"/>
              <w:bottom w:w="0" w:type="dxa"/>
              <w:right w:w="108" w:type="dxa"/>
            </w:tcMar>
            <w:hideMark/>
          </w:tcPr>
          <w:p w14:paraId="54D10305" w14:textId="77777777" w:rsidR="00030089" w:rsidRPr="00C410AE" w:rsidRDefault="00030089" w:rsidP="008547F7">
            <w:pPr>
              <w:pStyle w:val="NoSpacing"/>
              <w:spacing w:before="60" w:line="360" w:lineRule="auto"/>
              <w:jc w:val="right"/>
              <w:rPr>
                <w:rFonts w:ascii="Arial" w:hAnsi="Arial" w:cs="Arial"/>
                <w:b/>
                <w:sz w:val="16"/>
                <w:szCs w:val="16"/>
              </w:rPr>
            </w:pPr>
            <w:r w:rsidRPr="00C410AE">
              <w:rPr>
                <w:rFonts w:ascii="Arial" w:hAnsi="Arial" w:cs="Arial"/>
                <w:b/>
                <w:sz w:val="16"/>
                <w:szCs w:val="16"/>
              </w:rPr>
              <w:t>–$1</w:t>
            </w:r>
            <w:r>
              <w:rPr>
                <w:rFonts w:ascii="Arial" w:hAnsi="Arial" w:cs="Arial"/>
                <w:b/>
                <w:sz w:val="16"/>
                <w:szCs w:val="16"/>
              </w:rPr>
              <w:t xml:space="preserve"> 415 000 000</w:t>
            </w:r>
          </w:p>
          <w:p w14:paraId="716DC3C2" w14:textId="77777777" w:rsidR="00030089" w:rsidRPr="009B4D6B" w:rsidRDefault="00030089" w:rsidP="008547F7">
            <w:pPr>
              <w:pStyle w:val="NoSpacing"/>
              <w:spacing w:before="60" w:line="360" w:lineRule="auto"/>
              <w:jc w:val="right"/>
              <w:rPr>
                <w:rFonts w:ascii="Arial" w:hAnsi="Arial" w:cs="Arial"/>
                <w:b/>
                <w:color w:val="C00000"/>
                <w:sz w:val="16"/>
                <w:szCs w:val="16"/>
              </w:rPr>
            </w:pPr>
          </w:p>
        </w:tc>
        <w:tc>
          <w:tcPr>
            <w:tcW w:w="1696" w:type="dxa"/>
            <w:shd w:val="clear" w:color="auto" w:fill="FFFFFF" w:themeFill="background1"/>
            <w:tcMar>
              <w:top w:w="0" w:type="dxa"/>
              <w:left w:w="108" w:type="dxa"/>
              <w:bottom w:w="0" w:type="dxa"/>
              <w:right w:w="108" w:type="dxa"/>
            </w:tcMar>
          </w:tcPr>
          <w:p w14:paraId="1AFBEDBA" w14:textId="77777777" w:rsidR="00030089" w:rsidRPr="00ED6987" w:rsidRDefault="00030089" w:rsidP="008547F7">
            <w:pPr>
              <w:pStyle w:val="NoSpacing"/>
              <w:spacing w:before="60" w:line="360" w:lineRule="auto"/>
              <w:jc w:val="right"/>
              <w:rPr>
                <w:rFonts w:ascii="Arial" w:hAnsi="Arial" w:cs="Arial"/>
                <w:b/>
                <w:color w:val="000000"/>
                <w:sz w:val="16"/>
                <w:szCs w:val="16"/>
              </w:rPr>
            </w:pPr>
            <w:r w:rsidRPr="00792CEC">
              <w:rPr>
                <w:rFonts w:ascii="Arial" w:hAnsi="Arial" w:cs="Arial"/>
                <w:b/>
                <w:bCs/>
                <w:color w:val="000000"/>
                <w:sz w:val="16"/>
                <w:szCs w:val="16"/>
              </w:rPr>
              <w:t>$9</w:t>
            </w:r>
            <w:r>
              <w:rPr>
                <w:rFonts w:ascii="Arial" w:hAnsi="Arial" w:cs="Arial"/>
                <w:b/>
                <w:bCs/>
                <w:color w:val="000000"/>
                <w:sz w:val="16"/>
                <w:szCs w:val="16"/>
              </w:rPr>
              <w:t xml:space="preserve"> </w:t>
            </w:r>
            <w:r w:rsidRPr="00792CEC">
              <w:rPr>
                <w:rFonts w:ascii="Arial" w:hAnsi="Arial" w:cs="Arial"/>
                <w:b/>
                <w:bCs/>
                <w:color w:val="000000"/>
                <w:sz w:val="16"/>
                <w:szCs w:val="16"/>
              </w:rPr>
              <w:t>877</w:t>
            </w:r>
            <w:r>
              <w:rPr>
                <w:rFonts w:ascii="Arial" w:hAnsi="Arial" w:cs="Arial"/>
                <w:b/>
                <w:bCs/>
                <w:color w:val="000000"/>
                <w:sz w:val="16"/>
                <w:szCs w:val="16"/>
              </w:rPr>
              <w:t xml:space="preserve"> </w:t>
            </w:r>
            <w:r w:rsidRPr="00792CEC">
              <w:rPr>
                <w:rFonts w:ascii="Arial" w:hAnsi="Arial" w:cs="Arial"/>
                <w:b/>
                <w:bCs/>
                <w:color w:val="000000"/>
                <w:sz w:val="16"/>
                <w:szCs w:val="16"/>
              </w:rPr>
              <w:t>909</w:t>
            </w:r>
          </w:p>
        </w:tc>
        <w:tc>
          <w:tcPr>
            <w:tcW w:w="1696" w:type="dxa"/>
            <w:shd w:val="clear" w:color="auto" w:fill="FFFFFF" w:themeFill="background1"/>
            <w:tcMar>
              <w:top w:w="0" w:type="dxa"/>
              <w:left w:w="108" w:type="dxa"/>
              <w:bottom w:w="0" w:type="dxa"/>
              <w:right w:w="108" w:type="dxa"/>
            </w:tcMar>
            <w:hideMark/>
          </w:tcPr>
          <w:p w14:paraId="4DDBC2F9" w14:textId="77777777" w:rsidR="00030089" w:rsidRPr="001505FD" w:rsidRDefault="00030089" w:rsidP="008547F7">
            <w:pPr>
              <w:pStyle w:val="NoSpacing"/>
              <w:spacing w:before="60" w:line="360" w:lineRule="auto"/>
              <w:jc w:val="right"/>
              <w:rPr>
                <w:rFonts w:ascii="Arial" w:hAnsi="Arial" w:cs="Arial"/>
                <w:sz w:val="18"/>
                <w:szCs w:val="18"/>
              </w:rPr>
            </w:pPr>
            <w:r>
              <w:rPr>
                <w:rFonts w:ascii="Arial" w:hAnsi="Arial" w:cs="Arial"/>
                <w:b/>
                <w:sz w:val="16"/>
                <w:szCs w:val="16"/>
              </w:rPr>
              <w:t>$47 000 000</w:t>
            </w:r>
          </w:p>
        </w:tc>
      </w:tr>
    </w:tbl>
    <w:p w14:paraId="0E7210D8" w14:textId="77777777" w:rsidR="00030089" w:rsidRDefault="00030089" w:rsidP="00030089">
      <w:pPr>
        <w:pStyle w:val="ListParagraph"/>
        <w:spacing w:line="360" w:lineRule="auto"/>
        <w:ind w:left="788"/>
        <w:jc w:val="both"/>
        <w:outlineLvl w:val="2"/>
        <w:rPr>
          <w:rFonts w:ascii="Arial" w:hAnsi="Arial" w:cs="Arial"/>
          <w:b/>
          <w:szCs w:val="28"/>
        </w:rPr>
      </w:pPr>
    </w:p>
    <w:p w14:paraId="48FCD5E2" w14:textId="77777777" w:rsidR="00030089" w:rsidRDefault="00030089" w:rsidP="00030089">
      <w:pPr>
        <w:pStyle w:val="ListParagraph"/>
        <w:spacing w:line="360" w:lineRule="auto"/>
        <w:ind w:left="788"/>
        <w:jc w:val="both"/>
        <w:outlineLvl w:val="2"/>
        <w:rPr>
          <w:rFonts w:ascii="Arial" w:hAnsi="Arial" w:cs="Arial"/>
          <w:b/>
          <w:szCs w:val="28"/>
        </w:rPr>
      </w:pPr>
    </w:p>
    <w:p w14:paraId="26A61E6A" w14:textId="07131690" w:rsidR="00F702E2" w:rsidRDefault="00F702E2">
      <w:pPr>
        <w:rPr>
          <w:rFonts w:ascii="Arial" w:hAnsi="Arial" w:cs="Arial"/>
          <w:b/>
          <w:szCs w:val="28"/>
        </w:rPr>
      </w:pPr>
      <w:r>
        <w:rPr>
          <w:rFonts w:ascii="Arial" w:hAnsi="Arial" w:cs="Arial"/>
          <w:b/>
          <w:szCs w:val="28"/>
        </w:rPr>
        <w:br w:type="page"/>
      </w:r>
    </w:p>
    <w:p w14:paraId="4DE97DC8" w14:textId="77777777" w:rsidR="00030089" w:rsidRPr="00FE611A" w:rsidRDefault="00030089" w:rsidP="00030089">
      <w:pPr>
        <w:pStyle w:val="ListParagraph"/>
        <w:numPr>
          <w:ilvl w:val="2"/>
          <w:numId w:val="3"/>
        </w:numPr>
        <w:spacing w:after="200" w:line="360" w:lineRule="auto"/>
        <w:ind w:hanging="788"/>
        <w:jc w:val="both"/>
        <w:outlineLvl w:val="2"/>
        <w:rPr>
          <w:rFonts w:ascii="Arial" w:hAnsi="Arial" w:cs="Arial"/>
          <w:b/>
          <w:szCs w:val="28"/>
        </w:rPr>
      </w:pPr>
      <w:bookmarkStart w:id="198" w:name="_Toc353562551"/>
      <w:r>
        <w:rPr>
          <w:rFonts w:ascii="Arial" w:hAnsi="Arial" w:cs="Arial"/>
          <w:b/>
          <w:szCs w:val="28"/>
        </w:rPr>
        <w:lastRenderedPageBreak/>
        <w:t>Sensitivity Testing</w:t>
      </w:r>
      <w:bookmarkEnd w:id="198"/>
    </w:p>
    <w:p w14:paraId="118B411E" w14:textId="77777777" w:rsidR="00030089" w:rsidRDefault="00030089" w:rsidP="00030089">
      <w:pPr>
        <w:pStyle w:val="Default"/>
      </w:pPr>
      <w:r>
        <w:t>The following tables</w:t>
      </w:r>
      <w:r w:rsidRPr="002036A3">
        <w:t xml:space="preserve"> </w:t>
      </w:r>
      <w:r>
        <w:t>subject</w:t>
      </w:r>
      <w:r w:rsidRPr="002036A3">
        <w:t xml:space="preserve"> the key findings of this document’s cost benefit analysis</w:t>
      </w:r>
      <w:r>
        <w:t xml:space="preserve"> to a range of sensitivity tests, including:</w:t>
      </w:r>
    </w:p>
    <w:p w14:paraId="264DDF1C" w14:textId="77777777" w:rsidR="00030089" w:rsidRDefault="00030089" w:rsidP="00030089">
      <w:pPr>
        <w:pStyle w:val="Default"/>
        <w:numPr>
          <w:ilvl w:val="0"/>
          <w:numId w:val="37"/>
        </w:numPr>
      </w:pPr>
      <w:r>
        <w:t>10 per cent discount rate over 25 years;</w:t>
      </w:r>
    </w:p>
    <w:p w14:paraId="14750C64" w14:textId="77777777" w:rsidR="00030089" w:rsidRDefault="00030089" w:rsidP="00030089">
      <w:pPr>
        <w:pStyle w:val="Default"/>
        <w:numPr>
          <w:ilvl w:val="0"/>
          <w:numId w:val="37"/>
        </w:numPr>
      </w:pPr>
      <w:r>
        <w:t>3 per cent discount rate over 25 years;</w:t>
      </w:r>
    </w:p>
    <w:p w14:paraId="69691C49" w14:textId="77777777" w:rsidR="00030089" w:rsidRDefault="00030089" w:rsidP="00030089">
      <w:pPr>
        <w:pStyle w:val="Default"/>
        <w:numPr>
          <w:ilvl w:val="0"/>
          <w:numId w:val="37"/>
        </w:numPr>
      </w:pPr>
      <w:r>
        <w:t>7 per cent discount rate over 10 years;</w:t>
      </w:r>
    </w:p>
    <w:p w14:paraId="006F130F" w14:textId="77777777" w:rsidR="00030089" w:rsidRDefault="00030089" w:rsidP="00030089">
      <w:pPr>
        <w:pStyle w:val="Default"/>
        <w:numPr>
          <w:ilvl w:val="0"/>
          <w:numId w:val="37"/>
        </w:numPr>
      </w:pPr>
      <w:r>
        <w:t xml:space="preserve">10 per cent discount rate over 10 years; </w:t>
      </w:r>
    </w:p>
    <w:p w14:paraId="403AE790" w14:textId="77777777" w:rsidR="00030089" w:rsidRDefault="00030089" w:rsidP="00030089">
      <w:pPr>
        <w:pStyle w:val="Default"/>
        <w:numPr>
          <w:ilvl w:val="0"/>
          <w:numId w:val="37"/>
        </w:numPr>
      </w:pPr>
      <w:r>
        <w:t>3 per cent discount rate over 10 years;</w:t>
      </w:r>
      <w:r w:rsidRPr="00FF0549">
        <w:t xml:space="preserve"> </w:t>
      </w:r>
      <w:r>
        <w:t>and</w:t>
      </w:r>
    </w:p>
    <w:p w14:paraId="2ED2533C" w14:textId="77777777" w:rsidR="00030089" w:rsidRDefault="00030089" w:rsidP="00030089">
      <w:pPr>
        <w:pStyle w:val="Default"/>
        <w:numPr>
          <w:ilvl w:val="0"/>
          <w:numId w:val="37"/>
        </w:numPr>
      </w:pPr>
      <w:r>
        <w:t>further sensitivity testing at 3% and 10% has been applied to the additional models within Option 3.</w:t>
      </w:r>
    </w:p>
    <w:p w14:paraId="55CFF485" w14:textId="77777777" w:rsidR="00030089" w:rsidRDefault="00030089" w:rsidP="00030089">
      <w:pPr>
        <w:pStyle w:val="Caption"/>
        <w:rPr>
          <w:rFonts w:ascii="Arial" w:hAnsi="Arial" w:cs="Arial"/>
          <w:noProof/>
        </w:rPr>
      </w:pPr>
    </w:p>
    <w:p w14:paraId="25E47659"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199" w:name="_Toc353562492"/>
      <w:r w:rsidR="00740026">
        <w:rPr>
          <w:noProof/>
          <w:color w:val="auto"/>
        </w:rPr>
        <w:t>11</w:t>
      </w:r>
      <w:r w:rsidRPr="00682556">
        <w:rPr>
          <w:noProof/>
          <w:color w:val="auto"/>
        </w:rPr>
        <w:fldChar w:fldCharType="end"/>
      </w:r>
      <w:r w:rsidRPr="00682556">
        <w:rPr>
          <w:noProof/>
          <w:color w:val="auto"/>
        </w:rPr>
        <w:t xml:space="preserve"> 4.2 Net Present Value (NPV) of key market costs and benefits over 25 years (10% sensitivity)</w:t>
      </w:r>
      <w:bookmarkEnd w:id="199"/>
    </w:p>
    <w:tbl>
      <w:tblPr>
        <w:tblW w:w="8931"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7"/>
        <w:gridCol w:w="1836"/>
        <w:gridCol w:w="1836"/>
        <w:gridCol w:w="1836"/>
        <w:gridCol w:w="1836"/>
      </w:tblGrid>
      <w:tr w:rsidR="00030089" w:rsidRPr="006C7FB7" w14:paraId="20482048" w14:textId="77777777" w:rsidTr="008547F7">
        <w:tc>
          <w:tcPr>
            <w:tcW w:w="1587" w:type="dxa"/>
            <w:shd w:val="pct10" w:color="auto" w:fill="auto"/>
          </w:tcPr>
          <w:p w14:paraId="489CFA9D" w14:textId="77777777" w:rsidR="00030089" w:rsidRPr="00071702" w:rsidRDefault="00030089" w:rsidP="008547F7">
            <w:pPr>
              <w:pStyle w:val="NoSpacing"/>
              <w:spacing w:before="60" w:line="360" w:lineRule="auto"/>
              <w:rPr>
                <w:rFonts w:ascii="Arial" w:hAnsi="Arial" w:cs="Arial"/>
                <w:b/>
                <w:sz w:val="16"/>
                <w:szCs w:val="16"/>
              </w:rPr>
            </w:pPr>
            <w:r w:rsidRPr="00071702">
              <w:rPr>
                <w:rFonts w:ascii="Arial" w:hAnsi="Arial" w:cs="Arial"/>
                <w:b/>
                <w:sz w:val="16"/>
                <w:szCs w:val="16"/>
              </w:rPr>
              <w:t>Options</w:t>
            </w:r>
          </w:p>
          <w:p w14:paraId="49474169" w14:textId="77777777" w:rsidR="00030089" w:rsidRPr="00071702" w:rsidRDefault="00030089" w:rsidP="008547F7">
            <w:pPr>
              <w:pStyle w:val="NoSpacing"/>
              <w:spacing w:before="60" w:line="360" w:lineRule="auto"/>
              <w:rPr>
                <w:rFonts w:ascii="Arial" w:hAnsi="Arial" w:cs="Arial"/>
                <w:b/>
                <w:sz w:val="16"/>
                <w:szCs w:val="16"/>
              </w:rPr>
            </w:pPr>
          </w:p>
        </w:tc>
        <w:tc>
          <w:tcPr>
            <w:tcW w:w="1836" w:type="dxa"/>
            <w:shd w:val="pct10" w:color="auto" w:fill="auto"/>
          </w:tcPr>
          <w:p w14:paraId="4DA533F5" w14:textId="77777777" w:rsidR="00030089" w:rsidRPr="00071702" w:rsidRDefault="00030089" w:rsidP="008547F7">
            <w:pPr>
              <w:pStyle w:val="NoSpacing"/>
              <w:spacing w:before="60" w:line="360" w:lineRule="auto"/>
              <w:jc w:val="right"/>
              <w:rPr>
                <w:rFonts w:ascii="Arial" w:hAnsi="Arial" w:cs="Arial"/>
                <w:b/>
                <w:sz w:val="16"/>
                <w:szCs w:val="16"/>
              </w:rPr>
            </w:pPr>
            <w:r w:rsidRPr="00071702">
              <w:rPr>
                <w:rFonts w:ascii="Arial" w:hAnsi="Arial" w:cs="Arial"/>
                <w:b/>
                <w:sz w:val="16"/>
                <w:szCs w:val="16"/>
              </w:rPr>
              <w:t>Option 1</w:t>
            </w:r>
          </w:p>
          <w:p w14:paraId="55C71D89" w14:textId="77777777" w:rsidR="00030089" w:rsidRPr="00071702" w:rsidRDefault="00030089" w:rsidP="008547F7">
            <w:pPr>
              <w:pStyle w:val="NoSpacing"/>
              <w:spacing w:before="60" w:line="360" w:lineRule="auto"/>
              <w:jc w:val="right"/>
              <w:rPr>
                <w:rFonts w:ascii="Arial" w:hAnsi="Arial" w:cs="Arial"/>
                <w:sz w:val="16"/>
                <w:szCs w:val="16"/>
              </w:rPr>
            </w:pPr>
          </w:p>
        </w:tc>
        <w:tc>
          <w:tcPr>
            <w:tcW w:w="1836" w:type="dxa"/>
            <w:shd w:val="pct10" w:color="auto" w:fill="auto"/>
            <w:tcMar>
              <w:top w:w="0" w:type="dxa"/>
              <w:left w:w="108" w:type="dxa"/>
              <w:bottom w:w="0" w:type="dxa"/>
              <w:right w:w="108" w:type="dxa"/>
            </w:tcMar>
          </w:tcPr>
          <w:p w14:paraId="52C50150" w14:textId="77777777" w:rsidR="00030089" w:rsidRPr="00071702" w:rsidRDefault="00030089" w:rsidP="008547F7">
            <w:pPr>
              <w:pStyle w:val="NoSpacing"/>
              <w:spacing w:before="60" w:line="360" w:lineRule="auto"/>
              <w:jc w:val="right"/>
              <w:rPr>
                <w:rFonts w:ascii="Arial" w:hAnsi="Arial" w:cs="Arial"/>
                <w:b/>
                <w:sz w:val="16"/>
                <w:szCs w:val="16"/>
              </w:rPr>
            </w:pPr>
            <w:r w:rsidRPr="00071702">
              <w:rPr>
                <w:rFonts w:ascii="Arial" w:hAnsi="Arial" w:cs="Arial"/>
                <w:b/>
                <w:sz w:val="16"/>
                <w:szCs w:val="16"/>
              </w:rPr>
              <w:t>Option 2</w:t>
            </w:r>
          </w:p>
          <w:p w14:paraId="6AD02D28" w14:textId="77777777" w:rsidR="00030089" w:rsidRPr="00071702" w:rsidRDefault="00030089" w:rsidP="008547F7">
            <w:pPr>
              <w:pStyle w:val="NoSpacing"/>
              <w:spacing w:before="60" w:line="360" w:lineRule="auto"/>
              <w:jc w:val="right"/>
              <w:rPr>
                <w:rFonts w:ascii="Arial" w:hAnsi="Arial" w:cs="Arial"/>
                <w:b/>
                <w:color w:val="0070C0"/>
                <w:sz w:val="16"/>
                <w:szCs w:val="16"/>
              </w:rPr>
            </w:pPr>
          </w:p>
        </w:tc>
        <w:tc>
          <w:tcPr>
            <w:tcW w:w="1836" w:type="dxa"/>
            <w:shd w:val="pct10" w:color="auto" w:fill="auto"/>
            <w:tcMar>
              <w:top w:w="0" w:type="dxa"/>
              <w:left w:w="108" w:type="dxa"/>
              <w:bottom w:w="0" w:type="dxa"/>
              <w:right w:w="108" w:type="dxa"/>
            </w:tcMar>
          </w:tcPr>
          <w:p w14:paraId="4F61423B" w14:textId="77777777" w:rsidR="00030089" w:rsidRPr="00732FFB" w:rsidRDefault="00030089" w:rsidP="008547F7">
            <w:pPr>
              <w:pStyle w:val="NoSpacing"/>
              <w:spacing w:before="60" w:line="360" w:lineRule="auto"/>
              <w:jc w:val="right"/>
              <w:rPr>
                <w:rFonts w:ascii="Arial" w:hAnsi="Arial" w:cs="Arial"/>
                <w:b/>
                <w:sz w:val="16"/>
                <w:szCs w:val="16"/>
              </w:rPr>
            </w:pPr>
            <w:r w:rsidRPr="00732FFB">
              <w:rPr>
                <w:rFonts w:ascii="Arial" w:hAnsi="Arial" w:cs="Arial"/>
                <w:b/>
                <w:sz w:val="16"/>
                <w:szCs w:val="16"/>
              </w:rPr>
              <w:t>Option 3</w:t>
            </w:r>
          </w:p>
          <w:p w14:paraId="61369E15" w14:textId="77777777" w:rsidR="00030089" w:rsidRPr="00732FFB" w:rsidRDefault="00030089" w:rsidP="008547F7">
            <w:pPr>
              <w:pStyle w:val="NoSpacing"/>
              <w:spacing w:before="60" w:line="360" w:lineRule="auto"/>
              <w:jc w:val="right"/>
              <w:rPr>
                <w:rFonts w:ascii="Arial" w:hAnsi="Arial" w:cs="Arial"/>
                <w:sz w:val="16"/>
                <w:szCs w:val="16"/>
              </w:rPr>
            </w:pPr>
          </w:p>
        </w:tc>
        <w:tc>
          <w:tcPr>
            <w:tcW w:w="1836" w:type="dxa"/>
            <w:shd w:val="pct10" w:color="auto" w:fill="auto"/>
            <w:tcMar>
              <w:top w:w="0" w:type="dxa"/>
              <w:left w:w="108" w:type="dxa"/>
              <w:bottom w:w="0" w:type="dxa"/>
              <w:right w:w="108" w:type="dxa"/>
            </w:tcMar>
          </w:tcPr>
          <w:p w14:paraId="075B84DE" w14:textId="77777777" w:rsidR="00030089" w:rsidRPr="00732FFB" w:rsidRDefault="00030089" w:rsidP="008547F7">
            <w:pPr>
              <w:pStyle w:val="NoSpacing"/>
              <w:spacing w:before="60" w:line="360" w:lineRule="auto"/>
              <w:jc w:val="right"/>
              <w:rPr>
                <w:rFonts w:ascii="Arial" w:hAnsi="Arial" w:cs="Arial"/>
                <w:b/>
                <w:sz w:val="16"/>
                <w:szCs w:val="16"/>
              </w:rPr>
            </w:pPr>
            <w:r w:rsidRPr="00732FFB">
              <w:rPr>
                <w:rFonts w:ascii="Arial" w:hAnsi="Arial" w:cs="Arial"/>
                <w:b/>
                <w:sz w:val="16"/>
                <w:szCs w:val="16"/>
              </w:rPr>
              <w:t xml:space="preserve">Option 4 </w:t>
            </w:r>
          </w:p>
          <w:p w14:paraId="5D04E814" w14:textId="77777777" w:rsidR="00030089" w:rsidRPr="00732FFB" w:rsidRDefault="00030089" w:rsidP="008547F7">
            <w:pPr>
              <w:pStyle w:val="NoSpacing"/>
              <w:spacing w:before="60" w:line="360" w:lineRule="auto"/>
              <w:jc w:val="right"/>
              <w:rPr>
                <w:rFonts w:ascii="Arial" w:hAnsi="Arial" w:cs="Arial"/>
                <w:sz w:val="16"/>
                <w:szCs w:val="16"/>
              </w:rPr>
            </w:pPr>
          </w:p>
        </w:tc>
      </w:tr>
      <w:tr w:rsidR="00030089" w:rsidRPr="006C7FB7" w14:paraId="34A26A6E" w14:textId="77777777" w:rsidTr="008547F7">
        <w:tc>
          <w:tcPr>
            <w:tcW w:w="1587" w:type="dxa"/>
            <w:shd w:val="clear" w:color="auto" w:fill="auto"/>
          </w:tcPr>
          <w:p w14:paraId="0A0B3BE8" w14:textId="77777777" w:rsidR="00030089" w:rsidRPr="000729A4" w:rsidRDefault="00030089" w:rsidP="008547F7">
            <w:pPr>
              <w:pStyle w:val="NoSpacing"/>
              <w:spacing w:before="60" w:line="360" w:lineRule="auto"/>
              <w:rPr>
                <w:rFonts w:ascii="Arial" w:hAnsi="Arial" w:cs="Arial"/>
                <w:b/>
                <w:sz w:val="16"/>
                <w:szCs w:val="16"/>
              </w:rPr>
            </w:pPr>
            <w:r w:rsidRPr="000729A4">
              <w:rPr>
                <w:rFonts w:ascii="Arial" w:hAnsi="Arial" w:cs="Arial"/>
                <w:b/>
                <w:sz w:val="16"/>
                <w:szCs w:val="16"/>
              </w:rPr>
              <w:t>NPV</w:t>
            </w:r>
          </w:p>
          <w:p w14:paraId="6C05ED46" w14:textId="77777777" w:rsidR="00030089" w:rsidRPr="00063395" w:rsidRDefault="00030089" w:rsidP="008547F7">
            <w:pPr>
              <w:pStyle w:val="NoSpacing"/>
              <w:spacing w:before="60" w:line="360" w:lineRule="auto"/>
              <w:rPr>
                <w:rFonts w:ascii="Arial" w:hAnsi="Arial" w:cs="Arial"/>
                <w:sz w:val="16"/>
                <w:szCs w:val="16"/>
              </w:rPr>
            </w:pPr>
          </w:p>
        </w:tc>
        <w:tc>
          <w:tcPr>
            <w:tcW w:w="1836" w:type="dxa"/>
            <w:shd w:val="clear" w:color="auto" w:fill="auto"/>
          </w:tcPr>
          <w:p w14:paraId="3A6C86E6" w14:textId="77777777" w:rsidR="00030089" w:rsidRPr="00ED6987" w:rsidRDefault="00030089" w:rsidP="008547F7">
            <w:pPr>
              <w:jc w:val="right"/>
              <w:rPr>
                <w:rFonts w:ascii="Arial" w:hAnsi="Arial" w:cs="Arial"/>
                <w:b/>
                <w:bCs/>
                <w:color w:val="000000"/>
                <w:sz w:val="16"/>
                <w:szCs w:val="16"/>
              </w:rPr>
            </w:pPr>
            <w:r w:rsidRPr="00792CEC">
              <w:rPr>
                <w:rFonts w:ascii="Arial" w:hAnsi="Arial" w:cs="Arial"/>
                <w:b/>
                <w:bCs/>
                <w:color w:val="000000"/>
                <w:sz w:val="16"/>
                <w:szCs w:val="16"/>
              </w:rPr>
              <w:t>$3</w:t>
            </w:r>
            <w:r>
              <w:rPr>
                <w:rFonts w:ascii="Arial" w:hAnsi="Arial" w:cs="Arial"/>
                <w:b/>
                <w:bCs/>
                <w:color w:val="000000"/>
                <w:sz w:val="16"/>
                <w:szCs w:val="16"/>
              </w:rPr>
              <w:t xml:space="preserve"> </w:t>
            </w:r>
            <w:r w:rsidRPr="00792CEC">
              <w:rPr>
                <w:rFonts w:ascii="Arial" w:hAnsi="Arial" w:cs="Arial"/>
                <w:b/>
                <w:bCs/>
                <w:color w:val="000000"/>
                <w:sz w:val="16"/>
                <w:szCs w:val="16"/>
              </w:rPr>
              <w:t>681</w:t>
            </w:r>
            <w:r>
              <w:rPr>
                <w:rFonts w:ascii="Arial" w:hAnsi="Arial" w:cs="Arial"/>
                <w:b/>
                <w:bCs/>
                <w:color w:val="000000"/>
                <w:sz w:val="16"/>
                <w:szCs w:val="16"/>
              </w:rPr>
              <w:t xml:space="preserve"> </w:t>
            </w:r>
            <w:r w:rsidRPr="00792CEC">
              <w:rPr>
                <w:rFonts w:ascii="Arial" w:hAnsi="Arial" w:cs="Arial"/>
                <w:b/>
                <w:bCs/>
                <w:color w:val="000000"/>
                <w:sz w:val="16"/>
                <w:szCs w:val="16"/>
              </w:rPr>
              <w:t>724</w:t>
            </w:r>
          </w:p>
          <w:p w14:paraId="707FF1C1" w14:textId="77777777" w:rsidR="00030089" w:rsidRPr="00ED6987" w:rsidRDefault="00030089" w:rsidP="008547F7">
            <w:pPr>
              <w:pStyle w:val="NoSpacing"/>
              <w:spacing w:before="60" w:line="360" w:lineRule="auto"/>
              <w:jc w:val="right"/>
              <w:rPr>
                <w:rFonts w:ascii="Arial" w:hAnsi="Arial" w:cs="Arial"/>
                <w:b/>
                <w:sz w:val="16"/>
                <w:szCs w:val="16"/>
              </w:rPr>
            </w:pPr>
          </w:p>
        </w:tc>
        <w:tc>
          <w:tcPr>
            <w:tcW w:w="1836" w:type="dxa"/>
            <w:shd w:val="clear" w:color="auto" w:fill="auto"/>
            <w:tcMar>
              <w:top w:w="0" w:type="dxa"/>
              <w:left w:w="108" w:type="dxa"/>
              <w:bottom w:w="0" w:type="dxa"/>
              <w:right w:w="108" w:type="dxa"/>
            </w:tcMar>
          </w:tcPr>
          <w:p w14:paraId="776A6EE6" w14:textId="77777777" w:rsidR="00030089" w:rsidRPr="00ED6987" w:rsidRDefault="00030089" w:rsidP="008547F7">
            <w:pPr>
              <w:pStyle w:val="NoSpacing"/>
              <w:spacing w:before="60" w:line="360" w:lineRule="auto"/>
              <w:jc w:val="right"/>
              <w:rPr>
                <w:rFonts w:ascii="Arial" w:hAnsi="Arial" w:cs="Arial"/>
                <w:b/>
                <w:sz w:val="16"/>
                <w:szCs w:val="16"/>
              </w:rPr>
            </w:pPr>
            <w:r w:rsidRPr="00ED6987">
              <w:rPr>
                <w:rFonts w:ascii="Arial" w:hAnsi="Arial" w:cs="Arial"/>
                <w:b/>
                <w:sz w:val="16"/>
                <w:szCs w:val="16"/>
              </w:rPr>
              <w:t>-$971 000 000</w:t>
            </w:r>
          </w:p>
        </w:tc>
        <w:tc>
          <w:tcPr>
            <w:tcW w:w="1836" w:type="dxa"/>
            <w:shd w:val="clear" w:color="auto" w:fill="auto"/>
            <w:tcMar>
              <w:top w:w="0" w:type="dxa"/>
              <w:left w:w="108" w:type="dxa"/>
              <w:bottom w:w="0" w:type="dxa"/>
              <w:right w:w="108" w:type="dxa"/>
            </w:tcMar>
          </w:tcPr>
          <w:p w14:paraId="492D5C13" w14:textId="77777777" w:rsidR="00030089" w:rsidRPr="00ED6987" w:rsidRDefault="00030089" w:rsidP="008547F7">
            <w:pPr>
              <w:jc w:val="right"/>
              <w:rPr>
                <w:rFonts w:ascii="Arial" w:hAnsi="Arial" w:cs="Arial"/>
                <w:b/>
                <w:bCs/>
                <w:color w:val="000000"/>
                <w:sz w:val="16"/>
                <w:szCs w:val="16"/>
              </w:rPr>
            </w:pPr>
            <w:r w:rsidRPr="00792CEC">
              <w:rPr>
                <w:rFonts w:ascii="Arial" w:hAnsi="Arial" w:cs="Arial"/>
                <w:b/>
                <w:bCs/>
                <w:color w:val="000000"/>
                <w:sz w:val="16"/>
                <w:szCs w:val="16"/>
              </w:rPr>
              <w:t>$7</w:t>
            </w:r>
            <w:r>
              <w:rPr>
                <w:rFonts w:ascii="Arial" w:hAnsi="Arial" w:cs="Arial"/>
                <w:b/>
                <w:bCs/>
                <w:color w:val="000000"/>
                <w:sz w:val="16"/>
                <w:szCs w:val="16"/>
              </w:rPr>
              <w:t xml:space="preserve"> </w:t>
            </w:r>
            <w:r w:rsidRPr="00792CEC">
              <w:rPr>
                <w:rFonts w:ascii="Arial" w:hAnsi="Arial" w:cs="Arial"/>
                <w:b/>
                <w:bCs/>
                <w:color w:val="000000"/>
                <w:sz w:val="16"/>
                <w:szCs w:val="16"/>
              </w:rPr>
              <w:t>363</w:t>
            </w:r>
            <w:r>
              <w:rPr>
                <w:rFonts w:ascii="Arial" w:hAnsi="Arial" w:cs="Arial"/>
                <w:b/>
                <w:bCs/>
                <w:color w:val="000000"/>
                <w:sz w:val="16"/>
                <w:szCs w:val="16"/>
              </w:rPr>
              <w:t xml:space="preserve"> </w:t>
            </w:r>
            <w:r w:rsidRPr="00792CEC">
              <w:rPr>
                <w:rFonts w:ascii="Arial" w:hAnsi="Arial" w:cs="Arial"/>
                <w:b/>
                <w:bCs/>
                <w:color w:val="000000"/>
                <w:sz w:val="16"/>
                <w:szCs w:val="16"/>
              </w:rPr>
              <w:t>447</w:t>
            </w:r>
          </w:p>
          <w:p w14:paraId="6C321BBE" w14:textId="77777777" w:rsidR="00030089" w:rsidRPr="00ED6987" w:rsidRDefault="00030089" w:rsidP="008547F7">
            <w:pPr>
              <w:pStyle w:val="NoSpacing"/>
              <w:spacing w:before="60" w:line="360" w:lineRule="auto"/>
              <w:jc w:val="right"/>
              <w:rPr>
                <w:rFonts w:ascii="Arial" w:hAnsi="Arial" w:cs="Arial"/>
                <w:b/>
                <w:color w:val="000000"/>
                <w:sz w:val="16"/>
                <w:szCs w:val="16"/>
              </w:rPr>
            </w:pPr>
          </w:p>
        </w:tc>
        <w:tc>
          <w:tcPr>
            <w:tcW w:w="1836" w:type="dxa"/>
            <w:shd w:val="clear" w:color="auto" w:fill="auto"/>
            <w:tcMar>
              <w:top w:w="0" w:type="dxa"/>
              <w:left w:w="108" w:type="dxa"/>
              <w:bottom w:w="0" w:type="dxa"/>
              <w:right w:w="108" w:type="dxa"/>
            </w:tcMar>
          </w:tcPr>
          <w:p w14:paraId="595F35DE" w14:textId="77777777" w:rsidR="00030089" w:rsidRPr="00ED6987" w:rsidRDefault="00030089" w:rsidP="008547F7">
            <w:pPr>
              <w:pStyle w:val="NoSpacing"/>
              <w:spacing w:before="60" w:line="360" w:lineRule="auto"/>
              <w:jc w:val="right"/>
              <w:rPr>
                <w:rFonts w:ascii="Arial" w:hAnsi="Arial" w:cs="Arial"/>
                <w:b/>
                <w:sz w:val="16"/>
                <w:szCs w:val="16"/>
              </w:rPr>
            </w:pPr>
            <w:r w:rsidRPr="00ED6987">
              <w:rPr>
                <w:rFonts w:ascii="Arial" w:hAnsi="Arial" w:cs="Arial"/>
                <w:b/>
                <w:sz w:val="16"/>
                <w:szCs w:val="16"/>
              </w:rPr>
              <w:t>$38 000 000</w:t>
            </w:r>
          </w:p>
        </w:tc>
      </w:tr>
    </w:tbl>
    <w:p w14:paraId="55D9BD33" w14:textId="77777777" w:rsidR="00030089" w:rsidRDefault="00030089" w:rsidP="00030089">
      <w:pPr>
        <w:pStyle w:val="Caption"/>
        <w:keepNext/>
        <w:rPr>
          <w:noProof/>
          <w:color w:val="auto"/>
        </w:rPr>
      </w:pPr>
    </w:p>
    <w:p w14:paraId="1D3C330F" w14:textId="77777777" w:rsidR="00030089" w:rsidRDefault="00030089" w:rsidP="00030089">
      <w:pPr>
        <w:pStyle w:val="Caption"/>
        <w:keepNext/>
        <w:rPr>
          <w:noProof/>
          <w:color w:val="auto"/>
        </w:rPr>
      </w:pPr>
      <w:r w:rsidRPr="00682556">
        <w:rPr>
          <w:noProof/>
          <w:color w:val="auto"/>
        </w:rPr>
        <w:t xml:space="preserve"> </w:t>
      </w: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00" w:name="_Toc353562493"/>
      <w:r w:rsidR="00740026">
        <w:rPr>
          <w:noProof/>
          <w:color w:val="auto"/>
        </w:rPr>
        <w:t>12</w:t>
      </w:r>
      <w:r w:rsidRPr="00682556">
        <w:rPr>
          <w:noProof/>
          <w:color w:val="auto"/>
        </w:rPr>
        <w:fldChar w:fldCharType="end"/>
      </w:r>
      <w:r w:rsidRPr="00682556">
        <w:rPr>
          <w:noProof/>
          <w:color w:val="auto"/>
        </w:rPr>
        <w:t xml:space="preserve"> Table 4.3 Net Present Value (NPV) of key market costs and benefits over 25 years (3% sensitivity)</w:t>
      </w:r>
      <w:bookmarkEnd w:id="200"/>
    </w:p>
    <w:tbl>
      <w:tblPr>
        <w:tblW w:w="8931"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7"/>
        <w:gridCol w:w="1836"/>
        <w:gridCol w:w="1836"/>
        <w:gridCol w:w="1836"/>
        <w:gridCol w:w="1836"/>
      </w:tblGrid>
      <w:tr w:rsidR="00030089" w:rsidRPr="006C7FB7" w14:paraId="58032B6E" w14:textId="77777777" w:rsidTr="008547F7">
        <w:tc>
          <w:tcPr>
            <w:tcW w:w="1587" w:type="dxa"/>
            <w:shd w:val="pct10" w:color="auto" w:fill="auto"/>
          </w:tcPr>
          <w:p w14:paraId="297F7EA6" w14:textId="77777777" w:rsidR="00030089" w:rsidRPr="00071702" w:rsidRDefault="00030089" w:rsidP="008547F7">
            <w:pPr>
              <w:pStyle w:val="NoSpacing"/>
              <w:spacing w:before="60" w:line="360" w:lineRule="auto"/>
              <w:rPr>
                <w:rFonts w:ascii="Arial" w:hAnsi="Arial" w:cs="Arial"/>
                <w:b/>
                <w:sz w:val="16"/>
                <w:szCs w:val="16"/>
              </w:rPr>
            </w:pPr>
            <w:r w:rsidRPr="00071702">
              <w:rPr>
                <w:rFonts w:ascii="Arial" w:hAnsi="Arial" w:cs="Arial"/>
                <w:b/>
                <w:sz w:val="16"/>
                <w:szCs w:val="16"/>
              </w:rPr>
              <w:t>Options</w:t>
            </w:r>
          </w:p>
          <w:p w14:paraId="1B2A62A0" w14:textId="77777777" w:rsidR="00030089" w:rsidRPr="00071702" w:rsidRDefault="00030089" w:rsidP="008547F7">
            <w:pPr>
              <w:pStyle w:val="NoSpacing"/>
              <w:spacing w:before="60" w:line="360" w:lineRule="auto"/>
              <w:rPr>
                <w:rFonts w:ascii="Arial" w:hAnsi="Arial" w:cs="Arial"/>
                <w:b/>
                <w:sz w:val="16"/>
                <w:szCs w:val="16"/>
              </w:rPr>
            </w:pPr>
          </w:p>
        </w:tc>
        <w:tc>
          <w:tcPr>
            <w:tcW w:w="1836" w:type="dxa"/>
            <w:shd w:val="pct10" w:color="auto" w:fill="auto"/>
          </w:tcPr>
          <w:p w14:paraId="44165011" w14:textId="77777777" w:rsidR="00030089" w:rsidRPr="00071702" w:rsidRDefault="00030089" w:rsidP="008547F7">
            <w:pPr>
              <w:pStyle w:val="NoSpacing"/>
              <w:spacing w:before="60" w:line="360" w:lineRule="auto"/>
              <w:jc w:val="right"/>
              <w:rPr>
                <w:rFonts w:ascii="Arial" w:hAnsi="Arial" w:cs="Arial"/>
                <w:b/>
                <w:sz w:val="16"/>
                <w:szCs w:val="16"/>
              </w:rPr>
            </w:pPr>
            <w:r w:rsidRPr="00071702">
              <w:rPr>
                <w:rFonts w:ascii="Arial" w:hAnsi="Arial" w:cs="Arial"/>
                <w:b/>
                <w:sz w:val="16"/>
                <w:szCs w:val="16"/>
              </w:rPr>
              <w:t>Option 1</w:t>
            </w:r>
          </w:p>
          <w:p w14:paraId="270A8201" w14:textId="77777777" w:rsidR="00030089" w:rsidRPr="00071702" w:rsidRDefault="00030089" w:rsidP="008547F7">
            <w:pPr>
              <w:pStyle w:val="NoSpacing"/>
              <w:spacing w:before="60" w:line="360" w:lineRule="auto"/>
              <w:jc w:val="right"/>
              <w:rPr>
                <w:rFonts w:ascii="Arial" w:hAnsi="Arial" w:cs="Arial"/>
                <w:sz w:val="16"/>
                <w:szCs w:val="16"/>
              </w:rPr>
            </w:pPr>
          </w:p>
        </w:tc>
        <w:tc>
          <w:tcPr>
            <w:tcW w:w="1836" w:type="dxa"/>
            <w:shd w:val="pct10" w:color="auto" w:fill="auto"/>
            <w:tcMar>
              <w:top w:w="0" w:type="dxa"/>
              <w:left w:w="108" w:type="dxa"/>
              <w:bottom w:w="0" w:type="dxa"/>
              <w:right w:w="108" w:type="dxa"/>
            </w:tcMar>
          </w:tcPr>
          <w:p w14:paraId="592A346E" w14:textId="77777777" w:rsidR="00030089" w:rsidRPr="00071702" w:rsidRDefault="00030089" w:rsidP="008547F7">
            <w:pPr>
              <w:pStyle w:val="NoSpacing"/>
              <w:spacing w:before="60" w:line="360" w:lineRule="auto"/>
              <w:jc w:val="right"/>
              <w:rPr>
                <w:rFonts w:ascii="Arial" w:hAnsi="Arial" w:cs="Arial"/>
                <w:b/>
                <w:sz w:val="16"/>
                <w:szCs w:val="16"/>
              </w:rPr>
            </w:pPr>
            <w:r w:rsidRPr="00071702">
              <w:rPr>
                <w:rFonts w:ascii="Arial" w:hAnsi="Arial" w:cs="Arial"/>
                <w:b/>
                <w:sz w:val="16"/>
                <w:szCs w:val="16"/>
              </w:rPr>
              <w:t>Option 2</w:t>
            </w:r>
          </w:p>
          <w:p w14:paraId="432A5885" w14:textId="77777777" w:rsidR="00030089" w:rsidRPr="00071702" w:rsidRDefault="00030089" w:rsidP="008547F7">
            <w:pPr>
              <w:pStyle w:val="NoSpacing"/>
              <w:spacing w:before="60" w:line="360" w:lineRule="auto"/>
              <w:jc w:val="right"/>
              <w:rPr>
                <w:rFonts w:ascii="Arial" w:hAnsi="Arial" w:cs="Arial"/>
                <w:b/>
                <w:color w:val="0070C0"/>
                <w:sz w:val="16"/>
                <w:szCs w:val="16"/>
              </w:rPr>
            </w:pPr>
          </w:p>
        </w:tc>
        <w:tc>
          <w:tcPr>
            <w:tcW w:w="1836" w:type="dxa"/>
            <w:shd w:val="pct10" w:color="auto" w:fill="auto"/>
            <w:tcMar>
              <w:top w:w="0" w:type="dxa"/>
              <w:left w:w="108" w:type="dxa"/>
              <w:bottom w:w="0" w:type="dxa"/>
              <w:right w:w="108" w:type="dxa"/>
            </w:tcMar>
          </w:tcPr>
          <w:p w14:paraId="4A92CA1F" w14:textId="77777777" w:rsidR="00030089" w:rsidRPr="00732FFB" w:rsidRDefault="00030089" w:rsidP="008547F7">
            <w:pPr>
              <w:pStyle w:val="NoSpacing"/>
              <w:spacing w:before="60" w:line="360" w:lineRule="auto"/>
              <w:jc w:val="right"/>
              <w:rPr>
                <w:rFonts w:ascii="Arial" w:hAnsi="Arial" w:cs="Arial"/>
                <w:b/>
                <w:sz w:val="16"/>
                <w:szCs w:val="16"/>
              </w:rPr>
            </w:pPr>
            <w:r w:rsidRPr="00732FFB">
              <w:rPr>
                <w:rFonts w:ascii="Arial" w:hAnsi="Arial" w:cs="Arial"/>
                <w:b/>
                <w:sz w:val="16"/>
                <w:szCs w:val="16"/>
              </w:rPr>
              <w:t>Option 3</w:t>
            </w:r>
          </w:p>
          <w:p w14:paraId="7C60DF00" w14:textId="77777777" w:rsidR="00030089" w:rsidRPr="00732FFB" w:rsidRDefault="00030089" w:rsidP="008547F7">
            <w:pPr>
              <w:pStyle w:val="NoSpacing"/>
              <w:spacing w:before="60" w:line="360" w:lineRule="auto"/>
              <w:jc w:val="right"/>
              <w:rPr>
                <w:rFonts w:ascii="Arial" w:hAnsi="Arial" w:cs="Arial"/>
                <w:sz w:val="16"/>
                <w:szCs w:val="16"/>
              </w:rPr>
            </w:pPr>
          </w:p>
        </w:tc>
        <w:tc>
          <w:tcPr>
            <w:tcW w:w="1836" w:type="dxa"/>
            <w:shd w:val="pct10" w:color="auto" w:fill="auto"/>
            <w:tcMar>
              <w:top w:w="0" w:type="dxa"/>
              <w:left w:w="108" w:type="dxa"/>
              <w:bottom w:w="0" w:type="dxa"/>
              <w:right w:w="108" w:type="dxa"/>
            </w:tcMar>
          </w:tcPr>
          <w:p w14:paraId="2B57F7BD" w14:textId="77777777" w:rsidR="00030089" w:rsidRPr="00732FFB" w:rsidRDefault="00030089" w:rsidP="008547F7">
            <w:pPr>
              <w:pStyle w:val="NoSpacing"/>
              <w:spacing w:before="60" w:line="360" w:lineRule="auto"/>
              <w:jc w:val="right"/>
              <w:rPr>
                <w:rFonts w:ascii="Arial" w:hAnsi="Arial" w:cs="Arial"/>
                <w:b/>
                <w:sz w:val="16"/>
                <w:szCs w:val="16"/>
              </w:rPr>
            </w:pPr>
            <w:r w:rsidRPr="00732FFB">
              <w:rPr>
                <w:rFonts w:ascii="Arial" w:hAnsi="Arial" w:cs="Arial"/>
                <w:b/>
                <w:sz w:val="16"/>
                <w:szCs w:val="16"/>
              </w:rPr>
              <w:t xml:space="preserve">Option 4 </w:t>
            </w:r>
          </w:p>
          <w:p w14:paraId="68C7E759" w14:textId="77777777" w:rsidR="00030089" w:rsidRPr="00732FFB" w:rsidRDefault="00030089" w:rsidP="008547F7">
            <w:pPr>
              <w:pStyle w:val="NoSpacing"/>
              <w:spacing w:before="60" w:line="360" w:lineRule="auto"/>
              <w:jc w:val="right"/>
              <w:rPr>
                <w:rFonts w:ascii="Arial" w:hAnsi="Arial" w:cs="Arial"/>
                <w:sz w:val="16"/>
                <w:szCs w:val="16"/>
              </w:rPr>
            </w:pPr>
          </w:p>
        </w:tc>
      </w:tr>
      <w:tr w:rsidR="00030089" w:rsidRPr="006C7FB7" w14:paraId="40455C87" w14:textId="77777777" w:rsidTr="008547F7">
        <w:tc>
          <w:tcPr>
            <w:tcW w:w="1587" w:type="dxa"/>
            <w:shd w:val="clear" w:color="auto" w:fill="auto"/>
          </w:tcPr>
          <w:p w14:paraId="0CA5FC99" w14:textId="77777777" w:rsidR="00030089" w:rsidRPr="000729A4" w:rsidRDefault="00030089" w:rsidP="008547F7">
            <w:pPr>
              <w:pStyle w:val="NoSpacing"/>
              <w:spacing w:before="60" w:line="360" w:lineRule="auto"/>
              <w:rPr>
                <w:rFonts w:ascii="Arial" w:hAnsi="Arial" w:cs="Arial"/>
                <w:b/>
                <w:sz w:val="16"/>
                <w:szCs w:val="16"/>
              </w:rPr>
            </w:pPr>
            <w:r w:rsidRPr="000729A4">
              <w:rPr>
                <w:rFonts w:ascii="Arial" w:hAnsi="Arial" w:cs="Arial"/>
                <w:b/>
                <w:sz w:val="16"/>
                <w:szCs w:val="16"/>
              </w:rPr>
              <w:t>NPV</w:t>
            </w:r>
          </w:p>
          <w:p w14:paraId="56D820B2" w14:textId="77777777" w:rsidR="00030089" w:rsidRPr="00063395" w:rsidRDefault="00030089" w:rsidP="008547F7">
            <w:pPr>
              <w:pStyle w:val="NoSpacing"/>
              <w:spacing w:before="60" w:line="360" w:lineRule="auto"/>
              <w:rPr>
                <w:rFonts w:ascii="Arial" w:hAnsi="Arial" w:cs="Arial"/>
                <w:sz w:val="16"/>
                <w:szCs w:val="16"/>
              </w:rPr>
            </w:pPr>
          </w:p>
        </w:tc>
        <w:tc>
          <w:tcPr>
            <w:tcW w:w="1836" w:type="dxa"/>
            <w:shd w:val="clear" w:color="auto" w:fill="auto"/>
          </w:tcPr>
          <w:p w14:paraId="3C6B1F76" w14:textId="77777777" w:rsidR="00030089" w:rsidRPr="00ED6987" w:rsidRDefault="00030089" w:rsidP="008547F7">
            <w:pPr>
              <w:jc w:val="right"/>
              <w:rPr>
                <w:rFonts w:ascii="Arial" w:hAnsi="Arial" w:cs="Arial"/>
                <w:b/>
                <w:bCs/>
                <w:color w:val="000000"/>
                <w:sz w:val="16"/>
                <w:szCs w:val="16"/>
              </w:rPr>
            </w:pPr>
            <w:r w:rsidRPr="00792CEC">
              <w:rPr>
                <w:rFonts w:ascii="Arial" w:hAnsi="Arial" w:cs="Arial"/>
                <w:b/>
                <w:bCs/>
                <w:color w:val="000000"/>
                <w:sz w:val="16"/>
                <w:szCs w:val="16"/>
              </w:rPr>
              <w:t>$7</w:t>
            </w:r>
            <w:r>
              <w:rPr>
                <w:rFonts w:ascii="Arial" w:hAnsi="Arial" w:cs="Arial"/>
                <w:b/>
                <w:bCs/>
                <w:color w:val="000000"/>
                <w:sz w:val="16"/>
                <w:szCs w:val="16"/>
              </w:rPr>
              <w:t xml:space="preserve"> </w:t>
            </w:r>
            <w:r w:rsidRPr="00792CEC">
              <w:rPr>
                <w:rFonts w:ascii="Arial" w:hAnsi="Arial" w:cs="Arial"/>
                <w:b/>
                <w:bCs/>
                <w:color w:val="000000"/>
                <w:sz w:val="16"/>
                <w:szCs w:val="16"/>
              </w:rPr>
              <w:t>831</w:t>
            </w:r>
            <w:r>
              <w:rPr>
                <w:rFonts w:ascii="Arial" w:hAnsi="Arial" w:cs="Arial"/>
                <w:b/>
                <w:bCs/>
                <w:color w:val="000000"/>
                <w:sz w:val="16"/>
                <w:szCs w:val="16"/>
              </w:rPr>
              <w:t xml:space="preserve"> </w:t>
            </w:r>
            <w:r w:rsidRPr="00792CEC">
              <w:rPr>
                <w:rFonts w:ascii="Arial" w:hAnsi="Arial" w:cs="Arial"/>
                <w:b/>
                <w:bCs/>
                <w:color w:val="000000"/>
                <w:sz w:val="16"/>
                <w:szCs w:val="16"/>
              </w:rPr>
              <w:t>879</w:t>
            </w:r>
          </w:p>
          <w:p w14:paraId="74A2C0B0" w14:textId="77777777" w:rsidR="00030089" w:rsidRPr="00063395" w:rsidRDefault="00030089" w:rsidP="008547F7">
            <w:pPr>
              <w:pStyle w:val="NoSpacing"/>
              <w:spacing w:before="60" w:line="360" w:lineRule="auto"/>
              <w:jc w:val="right"/>
              <w:rPr>
                <w:rFonts w:ascii="Arial" w:hAnsi="Arial" w:cs="Arial"/>
                <w:b/>
                <w:sz w:val="16"/>
                <w:szCs w:val="16"/>
              </w:rPr>
            </w:pPr>
          </w:p>
        </w:tc>
        <w:tc>
          <w:tcPr>
            <w:tcW w:w="1836" w:type="dxa"/>
            <w:shd w:val="clear" w:color="auto" w:fill="auto"/>
            <w:tcMar>
              <w:top w:w="0" w:type="dxa"/>
              <w:left w:w="108" w:type="dxa"/>
              <w:bottom w:w="0" w:type="dxa"/>
              <w:right w:w="108" w:type="dxa"/>
            </w:tcMar>
          </w:tcPr>
          <w:p w14:paraId="22C72370" w14:textId="77777777" w:rsidR="00030089" w:rsidRPr="00C410AE" w:rsidRDefault="00030089" w:rsidP="008547F7">
            <w:pPr>
              <w:pStyle w:val="NoSpacing"/>
              <w:spacing w:before="60" w:line="360" w:lineRule="auto"/>
              <w:jc w:val="right"/>
              <w:rPr>
                <w:rFonts w:ascii="Arial" w:hAnsi="Arial" w:cs="Arial"/>
                <w:b/>
                <w:sz w:val="16"/>
                <w:szCs w:val="16"/>
              </w:rPr>
            </w:pPr>
            <w:r>
              <w:rPr>
                <w:rFonts w:ascii="Arial" w:hAnsi="Arial" w:cs="Arial"/>
                <w:b/>
                <w:sz w:val="16"/>
                <w:szCs w:val="16"/>
              </w:rPr>
              <w:t>-$2 458 000 000</w:t>
            </w:r>
          </w:p>
        </w:tc>
        <w:tc>
          <w:tcPr>
            <w:tcW w:w="1836" w:type="dxa"/>
            <w:shd w:val="clear" w:color="auto" w:fill="auto"/>
            <w:tcMar>
              <w:top w:w="0" w:type="dxa"/>
              <w:left w:w="108" w:type="dxa"/>
              <w:bottom w:w="0" w:type="dxa"/>
              <w:right w:w="108" w:type="dxa"/>
            </w:tcMar>
          </w:tcPr>
          <w:p w14:paraId="4CA75122" w14:textId="77777777" w:rsidR="00030089" w:rsidRPr="00ED6987" w:rsidRDefault="00030089" w:rsidP="008547F7">
            <w:pPr>
              <w:jc w:val="right"/>
              <w:rPr>
                <w:rFonts w:ascii="Arial" w:hAnsi="Arial" w:cs="Arial"/>
                <w:b/>
                <w:bCs/>
                <w:color w:val="000000"/>
                <w:sz w:val="16"/>
                <w:szCs w:val="16"/>
              </w:rPr>
            </w:pPr>
            <w:r w:rsidRPr="00792CEC">
              <w:rPr>
                <w:rFonts w:ascii="Arial" w:hAnsi="Arial" w:cs="Arial"/>
                <w:b/>
                <w:bCs/>
                <w:color w:val="000000"/>
                <w:sz w:val="16"/>
                <w:szCs w:val="16"/>
              </w:rPr>
              <w:t>$15</w:t>
            </w:r>
            <w:r>
              <w:rPr>
                <w:rFonts w:ascii="Arial" w:hAnsi="Arial" w:cs="Arial"/>
                <w:b/>
                <w:bCs/>
                <w:color w:val="000000"/>
                <w:sz w:val="16"/>
                <w:szCs w:val="16"/>
              </w:rPr>
              <w:t xml:space="preserve"> </w:t>
            </w:r>
            <w:r w:rsidRPr="00792CEC">
              <w:rPr>
                <w:rFonts w:ascii="Arial" w:hAnsi="Arial" w:cs="Arial"/>
                <w:b/>
                <w:bCs/>
                <w:color w:val="000000"/>
                <w:sz w:val="16"/>
                <w:szCs w:val="16"/>
              </w:rPr>
              <w:t>663</w:t>
            </w:r>
            <w:r>
              <w:rPr>
                <w:rFonts w:ascii="Arial" w:hAnsi="Arial" w:cs="Arial"/>
                <w:b/>
                <w:bCs/>
                <w:color w:val="000000"/>
                <w:sz w:val="16"/>
                <w:szCs w:val="16"/>
              </w:rPr>
              <w:t xml:space="preserve"> </w:t>
            </w:r>
            <w:r w:rsidRPr="00792CEC">
              <w:rPr>
                <w:rFonts w:ascii="Arial" w:hAnsi="Arial" w:cs="Arial"/>
                <w:b/>
                <w:bCs/>
                <w:color w:val="000000"/>
                <w:sz w:val="16"/>
                <w:szCs w:val="16"/>
              </w:rPr>
              <w:t>758</w:t>
            </w:r>
          </w:p>
          <w:p w14:paraId="49E07033" w14:textId="77777777" w:rsidR="00030089" w:rsidRPr="00AD372A" w:rsidRDefault="00030089" w:rsidP="008547F7">
            <w:pPr>
              <w:pStyle w:val="NoSpacing"/>
              <w:spacing w:before="60" w:line="360" w:lineRule="auto"/>
              <w:jc w:val="right"/>
              <w:rPr>
                <w:rFonts w:ascii="Arial" w:hAnsi="Arial" w:cs="Arial"/>
                <w:b/>
                <w:color w:val="000000"/>
                <w:sz w:val="16"/>
                <w:szCs w:val="16"/>
              </w:rPr>
            </w:pPr>
          </w:p>
        </w:tc>
        <w:tc>
          <w:tcPr>
            <w:tcW w:w="1836" w:type="dxa"/>
            <w:shd w:val="clear" w:color="auto" w:fill="auto"/>
            <w:tcMar>
              <w:top w:w="0" w:type="dxa"/>
              <w:left w:w="108" w:type="dxa"/>
              <w:bottom w:w="0" w:type="dxa"/>
              <w:right w:w="108" w:type="dxa"/>
            </w:tcMar>
          </w:tcPr>
          <w:p w14:paraId="423D2F1E" w14:textId="77777777" w:rsidR="00030089" w:rsidRPr="006E78B4" w:rsidRDefault="00030089" w:rsidP="008547F7">
            <w:pPr>
              <w:pStyle w:val="NoSpacing"/>
              <w:spacing w:before="60" w:line="360" w:lineRule="auto"/>
              <w:jc w:val="right"/>
              <w:rPr>
                <w:rFonts w:ascii="Arial" w:hAnsi="Arial" w:cs="Arial"/>
                <w:b/>
                <w:sz w:val="16"/>
                <w:szCs w:val="16"/>
              </w:rPr>
            </w:pPr>
            <w:r>
              <w:rPr>
                <w:rFonts w:ascii="Arial" w:hAnsi="Arial" w:cs="Arial"/>
                <w:b/>
                <w:sz w:val="16"/>
                <w:szCs w:val="16"/>
              </w:rPr>
              <w:t>$59 000 000</w:t>
            </w:r>
          </w:p>
        </w:tc>
      </w:tr>
    </w:tbl>
    <w:p w14:paraId="3FFB7D96" w14:textId="77777777" w:rsidR="00030089" w:rsidRDefault="00030089" w:rsidP="00030089"/>
    <w:p w14:paraId="2E0DB577"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01" w:name="_Toc353562494"/>
      <w:r w:rsidR="00740026">
        <w:rPr>
          <w:noProof/>
          <w:color w:val="auto"/>
        </w:rPr>
        <w:t>13</w:t>
      </w:r>
      <w:r w:rsidRPr="00682556">
        <w:rPr>
          <w:noProof/>
          <w:color w:val="auto"/>
        </w:rPr>
        <w:fldChar w:fldCharType="end"/>
      </w:r>
      <w:r w:rsidRPr="00682556">
        <w:rPr>
          <w:noProof/>
          <w:color w:val="auto"/>
        </w:rPr>
        <w:t xml:space="preserve">  Table 4.4 Net Present Value (NPV) of key market costs and benefits over 10 years (discounted 7%)</w:t>
      </w:r>
      <w:bookmarkEnd w:id="201"/>
      <w:r w:rsidRPr="00682556">
        <w:rPr>
          <w:noProof/>
          <w:color w:val="auto"/>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7"/>
        <w:gridCol w:w="1836"/>
        <w:gridCol w:w="1836"/>
        <w:gridCol w:w="1836"/>
        <w:gridCol w:w="1836"/>
      </w:tblGrid>
      <w:tr w:rsidR="00030089" w:rsidRPr="006C7FB7" w14:paraId="4034E587" w14:textId="77777777" w:rsidTr="008547F7">
        <w:tc>
          <w:tcPr>
            <w:tcW w:w="1587" w:type="dxa"/>
            <w:shd w:val="pct10" w:color="auto" w:fill="auto"/>
          </w:tcPr>
          <w:p w14:paraId="5EF76521" w14:textId="77777777" w:rsidR="00030089" w:rsidRPr="00071702" w:rsidRDefault="00030089" w:rsidP="008547F7">
            <w:pPr>
              <w:pStyle w:val="NoSpacing"/>
              <w:spacing w:before="60" w:line="360" w:lineRule="auto"/>
              <w:rPr>
                <w:rFonts w:ascii="Arial" w:hAnsi="Arial" w:cs="Arial"/>
                <w:b/>
                <w:sz w:val="16"/>
                <w:szCs w:val="16"/>
              </w:rPr>
            </w:pPr>
            <w:r w:rsidRPr="00071702">
              <w:rPr>
                <w:rFonts w:ascii="Arial" w:hAnsi="Arial" w:cs="Arial"/>
                <w:b/>
                <w:sz w:val="16"/>
                <w:szCs w:val="16"/>
              </w:rPr>
              <w:t>Options</w:t>
            </w:r>
          </w:p>
          <w:p w14:paraId="53EF8717" w14:textId="77777777" w:rsidR="00030089" w:rsidRPr="00071702" w:rsidRDefault="00030089" w:rsidP="008547F7">
            <w:pPr>
              <w:pStyle w:val="NoSpacing"/>
              <w:spacing w:before="60" w:line="360" w:lineRule="auto"/>
              <w:rPr>
                <w:rFonts w:ascii="Arial" w:hAnsi="Arial" w:cs="Arial"/>
                <w:b/>
                <w:sz w:val="16"/>
                <w:szCs w:val="16"/>
              </w:rPr>
            </w:pPr>
          </w:p>
        </w:tc>
        <w:tc>
          <w:tcPr>
            <w:tcW w:w="1836" w:type="dxa"/>
            <w:shd w:val="pct10" w:color="auto" w:fill="auto"/>
          </w:tcPr>
          <w:p w14:paraId="271E70F9" w14:textId="77777777" w:rsidR="00030089" w:rsidRPr="00071702" w:rsidRDefault="00030089" w:rsidP="008547F7">
            <w:pPr>
              <w:pStyle w:val="NoSpacing"/>
              <w:spacing w:before="60" w:line="360" w:lineRule="auto"/>
              <w:jc w:val="right"/>
              <w:rPr>
                <w:rFonts w:ascii="Arial" w:hAnsi="Arial" w:cs="Arial"/>
                <w:b/>
                <w:sz w:val="16"/>
                <w:szCs w:val="16"/>
              </w:rPr>
            </w:pPr>
            <w:r w:rsidRPr="00071702">
              <w:rPr>
                <w:rFonts w:ascii="Arial" w:hAnsi="Arial" w:cs="Arial"/>
                <w:b/>
                <w:sz w:val="16"/>
                <w:szCs w:val="16"/>
              </w:rPr>
              <w:t>Option 1</w:t>
            </w:r>
          </w:p>
          <w:p w14:paraId="55E0BE59" w14:textId="77777777" w:rsidR="00030089" w:rsidRPr="00071702" w:rsidRDefault="00030089" w:rsidP="008547F7">
            <w:pPr>
              <w:pStyle w:val="NoSpacing"/>
              <w:spacing w:before="60" w:line="360" w:lineRule="auto"/>
              <w:jc w:val="right"/>
              <w:rPr>
                <w:rFonts w:ascii="Arial" w:hAnsi="Arial" w:cs="Arial"/>
                <w:sz w:val="16"/>
                <w:szCs w:val="16"/>
              </w:rPr>
            </w:pPr>
          </w:p>
        </w:tc>
        <w:tc>
          <w:tcPr>
            <w:tcW w:w="1836" w:type="dxa"/>
            <w:shd w:val="pct10" w:color="auto" w:fill="auto"/>
            <w:tcMar>
              <w:top w:w="0" w:type="dxa"/>
              <w:left w:w="108" w:type="dxa"/>
              <w:bottom w:w="0" w:type="dxa"/>
              <w:right w:w="108" w:type="dxa"/>
            </w:tcMar>
          </w:tcPr>
          <w:p w14:paraId="29F33785" w14:textId="77777777" w:rsidR="00030089" w:rsidRPr="00071702" w:rsidRDefault="00030089" w:rsidP="008547F7">
            <w:pPr>
              <w:pStyle w:val="NoSpacing"/>
              <w:spacing w:before="60" w:line="360" w:lineRule="auto"/>
              <w:jc w:val="right"/>
              <w:rPr>
                <w:rFonts w:ascii="Arial" w:hAnsi="Arial" w:cs="Arial"/>
                <w:b/>
                <w:sz w:val="16"/>
                <w:szCs w:val="16"/>
              </w:rPr>
            </w:pPr>
            <w:r w:rsidRPr="00071702">
              <w:rPr>
                <w:rFonts w:ascii="Arial" w:hAnsi="Arial" w:cs="Arial"/>
                <w:b/>
                <w:sz w:val="16"/>
                <w:szCs w:val="16"/>
              </w:rPr>
              <w:t>Option 2</w:t>
            </w:r>
          </w:p>
          <w:p w14:paraId="72A5C553" w14:textId="77777777" w:rsidR="00030089" w:rsidRPr="00071702" w:rsidRDefault="00030089" w:rsidP="008547F7">
            <w:pPr>
              <w:pStyle w:val="NoSpacing"/>
              <w:spacing w:before="60" w:line="360" w:lineRule="auto"/>
              <w:jc w:val="right"/>
              <w:rPr>
                <w:rFonts w:ascii="Arial" w:hAnsi="Arial" w:cs="Arial"/>
                <w:b/>
                <w:color w:val="0070C0"/>
                <w:sz w:val="16"/>
                <w:szCs w:val="16"/>
              </w:rPr>
            </w:pPr>
          </w:p>
        </w:tc>
        <w:tc>
          <w:tcPr>
            <w:tcW w:w="1836" w:type="dxa"/>
            <w:shd w:val="pct10" w:color="auto" w:fill="auto"/>
            <w:tcMar>
              <w:top w:w="0" w:type="dxa"/>
              <w:left w:w="108" w:type="dxa"/>
              <w:bottom w:w="0" w:type="dxa"/>
              <w:right w:w="108" w:type="dxa"/>
            </w:tcMar>
          </w:tcPr>
          <w:p w14:paraId="5C900374" w14:textId="77777777" w:rsidR="00030089" w:rsidRPr="00732FFB" w:rsidRDefault="00030089" w:rsidP="008547F7">
            <w:pPr>
              <w:pStyle w:val="NoSpacing"/>
              <w:spacing w:before="60" w:line="360" w:lineRule="auto"/>
              <w:jc w:val="right"/>
              <w:rPr>
                <w:rFonts w:ascii="Arial" w:hAnsi="Arial" w:cs="Arial"/>
                <w:b/>
                <w:sz w:val="16"/>
                <w:szCs w:val="16"/>
              </w:rPr>
            </w:pPr>
            <w:r w:rsidRPr="00732FFB">
              <w:rPr>
                <w:rFonts w:ascii="Arial" w:hAnsi="Arial" w:cs="Arial"/>
                <w:b/>
                <w:sz w:val="16"/>
                <w:szCs w:val="16"/>
              </w:rPr>
              <w:t>Option 3</w:t>
            </w:r>
          </w:p>
          <w:p w14:paraId="1BE14E30" w14:textId="77777777" w:rsidR="00030089" w:rsidRPr="00732FFB" w:rsidRDefault="00030089" w:rsidP="008547F7">
            <w:pPr>
              <w:pStyle w:val="NoSpacing"/>
              <w:spacing w:before="60" w:line="360" w:lineRule="auto"/>
              <w:jc w:val="right"/>
              <w:rPr>
                <w:rFonts w:ascii="Arial" w:hAnsi="Arial" w:cs="Arial"/>
                <w:sz w:val="16"/>
                <w:szCs w:val="16"/>
              </w:rPr>
            </w:pPr>
          </w:p>
        </w:tc>
        <w:tc>
          <w:tcPr>
            <w:tcW w:w="1836" w:type="dxa"/>
            <w:shd w:val="pct10" w:color="auto" w:fill="auto"/>
            <w:tcMar>
              <w:top w:w="0" w:type="dxa"/>
              <w:left w:w="108" w:type="dxa"/>
              <w:bottom w:w="0" w:type="dxa"/>
              <w:right w:w="108" w:type="dxa"/>
            </w:tcMar>
          </w:tcPr>
          <w:p w14:paraId="2D814122" w14:textId="77777777" w:rsidR="00030089" w:rsidRPr="00732FFB" w:rsidRDefault="00030089" w:rsidP="008547F7">
            <w:pPr>
              <w:pStyle w:val="NoSpacing"/>
              <w:spacing w:before="60" w:line="360" w:lineRule="auto"/>
              <w:jc w:val="right"/>
              <w:rPr>
                <w:rFonts w:ascii="Arial" w:hAnsi="Arial" w:cs="Arial"/>
                <w:b/>
                <w:sz w:val="16"/>
                <w:szCs w:val="16"/>
              </w:rPr>
            </w:pPr>
            <w:r w:rsidRPr="00732FFB">
              <w:rPr>
                <w:rFonts w:ascii="Arial" w:hAnsi="Arial" w:cs="Arial"/>
                <w:b/>
                <w:sz w:val="16"/>
                <w:szCs w:val="16"/>
              </w:rPr>
              <w:t xml:space="preserve">Option 4 </w:t>
            </w:r>
          </w:p>
          <w:p w14:paraId="52AC89F2" w14:textId="77777777" w:rsidR="00030089" w:rsidRPr="00732FFB" w:rsidRDefault="00030089" w:rsidP="008547F7">
            <w:pPr>
              <w:pStyle w:val="NoSpacing"/>
              <w:spacing w:before="60" w:line="360" w:lineRule="auto"/>
              <w:jc w:val="right"/>
              <w:rPr>
                <w:rFonts w:ascii="Arial" w:hAnsi="Arial" w:cs="Arial"/>
                <w:sz w:val="16"/>
                <w:szCs w:val="16"/>
              </w:rPr>
            </w:pPr>
          </w:p>
        </w:tc>
      </w:tr>
      <w:tr w:rsidR="00030089" w:rsidRPr="00063395" w14:paraId="13045465" w14:textId="77777777" w:rsidTr="008547F7">
        <w:tc>
          <w:tcPr>
            <w:tcW w:w="1587" w:type="dxa"/>
            <w:shd w:val="clear" w:color="auto" w:fill="auto"/>
          </w:tcPr>
          <w:p w14:paraId="48563300" w14:textId="77777777" w:rsidR="00030089" w:rsidRPr="0078240A" w:rsidRDefault="00030089" w:rsidP="008547F7">
            <w:pPr>
              <w:pStyle w:val="NoSpacing"/>
              <w:spacing w:before="60" w:line="360" w:lineRule="auto"/>
              <w:rPr>
                <w:rFonts w:ascii="Arial" w:hAnsi="Arial" w:cs="Arial"/>
                <w:sz w:val="16"/>
                <w:szCs w:val="16"/>
              </w:rPr>
            </w:pPr>
            <w:r w:rsidRPr="0078240A">
              <w:rPr>
                <w:rFonts w:ascii="Arial" w:hAnsi="Arial" w:cs="Arial"/>
                <w:sz w:val="16"/>
                <w:szCs w:val="16"/>
              </w:rPr>
              <w:t>Costs</w:t>
            </w:r>
          </w:p>
          <w:p w14:paraId="2DEF615D" w14:textId="77777777" w:rsidR="00030089" w:rsidRPr="0078240A" w:rsidRDefault="00030089" w:rsidP="008547F7">
            <w:pPr>
              <w:pStyle w:val="NoSpacing"/>
              <w:spacing w:before="60" w:line="360" w:lineRule="auto"/>
              <w:rPr>
                <w:rFonts w:ascii="Arial" w:hAnsi="Arial" w:cs="Arial"/>
                <w:sz w:val="16"/>
                <w:szCs w:val="16"/>
              </w:rPr>
            </w:pPr>
          </w:p>
        </w:tc>
        <w:tc>
          <w:tcPr>
            <w:tcW w:w="1836" w:type="dxa"/>
          </w:tcPr>
          <w:p w14:paraId="537708DF" w14:textId="77777777" w:rsidR="00030089" w:rsidRPr="00ED6987" w:rsidRDefault="00030089" w:rsidP="008547F7">
            <w:pPr>
              <w:pStyle w:val="NoSpacing"/>
              <w:spacing w:before="60" w:line="360" w:lineRule="auto"/>
              <w:jc w:val="right"/>
              <w:rPr>
                <w:rFonts w:ascii="Arial" w:hAnsi="Arial" w:cs="Arial"/>
                <w:b/>
                <w:sz w:val="16"/>
                <w:szCs w:val="16"/>
              </w:rPr>
            </w:pPr>
            <w:r w:rsidRPr="00792CEC">
              <w:rPr>
                <w:rFonts w:ascii="Arial" w:hAnsi="Arial" w:cs="Arial"/>
                <w:color w:val="000000"/>
                <w:sz w:val="16"/>
                <w:szCs w:val="16"/>
              </w:rPr>
              <w:t>$9</w:t>
            </w:r>
            <w:r>
              <w:rPr>
                <w:rFonts w:ascii="Arial" w:hAnsi="Arial" w:cs="Arial"/>
                <w:color w:val="000000"/>
                <w:sz w:val="16"/>
                <w:szCs w:val="16"/>
              </w:rPr>
              <w:t xml:space="preserve"> </w:t>
            </w:r>
            <w:r w:rsidRPr="00792CEC">
              <w:rPr>
                <w:rFonts w:ascii="Arial" w:hAnsi="Arial" w:cs="Arial"/>
                <w:color w:val="000000"/>
                <w:sz w:val="16"/>
                <w:szCs w:val="16"/>
              </w:rPr>
              <w:t>508</w:t>
            </w:r>
            <w:r>
              <w:rPr>
                <w:rFonts w:ascii="Arial" w:hAnsi="Arial" w:cs="Arial"/>
                <w:color w:val="000000"/>
                <w:sz w:val="16"/>
                <w:szCs w:val="16"/>
              </w:rPr>
              <w:t xml:space="preserve"> </w:t>
            </w:r>
            <w:r w:rsidRPr="00792CEC">
              <w:rPr>
                <w:rFonts w:ascii="Arial" w:hAnsi="Arial" w:cs="Arial"/>
                <w:color w:val="000000"/>
                <w:sz w:val="16"/>
                <w:szCs w:val="16"/>
              </w:rPr>
              <w:t>446</w:t>
            </w:r>
          </w:p>
        </w:tc>
        <w:tc>
          <w:tcPr>
            <w:tcW w:w="1836" w:type="dxa"/>
            <w:tcMar>
              <w:top w:w="0" w:type="dxa"/>
              <w:left w:w="108" w:type="dxa"/>
              <w:bottom w:w="0" w:type="dxa"/>
              <w:right w:w="108" w:type="dxa"/>
            </w:tcMar>
          </w:tcPr>
          <w:p w14:paraId="189C35EB" w14:textId="77777777" w:rsidR="00030089" w:rsidRPr="00ED6987" w:rsidRDefault="00030089" w:rsidP="008547F7">
            <w:pPr>
              <w:pStyle w:val="NoSpacing"/>
              <w:spacing w:before="60" w:line="360" w:lineRule="auto"/>
              <w:jc w:val="right"/>
              <w:rPr>
                <w:rFonts w:ascii="Arial" w:hAnsi="Arial" w:cs="Arial"/>
                <w:sz w:val="16"/>
                <w:szCs w:val="16"/>
              </w:rPr>
            </w:pPr>
            <w:r w:rsidRPr="00ED6987">
              <w:rPr>
                <w:rFonts w:ascii="Arial" w:hAnsi="Arial" w:cs="Arial"/>
                <w:sz w:val="16"/>
                <w:szCs w:val="16"/>
              </w:rPr>
              <w:t>NA</w:t>
            </w:r>
          </w:p>
        </w:tc>
        <w:tc>
          <w:tcPr>
            <w:tcW w:w="1836" w:type="dxa"/>
            <w:tcMar>
              <w:top w:w="0" w:type="dxa"/>
              <w:left w:w="108" w:type="dxa"/>
              <w:bottom w:w="0" w:type="dxa"/>
              <w:right w:w="108" w:type="dxa"/>
            </w:tcMar>
          </w:tcPr>
          <w:p w14:paraId="3BCD4938" w14:textId="77777777" w:rsidR="00030089" w:rsidRDefault="00030089" w:rsidP="008547F7">
            <w:pPr>
              <w:jc w:val="right"/>
              <w:rPr>
                <w:rFonts w:ascii="Arial" w:hAnsi="Arial" w:cs="Arial"/>
                <w:b/>
                <w:color w:val="000000"/>
                <w:sz w:val="16"/>
                <w:szCs w:val="16"/>
              </w:rPr>
            </w:pPr>
            <w:r w:rsidRPr="00792CEC">
              <w:rPr>
                <w:rFonts w:ascii="Arial" w:hAnsi="Arial" w:cs="Arial"/>
                <w:color w:val="000000"/>
                <w:sz w:val="16"/>
                <w:szCs w:val="16"/>
              </w:rPr>
              <w:t>$19</w:t>
            </w:r>
            <w:r>
              <w:rPr>
                <w:rFonts w:ascii="Arial" w:hAnsi="Arial" w:cs="Arial"/>
                <w:color w:val="000000"/>
                <w:sz w:val="16"/>
                <w:szCs w:val="16"/>
              </w:rPr>
              <w:t xml:space="preserve"> </w:t>
            </w:r>
            <w:r w:rsidRPr="00792CEC">
              <w:rPr>
                <w:rFonts w:ascii="Arial" w:hAnsi="Arial" w:cs="Arial"/>
                <w:color w:val="000000"/>
                <w:sz w:val="16"/>
                <w:szCs w:val="16"/>
              </w:rPr>
              <w:t>016</w:t>
            </w:r>
            <w:r>
              <w:rPr>
                <w:rFonts w:ascii="Arial" w:hAnsi="Arial" w:cs="Arial"/>
                <w:color w:val="000000"/>
                <w:sz w:val="16"/>
                <w:szCs w:val="16"/>
              </w:rPr>
              <w:t xml:space="preserve"> </w:t>
            </w:r>
            <w:r w:rsidRPr="00792CEC">
              <w:rPr>
                <w:rFonts w:ascii="Arial" w:hAnsi="Arial" w:cs="Arial"/>
                <w:color w:val="000000"/>
                <w:sz w:val="16"/>
                <w:szCs w:val="16"/>
              </w:rPr>
              <w:t>892</w:t>
            </w:r>
          </w:p>
        </w:tc>
        <w:tc>
          <w:tcPr>
            <w:tcW w:w="1836" w:type="dxa"/>
            <w:tcMar>
              <w:top w:w="0" w:type="dxa"/>
              <w:left w:w="108" w:type="dxa"/>
              <w:bottom w:w="0" w:type="dxa"/>
              <w:right w:w="108" w:type="dxa"/>
            </w:tcMar>
          </w:tcPr>
          <w:p w14:paraId="4D7EC2CF" w14:textId="77777777" w:rsidR="00030089" w:rsidRPr="00063395" w:rsidRDefault="00030089" w:rsidP="008547F7">
            <w:pPr>
              <w:pStyle w:val="NoSpacing"/>
              <w:spacing w:before="60" w:line="360" w:lineRule="auto"/>
              <w:jc w:val="right"/>
              <w:rPr>
                <w:rFonts w:ascii="Arial" w:hAnsi="Arial" w:cs="Arial"/>
                <w:sz w:val="16"/>
                <w:szCs w:val="16"/>
              </w:rPr>
            </w:pPr>
            <w:r>
              <w:rPr>
                <w:rFonts w:ascii="Arial" w:hAnsi="Arial" w:cs="Arial"/>
                <w:sz w:val="16"/>
                <w:szCs w:val="16"/>
              </w:rPr>
              <w:t>NA</w:t>
            </w:r>
          </w:p>
        </w:tc>
      </w:tr>
      <w:tr w:rsidR="00030089" w:rsidRPr="00063395" w14:paraId="31F9AFFF" w14:textId="77777777" w:rsidTr="008547F7">
        <w:tc>
          <w:tcPr>
            <w:tcW w:w="1587" w:type="dxa"/>
            <w:shd w:val="clear" w:color="auto" w:fill="auto"/>
          </w:tcPr>
          <w:p w14:paraId="28266E53" w14:textId="77777777" w:rsidR="00030089" w:rsidRPr="0078240A" w:rsidRDefault="00030089" w:rsidP="008547F7">
            <w:pPr>
              <w:pStyle w:val="NoSpacing"/>
              <w:spacing w:before="60" w:line="360" w:lineRule="auto"/>
              <w:rPr>
                <w:rFonts w:ascii="Arial" w:hAnsi="Arial" w:cs="Arial"/>
                <w:sz w:val="16"/>
                <w:szCs w:val="16"/>
              </w:rPr>
            </w:pPr>
            <w:r w:rsidRPr="0078240A">
              <w:rPr>
                <w:rFonts w:ascii="Arial" w:hAnsi="Arial" w:cs="Arial"/>
                <w:sz w:val="16"/>
                <w:szCs w:val="16"/>
              </w:rPr>
              <w:t>Market Benefits</w:t>
            </w:r>
          </w:p>
          <w:p w14:paraId="65633281" w14:textId="77777777" w:rsidR="00030089" w:rsidRPr="0078240A" w:rsidRDefault="00030089" w:rsidP="008547F7">
            <w:pPr>
              <w:pStyle w:val="NoSpacing"/>
              <w:spacing w:before="60" w:line="360" w:lineRule="auto"/>
              <w:rPr>
                <w:rFonts w:ascii="Arial" w:hAnsi="Arial" w:cs="Arial"/>
                <w:sz w:val="16"/>
                <w:szCs w:val="16"/>
              </w:rPr>
            </w:pPr>
          </w:p>
        </w:tc>
        <w:tc>
          <w:tcPr>
            <w:tcW w:w="1836" w:type="dxa"/>
          </w:tcPr>
          <w:p w14:paraId="29955C3A" w14:textId="77777777" w:rsidR="00030089" w:rsidRPr="00ED6987" w:rsidRDefault="00030089" w:rsidP="008547F7">
            <w:pPr>
              <w:pStyle w:val="NoSpacing"/>
              <w:spacing w:before="60" w:line="360" w:lineRule="auto"/>
              <w:jc w:val="right"/>
              <w:rPr>
                <w:rFonts w:ascii="Arial" w:hAnsi="Arial" w:cs="Arial"/>
                <w:b/>
                <w:sz w:val="16"/>
                <w:szCs w:val="16"/>
              </w:rPr>
            </w:pPr>
            <w:r w:rsidRPr="00792CEC">
              <w:rPr>
                <w:rFonts w:ascii="Arial" w:hAnsi="Arial" w:cs="Arial"/>
                <w:color w:val="000000"/>
                <w:sz w:val="16"/>
                <w:szCs w:val="16"/>
              </w:rPr>
              <w:t>$11</w:t>
            </w:r>
            <w:r>
              <w:rPr>
                <w:rFonts w:ascii="Arial" w:hAnsi="Arial" w:cs="Arial"/>
                <w:color w:val="000000"/>
                <w:sz w:val="16"/>
                <w:szCs w:val="16"/>
              </w:rPr>
              <w:t xml:space="preserve"> </w:t>
            </w:r>
            <w:r w:rsidRPr="00792CEC">
              <w:rPr>
                <w:rFonts w:ascii="Arial" w:hAnsi="Arial" w:cs="Arial"/>
                <w:color w:val="000000"/>
                <w:sz w:val="16"/>
                <w:szCs w:val="16"/>
              </w:rPr>
              <w:t>997</w:t>
            </w:r>
            <w:r>
              <w:rPr>
                <w:rFonts w:ascii="Arial" w:hAnsi="Arial" w:cs="Arial"/>
                <w:color w:val="000000"/>
                <w:sz w:val="16"/>
                <w:szCs w:val="16"/>
              </w:rPr>
              <w:t xml:space="preserve"> </w:t>
            </w:r>
            <w:r w:rsidRPr="00792CEC">
              <w:rPr>
                <w:rFonts w:ascii="Arial" w:hAnsi="Arial" w:cs="Arial"/>
                <w:color w:val="000000"/>
                <w:sz w:val="16"/>
                <w:szCs w:val="16"/>
              </w:rPr>
              <w:t>875</w:t>
            </w:r>
          </w:p>
        </w:tc>
        <w:tc>
          <w:tcPr>
            <w:tcW w:w="1836" w:type="dxa"/>
            <w:tcMar>
              <w:top w:w="0" w:type="dxa"/>
              <w:left w:w="108" w:type="dxa"/>
              <w:bottom w:w="0" w:type="dxa"/>
              <w:right w:w="108" w:type="dxa"/>
            </w:tcMar>
          </w:tcPr>
          <w:p w14:paraId="61FFDCFB" w14:textId="77777777" w:rsidR="00030089" w:rsidRPr="00ED6987" w:rsidRDefault="00030089" w:rsidP="008547F7">
            <w:pPr>
              <w:pStyle w:val="NoSpacing"/>
              <w:spacing w:before="60" w:line="360" w:lineRule="auto"/>
              <w:jc w:val="right"/>
              <w:rPr>
                <w:rFonts w:ascii="Arial" w:hAnsi="Arial" w:cs="Arial"/>
                <w:sz w:val="16"/>
                <w:szCs w:val="16"/>
              </w:rPr>
            </w:pPr>
            <w:r w:rsidRPr="00ED6987">
              <w:rPr>
                <w:rFonts w:ascii="Arial" w:hAnsi="Arial" w:cs="Arial"/>
                <w:sz w:val="16"/>
                <w:szCs w:val="16"/>
              </w:rPr>
              <w:t>NA</w:t>
            </w:r>
          </w:p>
        </w:tc>
        <w:tc>
          <w:tcPr>
            <w:tcW w:w="1836" w:type="dxa"/>
            <w:tcMar>
              <w:top w:w="0" w:type="dxa"/>
              <w:left w:w="108" w:type="dxa"/>
              <w:bottom w:w="0" w:type="dxa"/>
              <w:right w:w="108" w:type="dxa"/>
            </w:tcMar>
          </w:tcPr>
          <w:p w14:paraId="2FCD8710" w14:textId="77777777" w:rsidR="00030089" w:rsidRDefault="00030089" w:rsidP="008547F7">
            <w:pPr>
              <w:jc w:val="right"/>
              <w:rPr>
                <w:rFonts w:ascii="Arial" w:hAnsi="Arial" w:cs="Arial"/>
                <w:b/>
                <w:color w:val="000000"/>
                <w:sz w:val="16"/>
                <w:szCs w:val="16"/>
              </w:rPr>
            </w:pPr>
            <w:r w:rsidRPr="00792CEC">
              <w:rPr>
                <w:rFonts w:ascii="Arial" w:hAnsi="Arial" w:cs="Arial"/>
                <w:color w:val="000000"/>
                <w:sz w:val="16"/>
                <w:szCs w:val="16"/>
              </w:rPr>
              <w:t>$23</w:t>
            </w:r>
            <w:r>
              <w:rPr>
                <w:rFonts w:ascii="Arial" w:hAnsi="Arial" w:cs="Arial"/>
                <w:color w:val="000000"/>
                <w:sz w:val="16"/>
                <w:szCs w:val="16"/>
              </w:rPr>
              <w:t xml:space="preserve"> </w:t>
            </w:r>
            <w:r w:rsidRPr="00792CEC">
              <w:rPr>
                <w:rFonts w:ascii="Arial" w:hAnsi="Arial" w:cs="Arial"/>
                <w:color w:val="000000"/>
                <w:sz w:val="16"/>
                <w:szCs w:val="16"/>
              </w:rPr>
              <w:t>995</w:t>
            </w:r>
            <w:r>
              <w:rPr>
                <w:rFonts w:ascii="Arial" w:hAnsi="Arial" w:cs="Arial"/>
                <w:color w:val="000000"/>
                <w:sz w:val="16"/>
                <w:szCs w:val="16"/>
              </w:rPr>
              <w:t xml:space="preserve"> </w:t>
            </w:r>
            <w:r w:rsidRPr="00792CEC">
              <w:rPr>
                <w:rFonts w:ascii="Arial" w:hAnsi="Arial" w:cs="Arial"/>
                <w:color w:val="000000"/>
                <w:sz w:val="16"/>
                <w:szCs w:val="16"/>
              </w:rPr>
              <w:t>750</w:t>
            </w:r>
          </w:p>
        </w:tc>
        <w:tc>
          <w:tcPr>
            <w:tcW w:w="1836" w:type="dxa"/>
            <w:tcMar>
              <w:top w:w="0" w:type="dxa"/>
              <w:left w:w="108" w:type="dxa"/>
              <w:bottom w:w="0" w:type="dxa"/>
              <w:right w:w="108" w:type="dxa"/>
            </w:tcMar>
          </w:tcPr>
          <w:p w14:paraId="7AC350A4" w14:textId="77777777" w:rsidR="00030089" w:rsidRPr="00C410AE" w:rsidRDefault="00030089" w:rsidP="008547F7">
            <w:pPr>
              <w:pStyle w:val="NoSpacing"/>
              <w:spacing w:before="60" w:line="360" w:lineRule="auto"/>
              <w:jc w:val="right"/>
              <w:rPr>
                <w:rFonts w:ascii="Arial" w:hAnsi="Arial" w:cs="Arial"/>
                <w:sz w:val="16"/>
                <w:szCs w:val="16"/>
              </w:rPr>
            </w:pPr>
            <w:r>
              <w:rPr>
                <w:rFonts w:ascii="Arial" w:hAnsi="Arial" w:cs="Arial"/>
                <w:sz w:val="16"/>
                <w:szCs w:val="16"/>
              </w:rPr>
              <w:t>NA</w:t>
            </w:r>
          </w:p>
        </w:tc>
      </w:tr>
      <w:tr w:rsidR="00030089" w:rsidRPr="006C7FB7" w14:paraId="33F06F47" w14:textId="77777777" w:rsidTr="008547F7">
        <w:tc>
          <w:tcPr>
            <w:tcW w:w="1587" w:type="dxa"/>
            <w:shd w:val="clear" w:color="auto" w:fill="auto"/>
          </w:tcPr>
          <w:p w14:paraId="52E18C3F" w14:textId="77777777" w:rsidR="00030089" w:rsidRPr="000729A4" w:rsidRDefault="00030089" w:rsidP="008547F7">
            <w:pPr>
              <w:pStyle w:val="NoSpacing"/>
              <w:spacing w:before="60" w:line="360" w:lineRule="auto"/>
              <w:rPr>
                <w:rFonts w:ascii="Arial" w:hAnsi="Arial" w:cs="Arial"/>
                <w:b/>
                <w:sz w:val="16"/>
                <w:szCs w:val="16"/>
              </w:rPr>
            </w:pPr>
            <w:r w:rsidRPr="000729A4">
              <w:rPr>
                <w:rFonts w:ascii="Arial" w:hAnsi="Arial" w:cs="Arial"/>
                <w:b/>
                <w:sz w:val="16"/>
                <w:szCs w:val="16"/>
              </w:rPr>
              <w:t>NPV</w:t>
            </w:r>
          </w:p>
          <w:p w14:paraId="31CE3916" w14:textId="77777777" w:rsidR="00030089" w:rsidRPr="00063395" w:rsidRDefault="00030089" w:rsidP="008547F7">
            <w:pPr>
              <w:pStyle w:val="NoSpacing"/>
              <w:spacing w:before="60" w:line="360" w:lineRule="auto"/>
              <w:rPr>
                <w:rFonts w:ascii="Arial" w:hAnsi="Arial" w:cs="Arial"/>
                <w:sz w:val="16"/>
                <w:szCs w:val="16"/>
              </w:rPr>
            </w:pPr>
          </w:p>
        </w:tc>
        <w:tc>
          <w:tcPr>
            <w:tcW w:w="1836" w:type="dxa"/>
            <w:shd w:val="clear" w:color="auto" w:fill="auto"/>
          </w:tcPr>
          <w:p w14:paraId="4F70BF8F" w14:textId="77777777" w:rsidR="00030089" w:rsidRPr="00ED6987" w:rsidRDefault="00030089" w:rsidP="008547F7">
            <w:pPr>
              <w:pStyle w:val="NoSpacing"/>
              <w:spacing w:before="60" w:line="360" w:lineRule="auto"/>
              <w:jc w:val="right"/>
              <w:rPr>
                <w:rFonts w:ascii="Arial" w:hAnsi="Arial" w:cs="Arial"/>
                <w:b/>
                <w:sz w:val="16"/>
                <w:szCs w:val="16"/>
              </w:rPr>
            </w:pPr>
            <w:r w:rsidRPr="00792CEC">
              <w:rPr>
                <w:rFonts w:ascii="Arial" w:hAnsi="Arial" w:cs="Arial"/>
                <w:b/>
                <w:bCs/>
                <w:color w:val="000000"/>
                <w:sz w:val="16"/>
                <w:szCs w:val="16"/>
              </w:rPr>
              <w:t>$2</w:t>
            </w:r>
            <w:r>
              <w:rPr>
                <w:rFonts w:ascii="Arial" w:hAnsi="Arial" w:cs="Arial"/>
                <w:b/>
                <w:bCs/>
                <w:color w:val="000000"/>
                <w:sz w:val="16"/>
                <w:szCs w:val="16"/>
              </w:rPr>
              <w:t xml:space="preserve"> </w:t>
            </w:r>
            <w:r w:rsidRPr="00792CEC">
              <w:rPr>
                <w:rFonts w:ascii="Arial" w:hAnsi="Arial" w:cs="Arial"/>
                <w:b/>
                <w:bCs/>
                <w:color w:val="000000"/>
                <w:sz w:val="16"/>
                <w:szCs w:val="16"/>
              </w:rPr>
              <w:t>489</w:t>
            </w:r>
            <w:r>
              <w:rPr>
                <w:rFonts w:ascii="Arial" w:hAnsi="Arial" w:cs="Arial"/>
                <w:b/>
                <w:bCs/>
                <w:color w:val="000000"/>
                <w:sz w:val="16"/>
                <w:szCs w:val="16"/>
              </w:rPr>
              <w:t xml:space="preserve"> </w:t>
            </w:r>
            <w:r w:rsidRPr="00792CEC">
              <w:rPr>
                <w:rFonts w:ascii="Arial" w:hAnsi="Arial" w:cs="Arial"/>
                <w:b/>
                <w:bCs/>
                <w:color w:val="000000"/>
                <w:sz w:val="16"/>
                <w:szCs w:val="16"/>
              </w:rPr>
              <w:t>429</w:t>
            </w:r>
          </w:p>
        </w:tc>
        <w:tc>
          <w:tcPr>
            <w:tcW w:w="1836" w:type="dxa"/>
            <w:shd w:val="clear" w:color="auto" w:fill="auto"/>
            <w:tcMar>
              <w:top w:w="0" w:type="dxa"/>
              <w:left w:w="108" w:type="dxa"/>
              <w:bottom w:w="0" w:type="dxa"/>
              <w:right w:w="108" w:type="dxa"/>
            </w:tcMar>
          </w:tcPr>
          <w:p w14:paraId="33719E20" w14:textId="77777777" w:rsidR="00030089" w:rsidRPr="00ED6987" w:rsidRDefault="00030089" w:rsidP="008547F7">
            <w:pPr>
              <w:pStyle w:val="NoSpacing"/>
              <w:spacing w:before="60" w:line="360" w:lineRule="auto"/>
              <w:jc w:val="right"/>
              <w:rPr>
                <w:rFonts w:ascii="Arial" w:hAnsi="Arial" w:cs="Arial"/>
                <w:b/>
                <w:sz w:val="16"/>
                <w:szCs w:val="16"/>
              </w:rPr>
            </w:pPr>
            <w:r w:rsidRPr="00ED6987">
              <w:rPr>
                <w:rFonts w:ascii="Arial" w:hAnsi="Arial" w:cs="Arial"/>
                <w:b/>
                <w:sz w:val="16"/>
                <w:szCs w:val="16"/>
              </w:rPr>
              <w:t>NA</w:t>
            </w:r>
          </w:p>
        </w:tc>
        <w:tc>
          <w:tcPr>
            <w:tcW w:w="1836" w:type="dxa"/>
            <w:shd w:val="clear" w:color="auto" w:fill="auto"/>
            <w:tcMar>
              <w:top w:w="0" w:type="dxa"/>
              <w:left w:w="108" w:type="dxa"/>
              <w:bottom w:w="0" w:type="dxa"/>
              <w:right w:w="108" w:type="dxa"/>
            </w:tcMar>
          </w:tcPr>
          <w:p w14:paraId="28CC0EEA" w14:textId="77777777" w:rsidR="00030089" w:rsidRPr="00ED6987" w:rsidRDefault="00030089" w:rsidP="008547F7">
            <w:pPr>
              <w:pStyle w:val="NoSpacing"/>
              <w:spacing w:before="60" w:line="360" w:lineRule="auto"/>
              <w:jc w:val="right"/>
              <w:rPr>
                <w:rFonts w:ascii="Arial" w:hAnsi="Arial" w:cs="Arial"/>
                <w:b/>
                <w:color w:val="000000"/>
                <w:sz w:val="16"/>
                <w:szCs w:val="16"/>
              </w:rPr>
            </w:pPr>
            <w:r w:rsidRPr="00792CEC">
              <w:rPr>
                <w:rFonts w:ascii="Arial" w:hAnsi="Arial" w:cs="Arial"/>
                <w:b/>
                <w:bCs/>
                <w:color w:val="000000"/>
                <w:sz w:val="16"/>
                <w:szCs w:val="16"/>
              </w:rPr>
              <w:t>$4</w:t>
            </w:r>
            <w:r>
              <w:rPr>
                <w:rFonts w:ascii="Arial" w:hAnsi="Arial" w:cs="Arial"/>
                <w:b/>
                <w:bCs/>
                <w:color w:val="000000"/>
                <w:sz w:val="16"/>
                <w:szCs w:val="16"/>
              </w:rPr>
              <w:t xml:space="preserve"> </w:t>
            </w:r>
            <w:r w:rsidRPr="00792CEC">
              <w:rPr>
                <w:rFonts w:ascii="Arial" w:hAnsi="Arial" w:cs="Arial"/>
                <w:b/>
                <w:bCs/>
                <w:color w:val="000000"/>
                <w:sz w:val="16"/>
                <w:szCs w:val="16"/>
              </w:rPr>
              <w:t>978</w:t>
            </w:r>
            <w:r>
              <w:rPr>
                <w:rFonts w:ascii="Arial" w:hAnsi="Arial" w:cs="Arial"/>
                <w:b/>
                <w:bCs/>
                <w:color w:val="000000"/>
                <w:sz w:val="16"/>
                <w:szCs w:val="16"/>
              </w:rPr>
              <w:t xml:space="preserve"> </w:t>
            </w:r>
            <w:r w:rsidRPr="00792CEC">
              <w:rPr>
                <w:rFonts w:ascii="Arial" w:hAnsi="Arial" w:cs="Arial"/>
                <w:b/>
                <w:bCs/>
                <w:color w:val="000000"/>
                <w:sz w:val="16"/>
                <w:szCs w:val="16"/>
              </w:rPr>
              <w:t>858</w:t>
            </w:r>
          </w:p>
        </w:tc>
        <w:tc>
          <w:tcPr>
            <w:tcW w:w="1836" w:type="dxa"/>
            <w:shd w:val="clear" w:color="auto" w:fill="auto"/>
            <w:tcMar>
              <w:top w:w="0" w:type="dxa"/>
              <w:left w:w="108" w:type="dxa"/>
              <w:bottom w:w="0" w:type="dxa"/>
              <w:right w:w="108" w:type="dxa"/>
            </w:tcMar>
          </w:tcPr>
          <w:p w14:paraId="3764DFF4" w14:textId="77777777" w:rsidR="00030089" w:rsidRPr="006E78B4" w:rsidRDefault="00030089" w:rsidP="008547F7">
            <w:pPr>
              <w:pStyle w:val="NoSpacing"/>
              <w:spacing w:before="60" w:line="360" w:lineRule="auto"/>
              <w:jc w:val="right"/>
              <w:rPr>
                <w:rFonts w:ascii="Arial" w:hAnsi="Arial" w:cs="Arial"/>
                <w:b/>
                <w:sz w:val="16"/>
                <w:szCs w:val="16"/>
              </w:rPr>
            </w:pPr>
            <w:r>
              <w:rPr>
                <w:rFonts w:ascii="Arial" w:hAnsi="Arial" w:cs="Arial"/>
                <w:b/>
                <w:sz w:val="16"/>
                <w:szCs w:val="16"/>
              </w:rPr>
              <w:t>NA</w:t>
            </w:r>
          </w:p>
        </w:tc>
      </w:tr>
    </w:tbl>
    <w:p w14:paraId="0ACD3ED4" w14:textId="77777777" w:rsidR="00030089" w:rsidRPr="00682556" w:rsidRDefault="00030089" w:rsidP="00030089">
      <w:pPr>
        <w:pStyle w:val="Caption"/>
        <w:keepNext/>
        <w:rPr>
          <w:noProof/>
          <w:color w:val="auto"/>
        </w:rPr>
      </w:pPr>
      <w:r w:rsidRPr="00682556">
        <w:rPr>
          <w:noProof/>
          <w:color w:val="auto"/>
        </w:rPr>
        <w:lastRenderedPageBreak/>
        <w:fldChar w:fldCharType="begin"/>
      </w:r>
      <w:r w:rsidRPr="00682556">
        <w:rPr>
          <w:noProof/>
          <w:color w:val="auto"/>
        </w:rPr>
        <w:instrText xml:space="preserve"> SEQ Figure \* ARABIC </w:instrText>
      </w:r>
      <w:r w:rsidRPr="00682556">
        <w:rPr>
          <w:noProof/>
          <w:color w:val="auto"/>
        </w:rPr>
        <w:fldChar w:fldCharType="separate"/>
      </w:r>
      <w:bookmarkStart w:id="202" w:name="_Toc353562495"/>
      <w:r w:rsidR="00740026">
        <w:rPr>
          <w:noProof/>
          <w:color w:val="auto"/>
        </w:rPr>
        <w:t>14</w:t>
      </w:r>
      <w:r w:rsidRPr="00682556">
        <w:rPr>
          <w:noProof/>
          <w:color w:val="auto"/>
        </w:rPr>
        <w:fldChar w:fldCharType="end"/>
      </w:r>
      <w:r w:rsidRPr="00682556">
        <w:rPr>
          <w:noProof/>
          <w:color w:val="auto"/>
        </w:rPr>
        <w:t xml:space="preserve"> Table 4.5 Net Present Value (NPV) of key market costs and benefits over 10  years (10% sensitivity)</w:t>
      </w:r>
      <w:bookmarkEnd w:id="2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7"/>
        <w:gridCol w:w="1836"/>
        <w:gridCol w:w="1836"/>
        <w:gridCol w:w="1836"/>
        <w:gridCol w:w="1836"/>
      </w:tblGrid>
      <w:tr w:rsidR="00030089" w:rsidRPr="006C7FB7" w14:paraId="24CC011A" w14:textId="77777777" w:rsidTr="008547F7">
        <w:tc>
          <w:tcPr>
            <w:tcW w:w="1587" w:type="dxa"/>
            <w:shd w:val="pct10" w:color="auto" w:fill="auto"/>
          </w:tcPr>
          <w:p w14:paraId="7EEFFBDE" w14:textId="77777777" w:rsidR="00030089" w:rsidRPr="00071702" w:rsidRDefault="00030089" w:rsidP="008547F7">
            <w:pPr>
              <w:pStyle w:val="NoSpacing"/>
              <w:spacing w:before="60" w:line="360" w:lineRule="auto"/>
              <w:rPr>
                <w:rFonts w:ascii="Arial" w:hAnsi="Arial" w:cs="Arial"/>
                <w:b/>
                <w:sz w:val="16"/>
                <w:szCs w:val="16"/>
              </w:rPr>
            </w:pPr>
            <w:r w:rsidRPr="00071702">
              <w:rPr>
                <w:rFonts w:ascii="Arial" w:hAnsi="Arial" w:cs="Arial"/>
                <w:b/>
                <w:sz w:val="16"/>
                <w:szCs w:val="16"/>
              </w:rPr>
              <w:t>Options</w:t>
            </w:r>
          </w:p>
          <w:p w14:paraId="579E5DF8" w14:textId="77777777" w:rsidR="00030089" w:rsidRPr="00071702" w:rsidRDefault="00030089" w:rsidP="008547F7">
            <w:pPr>
              <w:pStyle w:val="NoSpacing"/>
              <w:spacing w:before="60" w:line="360" w:lineRule="auto"/>
              <w:rPr>
                <w:rFonts w:ascii="Arial" w:hAnsi="Arial" w:cs="Arial"/>
                <w:b/>
                <w:sz w:val="16"/>
                <w:szCs w:val="16"/>
              </w:rPr>
            </w:pPr>
          </w:p>
        </w:tc>
        <w:tc>
          <w:tcPr>
            <w:tcW w:w="1836" w:type="dxa"/>
            <w:shd w:val="pct10" w:color="auto" w:fill="auto"/>
          </w:tcPr>
          <w:p w14:paraId="7187E9B4" w14:textId="77777777" w:rsidR="00030089" w:rsidRPr="00071702" w:rsidRDefault="00030089" w:rsidP="008547F7">
            <w:pPr>
              <w:pStyle w:val="NoSpacing"/>
              <w:spacing w:before="60" w:line="360" w:lineRule="auto"/>
              <w:jc w:val="right"/>
              <w:rPr>
                <w:rFonts w:ascii="Arial" w:hAnsi="Arial" w:cs="Arial"/>
                <w:b/>
                <w:sz w:val="16"/>
                <w:szCs w:val="16"/>
              </w:rPr>
            </w:pPr>
            <w:r w:rsidRPr="00071702">
              <w:rPr>
                <w:rFonts w:ascii="Arial" w:hAnsi="Arial" w:cs="Arial"/>
                <w:b/>
                <w:sz w:val="16"/>
                <w:szCs w:val="16"/>
              </w:rPr>
              <w:t>Option 1</w:t>
            </w:r>
          </w:p>
          <w:p w14:paraId="061D8CD7" w14:textId="77777777" w:rsidR="00030089" w:rsidRPr="00071702" w:rsidRDefault="00030089" w:rsidP="008547F7">
            <w:pPr>
              <w:pStyle w:val="NoSpacing"/>
              <w:spacing w:before="60" w:line="360" w:lineRule="auto"/>
              <w:jc w:val="right"/>
              <w:rPr>
                <w:rFonts w:ascii="Arial" w:hAnsi="Arial" w:cs="Arial"/>
                <w:sz w:val="16"/>
                <w:szCs w:val="16"/>
              </w:rPr>
            </w:pPr>
          </w:p>
        </w:tc>
        <w:tc>
          <w:tcPr>
            <w:tcW w:w="1836" w:type="dxa"/>
            <w:shd w:val="pct10" w:color="auto" w:fill="auto"/>
            <w:tcMar>
              <w:top w:w="0" w:type="dxa"/>
              <w:left w:w="108" w:type="dxa"/>
              <w:bottom w:w="0" w:type="dxa"/>
              <w:right w:w="108" w:type="dxa"/>
            </w:tcMar>
          </w:tcPr>
          <w:p w14:paraId="36B0BD8B" w14:textId="77777777" w:rsidR="00030089" w:rsidRPr="00071702" w:rsidRDefault="00030089" w:rsidP="008547F7">
            <w:pPr>
              <w:pStyle w:val="NoSpacing"/>
              <w:spacing w:before="60" w:line="360" w:lineRule="auto"/>
              <w:jc w:val="right"/>
              <w:rPr>
                <w:rFonts w:ascii="Arial" w:hAnsi="Arial" w:cs="Arial"/>
                <w:b/>
                <w:sz w:val="16"/>
                <w:szCs w:val="16"/>
              </w:rPr>
            </w:pPr>
            <w:r w:rsidRPr="00071702">
              <w:rPr>
                <w:rFonts w:ascii="Arial" w:hAnsi="Arial" w:cs="Arial"/>
                <w:b/>
                <w:sz w:val="16"/>
                <w:szCs w:val="16"/>
              </w:rPr>
              <w:t>Option 2</w:t>
            </w:r>
          </w:p>
          <w:p w14:paraId="35644222" w14:textId="77777777" w:rsidR="00030089" w:rsidRPr="00071702" w:rsidRDefault="00030089" w:rsidP="008547F7">
            <w:pPr>
              <w:pStyle w:val="NoSpacing"/>
              <w:spacing w:before="60" w:line="360" w:lineRule="auto"/>
              <w:jc w:val="right"/>
              <w:rPr>
                <w:rFonts w:ascii="Arial" w:hAnsi="Arial" w:cs="Arial"/>
                <w:b/>
                <w:color w:val="0070C0"/>
                <w:sz w:val="16"/>
                <w:szCs w:val="16"/>
              </w:rPr>
            </w:pPr>
          </w:p>
        </w:tc>
        <w:tc>
          <w:tcPr>
            <w:tcW w:w="1836" w:type="dxa"/>
            <w:shd w:val="pct10" w:color="auto" w:fill="auto"/>
            <w:tcMar>
              <w:top w:w="0" w:type="dxa"/>
              <w:left w:w="108" w:type="dxa"/>
              <w:bottom w:w="0" w:type="dxa"/>
              <w:right w:w="108" w:type="dxa"/>
            </w:tcMar>
          </w:tcPr>
          <w:p w14:paraId="6249D483" w14:textId="77777777" w:rsidR="00030089" w:rsidRPr="00732FFB" w:rsidRDefault="00030089" w:rsidP="008547F7">
            <w:pPr>
              <w:pStyle w:val="NoSpacing"/>
              <w:spacing w:before="60" w:line="360" w:lineRule="auto"/>
              <w:jc w:val="right"/>
              <w:rPr>
                <w:rFonts w:ascii="Arial" w:hAnsi="Arial" w:cs="Arial"/>
                <w:b/>
                <w:sz w:val="16"/>
                <w:szCs w:val="16"/>
              </w:rPr>
            </w:pPr>
            <w:r w:rsidRPr="00732FFB">
              <w:rPr>
                <w:rFonts w:ascii="Arial" w:hAnsi="Arial" w:cs="Arial"/>
                <w:b/>
                <w:sz w:val="16"/>
                <w:szCs w:val="16"/>
              </w:rPr>
              <w:t>Option 3</w:t>
            </w:r>
          </w:p>
          <w:p w14:paraId="456A8E57" w14:textId="77777777" w:rsidR="00030089" w:rsidRPr="00732FFB" w:rsidRDefault="00030089" w:rsidP="008547F7">
            <w:pPr>
              <w:pStyle w:val="NoSpacing"/>
              <w:spacing w:before="60" w:line="360" w:lineRule="auto"/>
              <w:jc w:val="right"/>
              <w:rPr>
                <w:rFonts w:ascii="Arial" w:hAnsi="Arial" w:cs="Arial"/>
                <w:sz w:val="16"/>
                <w:szCs w:val="16"/>
              </w:rPr>
            </w:pPr>
          </w:p>
        </w:tc>
        <w:tc>
          <w:tcPr>
            <w:tcW w:w="1836" w:type="dxa"/>
            <w:shd w:val="pct10" w:color="auto" w:fill="auto"/>
            <w:tcMar>
              <w:top w:w="0" w:type="dxa"/>
              <w:left w:w="108" w:type="dxa"/>
              <w:bottom w:w="0" w:type="dxa"/>
              <w:right w:w="108" w:type="dxa"/>
            </w:tcMar>
          </w:tcPr>
          <w:p w14:paraId="23E376E6" w14:textId="77777777" w:rsidR="00030089" w:rsidRPr="00732FFB" w:rsidRDefault="00030089" w:rsidP="008547F7">
            <w:pPr>
              <w:pStyle w:val="NoSpacing"/>
              <w:spacing w:before="60" w:line="360" w:lineRule="auto"/>
              <w:jc w:val="right"/>
              <w:rPr>
                <w:rFonts w:ascii="Arial" w:hAnsi="Arial" w:cs="Arial"/>
                <w:b/>
                <w:sz w:val="16"/>
                <w:szCs w:val="16"/>
              </w:rPr>
            </w:pPr>
            <w:r w:rsidRPr="00732FFB">
              <w:rPr>
                <w:rFonts w:ascii="Arial" w:hAnsi="Arial" w:cs="Arial"/>
                <w:b/>
                <w:sz w:val="16"/>
                <w:szCs w:val="16"/>
              </w:rPr>
              <w:t xml:space="preserve">Option 4 </w:t>
            </w:r>
          </w:p>
          <w:p w14:paraId="6855207B" w14:textId="77777777" w:rsidR="00030089" w:rsidRPr="00732FFB" w:rsidRDefault="00030089" w:rsidP="008547F7">
            <w:pPr>
              <w:pStyle w:val="NoSpacing"/>
              <w:spacing w:before="60" w:line="360" w:lineRule="auto"/>
              <w:jc w:val="right"/>
              <w:rPr>
                <w:rFonts w:ascii="Arial" w:hAnsi="Arial" w:cs="Arial"/>
                <w:sz w:val="16"/>
                <w:szCs w:val="16"/>
              </w:rPr>
            </w:pPr>
          </w:p>
        </w:tc>
      </w:tr>
      <w:tr w:rsidR="00030089" w:rsidRPr="00063395" w14:paraId="3081292E" w14:textId="77777777" w:rsidTr="008547F7">
        <w:tc>
          <w:tcPr>
            <w:tcW w:w="1587" w:type="dxa"/>
            <w:shd w:val="clear" w:color="auto" w:fill="auto"/>
          </w:tcPr>
          <w:p w14:paraId="415303EF" w14:textId="77777777" w:rsidR="00030089" w:rsidRPr="0078240A" w:rsidRDefault="00030089" w:rsidP="008547F7">
            <w:pPr>
              <w:pStyle w:val="NoSpacing"/>
              <w:spacing w:before="60" w:line="360" w:lineRule="auto"/>
              <w:rPr>
                <w:rFonts w:ascii="Arial" w:hAnsi="Arial" w:cs="Arial"/>
                <w:sz w:val="16"/>
                <w:szCs w:val="16"/>
              </w:rPr>
            </w:pPr>
            <w:r w:rsidRPr="0078240A">
              <w:rPr>
                <w:rFonts w:ascii="Arial" w:hAnsi="Arial" w:cs="Arial"/>
                <w:sz w:val="16"/>
                <w:szCs w:val="16"/>
              </w:rPr>
              <w:t>Costs</w:t>
            </w:r>
          </w:p>
          <w:p w14:paraId="28CAB839" w14:textId="77777777" w:rsidR="00030089" w:rsidRPr="0078240A" w:rsidRDefault="00030089" w:rsidP="008547F7">
            <w:pPr>
              <w:pStyle w:val="NoSpacing"/>
              <w:spacing w:before="60" w:line="360" w:lineRule="auto"/>
              <w:rPr>
                <w:rFonts w:ascii="Arial" w:hAnsi="Arial" w:cs="Arial"/>
                <w:sz w:val="16"/>
                <w:szCs w:val="16"/>
              </w:rPr>
            </w:pPr>
          </w:p>
        </w:tc>
        <w:tc>
          <w:tcPr>
            <w:tcW w:w="1836" w:type="dxa"/>
          </w:tcPr>
          <w:p w14:paraId="040A38BB" w14:textId="77777777" w:rsidR="00030089" w:rsidRPr="00ED6987" w:rsidRDefault="00030089" w:rsidP="008547F7">
            <w:pPr>
              <w:pStyle w:val="NoSpacing"/>
              <w:spacing w:before="60" w:line="360" w:lineRule="auto"/>
              <w:jc w:val="right"/>
              <w:rPr>
                <w:rFonts w:ascii="Arial" w:hAnsi="Arial" w:cs="Arial"/>
                <w:sz w:val="16"/>
                <w:szCs w:val="16"/>
              </w:rPr>
            </w:pPr>
            <w:r w:rsidRPr="00792CEC">
              <w:rPr>
                <w:rFonts w:ascii="Arial" w:hAnsi="Arial" w:cs="Arial"/>
                <w:color w:val="000000"/>
                <w:sz w:val="16"/>
                <w:szCs w:val="16"/>
              </w:rPr>
              <w:t>$8</w:t>
            </w:r>
            <w:r>
              <w:rPr>
                <w:rFonts w:ascii="Arial" w:hAnsi="Arial" w:cs="Arial"/>
                <w:color w:val="000000"/>
                <w:sz w:val="16"/>
                <w:szCs w:val="16"/>
              </w:rPr>
              <w:t xml:space="preserve"> </w:t>
            </w:r>
            <w:r w:rsidRPr="00792CEC">
              <w:rPr>
                <w:rFonts w:ascii="Arial" w:hAnsi="Arial" w:cs="Arial"/>
                <w:color w:val="000000"/>
                <w:sz w:val="16"/>
                <w:szCs w:val="16"/>
              </w:rPr>
              <w:t>260</w:t>
            </w:r>
            <w:r>
              <w:rPr>
                <w:rFonts w:ascii="Arial" w:hAnsi="Arial" w:cs="Arial"/>
                <w:color w:val="000000"/>
                <w:sz w:val="16"/>
                <w:szCs w:val="16"/>
              </w:rPr>
              <w:t xml:space="preserve"> </w:t>
            </w:r>
            <w:r w:rsidRPr="00792CEC">
              <w:rPr>
                <w:rFonts w:ascii="Arial" w:hAnsi="Arial" w:cs="Arial"/>
                <w:color w:val="000000"/>
                <w:sz w:val="16"/>
                <w:szCs w:val="16"/>
              </w:rPr>
              <w:t>358</w:t>
            </w:r>
          </w:p>
        </w:tc>
        <w:tc>
          <w:tcPr>
            <w:tcW w:w="1836" w:type="dxa"/>
            <w:tcMar>
              <w:top w:w="0" w:type="dxa"/>
              <w:left w:w="108" w:type="dxa"/>
              <w:bottom w:w="0" w:type="dxa"/>
              <w:right w:w="108" w:type="dxa"/>
            </w:tcMar>
          </w:tcPr>
          <w:p w14:paraId="172EFF21" w14:textId="77777777" w:rsidR="00030089" w:rsidRPr="00ED6987" w:rsidRDefault="00030089" w:rsidP="008547F7">
            <w:pPr>
              <w:pStyle w:val="NoSpacing"/>
              <w:spacing w:before="60" w:line="360" w:lineRule="auto"/>
              <w:jc w:val="right"/>
              <w:rPr>
                <w:rFonts w:ascii="Arial" w:hAnsi="Arial" w:cs="Arial"/>
                <w:sz w:val="16"/>
                <w:szCs w:val="16"/>
              </w:rPr>
            </w:pPr>
            <w:r w:rsidRPr="00ED6987">
              <w:rPr>
                <w:rFonts w:ascii="Arial" w:hAnsi="Arial" w:cs="Arial"/>
                <w:sz w:val="16"/>
                <w:szCs w:val="16"/>
              </w:rPr>
              <w:t>NA</w:t>
            </w:r>
          </w:p>
        </w:tc>
        <w:tc>
          <w:tcPr>
            <w:tcW w:w="1836" w:type="dxa"/>
            <w:tcMar>
              <w:top w:w="0" w:type="dxa"/>
              <w:left w:w="108" w:type="dxa"/>
              <w:bottom w:w="0" w:type="dxa"/>
              <w:right w:w="108" w:type="dxa"/>
            </w:tcMar>
          </w:tcPr>
          <w:p w14:paraId="00FE5A60" w14:textId="77777777" w:rsidR="00030089" w:rsidRPr="00ED6987" w:rsidRDefault="00030089" w:rsidP="008547F7">
            <w:pPr>
              <w:pStyle w:val="NoSpacing"/>
              <w:spacing w:before="60" w:line="360" w:lineRule="auto"/>
              <w:jc w:val="right"/>
              <w:rPr>
                <w:rFonts w:ascii="Arial" w:hAnsi="Arial" w:cs="Arial"/>
                <w:sz w:val="16"/>
                <w:szCs w:val="16"/>
              </w:rPr>
            </w:pPr>
            <w:r w:rsidRPr="00792CEC">
              <w:rPr>
                <w:rFonts w:ascii="Arial" w:hAnsi="Arial" w:cs="Arial"/>
                <w:color w:val="000000"/>
                <w:sz w:val="16"/>
                <w:szCs w:val="16"/>
              </w:rPr>
              <w:t>$16</w:t>
            </w:r>
            <w:r>
              <w:rPr>
                <w:rFonts w:ascii="Arial" w:hAnsi="Arial" w:cs="Arial"/>
                <w:color w:val="000000"/>
                <w:sz w:val="16"/>
                <w:szCs w:val="16"/>
              </w:rPr>
              <w:t xml:space="preserve"> </w:t>
            </w:r>
            <w:r w:rsidRPr="00792CEC">
              <w:rPr>
                <w:rFonts w:ascii="Arial" w:hAnsi="Arial" w:cs="Arial"/>
                <w:color w:val="000000"/>
                <w:sz w:val="16"/>
                <w:szCs w:val="16"/>
              </w:rPr>
              <w:t>520</w:t>
            </w:r>
            <w:r>
              <w:rPr>
                <w:rFonts w:ascii="Arial" w:hAnsi="Arial" w:cs="Arial"/>
                <w:color w:val="000000"/>
                <w:sz w:val="16"/>
                <w:szCs w:val="16"/>
              </w:rPr>
              <w:t xml:space="preserve"> </w:t>
            </w:r>
            <w:r w:rsidRPr="00792CEC">
              <w:rPr>
                <w:rFonts w:ascii="Arial" w:hAnsi="Arial" w:cs="Arial"/>
                <w:color w:val="000000"/>
                <w:sz w:val="16"/>
                <w:szCs w:val="16"/>
              </w:rPr>
              <w:t>716</w:t>
            </w:r>
          </w:p>
        </w:tc>
        <w:tc>
          <w:tcPr>
            <w:tcW w:w="1836" w:type="dxa"/>
            <w:tcMar>
              <w:top w:w="0" w:type="dxa"/>
              <w:left w:w="108" w:type="dxa"/>
              <w:bottom w:w="0" w:type="dxa"/>
              <w:right w:w="108" w:type="dxa"/>
            </w:tcMar>
          </w:tcPr>
          <w:p w14:paraId="38DDCFFF" w14:textId="77777777" w:rsidR="00030089" w:rsidRPr="00ED6987" w:rsidRDefault="00030089" w:rsidP="008547F7">
            <w:pPr>
              <w:pStyle w:val="NoSpacing"/>
              <w:spacing w:before="60" w:line="360" w:lineRule="auto"/>
              <w:jc w:val="right"/>
              <w:rPr>
                <w:rFonts w:ascii="Arial" w:hAnsi="Arial" w:cs="Arial"/>
                <w:sz w:val="16"/>
                <w:szCs w:val="16"/>
              </w:rPr>
            </w:pPr>
            <w:r w:rsidRPr="00ED6987">
              <w:rPr>
                <w:rFonts w:ascii="Arial" w:hAnsi="Arial" w:cs="Arial"/>
                <w:sz w:val="16"/>
                <w:szCs w:val="16"/>
              </w:rPr>
              <w:t>NA</w:t>
            </w:r>
          </w:p>
        </w:tc>
      </w:tr>
      <w:tr w:rsidR="00030089" w:rsidRPr="00063395" w14:paraId="128C85EE" w14:textId="77777777" w:rsidTr="008547F7">
        <w:tc>
          <w:tcPr>
            <w:tcW w:w="1587" w:type="dxa"/>
            <w:shd w:val="clear" w:color="auto" w:fill="auto"/>
          </w:tcPr>
          <w:p w14:paraId="661589D9" w14:textId="77777777" w:rsidR="00030089" w:rsidRPr="0078240A" w:rsidRDefault="00030089" w:rsidP="008547F7">
            <w:pPr>
              <w:pStyle w:val="NoSpacing"/>
              <w:spacing w:before="60" w:line="360" w:lineRule="auto"/>
              <w:rPr>
                <w:rFonts w:ascii="Arial" w:hAnsi="Arial" w:cs="Arial"/>
                <w:sz w:val="16"/>
                <w:szCs w:val="16"/>
              </w:rPr>
            </w:pPr>
            <w:r w:rsidRPr="0078240A">
              <w:rPr>
                <w:rFonts w:ascii="Arial" w:hAnsi="Arial" w:cs="Arial"/>
                <w:sz w:val="16"/>
                <w:szCs w:val="16"/>
              </w:rPr>
              <w:t>Market Benefits</w:t>
            </w:r>
          </w:p>
          <w:p w14:paraId="63563640" w14:textId="77777777" w:rsidR="00030089" w:rsidRPr="0078240A" w:rsidRDefault="00030089" w:rsidP="008547F7">
            <w:pPr>
              <w:pStyle w:val="NoSpacing"/>
              <w:spacing w:before="60" w:line="360" w:lineRule="auto"/>
              <w:rPr>
                <w:rFonts w:ascii="Arial" w:hAnsi="Arial" w:cs="Arial"/>
                <w:sz w:val="16"/>
                <w:szCs w:val="16"/>
              </w:rPr>
            </w:pPr>
          </w:p>
        </w:tc>
        <w:tc>
          <w:tcPr>
            <w:tcW w:w="1836" w:type="dxa"/>
          </w:tcPr>
          <w:p w14:paraId="7D6C2F14" w14:textId="77777777" w:rsidR="00030089" w:rsidRPr="00ED6987" w:rsidRDefault="00030089" w:rsidP="008547F7">
            <w:pPr>
              <w:pStyle w:val="NoSpacing"/>
              <w:spacing w:before="60" w:line="360" w:lineRule="auto"/>
              <w:jc w:val="right"/>
              <w:rPr>
                <w:rFonts w:ascii="Arial" w:hAnsi="Arial" w:cs="Arial"/>
                <w:sz w:val="16"/>
                <w:szCs w:val="16"/>
              </w:rPr>
            </w:pPr>
            <w:r w:rsidRPr="00792CEC">
              <w:rPr>
                <w:rFonts w:ascii="Arial" w:hAnsi="Arial" w:cs="Arial"/>
                <w:color w:val="000000"/>
                <w:sz w:val="16"/>
                <w:szCs w:val="16"/>
              </w:rPr>
              <w:t>$10</w:t>
            </w:r>
            <w:r>
              <w:rPr>
                <w:rFonts w:ascii="Arial" w:hAnsi="Arial" w:cs="Arial"/>
                <w:color w:val="000000"/>
                <w:sz w:val="16"/>
                <w:szCs w:val="16"/>
              </w:rPr>
              <w:t xml:space="preserve"> </w:t>
            </w:r>
            <w:r w:rsidRPr="00792CEC">
              <w:rPr>
                <w:rFonts w:ascii="Arial" w:hAnsi="Arial" w:cs="Arial"/>
                <w:color w:val="000000"/>
                <w:sz w:val="16"/>
                <w:szCs w:val="16"/>
              </w:rPr>
              <w:t>398</w:t>
            </w:r>
            <w:r>
              <w:rPr>
                <w:rFonts w:ascii="Arial" w:hAnsi="Arial" w:cs="Arial"/>
                <w:color w:val="000000"/>
                <w:sz w:val="16"/>
                <w:szCs w:val="16"/>
              </w:rPr>
              <w:t xml:space="preserve"> </w:t>
            </w:r>
            <w:r w:rsidRPr="00792CEC">
              <w:rPr>
                <w:rFonts w:ascii="Arial" w:hAnsi="Arial" w:cs="Arial"/>
                <w:color w:val="000000"/>
                <w:sz w:val="16"/>
                <w:szCs w:val="16"/>
              </w:rPr>
              <w:t>445</w:t>
            </w:r>
          </w:p>
        </w:tc>
        <w:tc>
          <w:tcPr>
            <w:tcW w:w="1836" w:type="dxa"/>
            <w:tcMar>
              <w:top w:w="0" w:type="dxa"/>
              <w:left w:w="108" w:type="dxa"/>
              <w:bottom w:w="0" w:type="dxa"/>
              <w:right w:w="108" w:type="dxa"/>
            </w:tcMar>
          </w:tcPr>
          <w:p w14:paraId="3A571FCE" w14:textId="77777777" w:rsidR="00030089" w:rsidRPr="00ED6987" w:rsidRDefault="00030089" w:rsidP="008547F7">
            <w:pPr>
              <w:pStyle w:val="NoSpacing"/>
              <w:spacing w:before="60" w:line="360" w:lineRule="auto"/>
              <w:jc w:val="right"/>
              <w:rPr>
                <w:rFonts w:ascii="Arial" w:hAnsi="Arial" w:cs="Arial"/>
                <w:sz w:val="16"/>
                <w:szCs w:val="16"/>
              </w:rPr>
            </w:pPr>
            <w:r w:rsidRPr="00ED6987">
              <w:rPr>
                <w:rFonts w:ascii="Arial" w:hAnsi="Arial" w:cs="Arial"/>
                <w:sz w:val="16"/>
                <w:szCs w:val="16"/>
              </w:rPr>
              <w:t>NA</w:t>
            </w:r>
          </w:p>
        </w:tc>
        <w:tc>
          <w:tcPr>
            <w:tcW w:w="1836" w:type="dxa"/>
            <w:tcMar>
              <w:top w:w="0" w:type="dxa"/>
              <w:left w:w="108" w:type="dxa"/>
              <w:bottom w:w="0" w:type="dxa"/>
              <w:right w:w="108" w:type="dxa"/>
            </w:tcMar>
          </w:tcPr>
          <w:p w14:paraId="3B6C0052" w14:textId="77777777" w:rsidR="00030089" w:rsidRPr="00ED6987" w:rsidRDefault="00030089" w:rsidP="008547F7">
            <w:pPr>
              <w:pStyle w:val="NoSpacing"/>
              <w:spacing w:before="60" w:line="360" w:lineRule="auto"/>
              <w:jc w:val="right"/>
              <w:rPr>
                <w:rFonts w:ascii="Arial" w:hAnsi="Arial" w:cs="Arial"/>
                <w:sz w:val="16"/>
                <w:szCs w:val="16"/>
              </w:rPr>
            </w:pPr>
            <w:r w:rsidRPr="00792CEC">
              <w:rPr>
                <w:rFonts w:ascii="Arial" w:hAnsi="Arial" w:cs="Arial"/>
                <w:color w:val="000000"/>
                <w:sz w:val="16"/>
                <w:szCs w:val="16"/>
              </w:rPr>
              <w:t>$20</w:t>
            </w:r>
            <w:r>
              <w:rPr>
                <w:rFonts w:ascii="Arial" w:hAnsi="Arial" w:cs="Arial"/>
                <w:color w:val="000000"/>
                <w:sz w:val="16"/>
                <w:szCs w:val="16"/>
              </w:rPr>
              <w:t xml:space="preserve"> </w:t>
            </w:r>
            <w:r w:rsidRPr="00792CEC">
              <w:rPr>
                <w:rFonts w:ascii="Arial" w:hAnsi="Arial" w:cs="Arial"/>
                <w:color w:val="000000"/>
                <w:sz w:val="16"/>
                <w:szCs w:val="16"/>
              </w:rPr>
              <w:t>796</w:t>
            </w:r>
            <w:r>
              <w:rPr>
                <w:rFonts w:ascii="Arial" w:hAnsi="Arial" w:cs="Arial"/>
                <w:color w:val="000000"/>
                <w:sz w:val="16"/>
                <w:szCs w:val="16"/>
              </w:rPr>
              <w:t xml:space="preserve"> </w:t>
            </w:r>
            <w:r w:rsidRPr="00792CEC">
              <w:rPr>
                <w:rFonts w:ascii="Arial" w:hAnsi="Arial" w:cs="Arial"/>
                <w:color w:val="000000"/>
                <w:sz w:val="16"/>
                <w:szCs w:val="16"/>
              </w:rPr>
              <w:t>891</w:t>
            </w:r>
          </w:p>
        </w:tc>
        <w:tc>
          <w:tcPr>
            <w:tcW w:w="1836" w:type="dxa"/>
            <w:tcMar>
              <w:top w:w="0" w:type="dxa"/>
              <w:left w:w="108" w:type="dxa"/>
              <w:bottom w:w="0" w:type="dxa"/>
              <w:right w:w="108" w:type="dxa"/>
            </w:tcMar>
          </w:tcPr>
          <w:p w14:paraId="39552581" w14:textId="77777777" w:rsidR="00030089" w:rsidRPr="00ED6987" w:rsidRDefault="00030089" w:rsidP="008547F7">
            <w:pPr>
              <w:pStyle w:val="NoSpacing"/>
              <w:spacing w:before="60" w:line="360" w:lineRule="auto"/>
              <w:jc w:val="right"/>
              <w:rPr>
                <w:rFonts w:ascii="Arial" w:hAnsi="Arial" w:cs="Arial"/>
                <w:sz w:val="16"/>
                <w:szCs w:val="16"/>
              </w:rPr>
            </w:pPr>
            <w:r w:rsidRPr="00ED6987">
              <w:rPr>
                <w:rFonts w:ascii="Arial" w:hAnsi="Arial" w:cs="Arial"/>
                <w:sz w:val="16"/>
                <w:szCs w:val="16"/>
              </w:rPr>
              <w:t>NA</w:t>
            </w:r>
          </w:p>
        </w:tc>
      </w:tr>
      <w:tr w:rsidR="00030089" w:rsidRPr="00BE7252" w14:paraId="15B175A0" w14:textId="77777777" w:rsidTr="008547F7">
        <w:tc>
          <w:tcPr>
            <w:tcW w:w="1587" w:type="dxa"/>
            <w:shd w:val="clear" w:color="auto" w:fill="auto"/>
          </w:tcPr>
          <w:p w14:paraId="33FABA8D" w14:textId="77777777" w:rsidR="00030089" w:rsidRPr="000729A4" w:rsidRDefault="00030089" w:rsidP="008547F7">
            <w:pPr>
              <w:pStyle w:val="NoSpacing"/>
              <w:spacing w:before="60" w:line="360" w:lineRule="auto"/>
              <w:rPr>
                <w:rFonts w:ascii="Arial" w:hAnsi="Arial" w:cs="Arial"/>
                <w:b/>
                <w:sz w:val="16"/>
                <w:szCs w:val="16"/>
              </w:rPr>
            </w:pPr>
            <w:r w:rsidRPr="000729A4">
              <w:rPr>
                <w:rFonts w:ascii="Arial" w:hAnsi="Arial" w:cs="Arial"/>
                <w:b/>
                <w:sz w:val="16"/>
                <w:szCs w:val="16"/>
              </w:rPr>
              <w:t>NPV</w:t>
            </w:r>
          </w:p>
          <w:p w14:paraId="34D38AD1" w14:textId="77777777" w:rsidR="00030089" w:rsidRPr="000729A4" w:rsidRDefault="00030089" w:rsidP="008547F7">
            <w:pPr>
              <w:pStyle w:val="NoSpacing"/>
              <w:spacing w:before="60" w:line="360" w:lineRule="auto"/>
              <w:rPr>
                <w:rFonts w:ascii="Arial" w:hAnsi="Arial" w:cs="Arial"/>
                <w:b/>
                <w:sz w:val="16"/>
                <w:szCs w:val="16"/>
              </w:rPr>
            </w:pPr>
          </w:p>
        </w:tc>
        <w:tc>
          <w:tcPr>
            <w:tcW w:w="1836" w:type="dxa"/>
            <w:shd w:val="clear" w:color="auto" w:fill="auto"/>
          </w:tcPr>
          <w:p w14:paraId="3281345E" w14:textId="77777777" w:rsidR="00030089" w:rsidRPr="00ED6987" w:rsidRDefault="00030089" w:rsidP="008547F7">
            <w:pPr>
              <w:pStyle w:val="NoSpacing"/>
              <w:spacing w:before="60" w:line="360" w:lineRule="auto"/>
              <w:jc w:val="right"/>
              <w:rPr>
                <w:rFonts w:ascii="Arial" w:hAnsi="Arial" w:cs="Arial"/>
                <w:b/>
                <w:sz w:val="16"/>
                <w:szCs w:val="16"/>
              </w:rPr>
            </w:pPr>
            <w:r w:rsidRPr="00792CEC">
              <w:rPr>
                <w:rFonts w:ascii="Arial" w:hAnsi="Arial" w:cs="Arial"/>
                <w:b/>
                <w:bCs/>
                <w:color w:val="000000"/>
                <w:sz w:val="16"/>
                <w:szCs w:val="16"/>
              </w:rPr>
              <w:t>$2</w:t>
            </w:r>
            <w:r>
              <w:rPr>
                <w:rFonts w:ascii="Arial" w:hAnsi="Arial" w:cs="Arial"/>
                <w:b/>
                <w:bCs/>
                <w:color w:val="000000"/>
                <w:sz w:val="16"/>
                <w:szCs w:val="16"/>
              </w:rPr>
              <w:t xml:space="preserve"> </w:t>
            </w:r>
            <w:r w:rsidRPr="00792CEC">
              <w:rPr>
                <w:rFonts w:ascii="Arial" w:hAnsi="Arial" w:cs="Arial"/>
                <w:b/>
                <w:bCs/>
                <w:color w:val="000000"/>
                <w:sz w:val="16"/>
                <w:szCs w:val="16"/>
              </w:rPr>
              <w:t>138</w:t>
            </w:r>
            <w:r>
              <w:rPr>
                <w:rFonts w:ascii="Arial" w:hAnsi="Arial" w:cs="Arial"/>
                <w:b/>
                <w:bCs/>
                <w:color w:val="000000"/>
                <w:sz w:val="16"/>
                <w:szCs w:val="16"/>
              </w:rPr>
              <w:t xml:space="preserve"> </w:t>
            </w:r>
            <w:r w:rsidRPr="00792CEC">
              <w:rPr>
                <w:rFonts w:ascii="Arial" w:hAnsi="Arial" w:cs="Arial"/>
                <w:b/>
                <w:bCs/>
                <w:color w:val="000000"/>
                <w:sz w:val="16"/>
                <w:szCs w:val="16"/>
              </w:rPr>
              <w:t>087</w:t>
            </w:r>
          </w:p>
        </w:tc>
        <w:tc>
          <w:tcPr>
            <w:tcW w:w="1836" w:type="dxa"/>
            <w:shd w:val="clear" w:color="auto" w:fill="auto"/>
            <w:tcMar>
              <w:top w:w="0" w:type="dxa"/>
              <w:left w:w="108" w:type="dxa"/>
              <w:bottom w:w="0" w:type="dxa"/>
              <w:right w:w="108" w:type="dxa"/>
            </w:tcMar>
          </w:tcPr>
          <w:p w14:paraId="21C2B5B8" w14:textId="77777777" w:rsidR="00030089" w:rsidRPr="00ED6987" w:rsidRDefault="00030089" w:rsidP="008547F7">
            <w:pPr>
              <w:pStyle w:val="NoSpacing"/>
              <w:spacing w:before="60" w:line="360" w:lineRule="auto"/>
              <w:jc w:val="right"/>
              <w:rPr>
                <w:rFonts w:ascii="Arial" w:hAnsi="Arial" w:cs="Arial"/>
                <w:b/>
                <w:sz w:val="16"/>
                <w:szCs w:val="16"/>
              </w:rPr>
            </w:pPr>
            <w:r w:rsidRPr="00ED6987">
              <w:rPr>
                <w:rFonts w:ascii="Arial" w:hAnsi="Arial" w:cs="Arial"/>
                <w:b/>
                <w:sz w:val="16"/>
                <w:szCs w:val="16"/>
              </w:rPr>
              <w:t>NA</w:t>
            </w:r>
          </w:p>
        </w:tc>
        <w:tc>
          <w:tcPr>
            <w:tcW w:w="1836" w:type="dxa"/>
            <w:shd w:val="clear" w:color="auto" w:fill="auto"/>
            <w:tcMar>
              <w:top w:w="0" w:type="dxa"/>
              <w:left w:w="108" w:type="dxa"/>
              <w:bottom w:w="0" w:type="dxa"/>
              <w:right w:w="108" w:type="dxa"/>
            </w:tcMar>
          </w:tcPr>
          <w:p w14:paraId="45C216D4" w14:textId="77777777" w:rsidR="00030089" w:rsidRPr="00ED6987" w:rsidRDefault="00030089" w:rsidP="008547F7">
            <w:pPr>
              <w:pStyle w:val="NoSpacing"/>
              <w:spacing w:before="60" w:line="360" w:lineRule="auto"/>
              <w:jc w:val="right"/>
              <w:rPr>
                <w:rFonts w:ascii="Arial" w:hAnsi="Arial" w:cs="Arial"/>
                <w:b/>
                <w:color w:val="000000"/>
                <w:sz w:val="16"/>
                <w:szCs w:val="16"/>
              </w:rPr>
            </w:pPr>
            <w:r w:rsidRPr="00792CEC">
              <w:rPr>
                <w:rFonts w:ascii="Arial" w:hAnsi="Arial" w:cs="Arial"/>
                <w:b/>
                <w:bCs/>
                <w:color w:val="000000"/>
                <w:sz w:val="16"/>
                <w:szCs w:val="16"/>
              </w:rPr>
              <w:t>$4</w:t>
            </w:r>
            <w:r>
              <w:rPr>
                <w:rFonts w:ascii="Arial" w:hAnsi="Arial" w:cs="Arial"/>
                <w:b/>
                <w:bCs/>
                <w:color w:val="000000"/>
                <w:sz w:val="16"/>
                <w:szCs w:val="16"/>
              </w:rPr>
              <w:t xml:space="preserve"> </w:t>
            </w:r>
            <w:r w:rsidRPr="00792CEC">
              <w:rPr>
                <w:rFonts w:ascii="Arial" w:hAnsi="Arial" w:cs="Arial"/>
                <w:b/>
                <w:bCs/>
                <w:color w:val="000000"/>
                <w:sz w:val="16"/>
                <w:szCs w:val="16"/>
              </w:rPr>
              <w:t>276</w:t>
            </w:r>
            <w:r>
              <w:rPr>
                <w:rFonts w:ascii="Arial" w:hAnsi="Arial" w:cs="Arial"/>
                <w:b/>
                <w:bCs/>
                <w:color w:val="000000"/>
                <w:sz w:val="16"/>
                <w:szCs w:val="16"/>
              </w:rPr>
              <w:t xml:space="preserve"> </w:t>
            </w:r>
            <w:r w:rsidRPr="00792CEC">
              <w:rPr>
                <w:rFonts w:ascii="Arial" w:hAnsi="Arial" w:cs="Arial"/>
                <w:b/>
                <w:bCs/>
                <w:color w:val="000000"/>
                <w:sz w:val="16"/>
                <w:szCs w:val="16"/>
              </w:rPr>
              <w:t>175</w:t>
            </w:r>
          </w:p>
        </w:tc>
        <w:tc>
          <w:tcPr>
            <w:tcW w:w="1836" w:type="dxa"/>
            <w:shd w:val="clear" w:color="auto" w:fill="auto"/>
            <w:tcMar>
              <w:top w:w="0" w:type="dxa"/>
              <w:left w:w="108" w:type="dxa"/>
              <w:bottom w:w="0" w:type="dxa"/>
              <w:right w:w="108" w:type="dxa"/>
            </w:tcMar>
          </w:tcPr>
          <w:p w14:paraId="41F2ABB1" w14:textId="77777777" w:rsidR="00030089" w:rsidRPr="00ED6987" w:rsidRDefault="00030089" w:rsidP="008547F7">
            <w:pPr>
              <w:pStyle w:val="NoSpacing"/>
              <w:spacing w:before="60" w:line="360" w:lineRule="auto"/>
              <w:jc w:val="right"/>
              <w:rPr>
                <w:rFonts w:ascii="Arial" w:hAnsi="Arial" w:cs="Arial"/>
                <w:b/>
                <w:sz w:val="16"/>
                <w:szCs w:val="16"/>
              </w:rPr>
            </w:pPr>
            <w:r w:rsidRPr="00ED6987">
              <w:rPr>
                <w:rFonts w:ascii="Arial" w:hAnsi="Arial" w:cs="Arial"/>
                <w:b/>
                <w:sz w:val="16"/>
                <w:szCs w:val="16"/>
              </w:rPr>
              <w:t>NA</w:t>
            </w:r>
          </w:p>
        </w:tc>
      </w:tr>
    </w:tbl>
    <w:p w14:paraId="53FA4A2C" w14:textId="77777777" w:rsidR="00030089" w:rsidRDefault="00030089" w:rsidP="00030089">
      <w:pPr>
        <w:pStyle w:val="Caption"/>
        <w:keepNext/>
      </w:pPr>
    </w:p>
    <w:p w14:paraId="43FC6C06"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03" w:name="_Toc353562496"/>
      <w:r w:rsidR="00740026">
        <w:rPr>
          <w:noProof/>
          <w:color w:val="auto"/>
        </w:rPr>
        <w:t>15</w:t>
      </w:r>
      <w:r w:rsidRPr="00682556">
        <w:rPr>
          <w:noProof/>
          <w:color w:val="auto"/>
        </w:rPr>
        <w:fldChar w:fldCharType="end"/>
      </w:r>
      <w:r w:rsidRPr="00682556">
        <w:rPr>
          <w:noProof/>
          <w:color w:val="auto"/>
        </w:rPr>
        <w:t xml:space="preserve"> Table 4.6 Net Present Value (NPV) of key market costs and benefits over 10 years (3% sensitivity)</w:t>
      </w:r>
      <w:bookmarkEnd w:id="203"/>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7"/>
        <w:gridCol w:w="1836"/>
        <w:gridCol w:w="1836"/>
        <w:gridCol w:w="1836"/>
        <w:gridCol w:w="1836"/>
      </w:tblGrid>
      <w:tr w:rsidR="00030089" w:rsidRPr="006C7FB7" w14:paraId="46CEB259" w14:textId="77777777" w:rsidTr="008547F7">
        <w:tc>
          <w:tcPr>
            <w:tcW w:w="1587" w:type="dxa"/>
            <w:shd w:val="pct10" w:color="auto" w:fill="auto"/>
          </w:tcPr>
          <w:p w14:paraId="45C90D8D" w14:textId="77777777" w:rsidR="00030089" w:rsidRPr="00071702" w:rsidRDefault="00030089" w:rsidP="008547F7">
            <w:pPr>
              <w:pStyle w:val="NoSpacing"/>
              <w:tabs>
                <w:tab w:val="left" w:pos="142"/>
              </w:tabs>
              <w:spacing w:before="60" w:line="360" w:lineRule="auto"/>
              <w:rPr>
                <w:rFonts w:ascii="Arial" w:hAnsi="Arial" w:cs="Arial"/>
                <w:b/>
                <w:sz w:val="16"/>
                <w:szCs w:val="16"/>
              </w:rPr>
            </w:pPr>
            <w:r w:rsidRPr="00071702">
              <w:rPr>
                <w:rFonts w:ascii="Arial" w:hAnsi="Arial" w:cs="Arial"/>
                <w:b/>
                <w:sz w:val="16"/>
                <w:szCs w:val="16"/>
              </w:rPr>
              <w:t>Options</w:t>
            </w:r>
          </w:p>
          <w:p w14:paraId="4D19BF3A" w14:textId="77777777" w:rsidR="00030089" w:rsidRPr="00071702" w:rsidRDefault="00030089" w:rsidP="008547F7">
            <w:pPr>
              <w:pStyle w:val="NoSpacing"/>
              <w:tabs>
                <w:tab w:val="left" w:pos="142"/>
              </w:tabs>
              <w:spacing w:before="60" w:line="360" w:lineRule="auto"/>
              <w:rPr>
                <w:rFonts w:ascii="Arial" w:hAnsi="Arial" w:cs="Arial"/>
                <w:b/>
                <w:sz w:val="16"/>
                <w:szCs w:val="16"/>
              </w:rPr>
            </w:pPr>
          </w:p>
        </w:tc>
        <w:tc>
          <w:tcPr>
            <w:tcW w:w="1836" w:type="dxa"/>
            <w:shd w:val="pct10" w:color="auto" w:fill="auto"/>
          </w:tcPr>
          <w:p w14:paraId="6FC9E836" w14:textId="77777777" w:rsidR="00030089" w:rsidRPr="00071702" w:rsidRDefault="00030089" w:rsidP="008547F7">
            <w:pPr>
              <w:pStyle w:val="NoSpacing"/>
              <w:tabs>
                <w:tab w:val="left" w:pos="142"/>
              </w:tabs>
              <w:spacing w:before="60" w:line="360" w:lineRule="auto"/>
              <w:jc w:val="right"/>
              <w:rPr>
                <w:rFonts w:ascii="Arial" w:hAnsi="Arial" w:cs="Arial"/>
                <w:b/>
                <w:sz w:val="16"/>
                <w:szCs w:val="16"/>
              </w:rPr>
            </w:pPr>
            <w:r w:rsidRPr="00071702">
              <w:rPr>
                <w:rFonts w:ascii="Arial" w:hAnsi="Arial" w:cs="Arial"/>
                <w:b/>
                <w:sz w:val="16"/>
                <w:szCs w:val="16"/>
              </w:rPr>
              <w:t>Option 1</w:t>
            </w:r>
          </w:p>
          <w:p w14:paraId="2FDE5F25" w14:textId="77777777" w:rsidR="00030089" w:rsidRPr="00071702" w:rsidRDefault="00030089" w:rsidP="008547F7">
            <w:pPr>
              <w:pStyle w:val="NoSpacing"/>
              <w:tabs>
                <w:tab w:val="left" w:pos="142"/>
              </w:tabs>
              <w:spacing w:before="60" w:line="360" w:lineRule="auto"/>
              <w:jc w:val="right"/>
              <w:rPr>
                <w:rFonts w:ascii="Arial" w:hAnsi="Arial" w:cs="Arial"/>
                <w:sz w:val="16"/>
                <w:szCs w:val="16"/>
              </w:rPr>
            </w:pPr>
          </w:p>
        </w:tc>
        <w:tc>
          <w:tcPr>
            <w:tcW w:w="1836" w:type="dxa"/>
            <w:shd w:val="pct10" w:color="auto" w:fill="auto"/>
            <w:tcMar>
              <w:top w:w="0" w:type="dxa"/>
              <w:left w:w="108" w:type="dxa"/>
              <w:bottom w:w="0" w:type="dxa"/>
              <w:right w:w="108" w:type="dxa"/>
            </w:tcMar>
          </w:tcPr>
          <w:p w14:paraId="00F4EE21" w14:textId="77777777" w:rsidR="00030089" w:rsidRPr="00071702" w:rsidRDefault="00030089" w:rsidP="008547F7">
            <w:pPr>
              <w:pStyle w:val="NoSpacing"/>
              <w:tabs>
                <w:tab w:val="left" w:pos="142"/>
              </w:tabs>
              <w:spacing w:before="60" w:line="360" w:lineRule="auto"/>
              <w:jc w:val="right"/>
              <w:rPr>
                <w:rFonts w:ascii="Arial" w:hAnsi="Arial" w:cs="Arial"/>
                <w:b/>
                <w:sz w:val="16"/>
                <w:szCs w:val="16"/>
              </w:rPr>
            </w:pPr>
            <w:r w:rsidRPr="00071702">
              <w:rPr>
                <w:rFonts w:ascii="Arial" w:hAnsi="Arial" w:cs="Arial"/>
                <w:b/>
                <w:sz w:val="16"/>
                <w:szCs w:val="16"/>
              </w:rPr>
              <w:t>Option 2</w:t>
            </w:r>
          </w:p>
          <w:p w14:paraId="4F6019BD" w14:textId="77777777" w:rsidR="00030089" w:rsidRPr="00071702" w:rsidRDefault="00030089" w:rsidP="008547F7">
            <w:pPr>
              <w:pStyle w:val="NoSpacing"/>
              <w:tabs>
                <w:tab w:val="left" w:pos="142"/>
              </w:tabs>
              <w:spacing w:before="60" w:line="360" w:lineRule="auto"/>
              <w:jc w:val="right"/>
              <w:rPr>
                <w:rFonts w:ascii="Arial" w:hAnsi="Arial" w:cs="Arial"/>
                <w:b/>
                <w:color w:val="0070C0"/>
                <w:sz w:val="16"/>
                <w:szCs w:val="16"/>
              </w:rPr>
            </w:pPr>
          </w:p>
        </w:tc>
        <w:tc>
          <w:tcPr>
            <w:tcW w:w="1836" w:type="dxa"/>
            <w:shd w:val="pct10" w:color="auto" w:fill="auto"/>
            <w:tcMar>
              <w:top w:w="0" w:type="dxa"/>
              <w:left w:w="108" w:type="dxa"/>
              <w:bottom w:w="0" w:type="dxa"/>
              <w:right w:w="108" w:type="dxa"/>
            </w:tcMar>
          </w:tcPr>
          <w:p w14:paraId="34C858E1" w14:textId="77777777" w:rsidR="00030089" w:rsidRPr="00732FFB" w:rsidRDefault="00030089" w:rsidP="008547F7">
            <w:pPr>
              <w:pStyle w:val="NoSpacing"/>
              <w:tabs>
                <w:tab w:val="left" w:pos="142"/>
              </w:tabs>
              <w:spacing w:before="60" w:line="360" w:lineRule="auto"/>
              <w:jc w:val="right"/>
              <w:rPr>
                <w:rFonts w:ascii="Arial" w:hAnsi="Arial" w:cs="Arial"/>
                <w:b/>
                <w:sz w:val="16"/>
                <w:szCs w:val="16"/>
              </w:rPr>
            </w:pPr>
            <w:r w:rsidRPr="00732FFB">
              <w:rPr>
                <w:rFonts w:ascii="Arial" w:hAnsi="Arial" w:cs="Arial"/>
                <w:b/>
                <w:sz w:val="16"/>
                <w:szCs w:val="16"/>
              </w:rPr>
              <w:t>Option 3</w:t>
            </w:r>
          </w:p>
          <w:p w14:paraId="0506804A" w14:textId="77777777" w:rsidR="00030089" w:rsidRPr="00732FFB" w:rsidRDefault="00030089" w:rsidP="008547F7">
            <w:pPr>
              <w:pStyle w:val="NoSpacing"/>
              <w:tabs>
                <w:tab w:val="left" w:pos="142"/>
              </w:tabs>
              <w:spacing w:before="60" w:line="360" w:lineRule="auto"/>
              <w:jc w:val="right"/>
              <w:rPr>
                <w:rFonts w:ascii="Arial" w:hAnsi="Arial" w:cs="Arial"/>
                <w:sz w:val="16"/>
                <w:szCs w:val="16"/>
              </w:rPr>
            </w:pPr>
          </w:p>
        </w:tc>
        <w:tc>
          <w:tcPr>
            <w:tcW w:w="1836" w:type="dxa"/>
            <w:shd w:val="pct10" w:color="auto" w:fill="auto"/>
            <w:tcMar>
              <w:top w:w="0" w:type="dxa"/>
              <w:left w:w="108" w:type="dxa"/>
              <w:bottom w:w="0" w:type="dxa"/>
              <w:right w:w="108" w:type="dxa"/>
            </w:tcMar>
          </w:tcPr>
          <w:p w14:paraId="65745479" w14:textId="77777777" w:rsidR="00030089" w:rsidRPr="00732FFB" w:rsidRDefault="00030089" w:rsidP="008547F7">
            <w:pPr>
              <w:pStyle w:val="NoSpacing"/>
              <w:tabs>
                <w:tab w:val="left" w:pos="142"/>
              </w:tabs>
              <w:spacing w:before="60" w:line="360" w:lineRule="auto"/>
              <w:jc w:val="right"/>
              <w:rPr>
                <w:rFonts w:ascii="Arial" w:hAnsi="Arial" w:cs="Arial"/>
                <w:b/>
                <w:sz w:val="16"/>
                <w:szCs w:val="16"/>
              </w:rPr>
            </w:pPr>
            <w:r w:rsidRPr="00732FFB">
              <w:rPr>
                <w:rFonts w:ascii="Arial" w:hAnsi="Arial" w:cs="Arial"/>
                <w:b/>
                <w:sz w:val="16"/>
                <w:szCs w:val="16"/>
              </w:rPr>
              <w:t xml:space="preserve">Option 4 </w:t>
            </w:r>
          </w:p>
          <w:p w14:paraId="3AD98BA3" w14:textId="77777777" w:rsidR="00030089" w:rsidRPr="00732FFB" w:rsidRDefault="00030089" w:rsidP="008547F7">
            <w:pPr>
              <w:pStyle w:val="NoSpacing"/>
              <w:tabs>
                <w:tab w:val="left" w:pos="142"/>
              </w:tabs>
              <w:spacing w:before="60" w:line="360" w:lineRule="auto"/>
              <w:jc w:val="right"/>
              <w:rPr>
                <w:rFonts w:ascii="Arial" w:hAnsi="Arial" w:cs="Arial"/>
                <w:sz w:val="16"/>
                <w:szCs w:val="16"/>
              </w:rPr>
            </w:pPr>
          </w:p>
        </w:tc>
      </w:tr>
      <w:tr w:rsidR="00030089" w:rsidRPr="00063395" w14:paraId="146E4608" w14:textId="77777777" w:rsidTr="008547F7">
        <w:tc>
          <w:tcPr>
            <w:tcW w:w="1587" w:type="dxa"/>
            <w:shd w:val="clear" w:color="auto" w:fill="auto"/>
          </w:tcPr>
          <w:p w14:paraId="029CDAC6" w14:textId="77777777" w:rsidR="00030089" w:rsidRPr="0078240A" w:rsidRDefault="00030089" w:rsidP="008547F7">
            <w:pPr>
              <w:pStyle w:val="NoSpacing"/>
              <w:tabs>
                <w:tab w:val="left" w:pos="142"/>
              </w:tabs>
              <w:spacing w:before="60" w:line="360" w:lineRule="auto"/>
              <w:rPr>
                <w:rFonts w:ascii="Arial" w:hAnsi="Arial" w:cs="Arial"/>
                <w:sz w:val="16"/>
                <w:szCs w:val="16"/>
              </w:rPr>
            </w:pPr>
            <w:r w:rsidRPr="0078240A">
              <w:rPr>
                <w:rFonts w:ascii="Arial" w:hAnsi="Arial" w:cs="Arial"/>
                <w:sz w:val="16"/>
                <w:szCs w:val="16"/>
              </w:rPr>
              <w:t>Costs</w:t>
            </w:r>
          </w:p>
          <w:p w14:paraId="56819A9F" w14:textId="77777777" w:rsidR="00030089" w:rsidRPr="0078240A" w:rsidRDefault="00030089" w:rsidP="008547F7">
            <w:pPr>
              <w:pStyle w:val="NoSpacing"/>
              <w:tabs>
                <w:tab w:val="left" w:pos="142"/>
              </w:tabs>
              <w:spacing w:before="60" w:line="360" w:lineRule="auto"/>
              <w:rPr>
                <w:rFonts w:ascii="Arial" w:hAnsi="Arial" w:cs="Arial"/>
                <w:sz w:val="16"/>
                <w:szCs w:val="16"/>
              </w:rPr>
            </w:pPr>
          </w:p>
        </w:tc>
        <w:tc>
          <w:tcPr>
            <w:tcW w:w="1836" w:type="dxa"/>
          </w:tcPr>
          <w:p w14:paraId="4515A48C" w14:textId="77777777" w:rsidR="00030089" w:rsidRPr="00EE2040" w:rsidRDefault="00030089" w:rsidP="008547F7">
            <w:pPr>
              <w:pStyle w:val="NoSpacing"/>
              <w:tabs>
                <w:tab w:val="left" w:pos="142"/>
              </w:tabs>
              <w:spacing w:before="60" w:line="360" w:lineRule="auto"/>
              <w:jc w:val="right"/>
              <w:rPr>
                <w:rFonts w:ascii="Arial" w:hAnsi="Arial" w:cs="Arial"/>
                <w:sz w:val="16"/>
                <w:szCs w:val="16"/>
              </w:rPr>
            </w:pPr>
            <w:r w:rsidRPr="00792CEC">
              <w:rPr>
                <w:rFonts w:ascii="Arial" w:hAnsi="Arial" w:cs="Arial"/>
                <w:color w:val="000000"/>
                <w:sz w:val="16"/>
                <w:szCs w:val="16"/>
              </w:rPr>
              <w:t>$11</w:t>
            </w:r>
            <w:r>
              <w:rPr>
                <w:rFonts w:ascii="Arial" w:hAnsi="Arial" w:cs="Arial"/>
                <w:color w:val="000000"/>
                <w:sz w:val="16"/>
                <w:szCs w:val="16"/>
              </w:rPr>
              <w:t xml:space="preserve"> </w:t>
            </w:r>
            <w:r w:rsidRPr="00792CEC">
              <w:rPr>
                <w:rFonts w:ascii="Arial" w:hAnsi="Arial" w:cs="Arial"/>
                <w:color w:val="000000"/>
                <w:sz w:val="16"/>
                <w:szCs w:val="16"/>
              </w:rPr>
              <w:t>662</w:t>
            </w:r>
            <w:r>
              <w:rPr>
                <w:rFonts w:ascii="Arial" w:hAnsi="Arial" w:cs="Arial"/>
                <w:color w:val="000000"/>
                <w:sz w:val="16"/>
                <w:szCs w:val="16"/>
              </w:rPr>
              <w:t xml:space="preserve"> </w:t>
            </w:r>
            <w:r w:rsidRPr="00792CEC">
              <w:rPr>
                <w:rFonts w:ascii="Arial" w:hAnsi="Arial" w:cs="Arial"/>
                <w:color w:val="000000"/>
                <w:sz w:val="16"/>
                <w:szCs w:val="16"/>
              </w:rPr>
              <w:t>942</w:t>
            </w:r>
          </w:p>
        </w:tc>
        <w:tc>
          <w:tcPr>
            <w:tcW w:w="1836" w:type="dxa"/>
            <w:tcMar>
              <w:top w:w="0" w:type="dxa"/>
              <w:left w:w="108" w:type="dxa"/>
              <w:bottom w:w="0" w:type="dxa"/>
              <w:right w:w="108" w:type="dxa"/>
            </w:tcMar>
          </w:tcPr>
          <w:p w14:paraId="6A567715" w14:textId="77777777" w:rsidR="00030089" w:rsidRPr="00EE2040" w:rsidRDefault="00030089" w:rsidP="008547F7">
            <w:pPr>
              <w:pStyle w:val="NoSpacing"/>
              <w:tabs>
                <w:tab w:val="left" w:pos="142"/>
              </w:tabs>
              <w:spacing w:before="60" w:line="360" w:lineRule="auto"/>
              <w:jc w:val="right"/>
              <w:rPr>
                <w:rFonts w:ascii="Arial" w:hAnsi="Arial" w:cs="Arial"/>
                <w:sz w:val="16"/>
                <w:szCs w:val="16"/>
              </w:rPr>
            </w:pPr>
            <w:r w:rsidRPr="00EE2040">
              <w:rPr>
                <w:rFonts w:ascii="Arial" w:hAnsi="Arial" w:cs="Arial"/>
                <w:sz w:val="16"/>
                <w:szCs w:val="16"/>
              </w:rPr>
              <w:t>NA</w:t>
            </w:r>
          </w:p>
        </w:tc>
        <w:tc>
          <w:tcPr>
            <w:tcW w:w="1836" w:type="dxa"/>
            <w:tcMar>
              <w:top w:w="0" w:type="dxa"/>
              <w:left w:w="108" w:type="dxa"/>
              <w:bottom w:w="0" w:type="dxa"/>
              <w:right w:w="108" w:type="dxa"/>
            </w:tcMar>
          </w:tcPr>
          <w:p w14:paraId="122353DF" w14:textId="77777777" w:rsidR="00030089" w:rsidRPr="00EE2040" w:rsidRDefault="00030089" w:rsidP="008547F7">
            <w:pPr>
              <w:pStyle w:val="NoSpacing"/>
              <w:tabs>
                <w:tab w:val="left" w:pos="142"/>
              </w:tabs>
              <w:spacing w:before="60" w:line="360" w:lineRule="auto"/>
              <w:jc w:val="right"/>
              <w:rPr>
                <w:rFonts w:ascii="Arial" w:hAnsi="Arial" w:cs="Arial"/>
                <w:sz w:val="16"/>
                <w:szCs w:val="16"/>
              </w:rPr>
            </w:pPr>
            <w:r w:rsidRPr="00792CEC">
              <w:rPr>
                <w:rFonts w:ascii="Arial" w:hAnsi="Arial" w:cs="Arial"/>
                <w:color w:val="000000"/>
                <w:sz w:val="16"/>
                <w:szCs w:val="16"/>
              </w:rPr>
              <w:t>$23</w:t>
            </w:r>
            <w:r>
              <w:rPr>
                <w:rFonts w:ascii="Arial" w:hAnsi="Arial" w:cs="Arial"/>
                <w:color w:val="000000"/>
                <w:sz w:val="16"/>
                <w:szCs w:val="16"/>
              </w:rPr>
              <w:t xml:space="preserve"> </w:t>
            </w:r>
            <w:r w:rsidRPr="00792CEC">
              <w:rPr>
                <w:rFonts w:ascii="Arial" w:hAnsi="Arial" w:cs="Arial"/>
                <w:color w:val="000000"/>
                <w:sz w:val="16"/>
                <w:szCs w:val="16"/>
              </w:rPr>
              <w:t>325</w:t>
            </w:r>
            <w:r>
              <w:rPr>
                <w:rFonts w:ascii="Arial" w:hAnsi="Arial" w:cs="Arial"/>
                <w:color w:val="000000"/>
                <w:sz w:val="16"/>
                <w:szCs w:val="16"/>
              </w:rPr>
              <w:t xml:space="preserve"> </w:t>
            </w:r>
            <w:r w:rsidRPr="00792CEC">
              <w:rPr>
                <w:rFonts w:ascii="Arial" w:hAnsi="Arial" w:cs="Arial"/>
                <w:color w:val="000000"/>
                <w:sz w:val="16"/>
                <w:szCs w:val="16"/>
              </w:rPr>
              <w:t>885</w:t>
            </w:r>
          </w:p>
        </w:tc>
        <w:tc>
          <w:tcPr>
            <w:tcW w:w="1836" w:type="dxa"/>
            <w:tcMar>
              <w:top w:w="0" w:type="dxa"/>
              <w:left w:w="108" w:type="dxa"/>
              <w:bottom w:w="0" w:type="dxa"/>
              <w:right w:w="108" w:type="dxa"/>
            </w:tcMar>
          </w:tcPr>
          <w:p w14:paraId="7055536C" w14:textId="77777777" w:rsidR="00030089" w:rsidRPr="00063395" w:rsidRDefault="00030089" w:rsidP="008547F7">
            <w:pPr>
              <w:pStyle w:val="NoSpacing"/>
              <w:tabs>
                <w:tab w:val="left" w:pos="142"/>
              </w:tabs>
              <w:spacing w:before="60" w:line="360" w:lineRule="auto"/>
              <w:jc w:val="right"/>
              <w:rPr>
                <w:rFonts w:ascii="Arial" w:hAnsi="Arial" w:cs="Arial"/>
                <w:sz w:val="16"/>
                <w:szCs w:val="16"/>
              </w:rPr>
            </w:pPr>
            <w:r>
              <w:rPr>
                <w:rFonts w:ascii="Arial" w:hAnsi="Arial" w:cs="Arial"/>
                <w:sz w:val="16"/>
                <w:szCs w:val="16"/>
              </w:rPr>
              <w:t>NA</w:t>
            </w:r>
          </w:p>
        </w:tc>
      </w:tr>
      <w:tr w:rsidR="00030089" w:rsidRPr="00063395" w14:paraId="0540E670" w14:textId="77777777" w:rsidTr="008547F7">
        <w:tc>
          <w:tcPr>
            <w:tcW w:w="1587" w:type="dxa"/>
            <w:shd w:val="clear" w:color="auto" w:fill="auto"/>
          </w:tcPr>
          <w:p w14:paraId="658154AE" w14:textId="77777777" w:rsidR="00030089" w:rsidRPr="0078240A" w:rsidRDefault="00030089" w:rsidP="008547F7">
            <w:pPr>
              <w:pStyle w:val="NoSpacing"/>
              <w:tabs>
                <w:tab w:val="left" w:pos="142"/>
              </w:tabs>
              <w:spacing w:before="60" w:line="360" w:lineRule="auto"/>
              <w:rPr>
                <w:rFonts w:ascii="Arial" w:hAnsi="Arial" w:cs="Arial"/>
                <w:sz w:val="16"/>
                <w:szCs w:val="16"/>
              </w:rPr>
            </w:pPr>
            <w:r w:rsidRPr="0078240A">
              <w:rPr>
                <w:rFonts w:ascii="Arial" w:hAnsi="Arial" w:cs="Arial"/>
                <w:sz w:val="16"/>
                <w:szCs w:val="16"/>
              </w:rPr>
              <w:t>Market Benefits</w:t>
            </w:r>
          </w:p>
          <w:p w14:paraId="2D9A84C2" w14:textId="77777777" w:rsidR="00030089" w:rsidRPr="0078240A" w:rsidRDefault="00030089" w:rsidP="008547F7">
            <w:pPr>
              <w:pStyle w:val="NoSpacing"/>
              <w:tabs>
                <w:tab w:val="left" w:pos="142"/>
              </w:tabs>
              <w:spacing w:before="60" w:line="360" w:lineRule="auto"/>
              <w:rPr>
                <w:rFonts w:ascii="Arial" w:hAnsi="Arial" w:cs="Arial"/>
                <w:sz w:val="16"/>
                <w:szCs w:val="16"/>
              </w:rPr>
            </w:pPr>
          </w:p>
        </w:tc>
        <w:tc>
          <w:tcPr>
            <w:tcW w:w="1836" w:type="dxa"/>
          </w:tcPr>
          <w:p w14:paraId="1BE3CF62" w14:textId="77777777" w:rsidR="00030089" w:rsidRPr="00EE2040" w:rsidRDefault="00030089" w:rsidP="008547F7">
            <w:pPr>
              <w:pStyle w:val="NoSpacing"/>
              <w:tabs>
                <w:tab w:val="left" w:pos="142"/>
              </w:tabs>
              <w:spacing w:before="60" w:line="360" w:lineRule="auto"/>
              <w:jc w:val="right"/>
              <w:rPr>
                <w:rFonts w:ascii="Arial" w:hAnsi="Arial" w:cs="Arial"/>
                <w:sz w:val="16"/>
                <w:szCs w:val="16"/>
              </w:rPr>
            </w:pPr>
            <w:r w:rsidRPr="00792CEC">
              <w:rPr>
                <w:rFonts w:ascii="Arial" w:hAnsi="Arial" w:cs="Arial"/>
                <w:color w:val="000000"/>
                <w:sz w:val="16"/>
                <w:szCs w:val="16"/>
              </w:rPr>
              <w:t>$14</w:t>
            </w:r>
            <w:r>
              <w:rPr>
                <w:rFonts w:ascii="Arial" w:hAnsi="Arial" w:cs="Arial"/>
                <w:color w:val="000000"/>
                <w:sz w:val="16"/>
                <w:szCs w:val="16"/>
              </w:rPr>
              <w:t xml:space="preserve"> </w:t>
            </w:r>
            <w:r w:rsidRPr="00792CEC">
              <w:rPr>
                <w:rFonts w:ascii="Arial" w:hAnsi="Arial" w:cs="Arial"/>
                <w:color w:val="000000"/>
                <w:sz w:val="16"/>
                <w:szCs w:val="16"/>
              </w:rPr>
              <w:t>762</w:t>
            </w:r>
            <w:r>
              <w:rPr>
                <w:rFonts w:ascii="Arial" w:hAnsi="Arial" w:cs="Arial"/>
                <w:color w:val="000000"/>
                <w:sz w:val="16"/>
                <w:szCs w:val="16"/>
              </w:rPr>
              <w:t xml:space="preserve"> </w:t>
            </w:r>
            <w:r w:rsidRPr="00792CEC">
              <w:rPr>
                <w:rFonts w:ascii="Arial" w:hAnsi="Arial" w:cs="Arial"/>
                <w:color w:val="000000"/>
                <w:sz w:val="16"/>
                <w:szCs w:val="16"/>
              </w:rPr>
              <w:t>877</w:t>
            </w:r>
          </w:p>
        </w:tc>
        <w:tc>
          <w:tcPr>
            <w:tcW w:w="1836" w:type="dxa"/>
            <w:tcMar>
              <w:top w:w="0" w:type="dxa"/>
              <w:left w:w="108" w:type="dxa"/>
              <w:bottom w:w="0" w:type="dxa"/>
              <w:right w:w="108" w:type="dxa"/>
            </w:tcMar>
          </w:tcPr>
          <w:p w14:paraId="0D97B254" w14:textId="77777777" w:rsidR="00030089" w:rsidRPr="00EE2040" w:rsidRDefault="00030089" w:rsidP="008547F7">
            <w:pPr>
              <w:pStyle w:val="NoSpacing"/>
              <w:tabs>
                <w:tab w:val="left" w:pos="142"/>
              </w:tabs>
              <w:spacing w:before="60" w:line="360" w:lineRule="auto"/>
              <w:jc w:val="right"/>
              <w:rPr>
                <w:rFonts w:ascii="Arial" w:hAnsi="Arial" w:cs="Arial"/>
                <w:sz w:val="16"/>
                <w:szCs w:val="16"/>
              </w:rPr>
            </w:pPr>
            <w:r w:rsidRPr="00EE2040">
              <w:rPr>
                <w:rFonts w:ascii="Arial" w:hAnsi="Arial" w:cs="Arial"/>
                <w:sz w:val="16"/>
                <w:szCs w:val="16"/>
              </w:rPr>
              <w:t>NA</w:t>
            </w:r>
          </w:p>
        </w:tc>
        <w:tc>
          <w:tcPr>
            <w:tcW w:w="1836" w:type="dxa"/>
            <w:tcMar>
              <w:top w:w="0" w:type="dxa"/>
              <w:left w:w="108" w:type="dxa"/>
              <w:bottom w:w="0" w:type="dxa"/>
              <w:right w:w="108" w:type="dxa"/>
            </w:tcMar>
          </w:tcPr>
          <w:p w14:paraId="0FA0FE2F" w14:textId="77777777" w:rsidR="00030089" w:rsidRPr="00EE2040" w:rsidRDefault="00030089" w:rsidP="008547F7">
            <w:pPr>
              <w:pStyle w:val="NoSpacing"/>
              <w:tabs>
                <w:tab w:val="left" w:pos="142"/>
              </w:tabs>
              <w:spacing w:before="60" w:line="360" w:lineRule="auto"/>
              <w:jc w:val="right"/>
              <w:rPr>
                <w:rFonts w:ascii="Arial" w:hAnsi="Arial" w:cs="Arial"/>
                <w:sz w:val="16"/>
                <w:szCs w:val="16"/>
              </w:rPr>
            </w:pPr>
            <w:r w:rsidRPr="00792CEC">
              <w:rPr>
                <w:rFonts w:ascii="Arial" w:hAnsi="Arial" w:cs="Arial"/>
                <w:color w:val="000000"/>
                <w:sz w:val="16"/>
                <w:szCs w:val="16"/>
              </w:rPr>
              <w:t>$29</w:t>
            </w:r>
            <w:r>
              <w:rPr>
                <w:rFonts w:ascii="Arial" w:hAnsi="Arial" w:cs="Arial"/>
                <w:color w:val="000000"/>
                <w:sz w:val="16"/>
                <w:szCs w:val="16"/>
              </w:rPr>
              <w:t xml:space="preserve"> </w:t>
            </w:r>
            <w:r w:rsidRPr="00792CEC">
              <w:rPr>
                <w:rFonts w:ascii="Arial" w:hAnsi="Arial" w:cs="Arial"/>
                <w:color w:val="000000"/>
                <w:sz w:val="16"/>
                <w:szCs w:val="16"/>
              </w:rPr>
              <w:t>525</w:t>
            </w:r>
            <w:r>
              <w:rPr>
                <w:rFonts w:ascii="Arial" w:hAnsi="Arial" w:cs="Arial"/>
                <w:color w:val="000000"/>
                <w:sz w:val="16"/>
                <w:szCs w:val="16"/>
              </w:rPr>
              <w:t xml:space="preserve"> </w:t>
            </w:r>
            <w:r w:rsidRPr="00792CEC">
              <w:rPr>
                <w:rFonts w:ascii="Arial" w:hAnsi="Arial" w:cs="Arial"/>
                <w:color w:val="000000"/>
                <w:sz w:val="16"/>
                <w:szCs w:val="16"/>
              </w:rPr>
              <w:t>754</w:t>
            </w:r>
          </w:p>
        </w:tc>
        <w:tc>
          <w:tcPr>
            <w:tcW w:w="1836" w:type="dxa"/>
            <w:tcMar>
              <w:top w:w="0" w:type="dxa"/>
              <w:left w:w="108" w:type="dxa"/>
              <w:bottom w:w="0" w:type="dxa"/>
              <w:right w:w="108" w:type="dxa"/>
            </w:tcMar>
          </w:tcPr>
          <w:p w14:paraId="2E44175C" w14:textId="77777777" w:rsidR="00030089" w:rsidRPr="00C410AE" w:rsidRDefault="00030089" w:rsidP="008547F7">
            <w:pPr>
              <w:pStyle w:val="NoSpacing"/>
              <w:tabs>
                <w:tab w:val="left" w:pos="142"/>
              </w:tabs>
              <w:spacing w:before="60" w:line="360" w:lineRule="auto"/>
              <w:jc w:val="right"/>
              <w:rPr>
                <w:rFonts w:ascii="Arial" w:hAnsi="Arial" w:cs="Arial"/>
                <w:sz w:val="16"/>
                <w:szCs w:val="16"/>
              </w:rPr>
            </w:pPr>
            <w:r>
              <w:rPr>
                <w:rFonts w:ascii="Arial" w:hAnsi="Arial" w:cs="Arial"/>
                <w:sz w:val="16"/>
                <w:szCs w:val="16"/>
              </w:rPr>
              <w:t>NA</w:t>
            </w:r>
          </w:p>
        </w:tc>
      </w:tr>
      <w:tr w:rsidR="00030089" w:rsidRPr="00BE7252" w14:paraId="5158C0DA" w14:textId="77777777" w:rsidTr="008547F7">
        <w:tc>
          <w:tcPr>
            <w:tcW w:w="1587" w:type="dxa"/>
            <w:shd w:val="clear" w:color="auto" w:fill="auto"/>
          </w:tcPr>
          <w:p w14:paraId="25D50B24" w14:textId="77777777" w:rsidR="00030089" w:rsidRPr="000729A4" w:rsidRDefault="00030089" w:rsidP="008547F7">
            <w:pPr>
              <w:pStyle w:val="NoSpacing"/>
              <w:tabs>
                <w:tab w:val="left" w:pos="142"/>
              </w:tabs>
              <w:spacing w:before="60" w:line="360" w:lineRule="auto"/>
              <w:rPr>
                <w:rFonts w:ascii="Arial" w:hAnsi="Arial" w:cs="Arial"/>
                <w:b/>
                <w:sz w:val="16"/>
                <w:szCs w:val="16"/>
              </w:rPr>
            </w:pPr>
            <w:r w:rsidRPr="000729A4">
              <w:rPr>
                <w:rFonts w:ascii="Arial" w:hAnsi="Arial" w:cs="Arial"/>
                <w:b/>
                <w:sz w:val="16"/>
                <w:szCs w:val="16"/>
              </w:rPr>
              <w:t>NPV</w:t>
            </w:r>
          </w:p>
          <w:p w14:paraId="79191D3F" w14:textId="77777777" w:rsidR="00030089" w:rsidRPr="000729A4" w:rsidRDefault="00030089" w:rsidP="008547F7">
            <w:pPr>
              <w:pStyle w:val="NoSpacing"/>
              <w:tabs>
                <w:tab w:val="left" w:pos="142"/>
              </w:tabs>
              <w:spacing w:before="60" w:line="360" w:lineRule="auto"/>
              <w:rPr>
                <w:rFonts w:ascii="Arial" w:hAnsi="Arial" w:cs="Arial"/>
                <w:b/>
                <w:sz w:val="16"/>
                <w:szCs w:val="16"/>
              </w:rPr>
            </w:pPr>
          </w:p>
        </w:tc>
        <w:tc>
          <w:tcPr>
            <w:tcW w:w="1836" w:type="dxa"/>
            <w:shd w:val="clear" w:color="auto" w:fill="auto"/>
          </w:tcPr>
          <w:p w14:paraId="5383EA6E" w14:textId="77777777" w:rsidR="00030089" w:rsidRPr="00EE2040" w:rsidRDefault="00030089" w:rsidP="008547F7">
            <w:pPr>
              <w:pStyle w:val="NoSpacing"/>
              <w:tabs>
                <w:tab w:val="left" w:pos="142"/>
              </w:tabs>
              <w:spacing w:before="60" w:line="360" w:lineRule="auto"/>
              <w:jc w:val="right"/>
              <w:rPr>
                <w:rFonts w:ascii="Arial" w:hAnsi="Arial" w:cs="Arial"/>
                <w:b/>
                <w:sz w:val="16"/>
                <w:szCs w:val="16"/>
              </w:rPr>
            </w:pPr>
            <w:r w:rsidRPr="00792CEC">
              <w:rPr>
                <w:rFonts w:ascii="Arial" w:hAnsi="Arial" w:cs="Arial"/>
                <w:b/>
                <w:bCs/>
                <w:color w:val="000000"/>
                <w:sz w:val="16"/>
                <w:szCs w:val="16"/>
              </w:rPr>
              <w:t>$3</w:t>
            </w:r>
            <w:r>
              <w:rPr>
                <w:rFonts w:ascii="Arial" w:hAnsi="Arial" w:cs="Arial"/>
                <w:b/>
                <w:bCs/>
                <w:color w:val="000000"/>
                <w:sz w:val="16"/>
                <w:szCs w:val="16"/>
              </w:rPr>
              <w:t xml:space="preserve"> </w:t>
            </w:r>
            <w:r w:rsidRPr="00792CEC">
              <w:rPr>
                <w:rFonts w:ascii="Arial" w:hAnsi="Arial" w:cs="Arial"/>
                <w:b/>
                <w:bCs/>
                <w:color w:val="000000"/>
                <w:sz w:val="16"/>
                <w:szCs w:val="16"/>
              </w:rPr>
              <w:t>099</w:t>
            </w:r>
            <w:r>
              <w:rPr>
                <w:rFonts w:ascii="Arial" w:hAnsi="Arial" w:cs="Arial"/>
                <w:b/>
                <w:bCs/>
                <w:color w:val="000000"/>
                <w:sz w:val="16"/>
                <w:szCs w:val="16"/>
              </w:rPr>
              <w:t xml:space="preserve"> </w:t>
            </w:r>
            <w:r w:rsidRPr="00792CEC">
              <w:rPr>
                <w:rFonts w:ascii="Arial" w:hAnsi="Arial" w:cs="Arial"/>
                <w:b/>
                <w:bCs/>
                <w:color w:val="000000"/>
                <w:sz w:val="16"/>
                <w:szCs w:val="16"/>
              </w:rPr>
              <w:t>934</w:t>
            </w:r>
          </w:p>
        </w:tc>
        <w:tc>
          <w:tcPr>
            <w:tcW w:w="1836" w:type="dxa"/>
            <w:shd w:val="clear" w:color="auto" w:fill="auto"/>
            <w:tcMar>
              <w:top w:w="0" w:type="dxa"/>
              <w:left w:w="108" w:type="dxa"/>
              <w:bottom w:w="0" w:type="dxa"/>
              <w:right w:w="108" w:type="dxa"/>
            </w:tcMar>
          </w:tcPr>
          <w:p w14:paraId="06C5510F" w14:textId="77777777" w:rsidR="00030089" w:rsidRPr="00EE2040" w:rsidRDefault="00030089" w:rsidP="008547F7">
            <w:pPr>
              <w:pStyle w:val="NoSpacing"/>
              <w:tabs>
                <w:tab w:val="left" w:pos="142"/>
              </w:tabs>
              <w:spacing w:before="60" w:line="360" w:lineRule="auto"/>
              <w:jc w:val="right"/>
              <w:rPr>
                <w:rFonts w:ascii="Arial" w:hAnsi="Arial" w:cs="Arial"/>
                <w:b/>
                <w:sz w:val="16"/>
                <w:szCs w:val="16"/>
              </w:rPr>
            </w:pPr>
            <w:r w:rsidRPr="00EE2040">
              <w:rPr>
                <w:rFonts w:ascii="Arial" w:hAnsi="Arial" w:cs="Arial"/>
                <w:b/>
                <w:sz w:val="16"/>
                <w:szCs w:val="16"/>
              </w:rPr>
              <w:t>NA</w:t>
            </w:r>
          </w:p>
        </w:tc>
        <w:tc>
          <w:tcPr>
            <w:tcW w:w="1836" w:type="dxa"/>
            <w:shd w:val="clear" w:color="auto" w:fill="auto"/>
            <w:tcMar>
              <w:top w:w="0" w:type="dxa"/>
              <w:left w:w="108" w:type="dxa"/>
              <w:bottom w:w="0" w:type="dxa"/>
              <w:right w:w="108" w:type="dxa"/>
            </w:tcMar>
          </w:tcPr>
          <w:p w14:paraId="5AC370C8" w14:textId="77777777" w:rsidR="00030089" w:rsidRPr="007F5BD4" w:rsidRDefault="00030089" w:rsidP="008547F7">
            <w:pPr>
              <w:pStyle w:val="NoSpacing"/>
              <w:tabs>
                <w:tab w:val="left" w:pos="142"/>
              </w:tabs>
              <w:spacing w:before="60" w:line="360" w:lineRule="auto"/>
              <w:jc w:val="right"/>
              <w:rPr>
                <w:rFonts w:ascii="Arial" w:hAnsi="Arial" w:cs="Arial"/>
                <w:b/>
                <w:bCs/>
                <w:color w:val="000000"/>
                <w:sz w:val="16"/>
                <w:szCs w:val="16"/>
              </w:rPr>
            </w:pPr>
            <w:r w:rsidRPr="007F5BD4">
              <w:rPr>
                <w:rFonts w:ascii="Arial" w:hAnsi="Arial" w:cs="Arial"/>
                <w:b/>
                <w:bCs/>
                <w:color w:val="000000"/>
                <w:sz w:val="16"/>
                <w:szCs w:val="16"/>
              </w:rPr>
              <w:t>$6,199,869</w:t>
            </w:r>
          </w:p>
          <w:p w14:paraId="16CA9BAD" w14:textId="77777777" w:rsidR="00030089" w:rsidRPr="007F5BD4" w:rsidRDefault="00030089" w:rsidP="008547F7">
            <w:pPr>
              <w:pStyle w:val="NoSpacing"/>
              <w:tabs>
                <w:tab w:val="left" w:pos="142"/>
              </w:tabs>
              <w:spacing w:before="60" w:line="360" w:lineRule="auto"/>
              <w:jc w:val="right"/>
              <w:rPr>
                <w:rFonts w:ascii="Arial" w:hAnsi="Arial" w:cs="Arial"/>
                <w:b/>
                <w:bCs/>
                <w:color w:val="000000"/>
                <w:sz w:val="16"/>
                <w:szCs w:val="16"/>
              </w:rPr>
            </w:pPr>
          </w:p>
        </w:tc>
        <w:tc>
          <w:tcPr>
            <w:tcW w:w="1836" w:type="dxa"/>
            <w:shd w:val="clear" w:color="auto" w:fill="auto"/>
            <w:tcMar>
              <w:top w:w="0" w:type="dxa"/>
              <w:left w:w="108" w:type="dxa"/>
              <w:bottom w:w="0" w:type="dxa"/>
              <w:right w:w="108" w:type="dxa"/>
            </w:tcMar>
          </w:tcPr>
          <w:p w14:paraId="75C2E85A" w14:textId="77777777" w:rsidR="00030089" w:rsidRPr="00BE7252" w:rsidRDefault="00030089" w:rsidP="008547F7">
            <w:pPr>
              <w:pStyle w:val="NoSpacing"/>
              <w:tabs>
                <w:tab w:val="left" w:pos="142"/>
              </w:tabs>
              <w:spacing w:before="60" w:line="360" w:lineRule="auto"/>
              <w:jc w:val="right"/>
              <w:rPr>
                <w:rFonts w:ascii="Arial" w:hAnsi="Arial" w:cs="Arial"/>
                <w:b/>
                <w:sz w:val="16"/>
                <w:szCs w:val="16"/>
              </w:rPr>
            </w:pPr>
            <w:r w:rsidRPr="00BE7252">
              <w:rPr>
                <w:rFonts w:ascii="Arial" w:hAnsi="Arial" w:cs="Arial"/>
                <w:b/>
                <w:sz w:val="16"/>
                <w:szCs w:val="16"/>
              </w:rPr>
              <w:t>NA</w:t>
            </w:r>
          </w:p>
        </w:tc>
      </w:tr>
    </w:tbl>
    <w:p w14:paraId="54EB4449" w14:textId="77777777" w:rsidR="00030089" w:rsidRDefault="00030089" w:rsidP="00030089">
      <w:pPr>
        <w:tabs>
          <w:tab w:val="left" w:pos="142"/>
        </w:tabs>
      </w:pPr>
    </w:p>
    <w:p w14:paraId="60A77D3C" w14:textId="77777777" w:rsidR="00030089" w:rsidRPr="00F702E2" w:rsidRDefault="00030089" w:rsidP="00030089">
      <w:pPr>
        <w:pStyle w:val="Default"/>
        <w:rPr>
          <w:sz w:val="24"/>
          <w:szCs w:val="24"/>
        </w:rPr>
      </w:pPr>
      <w:r w:rsidRPr="00F702E2">
        <w:rPr>
          <w:sz w:val="24"/>
          <w:szCs w:val="24"/>
        </w:rPr>
        <w:t>Due to the unique nature of NT transportation distances and population dispersal, the following tables’ present additional sensitivity testing for Option Three, including:</w:t>
      </w:r>
    </w:p>
    <w:p w14:paraId="147C4309" w14:textId="77777777" w:rsidR="00030089" w:rsidRPr="00F702E2" w:rsidRDefault="00030089" w:rsidP="00030089">
      <w:pPr>
        <w:pStyle w:val="Default"/>
        <w:numPr>
          <w:ilvl w:val="0"/>
          <w:numId w:val="38"/>
        </w:numPr>
        <w:rPr>
          <w:sz w:val="24"/>
          <w:szCs w:val="24"/>
        </w:rPr>
      </w:pPr>
      <w:r w:rsidRPr="00F702E2">
        <w:rPr>
          <w:sz w:val="24"/>
          <w:szCs w:val="24"/>
        </w:rPr>
        <w:t>sensitivity testing at a 2% return rate increase pa to 58% over 10 and 25 year periods; and</w:t>
      </w:r>
    </w:p>
    <w:p w14:paraId="7E247ABF" w14:textId="77777777" w:rsidR="00030089" w:rsidRPr="00F702E2" w:rsidRDefault="00030089" w:rsidP="00030089">
      <w:pPr>
        <w:pStyle w:val="Default"/>
        <w:numPr>
          <w:ilvl w:val="0"/>
          <w:numId w:val="38"/>
        </w:numPr>
        <w:ind w:left="0" w:firstLine="426"/>
        <w:rPr>
          <w:sz w:val="24"/>
          <w:szCs w:val="24"/>
        </w:rPr>
      </w:pPr>
      <w:r w:rsidRPr="00F702E2">
        <w:rPr>
          <w:sz w:val="24"/>
          <w:szCs w:val="24"/>
        </w:rPr>
        <w:t>sensitivity testing at a flat 34% return rate over 10 and 25 year periods.</w:t>
      </w:r>
    </w:p>
    <w:p w14:paraId="5885E05B" w14:textId="77777777" w:rsidR="00030089" w:rsidRPr="00F702E2" w:rsidRDefault="00030089" w:rsidP="00030089">
      <w:pPr>
        <w:pStyle w:val="Default"/>
        <w:rPr>
          <w:sz w:val="24"/>
          <w:szCs w:val="24"/>
        </w:rPr>
      </w:pPr>
      <w:r w:rsidRPr="00F702E2">
        <w:rPr>
          <w:sz w:val="24"/>
          <w:szCs w:val="24"/>
        </w:rPr>
        <w:t>Further sensitivity testing at 3% and 10% has been applied to these two models.</w:t>
      </w:r>
    </w:p>
    <w:p w14:paraId="22FCDD59" w14:textId="77777777" w:rsidR="00030089" w:rsidRDefault="005E0D4C" w:rsidP="00030089">
      <w:pPr>
        <w:pStyle w:val="Caption"/>
        <w:keepNext/>
      </w:pPr>
      <w:fldSimple w:instr=" SEQ Figure \* ARABIC ">
        <w:bookmarkStart w:id="204" w:name="_Toc353562497"/>
        <w:r w:rsidR="00740026">
          <w:rPr>
            <w:noProof/>
          </w:rPr>
          <w:t>16</w:t>
        </w:r>
      </w:fldSimple>
      <w:r w:rsidR="00030089">
        <w:t xml:space="preserve"> </w:t>
      </w:r>
      <w:r w:rsidR="00030089" w:rsidRPr="00FF4E4B">
        <w:rPr>
          <w:noProof/>
          <w:color w:val="auto"/>
        </w:rPr>
        <w:t>Table 4.7 Net Present Value (NPV) of key market costs and benefits at a 2% return rate increase pa to 58% over 10 year</w:t>
      </w:r>
      <w:r w:rsidR="00030089">
        <w:rPr>
          <w:noProof/>
          <w:color w:val="auto"/>
        </w:rPr>
        <w:t>s</w:t>
      </w:r>
      <w:r w:rsidR="00030089" w:rsidRPr="00792CEC">
        <w:rPr>
          <w:noProof/>
          <w:color w:val="auto"/>
        </w:rPr>
        <w:t xml:space="preserve"> </w:t>
      </w:r>
      <w:r w:rsidR="00030089">
        <w:rPr>
          <w:noProof/>
          <w:color w:val="auto"/>
        </w:rPr>
        <w:t>(</w:t>
      </w:r>
      <w:r w:rsidR="00030089" w:rsidRPr="00792CEC">
        <w:rPr>
          <w:noProof/>
          <w:color w:val="auto"/>
        </w:rPr>
        <w:t>3% and 10%</w:t>
      </w:r>
      <w:r w:rsidR="00030089">
        <w:rPr>
          <w:noProof/>
          <w:color w:val="auto"/>
        </w:rPr>
        <w:t xml:space="preserve"> sensitivity)</w:t>
      </w:r>
      <w:bookmarkEnd w:id="204"/>
    </w:p>
    <w:tbl>
      <w:tblPr>
        <w:tblStyle w:val="TableGrid"/>
        <w:tblW w:w="0" w:type="auto"/>
        <w:tblLook w:val="04A0" w:firstRow="1" w:lastRow="0" w:firstColumn="1" w:lastColumn="0" w:noHBand="0" w:noVBand="1"/>
      </w:tblPr>
      <w:tblGrid>
        <w:gridCol w:w="2310"/>
        <w:gridCol w:w="2310"/>
        <w:gridCol w:w="2311"/>
        <w:gridCol w:w="2311"/>
      </w:tblGrid>
      <w:tr w:rsidR="00030089" w:rsidRPr="004B4F29" w14:paraId="3066EF73" w14:textId="77777777" w:rsidTr="008547F7">
        <w:tc>
          <w:tcPr>
            <w:tcW w:w="2310" w:type="dxa"/>
            <w:shd w:val="pct10" w:color="auto" w:fill="auto"/>
          </w:tcPr>
          <w:p w14:paraId="59C47473" w14:textId="77777777" w:rsidR="00030089" w:rsidRPr="004B4F29" w:rsidRDefault="00030089" w:rsidP="008547F7">
            <w:pPr>
              <w:tabs>
                <w:tab w:val="left" w:pos="142"/>
              </w:tabs>
              <w:rPr>
                <w:rFonts w:ascii="Arial" w:hAnsi="Arial" w:cs="Arial"/>
                <w:sz w:val="16"/>
                <w:szCs w:val="16"/>
              </w:rPr>
            </w:pPr>
          </w:p>
        </w:tc>
        <w:tc>
          <w:tcPr>
            <w:tcW w:w="2310" w:type="dxa"/>
            <w:shd w:val="pct10" w:color="auto" w:fill="auto"/>
            <w:vAlign w:val="bottom"/>
          </w:tcPr>
          <w:p w14:paraId="60B446CD"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Discounted</w:t>
            </w:r>
            <w:r>
              <w:rPr>
                <w:rFonts w:ascii="Arial" w:hAnsi="Arial" w:cs="Arial"/>
                <w:b/>
                <w:bCs/>
                <w:color w:val="000000"/>
                <w:sz w:val="16"/>
                <w:szCs w:val="16"/>
              </w:rPr>
              <w:t xml:space="preserve"> (7%)</w:t>
            </w:r>
          </w:p>
        </w:tc>
        <w:tc>
          <w:tcPr>
            <w:tcW w:w="2311" w:type="dxa"/>
            <w:shd w:val="pct10" w:color="auto" w:fill="auto"/>
            <w:vAlign w:val="bottom"/>
          </w:tcPr>
          <w:p w14:paraId="7F0D1D4E"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Sensitivity (3%)</w:t>
            </w:r>
          </w:p>
        </w:tc>
        <w:tc>
          <w:tcPr>
            <w:tcW w:w="2311" w:type="dxa"/>
            <w:shd w:val="pct10" w:color="auto" w:fill="auto"/>
            <w:vAlign w:val="bottom"/>
          </w:tcPr>
          <w:p w14:paraId="352A3CB0"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Sensitivity         (10%)</w:t>
            </w:r>
          </w:p>
        </w:tc>
      </w:tr>
      <w:tr w:rsidR="00030089" w:rsidRPr="004B4F29" w14:paraId="7078FA01" w14:textId="77777777" w:rsidTr="008547F7">
        <w:tc>
          <w:tcPr>
            <w:tcW w:w="2310" w:type="dxa"/>
            <w:vAlign w:val="bottom"/>
          </w:tcPr>
          <w:p w14:paraId="77FCDB80" w14:textId="77777777" w:rsidR="00030089" w:rsidRPr="004B4F29" w:rsidRDefault="00030089" w:rsidP="008547F7">
            <w:pPr>
              <w:tabs>
                <w:tab w:val="left" w:pos="142"/>
              </w:tabs>
              <w:rPr>
                <w:rFonts w:ascii="Arial" w:hAnsi="Arial" w:cs="Arial"/>
                <w:sz w:val="16"/>
                <w:szCs w:val="16"/>
              </w:rPr>
            </w:pPr>
            <w:r w:rsidRPr="00792CEC">
              <w:rPr>
                <w:rFonts w:ascii="Arial" w:hAnsi="Arial" w:cs="Arial"/>
                <w:b/>
                <w:bCs/>
                <w:color w:val="000000"/>
                <w:sz w:val="16"/>
                <w:szCs w:val="16"/>
              </w:rPr>
              <w:t xml:space="preserve">Costs </w:t>
            </w:r>
          </w:p>
        </w:tc>
        <w:tc>
          <w:tcPr>
            <w:tcW w:w="2310" w:type="dxa"/>
            <w:vAlign w:val="bottom"/>
          </w:tcPr>
          <w:p w14:paraId="3A7DBDB4"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$15</w:t>
            </w:r>
            <w:r>
              <w:rPr>
                <w:rFonts w:ascii="Arial" w:hAnsi="Arial" w:cs="Arial"/>
                <w:color w:val="000000"/>
                <w:sz w:val="16"/>
                <w:szCs w:val="16"/>
              </w:rPr>
              <w:t xml:space="preserve"> </w:t>
            </w:r>
            <w:r w:rsidRPr="00792CEC">
              <w:rPr>
                <w:rFonts w:ascii="Arial" w:hAnsi="Arial" w:cs="Arial"/>
                <w:color w:val="000000"/>
                <w:sz w:val="16"/>
                <w:szCs w:val="16"/>
              </w:rPr>
              <w:t>481</w:t>
            </w:r>
            <w:r>
              <w:rPr>
                <w:rFonts w:ascii="Arial" w:hAnsi="Arial" w:cs="Arial"/>
                <w:color w:val="000000"/>
                <w:sz w:val="16"/>
                <w:szCs w:val="16"/>
              </w:rPr>
              <w:t xml:space="preserve"> </w:t>
            </w:r>
            <w:r w:rsidRPr="00792CEC">
              <w:rPr>
                <w:rFonts w:ascii="Arial" w:hAnsi="Arial" w:cs="Arial"/>
                <w:color w:val="000000"/>
                <w:sz w:val="16"/>
                <w:szCs w:val="16"/>
              </w:rPr>
              <w:t>469</w:t>
            </w:r>
          </w:p>
        </w:tc>
        <w:tc>
          <w:tcPr>
            <w:tcW w:w="2311" w:type="dxa"/>
            <w:vAlign w:val="bottom"/>
          </w:tcPr>
          <w:p w14:paraId="04E37424"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$18</w:t>
            </w:r>
            <w:r>
              <w:rPr>
                <w:rFonts w:ascii="Arial" w:hAnsi="Arial" w:cs="Arial"/>
                <w:color w:val="000000"/>
                <w:sz w:val="16"/>
                <w:szCs w:val="16"/>
              </w:rPr>
              <w:t xml:space="preserve"> </w:t>
            </w:r>
            <w:r w:rsidRPr="00792CEC">
              <w:rPr>
                <w:rFonts w:ascii="Arial" w:hAnsi="Arial" w:cs="Arial"/>
                <w:color w:val="000000"/>
                <w:sz w:val="16"/>
                <w:szCs w:val="16"/>
              </w:rPr>
              <w:t>724</w:t>
            </w:r>
            <w:r>
              <w:rPr>
                <w:rFonts w:ascii="Arial" w:hAnsi="Arial" w:cs="Arial"/>
                <w:color w:val="000000"/>
                <w:sz w:val="16"/>
                <w:szCs w:val="16"/>
              </w:rPr>
              <w:t xml:space="preserve"> </w:t>
            </w:r>
            <w:r w:rsidRPr="00792CEC">
              <w:rPr>
                <w:rFonts w:ascii="Arial" w:hAnsi="Arial" w:cs="Arial"/>
                <w:color w:val="000000"/>
                <w:sz w:val="16"/>
                <w:szCs w:val="16"/>
              </w:rPr>
              <w:t>448</w:t>
            </w:r>
          </w:p>
        </w:tc>
        <w:tc>
          <w:tcPr>
            <w:tcW w:w="2311" w:type="dxa"/>
            <w:vAlign w:val="bottom"/>
          </w:tcPr>
          <w:p w14:paraId="24EB4313"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$13</w:t>
            </w:r>
            <w:r>
              <w:rPr>
                <w:rFonts w:ascii="Arial" w:hAnsi="Arial" w:cs="Arial"/>
                <w:color w:val="000000"/>
                <w:sz w:val="16"/>
                <w:szCs w:val="16"/>
              </w:rPr>
              <w:t xml:space="preserve"> </w:t>
            </w:r>
            <w:r w:rsidRPr="00792CEC">
              <w:rPr>
                <w:rFonts w:ascii="Arial" w:hAnsi="Arial" w:cs="Arial"/>
                <w:color w:val="000000"/>
                <w:sz w:val="16"/>
                <w:szCs w:val="16"/>
              </w:rPr>
              <w:t>590</w:t>
            </w:r>
            <w:r>
              <w:rPr>
                <w:rFonts w:ascii="Arial" w:hAnsi="Arial" w:cs="Arial"/>
                <w:color w:val="000000"/>
                <w:sz w:val="16"/>
                <w:szCs w:val="16"/>
              </w:rPr>
              <w:t xml:space="preserve"> </w:t>
            </w:r>
            <w:r w:rsidRPr="00792CEC">
              <w:rPr>
                <w:rFonts w:ascii="Arial" w:hAnsi="Arial" w:cs="Arial"/>
                <w:color w:val="000000"/>
                <w:sz w:val="16"/>
                <w:szCs w:val="16"/>
              </w:rPr>
              <w:t>458</w:t>
            </w:r>
          </w:p>
        </w:tc>
      </w:tr>
      <w:tr w:rsidR="00030089" w:rsidRPr="004B4F29" w14:paraId="48190971" w14:textId="77777777" w:rsidTr="008547F7">
        <w:tc>
          <w:tcPr>
            <w:tcW w:w="2310" w:type="dxa"/>
            <w:vAlign w:val="bottom"/>
          </w:tcPr>
          <w:p w14:paraId="6C1BEADA" w14:textId="77777777" w:rsidR="00030089" w:rsidRPr="004B4F29" w:rsidRDefault="00030089" w:rsidP="008547F7">
            <w:pPr>
              <w:tabs>
                <w:tab w:val="left" w:pos="142"/>
              </w:tabs>
              <w:rPr>
                <w:rFonts w:ascii="Arial" w:hAnsi="Arial" w:cs="Arial"/>
                <w:sz w:val="16"/>
                <w:szCs w:val="16"/>
              </w:rPr>
            </w:pPr>
            <w:r w:rsidRPr="00792CEC">
              <w:rPr>
                <w:rFonts w:ascii="Arial" w:hAnsi="Arial" w:cs="Arial"/>
                <w:b/>
                <w:bCs/>
                <w:color w:val="000000"/>
                <w:sz w:val="16"/>
                <w:szCs w:val="16"/>
              </w:rPr>
              <w:t xml:space="preserve">Benefits </w:t>
            </w:r>
          </w:p>
        </w:tc>
        <w:tc>
          <w:tcPr>
            <w:tcW w:w="2310" w:type="dxa"/>
            <w:vAlign w:val="bottom"/>
          </w:tcPr>
          <w:p w14:paraId="060D9C05"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$18</w:t>
            </w:r>
            <w:r>
              <w:rPr>
                <w:rFonts w:ascii="Arial" w:hAnsi="Arial" w:cs="Arial"/>
                <w:color w:val="000000"/>
                <w:sz w:val="16"/>
                <w:szCs w:val="16"/>
              </w:rPr>
              <w:t xml:space="preserve"> </w:t>
            </w:r>
            <w:r w:rsidRPr="00792CEC">
              <w:rPr>
                <w:rFonts w:ascii="Arial" w:hAnsi="Arial" w:cs="Arial"/>
                <w:color w:val="000000"/>
                <w:sz w:val="16"/>
                <w:szCs w:val="16"/>
              </w:rPr>
              <w:t>744</w:t>
            </w:r>
            <w:r>
              <w:rPr>
                <w:rFonts w:ascii="Arial" w:hAnsi="Arial" w:cs="Arial"/>
                <w:color w:val="000000"/>
                <w:sz w:val="16"/>
                <w:szCs w:val="16"/>
              </w:rPr>
              <w:t xml:space="preserve"> </w:t>
            </w:r>
            <w:r w:rsidRPr="00792CEC">
              <w:rPr>
                <w:rFonts w:ascii="Arial" w:hAnsi="Arial" w:cs="Arial"/>
                <w:color w:val="000000"/>
                <w:sz w:val="16"/>
                <w:szCs w:val="16"/>
              </w:rPr>
              <w:t>614</w:t>
            </w:r>
          </w:p>
        </w:tc>
        <w:tc>
          <w:tcPr>
            <w:tcW w:w="2311" w:type="dxa"/>
            <w:vAlign w:val="bottom"/>
          </w:tcPr>
          <w:p w14:paraId="532711CE"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$22</w:t>
            </w:r>
            <w:r>
              <w:rPr>
                <w:rFonts w:ascii="Arial" w:hAnsi="Arial" w:cs="Arial"/>
                <w:color w:val="000000"/>
                <w:sz w:val="16"/>
                <w:szCs w:val="16"/>
              </w:rPr>
              <w:t xml:space="preserve"> </w:t>
            </w:r>
            <w:r w:rsidRPr="00792CEC">
              <w:rPr>
                <w:rFonts w:ascii="Arial" w:hAnsi="Arial" w:cs="Arial"/>
                <w:color w:val="000000"/>
                <w:sz w:val="16"/>
                <w:szCs w:val="16"/>
              </w:rPr>
              <w:t>691</w:t>
            </w:r>
            <w:r>
              <w:rPr>
                <w:rFonts w:ascii="Arial" w:hAnsi="Arial" w:cs="Arial"/>
                <w:color w:val="000000"/>
                <w:sz w:val="16"/>
                <w:szCs w:val="16"/>
              </w:rPr>
              <w:t xml:space="preserve"> </w:t>
            </w:r>
            <w:r w:rsidRPr="00792CEC">
              <w:rPr>
                <w:rFonts w:ascii="Arial" w:hAnsi="Arial" w:cs="Arial"/>
                <w:color w:val="000000"/>
                <w:sz w:val="16"/>
                <w:szCs w:val="16"/>
              </w:rPr>
              <w:t>276</w:t>
            </w:r>
          </w:p>
        </w:tc>
        <w:tc>
          <w:tcPr>
            <w:tcW w:w="2311" w:type="dxa"/>
            <w:vAlign w:val="bottom"/>
          </w:tcPr>
          <w:p w14:paraId="1CE2E933"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$16</w:t>
            </w:r>
            <w:r>
              <w:rPr>
                <w:rFonts w:ascii="Arial" w:hAnsi="Arial" w:cs="Arial"/>
                <w:color w:val="000000"/>
                <w:sz w:val="16"/>
                <w:szCs w:val="16"/>
              </w:rPr>
              <w:t xml:space="preserve"> </w:t>
            </w:r>
            <w:r w:rsidRPr="00792CEC">
              <w:rPr>
                <w:rFonts w:ascii="Arial" w:hAnsi="Arial" w:cs="Arial"/>
                <w:color w:val="000000"/>
                <w:sz w:val="16"/>
                <w:szCs w:val="16"/>
              </w:rPr>
              <w:t>444</w:t>
            </w:r>
            <w:r>
              <w:rPr>
                <w:rFonts w:ascii="Arial" w:hAnsi="Arial" w:cs="Arial"/>
                <w:color w:val="000000"/>
                <w:sz w:val="16"/>
                <w:szCs w:val="16"/>
              </w:rPr>
              <w:t xml:space="preserve"> </w:t>
            </w:r>
            <w:r w:rsidRPr="00792CEC">
              <w:rPr>
                <w:rFonts w:ascii="Arial" w:hAnsi="Arial" w:cs="Arial"/>
                <w:color w:val="000000"/>
                <w:sz w:val="16"/>
                <w:szCs w:val="16"/>
              </w:rPr>
              <w:t>602</w:t>
            </w:r>
          </w:p>
        </w:tc>
      </w:tr>
      <w:tr w:rsidR="00030089" w:rsidRPr="004B4F29" w14:paraId="20484D7A" w14:textId="77777777" w:rsidTr="008547F7">
        <w:tc>
          <w:tcPr>
            <w:tcW w:w="2310" w:type="dxa"/>
            <w:vAlign w:val="bottom"/>
          </w:tcPr>
          <w:p w14:paraId="038C0B92" w14:textId="77777777" w:rsidR="00030089" w:rsidRPr="004B4F29" w:rsidRDefault="00030089" w:rsidP="008547F7">
            <w:pPr>
              <w:tabs>
                <w:tab w:val="left" w:pos="142"/>
              </w:tabs>
              <w:rPr>
                <w:rFonts w:ascii="Arial" w:hAnsi="Arial" w:cs="Arial"/>
                <w:sz w:val="16"/>
                <w:szCs w:val="16"/>
              </w:rPr>
            </w:pPr>
            <w:r w:rsidRPr="00792CEC">
              <w:rPr>
                <w:rFonts w:ascii="Arial" w:hAnsi="Arial" w:cs="Arial"/>
                <w:b/>
                <w:bCs/>
                <w:color w:val="000000"/>
                <w:sz w:val="16"/>
                <w:szCs w:val="16"/>
              </w:rPr>
              <w:t xml:space="preserve">NPV </w:t>
            </w:r>
          </w:p>
        </w:tc>
        <w:tc>
          <w:tcPr>
            <w:tcW w:w="2310" w:type="dxa"/>
            <w:vAlign w:val="bottom"/>
          </w:tcPr>
          <w:p w14:paraId="2EA49983"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$3</w:t>
            </w:r>
            <w:r>
              <w:rPr>
                <w:rFonts w:ascii="Arial" w:hAnsi="Arial" w:cs="Arial"/>
                <w:b/>
                <w:bCs/>
                <w:color w:val="000000"/>
                <w:sz w:val="16"/>
                <w:szCs w:val="16"/>
              </w:rPr>
              <w:t xml:space="preserve"> </w:t>
            </w:r>
            <w:r w:rsidRPr="00792CEC">
              <w:rPr>
                <w:rFonts w:ascii="Arial" w:hAnsi="Arial" w:cs="Arial"/>
                <w:b/>
                <w:bCs/>
                <w:color w:val="000000"/>
                <w:sz w:val="16"/>
                <w:szCs w:val="16"/>
              </w:rPr>
              <w:t>263</w:t>
            </w:r>
            <w:r>
              <w:rPr>
                <w:rFonts w:ascii="Arial" w:hAnsi="Arial" w:cs="Arial"/>
                <w:b/>
                <w:bCs/>
                <w:color w:val="000000"/>
                <w:sz w:val="16"/>
                <w:szCs w:val="16"/>
              </w:rPr>
              <w:t xml:space="preserve"> </w:t>
            </w:r>
            <w:r w:rsidRPr="00792CEC">
              <w:rPr>
                <w:rFonts w:ascii="Arial" w:hAnsi="Arial" w:cs="Arial"/>
                <w:b/>
                <w:bCs/>
                <w:color w:val="000000"/>
                <w:sz w:val="16"/>
                <w:szCs w:val="16"/>
              </w:rPr>
              <w:t>145</w:t>
            </w:r>
          </w:p>
        </w:tc>
        <w:tc>
          <w:tcPr>
            <w:tcW w:w="2311" w:type="dxa"/>
            <w:vAlign w:val="bottom"/>
          </w:tcPr>
          <w:p w14:paraId="7BA1F647"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$3</w:t>
            </w:r>
            <w:r>
              <w:rPr>
                <w:rFonts w:ascii="Arial" w:hAnsi="Arial" w:cs="Arial"/>
                <w:b/>
                <w:bCs/>
                <w:color w:val="000000"/>
                <w:sz w:val="16"/>
                <w:szCs w:val="16"/>
              </w:rPr>
              <w:t xml:space="preserve"> </w:t>
            </w:r>
            <w:r w:rsidRPr="00792CEC">
              <w:rPr>
                <w:rFonts w:ascii="Arial" w:hAnsi="Arial" w:cs="Arial"/>
                <w:b/>
                <w:bCs/>
                <w:color w:val="000000"/>
                <w:sz w:val="16"/>
                <w:szCs w:val="16"/>
              </w:rPr>
              <w:t>966</w:t>
            </w:r>
            <w:r>
              <w:rPr>
                <w:rFonts w:ascii="Arial" w:hAnsi="Arial" w:cs="Arial"/>
                <w:b/>
                <w:bCs/>
                <w:color w:val="000000"/>
                <w:sz w:val="16"/>
                <w:szCs w:val="16"/>
              </w:rPr>
              <w:t xml:space="preserve"> </w:t>
            </w:r>
            <w:r w:rsidRPr="00792CEC">
              <w:rPr>
                <w:rFonts w:ascii="Arial" w:hAnsi="Arial" w:cs="Arial"/>
                <w:b/>
                <w:bCs/>
                <w:color w:val="000000"/>
                <w:sz w:val="16"/>
                <w:szCs w:val="16"/>
              </w:rPr>
              <w:t>829</w:t>
            </w:r>
          </w:p>
        </w:tc>
        <w:tc>
          <w:tcPr>
            <w:tcW w:w="2311" w:type="dxa"/>
            <w:vAlign w:val="bottom"/>
          </w:tcPr>
          <w:p w14:paraId="0F71EAC5"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$2</w:t>
            </w:r>
            <w:r>
              <w:rPr>
                <w:rFonts w:ascii="Arial" w:hAnsi="Arial" w:cs="Arial"/>
                <w:b/>
                <w:bCs/>
                <w:color w:val="000000"/>
                <w:sz w:val="16"/>
                <w:szCs w:val="16"/>
              </w:rPr>
              <w:t xml:space="preserve"> </w:t>
            </w:r>
            <w:r w:rsidRPr="00792CEC">
              <w:rPr>
                <w:rFonts w:ascii="Arial" w:hAnsi="Arial" w:cs="Arial"/>
                <w:b/>
                <w:bCs/>
                <w:color w:val="000000"/>
                <w:sz w:val="16"/>
                <w:szCs w:val="16"/>
              </w:rPr>
              <w:t>854</w:t>
            </w:r>
            <w:r>
              <w:rPr>
                <w:rFonts w:ascii="Arial" w:hAnsi="Arial" w:cs="Arial"/>
                <w:b/>
                <w:bCs/>
                <w:color w:val="000000"/>
                <w:sz w:val="16"/>
                <w:szCs w:val="16"/>
              </w:rPr>
              <w:t xml:space="preserve"> </w:t>
            </w:r>
            <w:r w:rsidRPr="00792CEC">
              <w:rPr>
                <w:rFonts w:ascii="Arial" w:hAnsi="Arial" w:cs="Arial"/>
                <w:b/>
                <w:bCs/>
                <w:color w:val="000000"/>
                <w:sz w:val="16"/>
                <w:szCs w:val="16"/>
              </w:rPr>
              <w:t>144</w:t>
            </w:r>
          </w:p>
        </w:tc>
      </w:tr>
    </w:tbl>
    <w:p w14:paraId="10D106DB" w14:textId="77777777" w:rsidR="00030089" w:rsidRDefault="00030089" w:rsidP="00030089">
      <w:pPr>
        <w:pStyle w:val="Default"/>
      </w:pPr>
    </w:p>
    <w:p w14:paraId="4FF8D70A" w14:textId="77777777" w:rsidR="00F702E2" w:rsidRDefault="00F702E2">
      <w:pPr>
        <w:rPr>
          <w:rFonts w:asciiTheme="minorHAnsi" w:eastAsiaTheme="minorEastAsia" w:hAnsiTheme="minorHAnsi"/>
          <w:b/>
          <w:bCs/>
          <w:color w:val="4F81BD"/>
          <w:sz w:val="18"/>
          <w:szCs w:val="18"/>
          <w:lang w:eastAsia="en-AU"/>
        </w:rPr>
      </w:pPr>
      <w:r>
        <w:br w:type="page"/>
      </w:r>
    </w:p>
    <w:p w14:paraId="3E00C89D" w14:textId="6DD2EDC7" w:rsidR="00030089" w:rsidRDefault="005E0D4C" w:rsidP="00030089">
      <w:pPr>
        <w:pStyle w:val="Caption"/>
        <w:rPr>
          <w:rFonts w:ascii="Arial" w:hAnsi="Arial" w:cs="Arial"/>
          <w:noProof/>
        </w:rPr>
      </w:pPr>
      <w:fldSimple w:instr=" SEQ Figure \* ARABIC ">
        <w:bookmarkStart w:id="205" w:name="_Toc353562498"/>
        <w:r w:rsidR="00740026">
          <w:rPr>
            <w:noProof/>
          </w:rPr>
          <w:t>17</w:t>
        </w:r>
      </w:fldSimple>
      <w:r w:rsidR="00030089">
        <w:t xml:space="preserve"> </w:t>
      </w:r>
      <w:r w:rsidR="00030089" w:rsidRPr="00FF4E4B">
        <w:rPr>
          <w:noProof/>
          <w:color w:val="auto"/>
        </w:rPr>
        <w:t>Table 4.8 Net Present Value (NPV) of key market costs and benefits at a 2% return rate increase pa to 58% over 25 year</w:t>
      </w:r>
      <w:r w:rsidR="00030089">
        <w:rPr>
          <w:noProof/>
          <w:color w:val="auto"/>
        </w:rPr>
        <w:t>s</w:t>
      </w:r>
      <w:r w:rsidR="00030089" w:rsidRPr="00792CEC">
        <w:rPr>
          <w:noProof/>
          <w:color w:val="auto"/>
        </w:rPr>
        <w:t xml:space="preserve"> </w:t>
      </w:r>
      <w:r w:rsidR="00030089">
        <w:rPr>
          <w:noProof/>
          <w:color w:val="auto"/>
        </w:rPr>
        <w:t>(</w:t>
      </w:r>
      <w:r w:rsidR="00030089" w:rsidRPr="00792CEC">
        <w:rPr>
          <w:noProof/>
          <w:color w:val="auto"/>
        </w:rPr>
        <w:t xml:space="preserve"> 3% and 10%</w:t>
      </w:r>
      <w:r w:rsidR="00030089">
        <w:rPr>
          <w:noProof/>
          <w:color w:val="auto"/>
        </w:rPr>
        <w:t xml:space="preserve"> sensitivity)</w:t>
      </w:r>
      <w:bookmarkEnd w:id="205"/>
    </w:p>
    <w:tbl>
      <w:tblPr>
        <w:tblStyle w:val="TableGrid"/>
        <w:tblW w:w="0" w:type="auto"/>
        <w:tblLook w:val="04A0" w:firstRow="1" w:lastRow="0" w:firstColumn="1" w:lastColumn="0" w:noHBand="0" w:noVBand="1"/>
      </w:tblPr>
      <w:tblGrid>
        <w:gridCol w:w="2310"/>
        <w:gridCol w:w="2310"/>
        <w:gridCol w:w="2311"/>
        <w:gridCol w:w="2311"/>
      </w:tblGrid>
      <w:tr w:rsidR="00030089" w:rsidRPr="004B4F29" w14:paraId="33A59565" w14:textId="77777777" w:rsidTr="008547F7">
        <w:tc>
          <w:tcPr>
            <w:tcW w:w="2310" w:type="dxa"/>
            <w:shd w:val="pct10" w:color="auto" w:fill="auto"/>
          </w:tcPr>
          <w:p w14:paraId="3F1D0CB2" w14:textId="77777777" w:rsidR="00030089" w:rsidRPr="004B4F29" w:rsidRDefault="00030089" w:rsidP="008547F7">
            <w:pPr>
              <w:tabs>
                <w:tab w:val="left" w:pos="142"/>
              </w:tabs>
              <w:rPr>
                <w:rFonts w:ascii="Arial" w:hAnsi="Arial" w:cs="Arial"/>
                <w:sz w:val="16"/>
                <w:szCs w:val="16"/>
              </w:rPr>
            </w:pPr>
          </w:p>
        </w:tc>
        <w:tc>
          <w:tcPr>
            <w:tcW w:w="2310" w:type="dxa"/>
            <w:shd w:val="pct10" w:color="auto" w:fill="auto"/>
            <w:vAlign w:val="bottom"/>
          </w:tcPr>
          <w:p w14:paraId="587CE473"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Discounted</w:t>
            </w:r>
            <w:r>
              <w:rPr>
                <w:rFonts w:ascii="Arial" w:hAnsi="Arial" w:cs="Arial"/>
                <w:b/>
                <w:bCs/>
                <w:color w:val="000000"/>
                <w:sz w:val="16"/>
                <w:szCs w:val="16"/>
              </w:rPr>
              <w:t xml:space="preserve"> (7%)</w:t>
            </w:r>
          </w:p>
        </w:tc>
        <w:tc>
          <w:tcPr>
            <w:tcW w:w="2311" w:type="dxa"/>
            <w:shd w:val="pct10" w:color="auto" w:fill="auto"/>
            <w:vAlign w:val="bottom"/>
          </w:tcPr>
          <w:p w14:paraId="4A54FD2C"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Sensitivity       (3%)</w:t>
            </w:r>
          </w:p>
        </w:tc>
        <w:tc>
          <w:tcPr>
            <w:tcW w:w="2311" w:type="dxa"/>
            <w:shd w:val="pct10" w:color="auto" w:fill="auto"/>
            <w:vAlign w:val="bottom"/>
          </w:tcPr>
          <w:p w14:paraId="39816251"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Sensitivity         (10%)</w:t>
            </w:r>
          </w:p>
        </w:tc>
      </w:tr>
      <w:tr w:rsidR="00030089" w:rsidRPr="004B4F29" w14:paraId="4AFA664C" w14:textId="77777777" w:rsidTr="008547F7">
        <w:tc>
          <w:tcPr>
            <w:tcW w:w="2310" w:type="dxa"/>
            <w:vAlign w:val="bottom"/>
          </w:tcPr>
          <w:p w14:paraId="7261009B" w14:textId="77777777" w:rsidR="00030089" w:rsidRPr="004B4F29" w:rsidRDefault="00030089" w:rsidP="008547F7">
            <w:pPr>
              <w:tabs>
                <w:tab w:val="left" w:pos="142"/>
              </w:tabs>
              <w:rPr>
                <w:rFonts w:ascii="Arial" w:hAnsi="Arial" w:cs="Arial"/>
                <w:sz w:val="16"/>
                <w:szCs w:val="16"/>
              </w:rPr>
            </w:pPr>
            <w:r w:rsidRPr="00792CEC">
              <w:rPr>
                <w:rFonts w:ascii="Arial" w:hAnsi="Arial" w:cs="Arial"/>
                <w:b/>
                <w:bCs/>
                <w:color w:val="000000"/>
                <w:sz w:val="16"/>
                <w:szCs w:val="16"/>
              </w:rPr>
              <w:t xml:space="preserve">Costs </w:t>
            </w:r>
          </w:p>
        </w:tc>
        <w:tc>
          <w:tcPr>
            <w:tcW w:w="2310" w:type="dxa"/>
            <w:vAlign w:val="bottom"/>
          </w:tcPr>
          <w:p w14:paraId="0E612E00"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$27</w:t>
            </w:r>
            <w:r>
              <w:rPr>
                <w:rFonts w:ascii="Arial" w:hAnsi="Arial" w:cs="Arial"/>
                <w:color w:val="000000"/>
                <w:sz w:val="16"/>
                <w:szCs w:val="16"/>
              </w:rPr>
              <w:t xml:space="preserve"> </w:t>
            </w:r>
            <w:r w:rsidRPr="00792CEC">
              <w:rPr>
                <w:rFonts w:ascii="Arial" w:hAnsi="Arial" w:cs="Arial"/>
                <w:color w:val="000000"/>
                <w:sz w:val="16"/>
                <w:szCs w:val="16"/>
              </w:rPr>
              <w:t>379</w:t>
            </w:r>
            <w:r>
              <w:rPr>
                <w:rFonts w:ascii="Arial" w:hAnsi="Arial" w:cs="Arial"/>
                <w:color w:val="000000"/>
                <w:sz w:val="16"/>
                <w:szCs w:val="16"/>
              </w:rPr>
              <w:t xml:space="preserve"> </w:t>
            </w:r>
            <w:r w:rsidRPr="00792CEC">
              <w:rPr>
                <w:rFonts w:ascii="Arial" w:hAnsi="Arial" w:cs="Arial"/>
                <w:color w:val="000000"/>
                <w:sz w:val="16"/>
                <w:szCs w:val="16"/>
              </w:rPr>
              <w:t>162</w:t>
            </w:r>
          </w:p>
        </w:tc>
        <w:tc>
          <w:tcPr>
            <w:tcW w:w="2311" w:type="dxa"/>
            <w:vAlign w:val="bottom"/>
          </w:tcPr>
          <w:p w14:paraId="412E7ADC"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$41</w:t>
            </w:r>
            <w:r>
              <w:rPr>
                <w:rFonts w:ascii="Arial" w:hAnsi="Arial" w:cs="Arial"/>
                <w:color w:val="000000"/>
                <w:sz w:val="16"/>
                <w:szCs w:val="16"/>
              </w:rPr>
              <w:t xml:space="preserve"> </w:t>
            </w:r>
            <w:r w:rsidRPr="00792CEC">
              <w:rPr>
                <w:rFonts w:ascii="Arial" w:hAnsi="Arial" w:cs="Arial"/>
                <w:color w:val="000000"/>
                <w:sz w:val="16"/>
                <w:szCs w:val="16"/>
              </w:rPr>
              <w:t>626</w:t>
            </w:r>
            <w:r>
              <w:rPr>
                <w:rFonts w:ascii="Arial" w:hAnsi="Arial" w:cs="Arial"/>
                <w:color w:val="000000"/>
                <w:sz w:val="16"/>
                <w:szCs w:val="16"/>
              </w:rPr>
              <w:t xml:space="preserve"> </w:t>
            </w:r>
            <w:r w:rsidRPr="00792CEC">
              <w:rPr>
                <w:rFonts w:ascii="Arial" w:hAnsi="Arial" w:cs="Arial"/>
                <w:color w:val="000000"/>
                <w:sz w:val="16"/>
                <w:szCs w:val="16"/>
              </w:rPr>
              <w:t>527</w:t>
            </w:r>
          </w:p>
        </w:tc>
        <w:tc>
          <w:tcPr>
            <w:tcW w:w="2311" w:type="dxa"/>
            <w:vAlign w:val="bottom"/>
          </w:tcPr>
          <w:p w14:paraId="2F2C20FD"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$21</w:t>
            </w:r>
            <w:r>
              <w:rPr>
                <w:rFonts w:ascii="Arial" w:hAnsi="Arial" w:cs="Arial"/>
                <w:color w:val="000000"/>
                <w:sz w:val="16"/>
                <w:szCs w:val="16"/>
              </w:rPr>
              <w:t xml:space="preserve"> </w:t>
            </w:r>
            <w:r w:rsidRPr="00792CEC">
              <w:rPr>
                <w:rFonts w:ascii="Arial" w:hAnsi="Arial" w:cs="Arial"/>
                <w:color w:val="000000"/>
                <w:sz w:val="16"/>
                <w:szCs w:val="16"/>
              </w:rPr>
              <w:t>106</w:t>
            </w:r>
            <w:r>
              <w:rPr>
                <w:rFonts w:ascii="Arial" w:hAnsi="Arial" w:cs="Arial"/>
                <w:color w:val="000000"/>
                <w:sz w:val="16"/>
                <w:szCs w:val="16"/>
              </w:rPr>
              <w:t xml:space="preserve"> </w:t>
            </w:r>
            <w:r w:rsidRPr="00792CEC">
              <w:rPr>
                <w:rFonts w:ascii="Arial" w:hAnsi="Arial" w:cs="Arial"/>
                <w:color w:val="000000"/>
                <w:sz w:val="16"/>
                <w:szCs w:val="16"/>
              </w:rPr>
              <w:t>763</w:t>
            </w:r>
          </w:p>
        </w:tc>
      </w:tr>
      <w:tr w:rsidR="00030089" w:rsidRPr="004B4F29" w14:paraId="55F2A8DF" w14:textId="77777777" w:rsidTr="008547F7">
        <w:tc>
          <w:tcPr>
            <w:tcW w:w="2310" w:type="dxa"/>
            <w:vAlign w:val="bottom"/>
          </w:tcPr>
          <w:p w14:paraId="03334A07" w14:textId="77777777" w:rsidR="00030089" w:rsidRPr="004B4F29" w:rsidRDefault="00030089" w:rsidP="008547F7">
            <w:pPr>
              <w:tabs>
                <w:tab w:val="left" w:pos="142"/>
              </w:tabs>
              <w:rPr>
                <w:rFonts w:ascii="Arial" w:hAnsi="Arial" w:cs="Arial"/>
                <w:sz w:val="16"/>
                <w:szCs w:val="16"/>
              </w:rPr>
            </w:pPr>
            <w:r w:rsidRPr="00792CEC">
              <w:rPr>
                <w:rFonts w:ascii="Arial" w:hAnsi="Arial" w:cs="Arial"/>
                <w:b/>
                <w:bCs/>
                <w:color w:val="000000"/>
                <w:sz w:val="16"/>
                <w:szCs w:val="16"/>
              </w:rPr>
              <w:t xml:space="preserve">Benefits </w:t>
            </w:r>
          </w:p>
        </w:tc>
        <w:tc>
          <w:tcPr>
            <w:tcW w:w="2310" w:type="dxa"/>
            <w:vAlign w:val="bottom"/>
          </w:tcPr>
          <w:p w14:paraId="61ABAEE8"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$33</w:t>
            </w:r>
            <w:r>
              <w:rPr>
                <w:rFonts w:ascii="Arial" w:hAnsi="Arial" w:cs="Arial"/>
                <w:color w:val="000000"/>
                <w:sz w:val="16"/>
                <w:szCs w:val="16"/>
              </w:rPr>
              <w:t xml:space="preserve"> </w:t>
            </w:r>
            <w:r w:rsidRPr="00792CEC">
              <w:rPr>
                <w:rFonts w:ascii="Arial" w:hAnsi="Arial" w:cs="Arial"/>
                <w:color w:val="000000"/>
                <w:sz w:val="16"/>
                <w:szCs w:val="16"/>
              </w:rPr>
              <w:t>768</w:t>
            </w:r>
            <w:r>
              <w:rPr>
                <w:rFonts w:ascii="Arial" w:hAnsi="Arial" w:cs="Arial"/>
                <w:color w:val="000000"/>
                <w:sz w:val="16"/>
                <w:szCs w:val="16"/>
              </w:rPr>
              <w:t xml:space="preserve"> </w:t>
            </w:r>
            <w:r w:rsidRPr="00792CEC">
              <w:rPr>
                <w:rFonts w:ascii="Arial" w:hAnsi="Arial" w:cs="Arial"/>
                <w:color w:val="000000"/>
                <w:sz w:val="16"/>
                <w:szCs w:val="16"/>
              </w:rPr>
              <w:t>553</w:t>
            </w:r>
          </w:p>
        </w:tc>
        <w:tc>
          <w:tcPr>
            <w:tcW w:w="2311" w:type="dxa"/>
            <w:vAlign w:val="bottom"/>
          </w:tcPr>
          <w:p w14:paraId="1261D540"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$51</w:t>
            </w:r>
            <w:r>
              <w:rPr>
                <w:rFonts w:ascii="Arial" w:hAnsi="Arial" w:cs="Arial"/>
                <w:color w:val="000000"/>
                <w:sz w:val="16"/>
                <w:szCs w:val="16"/>
              </w:rPr>
              <w:t xml:space="preserve"> </w:t>
            </w:r>
            <w:r w:rsidRPr="00792CEC">
              <w:rPr>
                <w:rFonts w:ascii="Arial" w:hAnsi="Arial" w:cs="Arial"/>
                <w:color w:val="000000"/>
                <w:sz w:val="16"/>
                <w:szCs w:val="16"/>
              </w:rPr>
              <w:t>627</w:t>
            </w:r>
            <w:r>
              <w:rPr>
                <w:rFonts w:ascii="Arial" w:hAnsi="Arial" w:cs="Arial"/>
                <w:color w:val="000000"/>
                <w:sz w:val="16"/>
                <w:szCs w:val="16"/>
              </w:rPr>
              <w:t xml:space="preserve"> </w:t>
            </w:r>
            <w:r w:rsidRPr="00792CEC">
              <w:rPr>
                <w:rFonts w:ascii="Arial" w:hAnsi="Arial" w:cs="Arial"/>
                <w:color w:val="000000"/>
                <w:sz w:val="16"/>
                <w:szCs w:val="16"/>
              </w:rPr>
              <w:t>949</w:t>
            </w:r>
          </w:p>
        </w:tc>
        <w:tc>
          <w:tcPr>
            <w:tcW w:w="2311" w:type="dxa"/>
            <w:vAlign w:val="bottom"/>
          </w:tcPr>
          <w:p w14:paraId="4E3EAFFF"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$25</w:t>
            </w:r>
            <w:r>
              <w:rPr>
                <w:rFonts w:ascii="Arial" w:hAnsi="Arial" w:cs="Arial"/>
                <w:color w:val="000000"/>
                <w:sz w:val="16"/>
                <w:szCs w:val="16"/>
              </w:rPr>
              <w:t xml:space="preserve"> </w:t>
            </w:r>
            <w:r w:rsidRPr="00792CEC">
              <w:rPr>
                <w:rFonts w:ascii="Arial" w:hAnsi="Arial" w:cs="Arial"/>
                <w:color w:val="000000"/>
                <w:sz w:val="16"/>
                <w:szCs w:val="16"/>
              </w:rPr>
              <w:t>931</w:t>
            </w:r>
            <w:r>
              <w:rPr>
                <w:rFonts w:ascii="Arial" w:hAnsi="Arial" w:cs="Arial"/>
                <w:color w:val="000000"/>
                <w:sz w:val="16"/>
                <w:szCs w:val="16"/>
              </w:rPr>
              <w:t xml:space="preserve"> </w:t>
            </w:r>
            <w:r w:rsidRPr="00792CEC">
              <w:rPr>
                <w:rFonts w:ascii="Arial" w:hAnsi="Arial" w:cs="Arial"/>
                <w:color w:val="000000"/>
                <w:sz w:val="16"/>
                <w:szCs w:val="16"/>
              </w:rPr>
              <w:t>612</w:t>
            </w:r>
          </w:p>
        </w:tc>
      </w:tr>
      <w:tr w:rsidR="00030089" w:rsidRPr="004B4F29" w14:paraId="12B9B64B" w14:textId="77777777" w:rsidTr="008547F7">
        <w:tc>
          <w:tcPr>
            <w:tcW w:w="2310" w:type="dxa"/>
            <w:vAlign w:val="bottom"/>
          </w:tcPr>
          <w:p w14:paraId="594547AE" w14:textId="77777777" w:rsidR="00030089" w:rsidRPr="004B4F29" w:rsidRDefault="00030089" w:rsidP="008547F7">
            <w:pPr>
              <w:tabs>
                <w:tab w:val="left" w:pos="142"/>
              </w:tabs>
              <w:rPr>
                <w:rFonts w:ascii="Arial" w:hAnsi="Arial" w:cs="Arial"/>
                <w:sz w:val="16"/>
                <w:szCs w:val="16"/>
              </w:rPr>
            </w:pPr>
            <w:r w:rsidRPr="00792CEC">
              <w:rPr>
                <w:rFonts w:ascii="Arial" w:hAnsi="Arial" w:cs="Arial"/>
                <w:b/>
                <w:bCs/>
                <w:color w:val="000000"/>
                <w:sz w:val="16"/>
                <w:szCs w:val="16"/>
              </w:rPr>
              <w:t xml:space="preserve">NPV </w:t>
            </w:r>
          </w:p>
        </w:tc>
        <w:tc>
          <w:tcPr>
            <w:tcW w:w="2310" w:type="dxa"/>
            <w:vAlign w:val="bottom"/>
          </w:tcPr>
          <w:p w14:paraId="51DBC1CA"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$6</w:t>
            </w:r>
            <w:r>
              <w:rPr>
                <w:rFonts w:ascii="Arial" w:hAnsi="Arial" w:cs="Arial"/>
                <w:b/>
                <w:bCs/>
                <w:color w:val="000000"/>
                <w:sz w:val="16"/>
                <w:szCs w:val="16"/>
              </w:rPr>
              <w:t xml:space="preserve"> </w:t>
            </w:r>
            <w:r w:rsidRPr="00792CEC">
              <w:rPr>
                <w:rFonts w:ascii="Arial" w:hAnsi="Arial" w:cs="Arial"/>
                <w:b/>
                <w:bCs/>
                <w:color w:val="000000"/>
                <w:sz w:val="16"/>
                <w:szCs w:val="16"/>
              </w:rPr>
              <w:t>389</w:t>
            </w:r>
            <w:r>
              <w:rPr>
                <w:rFonts w:ascii="Arial" w:hAnsi="Arial" w:cs="Arial"/>
                <w:b/>
                <w:bCs/>
                <w:color w:val="000000"/>
                <w:sz w:val="16"/>
                <w:szCs w:val="16"/>
              </w:rPr>
              <w:t xml:space="preserve"> </w:t>
            </w:r>
            <w:r w:rsidRPr="00792CEC">
              <w:rPr>
                <w:rFonts w:ascii="Arial" w:hAnsi="Arial" w:cs="Arial"/>
                <w:b/>
                <w:bCs/>
                <w:color w:val="000000"/>
                <w:sz w:val="16"/>
                <w:szCs w:val="16"/>
              </w:rPr>
              <w:t>391</w:t>
            </w:r>
          </w:p>
        </w:tc>
        <w:tc>
          <w:tcPr>
            <w:tcW w:w="2311" w:type="dxa"/>
            <w:vAlign w:val="bottom"/>
          </w:tcPr>
          <w:p w14:paraId="76A64B94"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$10</w:t>
            </w:r>
            <w:r>
              <w:rPr>
                <w:rFonts w:ascii="Arial" w:hAnsi="Arial" w:cs="Arial"/>
                <w:b/>
                <w:bCs/>
                <w:color w:val="000000"/>
                <w:sz w:val="16"/>
                <w:szCs w:val="16"/>
              </w:rPr>
              <w:t xml:space="preserve"> </w:t>
            </w:r>
            <w:r w:rsidRPr="00792CEC">
              <w:rPr>
                <w:rFonts w:ascii="Arial" w:hAnsi="Arial" w:cs="Arial"/>
                <w:b/>
                <w:bCs/>
                <w:color w:val="000000"/>
                <w:sz w:val="16"/>
                <w:szCs w:val="16"/>
              </w:rPr>
              <w:t>001</w:t>
            </w:r>
            <w:r>
              <w:rPr>
                <w:rFonts w:ascii="Arial" w:hAnsi="Arial" w:cs="Arial"/>
                <w:b/>
                <w:bCs/>
                <w:color w:val="000000"/>
                <w:sz w:val="16"/>
                <w:szCs w:val="16"/>
              </w:rPr>
              <w:t xml:space="preserve"> </w:t>
            </w:r>
            <w:r w:rsidRPr="00792CEC">
              <w:rPr>
                <w:rFonts w:ascii="Arial" w:hAnsi="Arial" w:cs="Arial"/>
                <w:b/>
                <w:bCs/>
                <w:color w:val="000000"/>
                <w:sz w:val="16"/>
                <w:szCs w:val="16"/>
              </w:rPr>
              <w:t>423</w:t>
            </w:r>
          </w:p>
        </w:tc>
        <w:tc>
          <w:tcPr>
            <w:tcW w:w="2311" w:type="dxa"/>
            <w:vAlign w:val="bottom"/>
          </w:tcPr>
          <w:p w14:paraId="64AE6DDD"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$4</w:t>
            </w:r>
            <w:r>
              <w:rPr>
                <w:rFonts w:ascii="Arial" w:hAnsi="Arial" w:cs="Arial"/>
                <w:b/>
                <w:bCs/>
                <w:color w:val="000000"/>
                <w:sz w:val="16"/>
                <w:szCs w:val="16"/>
              </w:rPr>
              <w:t xml:space="preserve"> </w:t>
            </w:r>
            <w:r w:rsidRPr="00792CEC">
              <w:rPr>
                <w:rFonts w:ascii="Arial" w:hAnsi="Arial" w:cs="Arial"/>
                <w:b/>
                <w:bCs/>
                <w:color w:val="000000"/>
                <w:sz w:val="16"/>
                <w:szCs w:val="16"/>
              </w:rPr>
              <w:t>824</w:t>
            </w:r>
            <w:r>
              <w:rPr>
                <w:rFonts w:ascii="Arial" w:hAnsi="Arial" w:cs="Arial"/>
                <w:b/>
                <w:bCs/>
                <w:color w:val="000000"/>
                <w:sz w:val="16"/>
                <w:szCs w:val="16"/>
              </w:rPr>
              <w:t xml:space="preserve"> </w:t>
            </w:r>
            <w:r w:rsidRPr="00792CEC">
              <w:rPr>
                <w:rFonts w:ascii="Arial" w:hAnsi="Arial" w:cs="Arial"/>
                <w:b/>
                <w:bCs/>
                <w:color w:val="000000"/>
                <w:sz w:val="16"/>
                <w:szCs w:val="16"/>
              </w:rPr>
              <w:t>849</w:t>
            </w:r>
          </w:p>
        </w:tc>
      </w:tr>
    </w:tbl>
    <w:p w14:paraId="79930A26" w14:textId="77777777" w:rsidR="00030089" w:rsidRPr="004B4F29" w:rsidRDefault="00030089" w:rsidP="00030089">
      <w:pPr>
        <w:tabs>
          <w:tab w:val="left" w:pos="142"/>
        </w:tabs>
        <w:rPr>
          <w:rFonts w:ascii="Arial" w:hAnsi="Arial" w:cs="Arial"/>
        </w:rPr>
      </w:pPr>
    </w:p>
    <w:p w14:paraId="18F948C5" w14:textId="77777777" w:rsidR="00030089" w:rsidRDefault="005E0D4C" w:rsidP="00030089">
      <w:pPr>
        <w:pStyle w:val="Caption"/>
        <w:rPr>
          <w:noProof/>
        </w:rPr>
      </w:pPr>
      <w:fldSimple w:instr=" SEQ Figure \* ARABIC ">
        <w:bookmarkStart w:id="206" w:name="_Toc353562499"/>
        <w:r w:rsidR="00740026">
          <w:rPr>
            <w:noProof/>
          </w:rPr>
          <w:t>18</w:t>
        </w:r>
      </w:fldSimple>
      <w:r w:rsidR="00030089" w:rsidRPr="00FF4E4B">
        <w:rPr>
          <w:noProof/>
          <w:color w:val="auto"/>
        </w:rPr>
        <w:t>Table 4.9 Net Present Value (NPV) of key market costs and benefits at a flat 34% return rate over 10 year</w:t>
      </w:r>
      <w:r w:rsidR="00030089">
        <w:rPr>
          <w:noProof/>
          <w:color w:val="auto"/>
        </w:rPr>
        <w:t>s</w:t>
      </w:r>
      <w:r w:rsidR="00030089" w:rsidRPr="00FF4E4B">
        <w:rPr>
          <w:noProof/>
          <w:color w:val="auto"/>
        </w:rPr>
        <w:t xml:space="preserve"> </w:t>
      </w:r>
      <w:r w:rsidR="00030089">
        <w:rPr>
          <w:noProof/>
          <w:color w:val="auto"/>
        </w:rPr>
        <w:t>(</w:t>
      </w:r>
      <w:r w:rsidR="00030089" w:rsidRPr="00FF4E4B">
        <w:rPr>
          <w:noProof/>
          <w:color w:val="auto"/>
        </w:rPr>
        <w:t>3%</w:t>
      </w:r>
      <w:r w:rsidR="00030089" w:rsidRPr="00792CEC">
        <w:rPr>
          <w:noProof/>
          <w:color w:val="auto"/>
        </w:rPr>
        <w:t xml:space="preserve"> and 10%</w:t>
      </w:r>
      <w:r w:rsidR="00030089">
        <w:rPr>
          <w:noProof/>
          <w:color w:val="auto"/>
        </w:rPr>
        <w:t xml:space="preserve"> sensitivity)</w:t>
      </w:r>
      <w:bookmarkEnd w:id="206"/>
    </w:p>
    <w:tbl>
      <w:tblPr>
        <w:tblStyle w:val="TableGrid"/>
        <w:tblW w:w="0" w:type="auto"/>
        <w:tblLook w:val="04A0" w:firstRow="1" w:lastRow="0" w:firstColumn="1" w:lastColumn="0" w:noHBand="0" w:noVBand="1"/>
      </w:tblPr>
      <w:tblGrid>
        <w:gridCol w:w="2310"/>
        <w:gridCol w:w="2310"/>
        <w:gridCol w:w="2311"/>
        <w:gridCol w:w="2311"/>
      </w:tblGrid>
      <w:tr w:rsidR="00030089" w:rsidRPr="004B4F29" w14:paraId="4BF1D642" w14:textId="77777777" w:rsidTr="008547F7">
        <w:tc>
          <w:tcPr>
            <w:tcW w:w="2310" w:type="dxa"/>
            <w:shd w:val="pct10" w:color="auto" w:fill="auto"/>
          </w:tcPr>
          <w:p w14:paraId="2E6975E0" w14:textId="77777777" w:rsidR="00030089" w:rsidRPr="004B4F29" w:rsidRDefault="00030089" w:rsidP="008547F7">
            <w:pPr>
              <w:tabs>
                <w:tab w:val="left" w:pos="142"/>
              </w:tabs>
              <w:rPr>
                <w:rFonts w:ascii="Arial" w:hAnsi="Arial" w:cs="Arial"/>
                <w:sz w:val="16"/>
                <w:szCs w:val="16"/>
              </w:rPr>
            </w:pPr>
          </w:p>
        </w:tc>
        <w:tc>
          <w:tcPr>
            <w:tcW w:w="2310" w:type="dxa"/>
            <w:shd w:val="pct10" w:color="auto" w:fill="auto"/>
            <w:vAlign w:val="bottom"/>
          </w:tcPr>
          <w:p w14:paraId="1EDBD0B8"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Discounted</w:t>
            </w:r>
            <w:r>
              <w:rPr>
                <w:rFonts w:ascii="Arial" w:hAnsi="Arial" w:cs="Arial"/>
                <w:b/>
                <w:bCs/>
                <w:color w:val="000000"/>
                <w:sz w:val="16"/>
                <w:szCs w:val="16"/>
              </w:rPr>
              <w:t xml:space="preserve"> (7%)</w:t>
            </w:r>
          </w:p>
        </w:tc>
        <w:tc>
          <w:tcPr>
            <w:tcW w:w="2311" w:type="dxa"/>
            <w:shd w:val="pct10" w:color="auto" w:fill="auto"/>
            <w:vAlign w:val="bottom"/>
          </w:tcPr>
          <w:p w14:paraId="71E2DB1D"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Sensitivity (3%)</w:t>
            </w:r>
          </w:p>
        </w:tc>
        <w:tc>
          <w:tcPr>
            <w:tcW w:w="2311" w:type="dxa"/>
            <w:shd w:val="pct10" w:color="auto" w:fill="auto"/>
            <w:vAlign w:val="bottom"/>
          </w:tcPr>
          <w:p w14:paraId="26FCD130"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Sensitivity         (10%)</w:t>
            </w:r>
          </w:p>
        </w:tc>
      </w:tr>
      <w:tr w:rsidR="00030089" w:rsidRPr="004B4F29" w14:paraId="409A4B49" w14:textId="77777777" w:rsidTr="008547F7">
        <w:tc>
          <w:tcPr>
            <w:tcW w:w="2310" w:type="dxa"/>
            <w:vAlign w:val="bottom"/>
          </w:tcPr>
          <w:p w14:paraId="17B5882E" w14:textId="77777777" w:rsidR="00030089" w:rsidRPr="004B4F29" w:rsidRDefault="00030089" w:rsidP="008547F7">
            <w:pPr>
              <w:tabs>
                <w:tab w:val="left" w:pos="142"/>
              </w:tabs>
              <w:rPr>
                <w:rFonts w:ascii="Arial" w:hAnsi="Arial" w:cs="Arial"/>
                <w:sz w:val="16"/>
                <w:szCs w:val="16"/>
              </w:rPr>
            </w:pPr>
            <w:r w:rsidRPr="00792CEC">
              <w:rPr>
                <w:rFonts w:ascii="Arial" w:hAnsi="Arial" w:cs="Arial"/>
                <w:b/>
                <w:bCs/>
                <w:color w:val="000000"/>
                <w:sz w:val="16"/>
                <w:szCs w:val="16"/>
              </w:rPr>
              <w:t xml:space="preserve">Costs </w:t>
            </w:r>
          </w:p>
        </w:tc>
        <w:tc>
          <w:tcPr>
            <w:tcW w:w="2310" w:type="dxa"/>
            <w:vAlign w:val="bottom"/>
          </w:tcPr>
          <w:p w14:paraId="2A361D43"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$12</w:t>
            </w:r>
            <w:r>
              <w:rPr>
                <w:rFonts w:ascii="Arial" w:hAnsi="Arial" w:cs="Arial"/>
                <w:color w:val="000000"/>
                <w:sz w:val="16"/>
                <w:szCs w:val="16"/>
              </w:rPr>
              <w:t xml:space="preserve"> </w:t>
            </w:r>
            <w:r w:rsidRPr="00792CEC">
              <w:rPr>
                <w:rFonts w:ascii="Arial" w:hAnsi="Arial" w:cs="Arial"/>
                <w:color w:val="000000"/>
                <w:sz w:val="16"/>
                <w:szCs w:val="16"/>
              </w:rPr>
              <w:t>333</w:t>
            </w:r>
            <w:r>
              <w:rPr>
                <w:rFonts w:ascii="Arial" w:hAnsi="Arial" w:cs="Arial"/>
                <w:color w:val="000000"/>
                <w:sz w:val="16"/>
                <w:szCs w:val="16"/>
              </w:rPr>
              <w:t xml:space="preserve"> </w:t>
            </w:r>
            <w:r w:rsidRPr="00792CEC">
              <w:rPr>
                <w:rFonts w:ascii="Arial" w:hAnsi="Arial" w:cs="Arial"/>
                <w:color w:val="000000"/>
                <w:sz w:val="16"/>
                <w:szCs w:val="16"/>
              </w:rPr>
              <w:t>828</w:t>
            </w:r>
          </w:p>
        </w:tc>
        <w:tc>
          <w:tcPr>
            <w:tcW w:w="2311" w:type="dxa"/>
            <w:vAlign w:val="bottom"/>
          </w:tcPr>
          <w:p w14:paraId="790D50EE"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$14</w:t>
            </w:r>
            <w:r>
              <w:rPr>
                <w:rFonts w:ascii="Arial" w:hAnsi="Arial" w:cs="Arial"/>
                <w:color w:val="000000"/>
                <w:sz w:val="16"/>
                <w:szCs w:val="16"/>
              </w:rPr>
              <w:t xml:space="preserve"> </w:t>
            </w:r>
            <w:r w:rsidRPr="00792CEC">
              <w:rPr>
                <w:rFonts w:ascii="Arial" w:hAnsi="Arial" w:cs="Arial"/>
                <w:color w:val="000000"/>
                <w:sz w:val="16"/>
                <w:szCs w:val="16"/>
              </w:rPr>
              <w:t>914</w:t>
            </w:r>
            <w:r>
              <w:rPr>
                <w:rFonts w:ascii="Arial" w:hAnsi="Arial" w:cs="Arial"/>
                <w:color w:val="000000"/>
                <w:sz w:val="16"/>
                <w:szCs w:val="16"/>
              </w:rPr>
              <w:t xml:space="preserve"> </w:t>
            </w:r>
            <w:r w:rsidRPr="00792CEC">
              <w:rPr>
                <w:rFonts w:ascii="Arial" w:hAnsi="Arial" w:cs="Arial"/>
                <w:color w:val="000000"/>
                <w:sz w:val="16"/>
                <w:szCs w:val="16"/>
              </w:rPr>
              <w:t>926</w:t>
            </w:r>
          </w:p>
        </w:tc>
        <w:tc>
          <w:tcPr>
            <w:tcW w:w="2311" w:type="dxa"/>
            <w:vAlign w:val="bottom"/>
          </w:tcPr>
          <w:p w14:paraId="0EE6A024"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$10</w:t>
            </w:r>
            <w:r>
              <w:rPr>
                <w:rFonts w:ascii="Arial" w:hAnsi="Arial" w:cs="Arial"/>
                <w:color w:val="000000"/>
                <w:sz w:val="16"/>
                <w:szCs w:val="16"/>
              </w:rPr>
              <w:t xml:space="preserve"> </w:t>
            </w:r>
            <w:r w:rsidRPr="00792CEC">
              <w:rPr>
                <w:rFonts w:ascii="Arial" w:hAnsi="Arial" w:cs="Arial"/>
                <w:color w:val="000000"/>
                <w:sz w:val="16"/>
                <w:szCs w:val="16"/>
              </w:rPr>
              <w:t>825</w:t>
            </w:r>
            <w:r>
              <w:rPr>
                <w:rFonts w:ascii="Arial" w:hAnsi="Arial" w:cs="Arial"/>
                <w:color w:val="000000"/>
                <w:sz w:val="16"/>
                <w:szCs w:val="16"/>
              </w:rPr>
              <w:t xml:space="preserve"> </w:t>
            </w:r>
            <w:r w:rsidRPr="00792CEC">
              <w:rPr>
                <w:rFonts w:ascii="Arial" w:hAnsi="Arial" w:cs="Arial"/>
                <w:color w:val="000000"/>
                <w:sz w:val="16"/>
                <w:szCs w:val="16"/>
              </w:rPr>
              <w:t>031</w:t>
            </w:r>
          </w:p>
        </w:tc>
      </w:tr>
      <w:tr w:rsidR="00030089" w:rsidRPr="004B4F29" w14:paraId="0E5258F8" w14:textId="77777777" w:rsidTr="008547F7">
        <w:tc>
          <w:tcPr>
            <w:tcW w:w="2310" w:type="dxa"/>
            <w:vAlign w:val="bottom"/>
          </w:tcPr>
          <w:p w14:paraId="7A4710EC" w14:textId="77777777" w:rsidR="00030089" w:rsidRPr="004B4F29" w:rsidRDefault="00030089" w:rsidP="008547F7">
            <w:pPr>
              <w:tabs>
                <w:tab w:val="left" w:pos="142"/>
              </w:tabs>
              <w:rPr>
                <w:rFonts w:ascii="Arial" w:hAnsi="Arial" w:cs="Arial"/>
                <w:sz w:val="16"/>
                <w:szCs w:val="16"/>
              </w:rPr>
            </w:pPr>
            <w:r w:rsidRPr="00792CEC">
              <w:rPr>
                <w:rFonts w:ascii="Arial" w:hAnsi="Arial" w:cs="Arial"/>
                <w:b/>
                <w:bCs/>
                <w:color w:val="000000"/>
                <w:sz w:val="16"/>
                <w:szCs w:val="16"/>
              </w:rPr>
              <w:t xml:space="preserve">Benefits </w:t>
            </w:r>
          </w:p>
        </w:tc>
        <w:tc>
          <w:tcPr>
            <w:tcW w:w="2310" w:type="dxa"/>
            <w:vAlign w:val="bottom"/>
          </w:tcPr>
          <w:p w14:paraId="13613309"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$14</w:t>
            </w:r>
            <w:r>
              <w:rPr>
                <w:rFonts w:ascii="Arial" w:hAnsi="Arial" w:cs="Arial"/>
                <w:color w:val="000000"/>
                <w:sz w:val="16"/>
                <w:szCs w:val="16"/>
              </w:rPr>
              <w:t xml:space="preserve"> </w:t>
            </w:r>
            <w:r w:rsidRPr="00792CEC">
              <w:rPr>
                <w:rFonts w:ascii="Arial" w:hAnsi="Arial" w:cs="Arial"/>
                <w:color w:val="000000"/>
                <w:sz w:val="16"/>
                <w:szCs w:val="16"/>
              </w:rPr>
              <w:t>069</w:t>
            </w:r>
            <w:r>
              <w:rPr>
                <w:rFonts w:ascii="Arial" w:hAnsi="Arial" w:cs="Arial"/>
                <w:color w:val="000000"/>
                <w:sz w:val="16"/>
                <w:szCs w:val="16"/>
              </w:rPr>
              <w:t xml:space="preserve"> </w:t>
            </w:r>
            <w:r w:rsidRPr="00792CEC">
              <w:rPr>
                <w:rFonts w:ascii="Arial" w:hAnsi="Arial" w:cs="Arial"/>
                <w:color w:val="000000"/>
                <w:sz w:val="16"/>
                <w:szCs w:val="16"/>
              </w:rPr>
              <w:t>448</w:t>
            </w:r>
          </w:p>
        </w:tc>
        <w:tc>
          <w:tcPr>
            <w:tcW w:w="2311" w:type="dxa"/>
            <w:vAlign w:val="bottom"/>
          </w:tcPr>
          <w:p w14:paraId="12EF9925"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$17</w:t>
            </w:r>
            <w:r>
              <w:rPr>
                <w:rFonts w:ascii="Arial" w:hAnsi="Arial" w:cs="Arial"/>
                <w:color w:val="000000"/>
                <w:sz w:val="16"/>
                <w:szCs w:val="16"/>
              </w:rPr>
              <w:t xml:space="preserve"> </w:t>
            </w:r>
            <w:r w:rsidRPr="00792CEC">
              <w:rPr>
                <w:rFonts w:ascii="Arial" w:hAnsi="Arial" w:cs="Arial"/>
                <w:color w:val="000000"/>
                <w:sz w:val="16"/>
                <w:szCs w:val="16"/>
              </w:rPr>
              <w:t>033</w:t>
            </w:r>
            <w:r>
              <w:rPr>
                <w:rFonts w:ascii="Arial" w:hAnsi="Arial" w:cs="Arial"/>
                <w:color w:val="000000"/>
                <w:sz w:val="16"/>
                <w:szCs w:val="16"/>
              </w:rPr>
              <w:t xml:space="preserve"> </w:t>
            </w:r>
            <w:r w:rsidRPr="00792CEC">
              <w:rPr>
                <w:rFonts w:ascii="Arial" w:hAnsi="Arial" w:cs="Arial"/>
                <w:color w:val="000000"/>
                <w:sz w:val="16"/>
                <w:szCs w:val="16"/>
              </w:rPr>
              <w:t>024</w:t>
            </w:r>
          </w:p>
        </w:tc>
        <w:tc>
          <w:tcPr>
            <w:tcW w:w="2311" w:type="dxa"/>
            <w:vAlign w:val="bottom"/>
          </w:tcPr>
          <w:p w14:paraId="0CD2CEC0"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$12</w:t>
            </w:r>
            <w:r>
              <w:rPr>
                <w:rFonts w:ascii="Arial" w:hAnsi="Arial" w:cs="Arial"/>
                <w:color w:val="000000"/>
                <w:sz w:val="16"/>
                <w:szCs w:val="16"/>
              </w:rPr>
              <w:t xml:space="preserve"> </w:t>
            </w:r>
            <w:r w:rsidRPr="00792CEC">
              <w:rPr>
                <w:rFonts w:ascii="Arial" w:hAnsi="Arial" w:cs="Arial"/>
                <w:color w:val="000000"/>
                <w:sz w:val="16"/>
                <w:szCs w:val="16"/>
              </w:rPr>
              <w:t>337</w:t>
            </w:r>
            <w:r>
              <w:rPr>
                <w:rFonts w:ascii="Arial" w:hAnsi="Arial" w:cs="Arial"/>
                <w:color w:val="000000"/>
                <w:sz w:val="16"/>
                <w:szCs w:val="16"/>
              </w:rPr>
              <w:t xml:space="preserve"> </w:t>
            </w:r>
            <w:r w:rsidRPr="00792CEC">
              <w:rPr>
                <w:rFonts w:ascii="Arial" w:hAnsi="Arial" w:cs="Arial"/>
                <w:color w:val="000000"/>
                <w:sz w:val="16"/>
                <w:szCs w:val="16"/>
              </w:rPr>
              <w:t>136</w:t>
            </w:r>
          </w:p>
        </w:tc>
      </w:tr>
      <w:tr w:rsidR="00030089" w:rsidRPr="004B4F29" w14:paraId="6917DF89" w14:textId="77777777" w:rsidTr="008547F7">
        <w:tc>
          <w:tcPr>
            <w:tcW w:w="2310" w:type="dxa"/>
            <w:vAlign w:val="bottom"/>
          </w:tcPr>
          <w:p w14:paraId="082BE4EF" w14:textId="77777777" w:rsidR="00030089" w:rsidRPr="004B4F29" w:rsidRDefault="00030089" w:rsidP="008547F7">
            <w:pPr>
              <w:tabs>
                <w:tab w:val="left" w:pos="142"/>
              </w:tabs>
              <w:rPr>
                <w:rFonts w:ascii="Arial" w:hAnsi="Arial" w:cs="Arial"/>
                <w:sz w:val="16"/>
                <w:szCs w:val="16"/>
              </w:rPr>
            </w:pPr>
            <w:r w:rsidRPr="00792CEC">
              <w:rPr>
                <w:rFonts w:ascii="Arial" w:hAnsi="Arial" w:cs="Arial"/>
                <w:b/>
                <w:bCs/>
                <w:color w:val="000000"/>
                <w:sz w:val="16"/>
                <w:szCs w:val="16"/>
              </w:rPr>
              <w:t xml:space="preserve">NPV </w:t>
            </w:r>
          </w:p>
        </w:tc>
        <w:tc>
          <w:tcPr>
            <w:tcW w:w="2310" w:type="dxa"/>
            <w:vAlign w:val="bottom"/>
          </w:tcPr>
          <w:p w14:paraId="16FA5934"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$1</w:t>
            </w:r>
            <w:r>
              <w:rPr>
                <w:rFonts w:ascii="Arial" w:hAnsi="Arial" w:cs="Arial"/>
                <w:b/>
                <w:bCs/>
                <w:color w:val="000000"/>
                <w:sz w:val="16"/>
                <w:szCs w:val="16"/>
              </w:rPr>
              <w:t xml:space="preserve"> </w:t>
            </w:r>
            <w:r w:rsidRPr="00792CEC">
              <w:rPr>
                <w:rFonts w:ascii="Arial" w:hAnsi="Arial" w:cs="Arial"/>
                <w:b/>
                <w:bCs/>
                <w:color w:val="000000"/>
                <w:sz w:val="16"/>
                <w:szCs w:val="16"/>
              </w:rPr>
              <w:t>735</w:t>
            </w:r>
            <w:r>
              <w:rPr>
                <w:rFonts w:ascii="Arial" w:hAnsi="Arial" w:cs="Arial"/>
                <w:b/>
                <w:bCs/>
                <w:color w:val="000000"/>
                <w:sz w:val="16"/>
                <w:szCs w:val="16"/>
              </w:rPr>
              <w:t xml:space="preserve"> </w:t>
            </w:r>
            <w:r w:rsidRPr="00792CEC">
              <w:rPr>
                <w:rFonts w:ascii="Arial" w:hAnsi="Arial" w:cs="Arial"/>
                <w:b/>
                <w:bCs/>
                <w:color w:val="000000"/>
                <w:sz w:val="16"/>
                <w:szCs w:val="16"/>
              </w:rPr>
              <w:t>620</w:t>
            </w:r>
          </w:p>
        </w:tc>
        <w:tc>
          <w:tcPr>
            <w:tcW w:w="2311" w:type="dxa"/>
            <w:vAlign w:val="bottom"/>
          </w:tcPr>
          <w:p w14:paraId="1D3CD218"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$2</w:t>
            </w:r>
            <w:r>
              <w:rPr>
                <w:rFonts w:ascii="Arial" w:hAnsi="Arial" w:cs="Arial"/>
                <w:b/>
                <w:bCs/>
                <w:color w:val="000000"/>
                <w:sz w:val="16"/>
                <w:szCs w:val="16"/>
              </w:rPr>
              <w:t xml:space="preserve"> </w:t>
            </w:r>
            <w:r w:rsidRPr="00792CEC">
              <w:rPr>
                <w:rFonts w:ascii="Arial" w:hAnsi="Arial" w:cs="Arial"/>
                <w:b/>
                <w:bCs/>
                <w:color w:val="000000"/>
                <w:sz w:val="16"/>
                <w:szCs w:val="16"/>
              </w:rPr>
              <w:t>118</w:t>
            </w:r>
            <w:r>
              <w:rPr>
                <w:rFonts w:ascii="Arial" w:hAnsi="Arial" w:cs="Arial"/>
                <w:b/>
                <w:bCs/>
                <w:color w:val="000000"/>
                <w:sz w:val="16"/>
                <w:szCs w:val="16"/>
              </w:rPr>
              <w:t xml:space="preserve"> </w:t>
            </w:r>
            <w:r w:rsidRPr="00792CEC">
              <w:rPr>
                <w:rFonts w:ascii="Arial" w:hAnsi="Arial" w:cs="Arial"/>
                <w:b/>
                <w:bCs/>
                <w:color w:val="000000"/>
                <w:sz w:val="16"/>
                <w:szCs w:val="16"/>
              </w:rPr>
              <w:t>098</w:t>
            </w:r>
          </w:p>
        </w:tc>
        <w:tc>
          <w:tcPr>
            <w:tcW w:w="2311" w:type="dxa"/>
            <w:vAlign w:val="bottom"/>
          </w:tcPr>
          <w:p w14:paraId="4154B105"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$1</w:t>
            </w:r>
            <w:r>
              <w:rPr>
                <w:rFonts w:ascii="Arial" w:hAnsi="Arial" w:cs="Arial"/>
                <w:b/>
                <w:bCs/>
                <w:color w:val="000000"/>
                <w:sz w:val="16"/>
                <w:szCs w:val="16"/>
              </w:rPr>
              <w:t xml:space="preserve"> </w:t>
            </w:r>
            <w:r w:rsidRPr="00792CEC">
              <w:rPr>
                <w:rFonts w:ascii="Arial" w:hAnsi="Arial" w:cs="Arial"/>
                <w:b/>
                <w:bCs/>
                <w:color w:val="000000"/>
                <w:sz w:val="16"/>
                <w:szCs w:val="16"/>
              </w:rPr>
              <w:t>512</w:t>
            </w:r>
            <w:r>
              <w:rPr>
                <w:rFonts w:ascii="Arial" w:hAnsi="Arial" w:cs="Arial"/>
                <w:b/>
                <w:bCs/>
                <w:color w:val="000000"/>
                <w:sz w:val="16"/>
                <w:szCs w:val="16"/>
              </w:rPr>
              <w:t xml:space="preserve"> </w:t>
            </w:r>
            <w:r w:rsidRPr="00792CEC">
              <w:rPr>
                <w:rFonts w:ascii="Arial" w:hAnsi="Arial" w:cs="Arial"/>
                <w:b/>
                <w:bCs/>
                <w:color w:val="000000"/>
                <w:sz w:val="16"/>
                <w:szCs w:val="16"/>
              </w:rPr>
              <w:t>105</w:t>
            </w:r>
          </w:p>
        </w:tc>
      </w:tr>
    </w:tbl>
    <w:p w14:paraId="53E778FD" w14:textId="77777777" w:rsidR="00030089" w:rsidRPr="004B4F29" w:rsidRDefault="00030089" w:rsidP="00030089">
      <w:pPr>
        <w:pStyle w:val="Default"/>
      </w:pPr>
    </w:p>
    <w:p w14:paraId="7219632A" w14:textId="77777777" w:rsidR="00030089" w:rsidRDefault="005E0D4C" w:rsidP="00030089">
      <w:pPr>
        <w:pStyle w:val="Caption"/>
        <w:rPr>
          <w:noProof/>
        </w:rPr>
      </w:pPr>
      <w:fldSimple w:instr=" SEQ Figure \* ARABIC ">
        <w:bookmarkStart w:id="207" w:name="_Toc353562500"/>
        <w:r w:rsidR="00740026">
          <w:rPr>
            <w:noProof/>
          </w:rPr>
          <w:t>19</w:t>
        </w:r>
      </w:fldSimple>
      <w:r w:rsidR="00030089" w:rsidRPr="00FF4E4B">
        <w:rPr>
          <w:noProof/>
          <w:color w:val="auto"/>
        </w:rPr>
        <w:t>Table 4.10 Net Present Value (NPV) of key market costs and benefits at  a flat 34% return rate over 25 year</w:t>
      </w:r>
      <w:r w:rsidR="00030089">
        <w:rPr>
          <w:noProof/>
          <w:color w:val="auto"/>
        </w:rPr>
        <w:t>s</w:t>
      </w:r>
      <w:r w:rsidR="00030089" w:rsidRPr="00FF4E4B">
        <w:rPr>
          <w:noProof/>
          <w:color w:val="auto"/>
        </w:rPr>
        <w:t xml:space="preserve"> </w:t>
      </w:r>
      <w:r w:rsidR="00030089">
        <w:rPr>
          <w:noProof/>
          <w:color w:val="auto"/>
        </w:rPr>
        <w:t>(</w:t>
      </w:r>
      <w:r w:rsidR="00030089" w:rsidRPr="00792CEC">
        <w:rPr>
          <w:noProof/>
          <w:color w:val="auto"/>
        </w:rPr>
        <w:t>3% and 10%</w:t>
      </w:r>
      <w:r w:rsidR="00030089">
        <w:rPr>
          <w:noProof/>
          <w:color w:val="auto"/>
        </w:rPr>
        <w:t xml:space="preserve"> sensitivity)</w:t>
      </w:r>
      <w:bookmarkEnd w:id="207"/>
    </w:p>
    <w:tbl>
      <w:tblPr>
        <w:tblStyle w:val="TableGrid"/>
        <w:tblW w:w="0" w:type="auto"/>
        <w:tblLook w:val="04A0" w:firstRow="1" w:lastRow="0" w:firstColumn="1" w:lastColumn="0" w:noHBand="0" w:noVBand="1"/>
      </w:tblPr>
      <w:tblGrid>
        <w:gridCol w:w="2310"/>
        <w:gridCol w:w="2310"/>
        <w:gridCol w:w="2311"/>
        <w:gridCol w:w="2311"/>
      </w:tblGrid>
      <w:tr w:rsidR="00030089" w:rsidRPr="004B4F29" w14:paraId="3D8F15B2" w14:textId="77777777" w:rsidTr="008547F7">
        <w:tc>
          <w:tcPr>
            <w:tcW w:w="2310" w:type="dxa"/>
            <w:shd w:val="pct10" w:color="auto" w:fill="auto"/>
          </w:tcPr>
          <w:p w14:paraId="52FE399E" w14:textId="77777777" w:rsidR="00030089" w:rsidRPr="004B4F29" w:rsidRDefault="00030089" w:rsidP="008547F7">
            <w:pPr>
              <w:tabs>
                <w:tab w:val="left" w:pos="142"/>
              </w:tabs>
              <w:rPr>
                <w:rFonts w:ascii="Arial" w:hAnsi="Arial" w:cs="Arial"/>
                <w:sz w:val="16"/>
                <w:szCs w:val="16"/>
              </w:rPr>
            </w:pPr>
          </w:p>
        </w:tc>
        <w:tc>
          <w:tcPr>
            <w:tcW w:w="2310" w:type="dxa"/>
            <w:shd w:val="pct10" w:color="auto" w:fill="auto"/>
            <w:vAlign w:val="bottom"/>
          </w:tcPr>
          <w:p w14:paraId="7DF549DF"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Discounted</w:t>
            </w:r>
            <w:r>
              <w:rPr>
                <w:rFonts w:ascii="Arial" w:hAnsi="Arial" w:cs="Arial"/>
                <w:b/>
                <w:bCs/>
                <w:color w:val="000000"/>
                <w:sz w:val="16"/>
                <w:szCs w:val="16"/>
              </w:rPr>
              <w:t xml:space="preserve"> (7%)</w:t>
            </w:r>
          </w:p>
        </w:tc>
        <w:tc>
          <w:tcPr>
            <w:tcW w:w="2311" w:type="dxa"/>
            <w:shd w:val="pct10" w:color="auto" w:fill="auto"/>
            <w:vAlign w:val="bottom"/>
          </w:tcPr>
          <w:p w14:paraId="461FEA4B"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Sensitivity       (3%)</w:t>
            </w:r>
          </w:p>
        </w:tc>
        <w:tc>
          <w:tcPr>
            <w:tcW w:w="2311" w:type="dxa"/>
            <w:shd w:val="pct10" w:color="auto" w:fill="auto"/>
            <w:vAlign w:val="bottom"/>
          </w:tcPr>
          <w:p w14:paraId="516C29DE"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Sensitivity         (10%)</w:t>
            </w:r>
          </w:p>
        </w:tc>
      </w:tr>
      <w:tr w:rsidR="00030089" w:rsidRPr="004B4F29" w14:paraId="365C5DDD" w14:textId="77777777" w:rsidTr="008547F7">
        <w:tc>
          <w:tcPr>
            <w:tcW w:w="2310" w:type="dxa"/>
            <w:vAlign w:val="bottom"/>
          </w:tcPr>
          <w:p w14:paraId="354024A8" w14:textId="77777777" w:rsidR="00030089" w:rsidRPr="004B4F29" w:rsidRDefault="00030089" w:rsidP="008547F7">
            <w:pPr>
              <w:tabs>
                <w:tab w:val="left" w:pos="142"/>
              </w:tabs>
              <w:rPr>
                <w:rFonts w:ascii="Arial" w:hAnsi="Arial" w:cs="Arial"/>
                <w:sz w:val="16"/>
                <w:szCs w:val="16"/>
              </w:rPr>
            </w:pPr>
            <w:r w:rsidRPr="00792CEC">
              <w:rPr>
                <w:rFonts w:ascii="Arial" w:hAnsi="Arial" w:cs="Arial"/>
                <w:b/>
                <w:bCs/>
                <w:color w:val="000000"/>
                <w:sz w:val="16"/>
                <w:szCs w:val="16"/>
              </w:rPr>
              <w:t>Costs</w:t>
            </w:r>
          </w:p>
        </w:tc>
        <w:tc>
          <w:tcPr>
            <w:tcW w:w="2310" w:type="dxa"/>
            <w:vAlign w:val="bottom"/>
          </w:tcPr>
          <w:p w14:paraId="78CB1672"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$20</w:t>
            </w:r>
            <w:r>
              <w:rPr>
                <w:rFonts w:ascii="Arial" w:hAnsi="Arial" w:cs="Arial"/>
                <w:color w:val="000000"/>
                <w:sz w:val="16"/>
                <w:szCs w:val="16"/>
              </w:rPr>
              <w:t xml:space="preserve"> </w:t>
            </w:r>
            <w:r w:rsidRPr="00792CEC">
              <w:rPr>
                <w:rFonts w:ascii="Arial" w:hAnsi="Arial" w:cs="Arial"/>
                <w:color w:val="000000"/>
                <w:sz w:val="16"/>
                <w:szCs w:val="16"/>
              </w:rPr>
              <w:t>168</w:t>
            </w:r>
            <w:r>
              <w:rPr>
                <w:rFonts w:ascii="Arial" w:hAnsi="Arial" w:cs="Arial"/>
                <w:color w:val="000000"/>
                <w:sz w:val="16"/>
                <w:szCs w:val="16"/>
              </w:rPr>
              <w:t xml:space="preserve"> </w:t>
            </w:r>
            <w:r w:rsidRPr="00792CEC">
              <w:rPr>
                <w:rFonts w:ascii="Arial" w:hAnsi="Arial" w:cs="Arial"/>
                <w:color w:val="000000"/>
                <w:sz w:val="16"/>
                <w:szCs w:val="16"/>
              </w:rPr>
              <w:t>928</w:t>
            </w:r>
          </w:p>
        </w:tc>
        <w:tc>
          <w:tcPr>
            <w:tcW w:w="2311" w:type="dxa"/>
            <w:vAlign w:val="bottom"/>
          </w:tcPr>
          <w:p w14:paraId="22291651"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$29</w:t>
            </w:r>
            <w:r>
              <w:rPr>
                <w:rFonts w:ascii="Arial" w:hAnsi="Arial" w:cs="Arial"/>
                <w:color w:val="000000"/>
                <w:sz w:val="16"/>
                <w:szCs w:val="16"/>
              </w:rPr>
              <w:t xml:space="preserve"> </w:t>
            </w:r>
            <w:r w:rsidRPr="00792CEC">
              <w:rPr>
                <w:rFonts w:ascii="Arial" w:hAnsi="Arial" w:cs="Arial"/>
                <w:color w:val="000000"/>
                <w:sz w:val="16"/>
                <w:szCs w:val="16"/>
              </w:rPr>
              <w:t>947</w:t>
            </w:r>
            <w:r>
              <w:rPr>
                <w:rFonts w:ascii="Arial" w:hAnsi="Arial" w:cs="Arial"/>
                <w:color w:val="000000"/>
                <w:sz w:val="16"/>
                <w:szCs w:val="16"/>
              </w:rPr>
              <w:t xml:space="preserve"> </w:t>
            </w:r>
            <w:r w:rsidRPr="00792CEC">
              <w:rPr>
                <w:rFonts w:ascii="Arial" w:hAnsi="Arial" w:cs="Arial"/>
                <w:color w:val="000000"/>
                <w:sz w:val="16"/>
                <w:szCs w:val="16"/>
              </w:rPr>
              <w:t>051</w:t>
            </w:r>
          </w:p>
        </w:tc>
        <w:tc>
          <w:tcPr>
            <w:tcW w:w="2311" w:type="dxa"/>
            <w:vAlign w:val="bottom"/>
          </w:tcPr>
          <w:p w14:paraId="1D49E17E"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$15</w:t>
            </w:r>
            <w:r>
              <w:rPr>
                <w:rFonts w:ascii="Arial" w:hAnsi="Arial" w:cs="Arial"/>
                <w:color w:val="000000"/>
                <w:sz w:val="16"/>
                <w:szCs w:val="16"/>
              </w:rPr>
              <w:t xml:space="preserve"> </w:t>
            </w:r>
            <w:r w:rsidRPr="00792CEC">
              <w:rPr>
                <w:rFonts w:ascii="Arial" w:hAnsi="Arial" w:cs="Arial"/>
                <w:color w:val="000000"/>
                <w:sz w:val="16"/>
                <w:szCs w:val="16"/>
              </w:rPr>
              <w:t>787</w:t>
            </w:r>
            <w:r>
              <w:rPr>
                <w:rFonts w:ascii="Arial" w:hAnsi="Arial" w:cs="Arial"/>
                <w:color w:val="000000"/>
                <w:sz w:val="16"/>
                <w:szCs w:val="16"/>
              </w:rPr>
              <w:t xml:space="preserve"> </w:t>
            </w:r>
            <w:r w:rsidRPr="00792CEC">
              <w:rPr>
                <w:rFonts w:ascii="Arial" w:hAnsi="Arial" w:cs="Arial"/>
                <w:color w:val="000000"/>
                <w:sz w:val="16"/>
                <w:szCs w:val="16"/>
              </w:rPr>
              <w:t>496</w:t>
            </w:r>
          </w:p>
        </w:tc>
      </w:tr>
      <w:tr w:rsidR="00030089" w:rsidRPr="004B4F29" w14:paraId="7AA59CC0" w14:textId="77777777" w:rsidTr="008547F7">
        <w:tc>
          <w:tcPr>
            <w:tcW w:w="2310" w:type="dxa"/>
            <w:vAlign w:val="bottom"/>
          </w:tcPr>
          <w:p w14:paraId="1089BEE1" w14:textId="77777777" w:rsidR="00030089" w:rsidRPr="004B4F29" w:rsidRDefault="00030089" w:rsidP="008547F7">
            <w:pPr>
              <w:tabs>
                <w:tab w:val="left" w:pos="142"/>
              </w:tabs>
              <w:rPr>
                <w:rFonts w:ascii="Arial" w:hAnsi="Arial" w:cs="Arial"/>
                <w:sz w:val="16"/>
                <w:szCs w:val="16"/>
              </w:rPr>
            </w:pPr>
            <w:r w:rsidRPr="00792CEC">
              <w:rPr>
                <w:rFonts w:ascii="Arial" w:hAnsi="Arial" w:cs="Arial"/>
                <w:b/>
                <w:bCs/>
                <w:color w:val="000000"/>
                <w:sz w:val="16"/>
                <w:szCs w:val="16"/>
              </w:rPr>
              <w:t xml:space="preserve">Benefits </w:t>
            </w:r>
          </w:p>
        </w:tc>
        <w:tc>
          <w:tcPr>
            <w:tcW w:w="2310" w:type="dxa"/>
            <w:vAlign w:val="bottom"/>
          </w:tcPr>
          <w:p w14:paraId="0F6C7E2E"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$23</w:t>
            </w:r>
            <w:r>
              <w:rPr>
                <w:rFonts w:ascii="Arial" w:hAnsi="Arial" w:cs="Arial"/>
                <w:color w:val="000000"/>
                <w:sz w:val="16"/>
                <w:szCs w:val="16"/>
              </w:rPr>
              <w:t xml:space="preserve"> </w:t>
            </w:r>
            <w:r w:rsidRPr="00792CEC">
              <w:rPr>
                <w:rFonts w:ascii="Arial" w:hAnsi="Arial" w:cs="Arial"/>
                <w:color w:val="000000"/>
                <w:sz w:val="16"/>
                <w:szCs w:val="16"/>
              </w:rPr>
              <w:t>059</w:t>
            </w:r>
            <w:r>
              <w:rPr>
                <w:rFonts w:ascii="Arial" w:hAnsi="Arial" w:cs="Arial"/>
                <w:color w:val="000000"/>
                <w:sz w:val="16"/>
                <w:szCs w:val="16"/>
              </w:rPr>
              <w:t xml:space="preserve"> </w:t>
            </w:r>
            <w:r w:rsidRPr="00792CEC">
              <w:rPr>
                <w:rFonts w:ascii="Arial" w:hAnsi="Arial" w:cs="Arial"/>
                <w:color w:val="000000"/>
                <w:sz w:val="16"/>
                <w:szCs w:val="16"/>
              </w:rPr>
              <w:t>251</w:t>
            </w:r>
          </w:p>
        </w:tc>
        <w:tc>
          <w:tcPr>
            <w:tcW w:w="2311" w:type="dxa"/>
            <w:vAlign w:val="bottom"/>
          </w:tcPr>
          <w:p w14:paraId="50316647"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$34</w:t>
            </w:r>
            <w:r>
              <w:rPr>
                <w:rFonts w:ascii="Arial" w:hAnsi="Arial" w:cs="Arial"/>
                <w:color w:val="000000"/>
                <w:sz w:val="16"/>
                <w:szCs w:val="16"/>
              </w:rPr>
              <w:t xml:space="preserve"> </w:t>
            </w:r>
            <w:r w:rsidRPr="00792CEC">
              <w:rPr>
                <w:rFonts w:ascii="Arial" w:hAnsi="Arial" w:cs="Arial"/>
                <w:color w:val="000000"/>
                <w:sz w:val="16"/>
                <w:szCs w:val="16"/>
              </w:rPr>
              <w:t>280518</w:t>
            </w:r>
          </w:p>
        </w:tc>
        <w:tc>
          <w:tcPr>
            <w:tcW w:w="2311" w:type="dxa"/>
            <w:vAlign w:val="bottom"/>
          </w:tcPr>
          <w:p w14:paraId="122D9B25"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color w:val="000000"/>
                <w:sz w:val="16"/>
                <w:szCs w:val="16"/>
              </w:rPr>
              <w:t>$18</w:t>
            </w:r>
            <w:r>
              <w:rPr>
                <w:rFonts w:ascii="Arial" w:hAnsi="Arial" w:cs="Arial"/>
                <w:color w:val="000000"/>
                <w:sz w:val="16"/>
                <w:szCs w:val="16"/>
              </w:rPr>
              <w:t xml:space="preserve"> </w:t>
            </w:r>
            <w:r w:rsidRPr="00792CEC">
              <w:rPr>
                <w:rFonts w:ascii="Arial" w:hAnsi="Arial" w:cs="Arial"/>
                <w:color w:val="000000"/>
                <w:sz w:val="16"/>
                <w:szCs w:val="16"/>
              </w:rPr>
              <w:t>030</w:t>
            </w:r>
            <w:r>
              <w:rPr>
                <w:rFonts w:ascii="Arial" w:hAnsi="Arial" w:cs="Arial"/>
                <w:color w:val="000000"/>
                <w:sz w:val="16"/>
                <w:szCs w:val="16"/>
              </w:rPr>
              <w:t xml:space="preserve"> </w:t>
            </w:r>
            <w:r w:rsidRPr="00792CEC">
              <w:rPr>
                <w:rFonts w:ascii="Arial" w:hAnsi="Arial" w:cs="Arial"/>
                <w:color w:val="000000"/>
                <w:sz w:val="16"/>
                <w:szCs w:val="16"/>
              </w:rPr>
              <w:t>947</w:t>
            </w:r>
          </w:p>
        </w:tc>
      </w:tr>
      <w:tr w:rsidR="00030089" w:rsidRPr="004B4F29" w14:paraId="1CAAAB0A" w14:textId="77777777" w:rsidTr="008547F7">
        <w:tc>
          <w:tcPr>
            <w:tcW w:w="2310" w:type="dxa"/>
            <w:vAlign w:val="bottom"/>
          </w:tcPr>
          <w:p w14:paraId="3E7B6870" w14:textId="77777777" w:rsidR="00030089" w:rsidRPr="004B4F29" w:rsidRDefault="00030089" w:rsidP="008547F7">
            <w:pPr>
              <w:tabs>
                <w:tab w:val="left" w:pos="142"/>
              </w:tabs>
              <w:rPr>
                <w:rFonts w:ascii="Arial" w:hAnsi="Arial" w:cs="Arial"/>
                <w:sz w:val="16"/>
                <w:szCs w:val="16"/>
              </w:rPr>
            </w:pPr>
            <w:r w:rsidRPr="00792CEC">
              <w:rPr>
                <w:rFonts w:ascii="Arial" w:hAnsi="Arial" w:cs="Arial"/>
                <w:b/>
                <w:bCs/>
                <w:color w:val="000000"/>
                <w:sz w:val="16"/>
                <w:szCs w:val="16"/>
              </w:rPr>
              <w:t xml:space="preserve">NPV </w:t>
            </w:r>
          </w:p>
        </w:tc>
        <w:tc>
          <w:tcPr>
            <w:tcW w:w="2310" w:type="dxa"/>
            <w:vAlign w:val="bottom"/>
          </w:tcPr>
          <w:p w14:paraId="1F625FBD"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$2</w:t>
            </w:r>
            <w:r>
              <w:rPr>
                <w:rFonts w:ascii="Arial" w:hAnsi="Arial" w:cs="Arial"/>
                <w:b/>
                <w:bCs/>
                <w:color w:val="000000"/>
                <w:sz w:val="16"/>
                <w:szCs w:val="16"/>
              </w:rPr>
              <w:t xml:space="preserve"> </w:t>
            </w:r>
            <w:r w:rsidRPr="00792CEC">
              <w:rPr>
                <w:rFonts w:ascii="Arial" w:hAnsi="Arial" w:cs="Arial"/>
                <w:b/>
                <w:bCs/>
                <w:color w:val="000000"/>
                <w:sz w:val="16"/>
                <w:szCs w:val="16"/>
              </w:rPr>
              <w:t>890</w:t>
            </w:r>
            <w:r>
              <w:rPr>
                <w:rFonts w:ascii="Arial" w:hAnsi="Arial" w:cs="Arial"/>
                <w:b/>
                <w:bCs/>
                <w:color w:val="000000"/>
                <w:sz w:val="16"/>
                <w:szCs w:val="16"/>
              </w:rPr>
              <w:t xml:space="preserve"> </w:t>
            </w:r>
            <w:r w:rsidRPr="00792CEC">
              <w:rPr>
                <w:rFonts w:ascii="Arial" w:hAnsi="Arial" w:cs="Arial"/>
                <w:b/>
                <w:bCs/>
                <w:color w:val="000000"/>
                <w:sz w:val="16"/>
                <w:szCs w:val="16"/>
              </w:rPr>
              <w:t>323</w:t>
            </w:r>
          </w:p>
        </w:tc>
        <w:tc>
          <w:tcPr>
            <w:tcW w:w="2311" w:type="dxa"/>
            <w:vAlign w:val="bottom"/>
          </w:tcPr>
          <w:p w14:paraId="1BFFA157"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$4</w:t>
            </w:r>
            <w:r>
              <w:rPr>
                <w:rFonts w:ascii="Arial" w:hAnsi="Arial" w:cs="Arial"/>
                <w:b/>
                <w:bCs/>
                <w:color w:val="000000"/>
                <w:sz w:val="16"/>
                <w:szCs w:val="16"/>
              </w:rPr>
              <w:t xml:space="preserve"> </w:t>
            </w:r>
            <w:r w:rsidRPr="00792CEC">
              <w:rPr>
                <w:rFonts w:ascii="Arial" w:hAnsi="Arial" w:cs="Arial"/>
                <w:b/>
                <w:bCs/>
                <w:color w:val="000000"/>
                <w:sz w:val="16"/>
                <w:szCs w:val="16"/>
              </w:rPr>
              <w:t>333</w:t>
            </w:r>
            <w:r>
              <w:rPr>
                <w:rFonts w:ascii="Arial" w:hAnsi="Arial" w:cs="Arial"/>
                <w:b/>
                <w:bCs/>
                <w:color w:val="000000"/>
                <w:sz w:val="16"/>
                <w:szCs w:val="16"/>
              </w:rPr>
              <w:t xml:space="preserve"> </w:t>
            </w:r>
            <w:r w:rsidRPr="00792CEC">
              <w:rPr>
                <w:rFonts w:ascii="Arial" w:hAnsi="Arial" w:cs="Arial"/>
                <w:b/>
                <w:bCs/>
                <w:color w:val="000000"/>
                <w:sz w:val="16"/>
                <w:szCs w:val="16"/>
              </w:rPr>
              <w:t>467</w:t>
            </w:r>
          </w:p>
        </w:tc>
        <w:tc>
          <w:tcPr>
            <w:tcW w:w="2311" w:type="dxa"/>
            <w:vAlign w:val="bottom"/>
          </w:tcPr>
          <w:p w14:paraId="38DD4B9D" w14:textId="77777777" w:rsidR="00030089" w:rsidRPr="004B4F29" w:rsidRDefault="00030089" w:rsidP="008547F7">
            <w:pPr>
              <w:tabs>
                <w:tab w:val="left" w:pos="142"/>
              </w:tabs>
              <w:jc w:val="right"/>
              <w:rPr>
                <w:rFonts w:ascii="Arial" w:hAnsi="Arial" w:cs="Arial"/>
                <w:sz w:val="16"/>
                <w:szCs w:val="16"/>
              </w:rPr>
            </w:pPr>
            <w:r w:rsidRPr="00792CEC">
              <w:rPr>
                <w:rFonts w:ascii="Arial" w:hAnsi="Arial" w:cs="Arial"/>
                <w:b/>
                <w:bCs/>
                <w:color w:val="000000"/>
                <w:sz w:val="16"/>
                <w:szCs w:val="16"/>
              </w:rPr>
              <w:t>$2</w:t>
            </w:r>
            <w:r>
              <w:rPr>
                <w:rFonts w:ascii="Arial" w:hAnsi="Arial" w:cs="Arial"/>
                <w:b/>
                <w:bCs/>
                <w:color w:val="000000"/>
                <w:sz w:val="16"/>
                <w:szCs w:val="16"/>
              </w:rPr>
              <w:t xml:space="preserve"> </w:t>
            </w:r>
            <w:r w:rsidRPr="00792CEC">
              <w:rPr>
                <w:rFonts w:ascii="Arial" w:hAnsi="Arial" w:cs="Arial"/>
                <w:b/>
                <w:bCs/>
                <w:color w:val="000000"/>
                <w:sz w:val="16"/>
                <w:szCs w:val="16"/>
              </w:rPr>
              <w:t>243</w:t>
            </w:r>
            <w:r>
              <w:rPr>
                <w:rFonts w:ascii="Arial" w:hAnsi="Arial" w:cs="Arial"/>
                <w:b/>
                <w:bCs/>
                <w:color w:val="000000"/>
                <w:sz w:val="16"/>
                <w:szCs w:val="16"/>
              </w:rPr>
              <w:t xml:space="preserve"> </w:t>
            </w:r>
            <w:r w:rsidRPr="00792CEC">
              <w:rPr>
                <w:rFonts w:ascii="Arial" w:hAnsi="Arial" w:cs="Arial"/>
                <w:b/>
                <w:bCs/>
                <w:color w:val="000000"/>
                <w:sz w:val="16"/>
                <w:szCs w:val="16"/>
              </w:rPr>
              <w:t>451</w:t>
            </w:r>
          </w:p>
        </w:tc>
      </w:tr>
    </w:tbl>
    <w:p w14:paraId="5A7072C7" w14:textId="77777777" w:rsidR="00030089" w:rsidRDefault="00030089" w:rsidP="00030089">
      <w:pPr>
        <w:tabs>
          <w:tab w:val="left" w:pos="142"/>
        </w:tabs>
      </w:pPr>
    </w:p>
    <w:p w14:paraId="6374092F" w14:textId="77777777" w:rsidR="00030089" w:rsidRPr="00F702E2" w:rsidRDefault="00030089" w:rsidP="00030089">
      <w:pPr>
        <w:pStyle w:val="ListParagraph"/>
        <w:numPr>
          <w:ilvl w:val="2"/>
          <w:numId w:val="3"/>
        </w:numPr>
        <w:spacing w:after="200" w:line="360" w:lineRule="auto"/>
        <w:ind w:hanging="788"/>
        <w:jc w:val="both"/>
        <w:outlineLvl w:val="2"/>
        <w:rPr>
          <w:rFonts w:ascii="Arial" w:hAnsi="Arial" w:cs="Arial"/>
          <w:b/>
          <w:szCs w:val="24"/>
        </w:rPr>
      </w:pPr>
      <w:bookmarkStart w:id="208" w:name="_Toc325459244"/>
      <w:bookmarkStart w:id="209" w:name="_Toc325531792"/>
      <w:bookmarkStart w:id="210" w:name="_Toc325531841"/>
      <w:bookmarkStart w:id="211" w:name="_Toc346008384"/>
      <w:bookmarkStart w:id="212" w:name="_Toc353562552"/>
      <w:r w:rsidRPr="00F702E2">
        <w:rPr>
          <w:rFonts w:ascii="Arial" w:hAnsi="Arial" w:cs="Arial"/>
          <w:b/>
          <w:szCs w:val="24"/>
        </w:rPr>
        <w:t>Costs</w:t>
      </w:r>
      <w:bookmarkEnd w:id="208"/>
      <w:bookmarkEnd w:id="209"/>
      <w:bookmarkEnd w:id="210"/>
      <w:bookmarkEnd w:id="211"/>
      <w:bookmarkEnd w:id="212"/>
    </w:p>
    <w:p w14:paraId="75914E8D" w14:textId="77777777" w:rsidR="00030089" w:rsidRPr="00F702E2" w:rsidRDefault="00030089" w:rsidP="00030089">
      <w:pPr>
        <w:pStyle w:val="Default"/>
        <w:rPr>
          <w:sz w:val="24"/>
          <w:szCs w:val="24"/>
        </w:rPr>
      </w:pPr>
      <w:r w:rsidRPr="00F702E2">
        <w:rPr>
          <w:sz w:val="24"/>
          <w:szCs w:val="24"/>
        </w:rPr>
        <w:t xml:space="preserve">Households, businesses (beverage manufacturers and importers / exporters), the waste management industry (including CDS coordinators and collection depots) and governments are assumed to incur certain costs associated with the options. The following provides a summary of these costs. </w:t>
      </w:r>
    </w:p>
    <w:p w14:paraId="627F6870" w14:textId="77777777" w:rsidR="00030089" w:rsidRPr="00F702E2" w:rsidRDefault="00030089" w:rsidP="00030089">
      <w:pPr>
        <w:pStyle w:val="Default"/>
        <w:rPr>
          <w:sz w:val="24"/>
          <w:szCs w:val="24"/>
        </w:rPr>
      </w:pPr>
      <w:r w:rsidRPr="00F702E2">
        <w:rPr>
          <w:b/>
          <w:sz w:val="24"/>
          <w:szCs w:val="24"/>
        </w:rPr>
        <w:t>Scheme design and implementation costs</w:t>
      </w:r>
      <w:r w:rsidRPr="00F702E2">
        <w:rPr>
          <w:sz w:val="24"/>
          <w:szCs w:val="24"/>
        </w:rPr>
        <w:t xml:space="preserve"> incurred by government include the following: </w:t>
      </w:r>
    </w:p>
    <w:p w14:paraId="4CD67C36" w14:textId="77777777" w:rsidR="00030089" w:rsidRPr="00F702E2" w:rsidRDefault="00030089" w:rsidP="00030089">
      <w:pPr>
        <w:pStyle w:val="Default"/>
        <w:numPr>
          <w:ilvl w:val="0"/>
          <w:numId w:val="16"/>
        </w:numPr>
        <w:rPr>
          <w:sz w:val="24"/>
          <w:szCs w:val="24"/>
        </w:rPr>
      </w:pPr>
      <w:r w:rsidRPr="00F702E2">
        <w:rPr>
          <w:sz w:val="24"/>
          <w:szCs w:val="24"/>
        </w:rPr>
        <w:t>designing and implementing the regulation and making regulatory amendments;</w:t>
      </w:r>
    </w:p>
    <w:p w14:paraId="5B67F031" w14:textId="77777777" w:rsidR="00030089" w:rsidRPr="00F702E2" w:rsidRDefault="00030089" w:rsidP="00030089">
      <w:pPr>
        <w:pStyle w:val="Default"/>
        <w:numPr>
          <w:ilvl w:val="0"/>
          <w:numId w:val="16"/>
        </w:numPr>
        <w:rPr>
          <w:sz w:val="24"/>
          <w:szCs w:val="24"/>
        </w:rPr>
      </w:pPr>
      <w:r w:rsidRPr="00F702E2">
        <w:rPr>
          <w:sz w:val="24"/>
          <w:szCs w:val="24"/>
        </w:rPr>
        <w:t>communicating the operation of the scheme to households and businesses; and</w:t>
      </w:r>
    </w:p>
    <w:p w14:paraId="3D767A11" w14:textId="77777777" w:rsidR="00030089" w:rsidRPr="00F702E2" w:rsidRDefault="00030089" w:rsidP="00030089">
      <w:pPr>
        <w:pStyle w:val="Default"/>
        <w:numPr>
          <w:ilvl w:val="0"/>
          <w:numId w:val="16"/>
        </w:numPr>
        <w:rPr>
          <w:sz w:val="24"/>
          <w:szCs w:val="24"/>
        </w:rPr>
      </w:pPr>
      <w:r w:rsidRPr="00F702E2">
        <w:rPr>
          <w:sz w:val="24"/>
          <w:szCs w:val="24"/>
        </w:rPr>
        <w:t xml:space="preserve">administering the regulation on an ongoing basis, including costs related to compliance and enforcement. </w:t>
      </w:r>
    </w:p>
    <w:p w14:paraId="0535B818" w14:textId="77777777" w:rsidR="00030089" w:rsidRPr="00F702E2" w:rsidRDefault="00030089" w:rsidP="00030089">
      <w:pPr>
        <w:pStyle w:val="Default"/>
        <w:rPr>
          <w:sz w:val="24"/>
          <w:szCs w:val="24"/>
        </w:rPr>
      </w:pPr>
      <w:r w:rsidRPr="00F702E2">
        <w:rPr>
          <w:b/>
          <w:sz w:val="24"/>
          <w:szCs w:val="24"/>
        </w:rPr>
        <w:t>Scheme operation and compliance costs</w:t>
      </w:r>
      <w:r w:rsidRPr="00F702E2">
        <w:rPr>
          <w:sz w:val="24"/>
          <w:szCs w:val="24"/>
        </w:rPr>
        <w:t xml:space="preserve"> incurred by industry include:</w:t>
      </w:r>
    </w:p>
    <w:p w14:paraId="78E422FE" w14:textId="77777777" w:rsidR="00030089" w:rsidRPr="00F702E2" w:rsidRDefault="00030089" w:rsidP="00030089">
      <w:pPr>
        <w:pStyle w:val="Default"/>
        <w:numPr>
          <w:ilvl w:val="0"/>
          <w:numId w:val="17"/>
        </w:numPr>
        <w:rPr>
          <w:sz w:val="24"/>
          <w:szCs w:val="24"/>
        </w:rPr>
      </w:pPr>
      <w:r w:rsidRPr="00F702E2">
        <w:rPr>
          <w:sz w:val="24"/>
          <w:szCs w:val="24"/>
        </w:rPr>
        <w:t xml:space="preserve">reporting requirements; </w:t>
      </w:r>
    </w:p>
    <w:p w14:paraId="631F65E7" w14:textId="77777777" w:rsidR="00030089" w:rsidRPr="00F702E2" w:rsidRDefault="00030089" w:rsidP="00030089">
      <w:pPr>
        <w:pStyle w:val="Default"/>
        <w:numPr>
          <w:ilvl w:val="0"/>
          <w:numId w:val="17"/>
        </w:numPr>
        <w:rPr>
          <w:sz w:val="24"/>
          <w:szCs w:val="24"/>
        </w:rPr>
      </w:pPr>
      <w:r w:rsidRPr="00F702E2">
        <w:rPr>
          <w:sz w:val="24"/>
          <w:szCs w:val="24"/>
        </w:rPr>
        <w:t xml:space="preserve">establishing industry-run organisations responsible for the operation of the scheme; </w:t>
      </w:r>
    </w:p>
    <w:p w14:paraId="469543E2" w14:textId="77777777" w:rsidR="00030089" w:rsidRPr="00F702E2" w:rsidRDefault="00030089" w:rsidP="00030089">
      <w:pPr>
        <w:pStyle w:val="Default"/>
        <w:numPr>
          <w:ilvl w:val="0"/>
          <w:numId w:val="17"/>
        </w:numPr>
        <w:rPr>
          <w:sz w:val="24"/>
          <w:szCs w:val="24"/>
        </w:rPr>
      </w:pPr>
      <w:r w:rsidRPr="00F702E2">
        <w:rPr>
          <w:sz w:val="24"/>
          <w:szCs w:val="24"/>
        </w:rPr>
        <w:t>establishing infrastructure; and</w:t>
      </w:r>
    </w:p>
    <w:p w14:paraId="6759FD55" w14:textId="77777777" w:rsidR="00030089" w:rsidRPr="00F702E2" w:rsidRDefault="00030089" w:rsidP="00030089">
      <w:pPr>
        <w:pStyle w:val="Default"/>
        <w:numPr>
          <w:ilvl w:val="0"/>
          <w:numId w:val="17"/>
        </w:numPr>
        <w:rPr>
          <w:sz w:val="24"/>
          <w:szCs w:val="24"/>
        </w:rPr>
      </w:pPr>
      <w:r w:rsidRPr="00F702E2">
        <w:rPr>
          <w:sz w:val="24"/>
          <w:szCs w:val="24"/>
        </w:rPr>
        <w:lastRenderedPageBreak/>
        <w:t xml:space="preserve">operating costs. </w:t>
      </w:r>
    </w:p>
    <w:p w14:paraId="0258839E" w14:textId="77777777" w:rsidR="00030089" w:rsidRPr="00FE611A" w:rsidRDefault="00030089" w:rsidP="00030089">
      <w:pPr>
        <w:spacing w:after="0" w:line="360" w:lineRule="auto"/>
        <w:jc w:val="both"/>
      </w:pPr>
      <w:r w:rsidRPr="00FE611A">
        <w:rPr>
          <w:rFonts w:ascii="Arial" w:hAnsi="Arial" w:cs="Arial"/>
          <w:b/>
          <w:szCs w:val="28"/>
        </w:rPr>
        <w:t>Household Participation Costs</w:t>
      </w:r>
      <w:r>
        <w:rPr>
          <w:rFonts w:ascii="Arial" w:hAnsi="Arial" w:cs="Arial"/>
          <w:b/>
          <w:szCs w:val="28"/>
        </w:rPr>
        <w:t xml:space="preserve"> </w:t>
      </w:r>
      <w:r w:rsidRPr="000729A4">
        <w:rPr>
          <w:rFonts w:ascii="Arial" w:hAnsi="Arial" w:cs="Arial"/>
          <w:szCs w:val="28"/>
        </w:rPr>
        <w:t xml:space="preserve">are the costs </w:t>
      </w:r>
      <w:r>
        <w:rPr>
          <w:rFonts w:ascii="Arial" w:hAnsi="Arial" w:cs="Arial"/>
          <w:szCs w:val="28"/>
        </w:rPr>
        <w:t xml:space="preserve">resulting from the </w:t>
      </w:r>
      <w:r w:rsidRPr="000729A4">
        <w:rPr>
          <w:rFonts w:ascii="Arial" w:hAnsi="Arial" w:cs="Arial"/>
          <w:szCs w:val="28"/>
        </w:rPr>
        <w:t>time it takes to accumulate packaging and transport it by vehicle to collection infrastructure points. These are listed below</w:t>
      </w:r>
      <w:r>
        <w:t>:</w:t>
      </w:r>
    </w:p>
    <w:p w14:paraId="18BE00CB" w14:textId="77777777" w:rsidR="00030089" w:rsidRPr="00FE611A" w:rsidRDefault="00030089" w:rsidP="00030089">
      <w:pPr>
        <w:pStyle w:val="Default"/>
        <w:numPr>
          <w:ilvl w:val="0"/>
          <w:numId w:val="18"/>
        </w:numPr>
      </w:pPr>
      <w:r>
        <w:t>v</w:t>
      </w:r>
      <w:r w:rsidRPr="00FE611A">
        <w:t>ehicle operating costs (VOC) incurred by households to transport packaging to collection infrastruc</w:t>
      </w:r>
      <w:r>
        <w:t>ture;</w:t>
      </w:r>
    </w:p>
    <w:p w14:paraId="4C312EA9" w14:textId="77777777" w:rsidR="00030089" w:rsidRPr="00FE611A" w:rsidRDefault="00030089" w:rsidP="00030089">
      <w:pPr>
        <w:pStyle w:val="Default"/>
        <w:numPr>
          <w:ilvl w:val="0"/>
          <w:numId w:val="18"/>
        </w:numPr>
      </w:pPr>
      <w:r>
        <w:t>i</w:t>
      </w:r>
      <w:r w:rsidRPr="00FE611A">
        <w:t>n-vehicle travel time (IVT) of households to transport packaging to colle</w:t>
      </w:r>
      <w:r>
        <w:t>ction infrastructure by vehicle;</w:t>
      </w:r>
    </w:p>
    <w:p w14:paraId="15D7DBBE" w14:textId="77777777" w:rsidR="00030089" w:rsidRPr="00FE611A" w:rsidRDefault="00030089" w:rsidP="00030089">
      <w:pPr>
        <w:pStyle w:val="Default"/>
        <w:numPr>
          <w:ilvl w:val="0"/>
          <w:numId w:val="18"/>
        </w:numPr>
      </w:pPr>
      <w:r>
        <w:t>a</w:t>
      </w:r>
      <w:r w:rsidRPr="00FE611A">
        <w:t>ccumulation time</w:t>
      </w:r>
      <w:r>
        <w:t xml:space="preserve"> is t</w:t>
      </w:r>
      <w:r w:rsidRPr="00FE611A">
        <w:t xml:space="preserve">he value of time of households to physically transfer </w:t>
      </w:r>
      <w:r>
        <w:t>beverage containers</w:t>
      </w:r>
      <w:r w:rsidRPr="00FE611A">
        <w:t xml:space="preserve"> to accumulation points such as kerbside recycling bins. This inc</w:t>
      </w:r>
      <w:r>
        <w:t>ludes time to sort</w:t>
      </w:r>
      <w:r w:rsidRPr="00FE611A">
        <w:t xml:space="preserve"> containers from the general waste stream, walk to the accumulation</w:t>
      </w:r>
      <w:r>
        <w:t xml:space="preserve"> point and transfer the items; and</w:t>
      </w:r>
    </w:p>
    <w:p w14:paraId="1515D367" w14:textId="77777777" w:rsidR="00030089" w:rsidRPr="00FE611A" w:rsidRDefault="00030089" w:rsidP="00030089">
      <w:pPr>
        <w:pStyle w:val="Default"/>
        <w:numPr>
          <w:ilvl w:val="0"/>
          <w:numId w:val="18"/>
        </w:numPr>
      </w:pPr>
      <w:r w:rsidRPr="00FE611A">
        <w:t>Container deposit redemption time</w:t>
      </w:r>
      <w:r>
        <w:t xml:space="preserve"> is t</w:t>
      </w:r>
      <w:r w:rsidRPr="00FE611A">
        <w:t>he value of time of households to walk from their vehicle to the container collection infrastructure and conduct the transaction.</w:t>
      </w:r>
    </w:p>
    <w:p w14:paraId="4E06C3FE" w14:textId="77777777" w:rsidR="00F702E2" w:rsidRDefault="00F702E2" w:rsidP="00030089">
      <w:pPr>
        <w:spacing w:after="0" w:line="360" w:lineRule="auto"/>
        <w:jc w:val="both"/>
        <w:rPr>
          <w:rFonts w:ascii="Arial" w:hAnsi="Arial" w:cs="Arial"/>
          <w:szCs w:val="28"/>
        </w:rPr>
      </w:pPr>
    </w:p>
    <w:p w14:paraId="015BE5EC" w14:textId="77777777" w:rsidR="00030089" w:rsidRDefault="00030089" w:rsidP="00030089">
      <w:pPr>
        <w:spacing w:after="0" w:line="360" w:lineRule="auto"/>
        <w:jc w:val="both"/>
        <w:rPr>
          <w:rFonts w:ascii="Arial" w:hAnsi="Arial" w:cs="Arial"/>
          <w:szCs w:val="28"/>
        </w:rPr>
      </w:pPr>
      <w:r w:rsidRPr="00847FE6">
        <w:rPr>
          <w:rFonts w:ascii="Arial" w:hAnsi="Arial" w:cs="Arial"/>
          <w:szCs w:val="28"/>
        </w:rPr>
        <w:t xml:space="preserve">Table </w:t>
      </w:r>
      <w:r>
        <w:rPr>
          <w:rFonts w:ascii="Arial" w:hAnsi="Arial" w:cs="Arial"/>
          <w:szCs w:val="28"/>
        </w:rPr>
        <w:t>4.11</w:t>
      </w:r>
      <w:r w:rsidRPr="00847FE6">
        <w:rPr>
          <w:rFonts w:ascii="Arial" w:hAnsi="Arial" w:cs="Arial"/>
          <w:szCs w:val="28"/>
        </w:rPr>
        <w:t xml:space="preserve"> provides a summary of </w:t>
      </w:r>
      <w:r>
        <w:rPr>
          <w:rFonts w:ascii="Arial" w:hAnsi="Arial" w:cs="Arial"/>
          <w:szCs w:val="28"/>
        </w:rPr>
        <w:t>all</w:t>
      </w:r>
      <w:r w:rsidRPr="00847FE6">
        <w:rPr>
          <w:rFonts w:ascii="Arial" w:hAnsi="Arial" w:cs="Arial"/>
          <w:szCs w:val="28"/>
        </w:rPr>
        <w:t xml:space="preserve"> costs for all of the considered options.</w:t>
      </w:r>
    </w:p>
    <w:p w14:paraId="084CD7E5"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13" w:name="_Toc353562501"/>
      <w:r w:rsidR="00740026">
        <w:rPr>
          <w:noProof/>
          <w:color w:val="auto"/>
        </w:rPr>
        <w:t>20</w:t>
      </w:r>
      <w:r w:rsidRPr="00682556">
        <w:rPr>
          <w:noProof/>
          <w:color w:val="auto"/>
        </w:rPr>
        <w:fldChar w:fldCharType="end"/>
      </w:r>
      <w:r w:rsidRPr="00682556">
        <w:rPr>
          <w:noProof/>
          <w:color w:val="auto"/>
        </w:rPr>
        <w:t xml:space="preserve"> Table 4.</w:t>
      </w:r>
      <w:r>
        <w:rPr>
          <w:noProof/>
          <w:color w:val="auto"/>
        </w:rPr>
        <w:t>11</w:t>
      </w:r>
      <w:r w:rsidRPr="00682556">
        <w:rPr>
          <w:noProof/>
          <w:color w:val="auto"/>
        </w:rPr>
        <w:t>: Summary of costs for all options over 25 years (discounted 7%)</w:t>
      </w:r>
      <w:bookmarkEnd w:id="213"/>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29"/>
        <w:gridCol w:w="1843"/>
        <w:gridCol w:w="1842"/>
        <w:gridCol w:w="1457"/>
        <w:gridCol w:w="1743"/>
      </w:tblGrid>
      <w:tr w:rsidR="00030089" w:rsidRPr="003004B9" w14:paraId="75614907" w14:textId="77777777" w:rsidTr="008547F7">
        <w:trPr>
          <w:cantSplit/>
          <w:tblHeader/>
          <w:jc w:val="center"/>
        </w:trPr>
        <w:tc>
          <w:tcPr>
            <w:tcW w:w="1829" w:type="dxa"/>
            <w:shd w:val="clear" w:color="auto" w:fill="D9D9D9"/>
          </w:tcPr>
          <w:p w14:paraId="070322D1" w14:textId="77777777" w:rsidR="00030089" w:rsidRPr="00071702" w:rsidRDefault="00030089" w:rsidP="008547F7">
            <w:pPr>
              <w:pStyle w:val="NoSpacing"/>
              <w:spacing w:before="60" w:line="360" w:lineRule="auto"/>
              <w:rPr>
                <w:rFonts w:ascii="Arial" w:hAnsi="Arial" w:cs="Arial"/>
                <w:b/>
                <w:sz w:val="16"/>
                <w:szCs w:val="16"/>
              </w:rPr>
            </w:pPr>
            <w:r w:rsidRPr="00071702">
              <w:rPr>
                <w:rFonts w:ascii="Arial" w:hAnsi="Arial" w:cs="Arial"/>
                <w:b/>
                <w:sz w:val="16"/>
                <w:szCs w:val="16"/>
              </w:rPr>
              <w:t>Options</w:t>
            </w:r>
          </w:p>
        </w:tc>
        <w:tc>
          <w:tcPr>
            <w:tcW w:w="1843" w:type="dxa"/>
            <w:shd w:val="clear" w:color="auto" w:fill="D9D9D9"/>
          </w:tcPr>
          <w:p w14:paraId="1E5B6F5D" w14:textId="77777777" w:rsidR="00030089" w:rsidRPr="00071702" w:rsidRDefault="00030089" w:rsidP="008547F7">
            <w:pPr>
              <w:pStyle w:val="NoSpacing"/>
              <w:spacing w:before="60" w:line="360" w:lineRule="auto"/>
              <w:jc w:val="right"/>
              <w:rPr>
                <w:rFonts w:ascii="Arial" w:hAnsi="Arial" w:cs="Arial"/>
                <w:b/>
                <w:sz w:val="16"/>
                <w:szCs w:val="16"/>
              </w:rPr>
            </w:pPr>
            <w:r w:rsidRPr="00071702">
              <w:rPr>
                <w:rFonts w:ascii="Arial" w:hAnsi="Arial" w:cs="Arial"/>
                <w:b/>
                <w:sz w:val="16"/>
                <w:szCs w:val="16"/>
              </w:rPr>
              <w:t>Option 1</w:t>
            </w:r>
          </w:p>
          <w:p w14:paraId="34CC088B" w14:textId="77777777" w:rsidR="00030089" w:rsidRPr="00071702" w:rsidRDefault="00030089" w:rsidP="008547F7">
            <w:pPr>
              <w:pStyle w:val="NoSpacing"/>
              <w:spacing w:before="60" w:line="360" w:lineRule="auto"/>
              <w:jc w:val="right"/>
              <w:rPr>
                <w:rFonts w:ascii="Arial" w:hAnsi="Arial" w:cs="Arial"/>
                <w:sz w:val="16"/>
                <w:szCs w:val="16"/>
              </w:rPr>
            </w:pPr>
          </w:p>
        </w:tc>
        <w:tc>
          <w:tcPr>
            <w:tcW w:w="1842" w:type="dxa"/>
            <w:shd w:val="clear" w:color="auto" w:fill="D9D9D9"/>
          </w:tcPr>
          <w:p w14:paraId="12709A76" w14:textId="77777777" w:rsidR="00030089" w:rsidRPr="00071702" w:rsidRDefault="00030089" w:rsidP="008547F7">
            <w:pPr>
              <w:pStyle w:val="NoSpacing"/>
              <w:spacing w:before="60" w:line="360" w:lineRule="auto"/>
              <w:jc w:val="right"/>
              <w:rPr>
                <w:rFonts w:ascii="Arial" w:hAnsi="Arial" w:cs="Arial"/>
                <w:b/>
                <w:sz w:val="16"/>
                <w:szCs w:val="16"/>
              </w:rPr>
            </w:pPr>
            <w:r w:rsidRPr="00071702">
              <w:rPr>
                <w:rFonts w:ascii="Arial" w:hAnsi="Arial" w:cs="Arial"/>
                <w:b/>
                <w:sz w:val="16"/>
                <w:szCs w:val="16"/>
              </w:rPr>
              <w:t>Option 2</w:t>
            </w:r>
          </w:p>
          <w:p w14:paraId="04E24BCE" w14:textId="77777777" w:rsidR="00030089" w:rsidRPr="00071702" w:rsidRDefault="00030089" w:rsidP="008547F7">
            <w:pPr>
              <w:pStyle w:val="NoSpacing"/>
              <w:spacing w:before="60" w:line="360" w:lineRule="auto"/>
              <w:jc w:val="right"/>
              <w:rPr>
                <w:rFonts w:ascii="Arial" w:hAnsi="Arial" w:cs="Arial"/>
                <w:b/>
                <w:color w:val="0070C0"/>
                <w:sz w:val="16"/>
                <w:szCs w:val="16"/>
              </w:rPr>
            </w:pPr>
          </w:p>
        </w:tc>
        <w:tc>
          <w:tcPr>
            <w:tcW w:w="1457" w:type="dxa"/>
            <w:shd w:val="clear" w:color="auto" w:fill="D9D9D9"/>
          </w:tcPr>
          <w:p w14:paraId="7882D461" w14:textId="77777777" w:rsidR="00030089" w:rsidRDefault="00030089" w:rsidP="008547F7">
            <w:pPr>
              <w:pStyle w:val="NoSpacing"/>
              <w:spacing w:before="60" w:line="360" w:lineRule="auto"/>
              <w:jc w:val="right"/>
              <w:rPr>
                <w:rFonts w:ascii="Arial" w:hAnsi="Arial" w:cs="Arial"/>
                <w:b/>
                <w:sz w:val="16"/>
                <w:szCs w:val="16"/>
              </w:rPr>
            </w:pPr>
            <w:r w:rsidRPr="001D692B">
              <w:rPr>
                <w:rFonts w:ascii="Arial" w:hAnsi="Arial" w:cs="Arial"/>
                <w:b/>
                <w:sz w:val="16"/>
                <w:szCs w:val="16"/>
              </w:rPr>
              <w:t>Option 3</w:t>
            </w:r>
          </w:p>
          <w:p w14:paraId="4E1A966E" w14:textId="77777777" w:rsidR="00030089" w:rsidRPr="00071702" w:rsidRDefault="00030089" w:rsidP="008547F7">
            <w:pPr>
              <w:pStyle w:val="NoSpacing"/>
              <w:spacing w:before="60" w:line="360" w:lineRule="auto"/>
              <w:jc w:val="right"/>
              <w:rPr>
                <w:rFonts w:ascii="Arial" w:hAnsi="Arial" w:cs="Arial"/>
                <w:color w:val="0070C0"/>
                <w:sz w:val="16"/>
                <w:szCs w:val="16"/>
              </w:rPr>
            </w:pPr>
          </w:p>
        </w:tc>
        <w:tc>
          <w:tcPr>
            <w:tcW w:w="1743" w:type="dxa"/>
            <w:shd w:val="clear" w:color="auto" w:fill="D9D9D9"/>
          </w:tcPr>
          <w:p w14:paraId="6D09EA47" w14:textId="77777777" w:rsidR="00030089" w:rsidRPr="00732FFB" w:rsidRDefault="00030089" w:rsidP="008547F7">
            <w:pPr>
              <w:pStyle w:val="NoSpacing"/>
              <w:spacing w:before="60" w:line="360" w:lineRule="auto"/>
              <w:jc w:val="right"/>
              <w:rPr>
                <w:rFonts w:ascii="Arial" w:hAnsi="Arial" w:cs="Arial"/>
                <w:b/>
                <w:sz w:val="16"/>
                <w:szCs w:val="16"/>
              </w:rPr>
            </w:pPr>
            <w:r w:rsidRPr="00732FFB">
              <w:rPr>
                <w:rFonts w:ascii="Arial" w:hAnsi="Arial" w:cs="Arial"/>
                <w:b/>
                <w:sz w:val="16"/>
                <w:szCs w:val="16"/>
              </w:rPr>
              <w:t xml:space="preserve">Option 4 </w:t>
            </w:r>
          </w:p>
          <w:p w14:paraId="306D8A59" w14:textId="77777777" w:rsidR="00030089" w:rsidRPr="00071702" w:rsidRDefault="00030089" w:rsidP="008547F7">
            <w:pPr>
              <w:pStyle w:val="NoSpacing"/>
              <w:spacing w:before="60" w:line="360" w:lineRule="auto"/>
              <w:jc w:val="right"/>
              <w:rPr>
                <w:rFonts w:ascii="Arial" w:hAnsi="Arial" w:cs="Arial"/>
                <w:color w:val="0070C0"/>
                <w:sz w:val="16"/>
                <w:szCs w:val="16"/>
              </w:rPr>
            </w:pPr>
          </w:p>
        </w:tc>
      </w:tr>
      <w:tr w:rsidR="00030089" w:rsidRPr="003004B9" w14:paraId="25922229" w14:textId="77777777" w:rsidTr="008547F7">
        <w:trPr>
          <w:cantSplit/>
          <w:trHeight w:hRule="exact" w:val="737"/>
          <w:jc w:val="center"/>
        </w:trPr>
        <w:tc>
          <w:tcPr>
            <w:tcW w:w="1829" w:type="dxa"/>
            <w:shd w:val="clear" w:color="auto" w:fill="FFFFFF" w:themeFill="background1"/>
          </w:tcPr>
          <w:p w14:paraId="303B836F" w14:textId="77777777" w:rsidR="00030089" w:rsidRPr="00EC15AE" w:rsidRDefault="00030089" w:rsidP="008547F7">
            <w:pPr>
              <w:pStyle w:val="NoSpacing"/>
              <w:spacing w:beforeLines="60" w:before="144" w:line="360" w:lineRule="auto"/>
              <w:rPr>
                <w:rFonts w:ascii="Arial" w:hAnsi="Arial" w:cs="Arial"/>
                <w:sz w:val="16"/>
                <w:szCs w:val="16"/>
              </w:rPr>
            </w:pPr>
            <w:r w:rsidRPr="00EC15AE">
              <w:rPr>
                <w:rFonts w:ascii="Arial" w:hAnsi="Arial" w:cs="Arial"/>
                <w:sz w:val="16"/>
                <w:szCs w:val="16"/>
              </w:rPr>
              <w:t>Scheme design and implementation</w:t>
            </w:r>
          </w:p>
          <w:p w14:paraId="762E16C2" w14:textId="77777777" w:rsidR="00030089" w:rsidRDefault="00030089" w:rsidP="008547F7">
            <w:pPr>
              <w:pStyle w:val="NoSpacing"/>
              <w:spacing w:beforeLines="60" w:before="144" w:line="360" w:lineRule="auto"/>
              <w:rPr>
                <w:rFonts w:ascii="Arial" w:hAnsi="Arial" w:cs="Arial"/>
                <w:sz w:val="16"/>
                <w:szCs w:val="16"/>
              </w:rPr>
            </w:pPr>
          </w:p>
        </w:tc>
        <w:tc>
          <w:tcPr>
            <w:tcW w:w="1843" w:type="dxa"/>
          </w:tcPr>
          <w:p w14:paraId="612BFDB8" w14:textId="77777777" w:rsidR="00030089" w:rsidRPr="00EE2040" w:rsidRDefault="00030089" w:rsidP="008547F7">
            <w:pPr>
              <w:pStyle w:val="NoSpacing"/>
              <w:spacing w:before="60" w:line="360" w:lineRule="auto"/>
              <w:jc w:val="right"/>
              <w:rPr>
                <w:rFonts w:ascii="Arial" w:hAnsi="Arial" w:cs="Arial"/>
                <w:bCs/>
                <w:color w:val="000000"/>
                <w:sz w:val="16"/>
                <w:szCs w:val="16"/>
              </w:rPr>
            </w:pPr>
            <w:r w:rsidRPr="00792CEC">
              <w:rPr>
                <w:rFonts w:ascii="Arial" w:hAnsi="Arial" w:cs="Arial"/>
                <w:bCs/>
                <w:color w:val="000000"/>
                <w:sz w:val="16"/>
                <w:szCs w:val="16"/>
              </w:rPr>
              <w:t xml:space="preserve">$1 </w:t>
            </w:r>
            <w:r w:rsidRPr="00035311">
              <w:rPr>
                <w:rFonts w:ascii="Arial" w:hAnsi="Arial" w:cs="Arial"/>
                <w:sz w:val="16"/>
                <w:szCs w:val="16"/>
              </w:rPr>
              <w:t>823</w:t>
            </w:r>
            <w:r w:rsidRPr="00792CEC">
              <w:rPr>
                <w:rFonts w:ascii="Arial" w:hAnsi="Arial" w:cs="Arial"/>
                <w:bCs/>
                <w:color w:val="000000"/>
                <w:sz w:val="16"/>
                <w:szCs w:val="16"/>
              </w:rPr>
              <w:t xml:space="preserve"> 297</w:t>
            </w:r>
          </w:p>
          <w:p w14:paraId="6FB1759A" w14:textId="77777777" w:rsidR="00030089" w:rsidRPr="00EE2040" w:rsidRDefault="00030089" w:rsidP="008547F7">
            <w:pPr>
              <w:pStyle w:val="NoSpacing"/>
              <w:spacing w:before="60" w:line="360" w:lineRule="auto"/>
              <w:jc w:val="right"/>
              <w:rPr>
                <w:rFonts w:ascii="Arial" w:hAnsi="Arial" w:cs="Arial"/>
                <w:sz w:val="16"/>
                <w:szCs w:val="16"/>
              </w:rPr>
            </w:pPr>
          </w:p>
        </w:tc>
        <w:tc>
          <w:tcPr>
            <w:tcW w:w="1842" w:type="dxa"/>
          </w:tcPr>
          <w:p w14:paraId="05F97528" w14:textId="77777777" w:rsidR="00030089" w:rsidRPr="00EE2040" w:rsidRDefault="00030089" w:rsidP="008547F7">
            <w:pPr>
              <w:pStyle w:val="NoSpacing"/>
              <w:spacing w:before="60" w:line="360" w:lineRule="auto"/>
              <w:jc w:val="right"/>
              <w:rPr>
                <w:rFonts w:ascii="Arial" w:hAnsi="Arial" w:cs="Arial"/>
                <w:sz w:val="16"/>
                <w:szCs w:val="16"/>
              </w:rPr>
            </w:pPr>
            <w:r w:rsidRPr="00EE2040">
              <w:rPr>
                <w:rFonts w:ascii="Arial" w:hAnsi="Arial" w:cs="Arial"/>
                <w:sz w:val="16"/>
                <w:szCs w:val="16"/>
              </w:rPr>
              <w:t>$11 000 000</w:t>
            </w:r>
          </w:p>
        </w:tc>
        <w:tc>
          <w:tcPr>
            <w:tcW w:w="1457" w:type="dxa"/>
          </w:tcPr>
          <w:p w14:paraId="4E103BB3" w14:textId="77777777" w:rsidR="00030089" w:rsidRPr="00EE2040" w:rsidRDefault="00030089" w:rsidP="008547F7">
            <w:pPr>
              <w:pStyle w:val="NoSpacing"/>
              <w:spacing w:before="60" w:line="360" w:lineRule="auto"/>
              <w:jc w:val="right"/>
              <w:rPr>
                <w:rFonts w:ascii="Arial" w:hAnsi="Arial" w:cs="Arial"/>
                <w:bCs/>
                <w:color w:val="000000"/>
                <w:sz w:val="16"/>
                <w:szCs w:val="16"/>
              </w:rPr>
            </w:pPr>
            <w:r w:rsidRPr="00792CEC">
              <w:rPr>
                <w:rFonts w:ascii="Arial" w:hAnsi="Arial" w:cs="Arial"/>
                <w:bCs/>
                <w:color w:val="000000"/>
                <w:sz w:val="16"/>
                <w:szCs w:val="16"/>
              </w:rPr>
              <w:t xml:space="preserve">$3 </w:t>
            </w:r>
            <w:r w:rsidRPr="00035311">
              <w:rPr>
                <w:rFonts w:ascii="Arial" w:hAnsi="Arial" w:cs="Arial"/>
                <w:sz w:val="16"/>
                <w:szCs w:val="16"/>
              </w:rPr>
              <w:t>646</w:t>
            </w:r>
            <w:r w:rsidRPr="00792CEC">
              <w:rPr>
                <w:rFonts w:ascii="Arial" w:hAnsi="Arial" w:cs="Arial"/>
                <w:bCs/>
                <w:color w:val="000000"/>
                <w:sz w:val="16"/>
                <w:szCs w:val="16"/>
              </w:rPr>
              <w:t xml:space="preserve"> 594</w:t>
            </w:r>
          </w:p>
          <w:p w14:paraId="5FCF1665" w14:textId="77777777" w:rsidR="00030089" w:rsidRPr="00EE2040" w:rsidRDefault="00030089" w:rsidP="008547F7">
            <w:pPr>
              <w:pStyle w:val="NoSpacing"/>
              <w:spacing w:before="60" w:line="360" w:lineRule="auto"/>
              <w:jc w:val="right"/>
              <w:rPr>
                <w:rFonts w:ascii="Arial" w:hAnsi="Arial" w:cs="Arial"/>
                <w:sz w:val="16"/>
                <w:szCs w:val="16"/>
              </w:rPr>
            </w:pPr>
          </w:p>
        </w:tc>
        <w:tc>
          <w:tcPr>
            <w:tcW w:w="1743" w:type="dxa"/>
          </w:tcPr>
          <w:p w14:paraId="269B0EC3" w14:textId="77777777" w:rsidR="00030089" w:rsidRPr="00EE2040" w:rsidRDefault="00030089" w:rsidP="008547F7">
            <w:pPr>
              <w:pStyle w:val="NoSpacing"/>
              <w:spacing w:before="60" w:line="360" w:lineRule="auto"/>
              <w:jc w:val="right"/>
              <w:rPr>
                <w:rFonts w:ascii="Arial" w:hAnsi="Arial" w:cs="Arial"/>
                <w:sz w:val="16"/>
                <w:szCs w:val="16"/>
              </w:rPr>
            </w:pPr>
            <w:r w:rsidRPr="00EE2040">
              <w:rPr>
                <w:rFonts w:ascii="Arial" w:hAnsi="Arial" w:cs="Arial"/>
                <w:sz w:val="16"/>
                <w:szCs w:val="16"/>
              </w:rPr>
              <w:t>$3 000 000</w:t>
            </w:r>
          </w:p>
        </w:tc>
      </w:tr>
      <w:tr w:rsidR="00030089" w:rsidRPr="003004B9" w14:paraId="1EEB0447" w14:textId="77777777" w:rsidTr="008547F7">
        <w:trPr>
          <w:cantSplit/>
          <w:trHeight w:hRule="exact" w:val="737"/>
          <w:jc w:val="center"/>
        </w:trPr>
        <w:tc>
          <w:tcPr>
            <w:tcW w:w="1829" w:type="dxa"/>
            <w:shd w:val="clear" w:color="auto" w:fill="FFFFFF" w:themeFill="background1"/>
          </w:tcPr>
          <w:p w14:paraId="72355822" w14:textId="77777777" w:rsidR="00030089" w:rsidRDefault="00030089" w:rsidP="008547F7">
            <w:pPr>
              <w:pStyle w:val="NoSpacing"/>
              <w:spacing w:beforeLines="60" w:before="144" w:line="360" w:lineRule="auto"/>
              <w:rPr>
                <w:rFonts w:ascii="Arial" w:hAnsi="Arial" w:cs="Arial"/>
                <w:sz w:val="16"/>
                <w:szCs w:val="16"/>
              </w:rPr>
            </w:pPr>
            <w:r w:rsidRPr="00EC15AE">
              <w:rPr>
                <w:rFonts w:ascii="Arial" w:hAnsi="Arial" w:cs="Arial"/>
                <w:sz w:val="16"/>
                <w:szCs w:val="16"/>
              </w:rPr>
              <w:t>Scheme operation and compliance</w:t>
            </w:r>
          </w:p>
          <w:p w14:paraId="0382F702" w14:textId="77777777" w:rsidR="00030089" w:rsidRDefault="00030089" w:rsidP="008547F7">
            <w:pPr>
              <w:pStyle w:val="NoSpacing"/>
              <w:spacing w:beforeLines="60" w:before="144" w:line="360" w:lineRule="auto"/>
              <w:rPr>
                <w:rFonts w:ascii="Arial" w:hAnsi="Arial" w:cs="Arial"/>
                <w:sz w:val="16"/>
                <w:szCs w:val="16"/>
              </w:rPr>
            </w:pPr>
          </w:p>
        </w:tc>
        <w:tc>
          <w:tcPr>
            <w:tcW w:w="1843" w:type="dxa"/>
          </w:tcPr>
          <w:p w14:paraId="524AB55B"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$13 568 795</w:t>
            </w:r>
          </w:p>
          <w:p w14:paraId="171C55A7" w14:textId="77777777" w:rsidR="00030089" w:rsidRPr="00EE2040" w:rsidRDefault="00030089" w:rsidP="008547F7">
            <w:pPr>
              <w:pStyle w:val="NoSpacing"/>
              <w:spacing w:before="60" w:line="360" w:lineRule="auto"/>
              <w:jc w:val="right"/>
              <w:rPr>
                <w:rFonts w:ascii="Arial" w:hAnsi="Arial" w:cs="Arial"/>
                <w:sz w:val="16"/>
                <w:szCs w:val="16"/>
              </w:rPr>
            </w:pPr>
          </w:p>
        </w:tc>
        <w:tc>
          <w:tcPr>
            <w:tcW w:w="1842" w:type="dxa"/>
          </w:tcPr>
          <w:p w14:paraId="350EA93B" w14:textId="77777777" w:rsidR="00030089" w:rsidRPr="00EE2040" w:rsidRDefault="00030089" w:rsidP="008547F7">
            <w:pPr>
              <w:pStyle w:val="NoSpacing"/>
              <w:spacing w:before="60" w:line="360" w:lineRule="auto"/>
              <w:jc w:val="right"/>
              <w:rPr>
                <w:rFonts w:ascii="Arial" w:hAnsi="Arial" w:cs="Arial"/>
                <w:sz w:val="16"/>
                <w:szCs w:val="16"/>
              </w:rPr>
            </w:pPr>
            <w:r w:rsidRPr="00EE2040">
              <w:rPr>
                <w:rFonts w:ascii="Arial" w:hAnsi="Arial" w:cs="Arial"/>
                <w:sz w:val="16"/>
                <w:szCs w:val="16"/>
              </w:rPr>
              <w:t>$4 383 000 000</w:t>
            </w:r>
          </w:p>
        </w:tc>
        <w:tc>
          <w:tcPr>
            <w:tcW w:w="1457" w:type="dxa"/>
          </w:tcPr>
          <w:p w14:paraId="0E7F13CE"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$27 137 590</w:t>
            </w:r>
          </w:p>
          <w:p w14:paraId="3C27715F" w14:textId="77777777" w:rsidR="00030089" w:rsidRPr="00EE2040" w:rsidRDefault="00030089" w:rsidP="008547F7">
            <w:pPr>
              <w:pStyle w:val="NoSpacing"/>
              <w:spacing w:before="60" w:line="360" w:lineRule="auto"/>
              <w:jc w:val="right"/>
              <w:rPr>
                <w:rFonts w:ascii="Arial" w:hAnsi="Arial" w:cs="Arial"/>
                <w:sz w:val="16"/>
                <w:szCs w:val="16"/>
              </w:rPr>
            </w:pPr>
          </w:p>
        </w:tc>
        <w:tc>
          <w:tcPr>
            <w:tcW w:w="1743" w:type="dxa"/>
          </w:tcPr>
          <w:p w14:paraId="50351171" w14:textId="77777777" w:rsidR="00030089" w:rsidRPr="00EE2040" w:rsidRDefault="00030089" w:rsidP="008547F7">
            <w:pPr>
              <w:pStyle w:val="NoSpacing"/>
              <w:spacing w:before="60" w:line="360" w:lineRule="auto"/>
              <w:jc w:val="right"/>
              <w:rPr>
                <w:rFonts w:ascii="Arial" w:hAnsi="Arial" w:cs="Arial"/>
                <w:sz w:val="16"/>
                <w:szCs w:val="16"/>
              </w:rPr>
            </w:pPr>
            <w:r w:rsidRPr="00EE2040">
              <w:rPr>
                <w:rFonts w:ascii="Arial" w:hAnsi="Arial" w:cs="Arial"/>
                <w:sz w:val="16"/>
                <w:szCs w:val="16"/>
              </w:rPr>
              <w:t>$16 000 000</w:t>
            </w:r>
          </w:p>
        </w:tc>
      </w:tr>
      <w:tr w:rsidR="00030089" w:rsidRPr="003004B9" w14:paraId="7D3821FF" w14:textId="77777777" w:rsidTr="008547F7">
        <w:trPr>
          <w:cantSplit/>
          <w:trHeight w:hRule="exact" w:val="737"/>
          <w:jc w:val="center"/>
        </w:trPr>
        <w:tc>
          <w:tcPr>
            <w:tcW w:w="1829" w:type="dxa"/>
            <w:shd w:val="clear" w:color="auto" w:fill="FFFFFF" w:themeFill="background1"/>
          </w:tcPr>
          <w:p w14:paraId="390FE4AC" w14:textId="77777777" w:rsidR="00030089" w:rsidRDefault="00030089" w:rsidP="008547F7">
            <w:pPr>
              <w:pStyle w:val="NoSpacing"/>
              <w:spacing w:beforeLines="60" w:before="144" w:line="360" w:lineRule="auto"/>
              <w:rPr>
                <w:rFonts w:ascii="Arial" w:hAnsi="Arial" w:cs="Arial"/>
                <w:sz w:val="16"/>
                <w:szCs w:val="16"/>
              </w:rPr>
            </w:pPr>
            <w:r w:rsidRPr="00EC15AE">
              <w:rPr>
                <w:rFonts w:ascii="Arial" w:hAnsi="Arial" w:cs="Arial"/>
                <w:sz w:val="16"/>
                <w:szCs w:val="16"/>
              </w:rPr>
              <w:t>Household participation costs</w:t>
            </w:r>
          </w:p>
        </w:tc>
        <w:tc>
          <w:tcPr>
            <w:tcW w:w="1843" w:type="dxa"/>
          </w:tcPr>
          <w:p w14:paraId="31C45BE6"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$1 393,100</w:t>
            </w:r>
          </w:p>
          <w:p w14:paraId="55064FFC" w14:textId="77777777" w:rsidR="00030089" w:rsidRPr="00EE2040" w:rsidRDefault="00030089" w:rsidP="008547F7">
            <w:pPr>
              <w:pStyle w:val="NoSpacing"/>
              <w:spacing w:before="60" w:line="360" w:lineRule="auto"/>
              <w:jc w:val="right"/>
              <w:rPr>
                <w:rFonts w:ascii="Arial" w:hAnsi="Arial" w:cs="Arial"/>
                <w:sz w:val="16"/>
                <w:szCs w:val="16"/>
              </w:rPr>
            </w:pPr>
          </w:p>
        </w:tc>
        <w:tc>
          <w:tcPr>
            <w:tcW w:w="1842" w:type="dxa"/>
          </w:tcPr>
          <w:p w14:paraId="6E3750AF" w14:textId="77777777" w:rsidR="00030089" w:rsidRPr="00EE2040" w:rsidRDefault="00030089" w:rsidP="008547F7">
            <w:pPr>
              <w:pStyle w:val="NoSpacing"/>
              <w:spacing w:before="60" w:line="360" w:lineRule="auto"/>
              <w:jc w:val="right"/>
              <w:rPr>
                <w:rFonts w:ascii="Arial" w:hAnsi="Arial" w:cs="Arial"/>
                <w:sz w:val="16"/>
                <w:szCs w:val="16"/>
              </w:rPr>
            </w:pPr>
            <w:r w:rsidRPr="00EE2040">
              <w:rPr>
                <w:rFonts w:ascii="Arial" w:hAnsi="Arial" w:cs="Arial"/>
                <w:sz w:val="16"/>
                <w:szCs w:val="16"/>
              </w:rPr>
              <w:t>$447 000 000</w:t>
            </w:r>
          </w:p>
        </w:tc>
        <w:tc>
          <w:tcPr>
            <w:tcW w:w="1457" w:type="dxa"/>
          </w:tcPr>
          <w:p w14:paraId="5B1F371E"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$2 786 200</w:t>
            </w:r>
          </w:p>
          <w:p w14:paraId="5792692A" w14:textId="77777777" w:rsidR="00030089" w:rsidRPr="00EE2040" w:rsidRDefault="00030089" w:rsidP="008547F7">
            <w:pPr>
              <w:pStyle w:val="NoSpacing"/>
              <w:spacing w:before="60" w:line="360" w:lineRule="auto"/>
              <w:jc w:val="right"/>
              <w:rPr>
                <w:rFonts w:ascii="Arial" w:hAnsi="Arial" w:cs="Arial"/>
                <w:sz w:val="16"/>
                <w:szCs w:val="16"/>
              </w:rPr>
            </w:pPr>
          </w:p>
        </w:tc>
        <w:tc>
          <w:tcPr>
            <w:tcW w:w="1743" w:type="dxa"/>
          </w:tcPr>
          <w:p w14:paraId="26D96659" w14:textId="77777777" w:rsidR="00030089" w:rsidRPr="00EE2040" w:rsidRDefault="00030089" w:rsidP="008547F7">
            <w:pPr>
              <w:pStyle w:val="NoSpacing"/>
              <w:spacing w:before="60" w:line="360" w:lineRule="auto"/>
              <w:jc w:val="right"/>
              <w:rPr>
                <w:rFonts w:ascii="Arial" w:hAnsi="Arial" w:cs="Arial"/>
                <w:sz w:val="16"/>
                <w:szCs w:val="16"/>
              </w:rPr>
            </w:pPr>
            <w:r w:rsidRPr="00EE2040">
              <w:rPr>
                <w:rFonts w:ascii="Arial" w:hAnsi="Arial" w:cs="Arial"/>
                <w:sz w:val="16"/>
                <w:szCs w:val="16"/>
              </w:rPr>
              <w:t>$83 000 000</w:t>
            </w:r>
          </w:p>
        </w:tc>
      </w:tr>
      <w:tr w:rsidR="00030089" w:rsidRPr="003004B9" w14:paraId="1AC09464" w14:textId="77777777" w:rsidTr="008547F7">
        <w:trPr>
          <w:cantSplit/>
          <w:trHeight w:hRule="exact" w:val="737"/>
          <w:jc w:val="center"/>
        </w:trPr>
        <w:tc>
          <w:tcPr>
            <w:tcW w:w="1829" w:type="dxa"/>
            <w:shd w:val="clear" w:color="auto" w:fill="FFFFFF" w:themeFill="background1"/>
          </w:tcPr>
          <w:p w14:paraId="6D7D2048" w14:textId="77777777" w:rsidR="00030089" w:rsidRDefault="00030089" w:rsidP="008547F7">
            <w:pPr>
              <w:pStyle w:val="NoSpacing"/>
              <w:spacing w:beforeLines="60" w:before="144" w:line="360" w:lineRule="auto"/>
              <w:rPr>
                <w:rFonts w:ascii="Arial" w:hAnsi="Arial" w:cs="Arial"/>
                <w:sz w:val="16"/>
                <w:szCs w:val="16"/>
              </w:rPr>
            </w:pPr>
            <w:r w:rsidRPr="00EC15AE">
              <w:rPr>
                <w:rFonts w:ascii="Arial" w:hAnsi="Arial" w:cs="Arial"/>
                <w:sz w:val="16"/>
                <w:szCs w:val="16"/>
              </w:rPr>
              <w:t>Business participation costs</w:t>
            </w:r>
          </w:p>
        </w:tc>
        <w:tc>
          <w:tcPr>
            <w:tcW w:w="1843" w:type="dxa"/>
          </w:tcPr>
          <w:p w14:paraId="744C5287"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$405 177</w:t>
            </w:r>
          </w:p>
          <w:p w14:paraId="2F07064C" w14:textId="77777777" w:rsidR="00030089" w:rsidRPr="00EE2040" w:rsidRDefault="00030089" w:rsidP="008547F7">
            <w:pPr>
              <w:pStyle w:val="NoSpacing"/>
              <w:spacing w:before="60" w:line="360" w:lineRule="auto"/>
              <w:jc w:val="right"/>
              <w:rPr>
                <w:rFonts w:ascii="Arial" w:hAnsi="Arial" w:cs="Arial"/>
                <w:sz w:val="16"/>
                <w:szCs w:val="16"/>
              </w:rPr>
            </w:pPr>
          </w:p>
        </w:tc>
        <w:tc>
          <w:tcPr>
            <w:tcW w:w="1842" w:type="dxa"/>
          </w:tcPr>
          <w:p w14:paraId="3B8951D3" w14:textId="77777777" w:rsidR="00030089" w:rsidRPr="00EE2040" w:rsidRDefault="00030089" w:rsidP="008547F7">
            <w:pPr>
              <w:pStyle w:val="NoSpacing"/>
              <w:spacing w:before="60" w:line="360" w:lineRule="auto"/>
              <w:jc w:val="right"/>
              <w:rPr>
                <w:rFonts w:ascii="Arial" w:hAnsi="Arial" w:cs="Arial"/>
                <w:sz w:val="16"/>
                <w:szCs w:val="16"/>
              </w:rPr>
            </w:pPr>
            <w:r w:rsidRPr="00EE2040">
              <w:rPr>
                <w:rFonts w:ascii="Arial" w:hAnsi="Arial" w:cs="Arial"/>
                <w:sz w:val="16"/>
                <w:szCs w:val="16"/>
              </w:rPr>
              <w:t>$7 000 000</w:t>
            </w:r>
          </w:p>
        </w:tc>
        <w:tc>
          <w:tcPr>
            <w:tcW w:w="1457" w:type="dxa"/>
          </w:tcPr>
          <w:p w14:paraId="1E14D8AE"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$810 354</w:t>
            </w:r>
          </w:p>
          <w:p w14:paraId="20C95A90" w14:textId="77777777" w:rsidR="00030089" w:rsidRPr="00035311" w:rsidRDefault="00030089" w:rsidP="008547F7">
            <w:pPr>
              <w:pStyle w:val="NoSpacing"/>
              <w:spacing w:before="60" w:line="360" w:lineRule="auto"/>
              <w:jc w:val="right"/>
              <w:rPr>
                <w:rFonts w:ascii="Arial" w:hAnsi="Arial" w:cs="Arial"/>
                <w:sz w:val="16"/>
                <w:szCs w:val="16"/>
              </w:rPr>
            </w:pPr>
          </w:p>
        </w:tc>
        <w:tc>
          <w:tcPr>
            <w:tcW w:w="1743" w:type="dxa"/>
          </w:tcPr>
          <w:p w14:paraId="67A4077F" w14:textId="77777777" w:rsidR="00030089" w:rsidRPr="00EE2040" w:rsidRDefault="00030089" w:rsidP="008547F7">
            <w:pPr>
              <w:pStyle w:val="NoSpacing"/>
              <w:spacing w:before="60" w:line="360" w:lineRule="auto"/>
              <w:jc w:val="right"/>
              <w:rPr>
                <w:rFonts w:ascii="Arial" w:hAnsi="Arial" w:cs="Arial"/>
                <w:sz w:val="16"/>
                <w:szCs w:val="16"/>
              </w:rPr>
            </w:pPr>
            <w:r w:rsidRPr="00EE2040">
              <w:rPr>
                <w:rFonts w:ascii="Arial" w:hAnsi="Arial" w:cs="Arial"/>
                <w:sz w:val="16"/>
                <w:szCs w:val="16"/>
              </w:rPr>
              <w:t>$2 000 000</w:t>
            </w:r>
          </w:p>
        </w:tc>
      </w:tr>
      <w:tr w:rsidR="00030089" w:rsidRPr="003004B9" w14:paraId="5BADB4E8" w14:textId="77777777" w:rsidTr="008547F7">
        <w:trPr>
          <w:jc w:val="center"/>
        </w:trPr>
        <w:tc>
          <w:tcPr>
            <w:tcW w:w="1829" w:type="dxa"/>
            <w:shd w:val="clear" w:color="auto" w:fill="FFFFFF" w:themeFill="background1"/>
          </w:tcPr>
          <w:p w14:paraId="69098077" w14:textId="77777777" w:rsidR="00030089" w:rsidRDefault="00030089" w:rsidP="008547F7">
            <w:pPr>
              <w:pStyle w:val="NoSpacing"/>
              <w:spacing w:beforeLines="60" w:before="144" w:line="360" w:lineRule="auto"/>
              <w:rPr>
                <w:rFonts w:ascii="Arial" w:hAnsi="Arial" w:cs="Arial"/>
                <w:sz w:val="16"/>
                <w:szCs w:val="16"/>
              </w:rPr>
            </w:pPr>
            <w:r>
              <w:rPr>
                <w:rFonts w:ascii="Arial" w:hAnsi="Arial" w:cs="Arial"/>
                <w:sz w:val="16"/>
                <w:szCs w:val="16"/>
              </w:rPr>
              <w:t>Collection , transport, processing at material recycling facility</w:t>
            </w:r>
          </w:p>
        </w:tc>
        <w:tc>
          <w:tcPr>
            <w:tcW w:w="1843" w:type="dxa"/>
          </w:tcPr>
          <w:p w14:paraId="2C9241A7" w14:textId="77777777" w:rsidR="00030089" w:rsidRPr="00EE2040" w:rsidRDefault="00030089" w:rsidP="008547F7">
            <w:pPr>
              <w:pStyle w:val="NoSpacing"/>
              <w:spacing w:before="60" w:line="360" w:lineRule="auto"/>
              <w:jc w:val="right"/>
              <w:rPr>
                <w:rFonts w:ascii="Arial" w:hAnsi="Arial" w:cs="Arial"/>
                <w:sz w:val="16"/>
                <w:szCs w:val="16"/>
              </w:rPr>
            </w:pPr>
            <w:r w:rsidRPr="00EE2040">
              <w:rPr>
                <w:rFonts w:ascii="Arial" w:hAnsi="Arial" w:cs="Arial"/>
                <w:sz w:val="16"/>
                <w:szCs w:val="16"/>
              </w:rPr>
              <w:t>NA</w:t>
            </w:r>
          </w:p>
        </w:tc>
        <w:tc>
          <w:tcPr>
            <w:tcW w:w="1842" w:type="dxa"/>
          </w:tcPr>
          <w:p w14:paraId="01ED7724"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NA</w:t>
            </w:r>
          </w:p>
        </w:tc>
        <w:tc>
          <w:tcPr>
            <w:tcW w:w="1457" w:type="dxa"/>
          </w:tcPr>
          <w:p w14:paraId="0E0060E5"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NA</w:t>
            </w:r>
          </w:p>
        </w:tc>
        <w:tc>
          <w:tcPr>
            <w:tcW w:w="1743" w:type="dxa"/>
          </w:tcPr>
          <w:p w14:paraId="3F91E93E"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$135 000 000</w:t>
            </w:r>
          </w:p>
        </w:tc>
      </w:tr>
      <w:tr w:rsidR="00030089" w:rsidRPr="003004B9" w14:paraId="4B975829" w14:textId="77777777" w:rsidTr="008547F7">
        <w:trPr>
          <w:jc w:val="center"/>
        </w:trPr>
        <w:tc>
          <w:tcPr>
            <w:tcW w:w="1829" w:type="dxa"/>
            <w:shd w:val="clear" w:color="auto" w:fill="FFFFFF" w:themeFill="background1"/>
          </w:tcPr>
          <w:p w14:paraId="320209C4" w14:textId="77777777" w:rsidR="00030089" w:rsidRPr="005B2793" w:rsidRDefault="00030089" w:rsidP="008547F7">
            <w:pPr>
              <w:pStyle w:val="NoSpacing"/>
              <w:spacing w:beforeLines="60" w:before="144" w:line="360" w:lineRule="auto"/>
              <w:rPr>
                <w:rFonts w:ascii="Arial" w:hAnsi="Arial" w:cs="Arial"/>
                <w:sz w:val="16"/>
                <w:szCs w:val="16"/>
              </w:rPr>
            </w:pPr>
            <w:r>
              <w:rPr>
                <w:rFonts w:ascii="Arial" w:hAnsi="Arial" w:cs="Arial"/>
                <w:sz w:val="16"/>
                <w:szCs w:val="16"/>
              </w:rPr>
              <w:t xml:space="preserve">Litigation </w:t>
            </w:r>
          </w:p>
        </w:tc>
        <w:tc>
          <w:tcPr>
            <w:tcW w:w="1843" w:type="dxa"/>
          </w:tcPr>
          <w:p w14:paraId="133D63BF" w14:textId="77777777" w:rsidR="00030089" w:rsidRPr="00EE2040" w:rsidRDefault="00030089" w:rsidP="008547F7">
            <w:pPr>
              <w:pStyle w:val="NoSpacing"/>
              <w:spacing w:before="60" w:line="360" w:lineRule="auto"/>
              <w:jc w:val="right"/>
              <w:rPr>
                <w:rFonts w:ascii="Arial" w:hAnsi="Arial" w:cs="Arial"/>
                <w:sz w:val="16"/>
                <w:szCs w:val="16"/>
              </w:rPr>
            </w:pPr>
            <w:r w:rsidRPr="00EE2040">
              <w:rPr>
                <w:rFonts w:ascii="Arial" w:hAnsi="Arial" w:cs="Arial"/>
                <w:sz w:val="16"/>
                <w:szCs w:val="16"/>
              </w:rPr>
              <w:t>$93 458</w:t>
            </w:r>
          </w:p>
        </w:tc>
        <w:tc>
          <w:tcPr>
            <w:tcW w:w="1842" w:type="dxa"/>
          </w:tcPr>
          <w:p w14:paraId="35284B10"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NA</w:t>
            </w:r>
          </w:p>
        </w:tc>
        <w:tc>
          <w:tcPr>
            <w:tcW w:w="1457" w:type="dxa"/>
          </w:tcPr>
          <w:p w14:paraId="65D472E3"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$186 916</w:t>
            </w:r>
          </w:p>
        </w:tc>
        <w:tc>
          <w:tcPr>
            <w:tcW w:w="1743" w:type="dxa"/>
          </w:tcPr>
          <w:p w14:paraId="224852A5"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NA</w:t>
            </w:r>
          </w:p>
        </w:tc>
      </w:tr>
      <w:tr w:rsidR="00030089" w:rsidRPr="003004B9" w14:paraId="574A1B64" w14:textId="77777777" w:rsidTr="008547F7">
        <w:trPr>
          <w:jc w:val="center"/>
        </w:trPr>
        <w:tc>
          <w:tcPr>
            <w:tcW w:w="1829" w:type="dxa"/>
            <w:shd w:val="clear" w:color="auto" w:fill="FFFFFF" w:themeFill="background1"/>
          </w:tcPr>
          <w:p w14:paraId="081DFD08" w14:textId="77777777" w:rsidR="00030089" w:rsidRDefault="00030089" w:rsidP="008547F7">
            <w:pPr>
              <w:pStyle w:val="NoSpacing"/>
              <w:spacing w:beforeLines="60" w:before="144" w:line="360" w:lineRule="auto"/>
              <w:rPr>
                <w:rFonts w:ascii="Arial" w:hAnsi="Arial" w:cs="Arial"/>
                <w:b/>
                <w:sz w:val="16"/>
                <w:szCs w:val="16"/>
              </w:rPr>
            </w:pPr>
            <w:r w:rsidRPr="00071702">
              <w:rPr>
                <w:rFonts w:ascii="Arial" w:hAnsi="Arial" w:cs="Arial"/>
                <w:b/>
                <w:sz w:val="16"/>
                <w:szCs w:val="16"/>
              </w:rPr>
              <w:t>Total Costs</w:t>
            </w:r>
            <w:r>
              <w:rPr>
                <w:rFonts w:ascii="Arial" w:hAnsi="Arial" w:cs="Arial"/>
                <w:b/>
                <w:sz w:val="16"/>
                <w:szCs w:val="16"/>
              </w:rPr>
              <w:t xml:space="preserve"> </w:t>
            </w:r>
            <w:r w:rsidRPr="00EC15AE">
              <w:rPr>
                <w:rFonts w:ascii="Arial" w:hAnsi="Arial" w:cs="Arial"/>
                <w:b/>
                <w:sz w:val="16"/>
                <w:szCs w:val="16"/>
              </w:rPr>
              <w:t>discounted</w:t>
            </w:r>
          </w:p>
        </w:tc>
        <w:tc>
          <w:tcPr>
            <w:tcW w:w="1843" w:type="dxa"/>
          </w:tcPr>
          <w:p w14:paraId="0180D11C" w14:textId="77777777" w:rsidR="00030089" w:rsidRDefault="00030089" w:rsidP="008547F7">
            <w:pPr>
              <w:pStyle w:val="NoSpacing"/>
              <w:spacing w:beforeLines="60" w:before="144" w:line="360" w:lineRule="auto"/>
              <w:jc w:val="right"/>
              <w:rPr>
                <w:rFonts w:ascii="Arial" w:hAnsi="Arial" w:cs="Arial"/>
                <w:b/>
                <w:color w:val="000000"/>
                <w:sz w:val="16"/>
                <w:szCs w:val="16"/>
              </w:rPr>
            </w:pPr>
            <w:r w:rsidRPr="00792CEC">
              <w:rPr>
                <w:rFonts w:ascii="Arial" w:hAnsi="Arial" w:cs="Arial"/>
                <w:b/>
                <w:color w:val="000000"/>
                <w:sz w:val="16"/>
                <w:szCs w:val="16"/>
              </w:rPr>
              <w:t>$17 283 828</w:t>
            </w:r>
          </w:p>
          <w:p w14:paraId="45E2D14D" w14:textId="77777777" w:rsidR="00030089" w:rsidRPr="00EE2040" w:rsidRDefault="00030089" w:rsidP="008547F7">
            <w:pPr>
              <w:pStyle w:val="Footer"/>
              <w:tabs>
                <w:tab w:val="left" w:pos="7513"/>
              </w:tabs>
              <w:spacing w:beforeLines="60" w:before="144" w:after="240" w:line="360" w:lineRule="auto"/>
              <w:ind w:right="357"/>
              <w:jc w:val="right"/>
              <w:rPr>
                <w:rFonts w:ascii="Arial" w:hAnsi="Arial" w:cs="Arial"/>
                <w:b/>
                <w:sz w:val="16"/>
                <w:szCs w:val="16"/>
              </w:rPr>
            </w:pPr>
          </w:p>
        </w:tc>
        <w:tc>
          <w:tcPr>
            <w:tcW w:w="1842" w:type="dxa"/>
          </w:tcPr>
          <w:p w14:paraId="29843E4F" w14:textId="77777777" w:rsidR="00030089" w:rsidRPr="00EE2040" w:rsidRDefault="00030089" w:rsidP="008547F7">
            <w:pPr>
              <w:pStyle w:val="NoSpacing"/>
              <w:spacing w:beforeLines="60" w:before="144" w:line="360" w:lineRule="auto"/>
              <w:jc w:val="right"/>
              <w:rPr>
                <w:rFonts w:ascii="Arial" w:hAnsi="Arial" w:cs="Arial"/>
                <w:b/>
                <w:bCs/>
                <w:color w:val="000000"/>
                <w:sz w:val="16"/>
                <w:szCs w:val="16"/>
              </w:rPr>
            </w:pPr>
            <w:r w:rsidRPr="00EE2040">
              <w:rPr>
                <w:rFonts w:ascii="Arial" w:hAnsi="Arial" w:cs="Arial"/>
                <w:b/>
                <w:bCs/>
                <w:color w:val="000000"/>
                <w:sz w:val="16"/>
                <w:szCs w:val="16"/>
              </w:rPr>
              <w:t>$4 848 000 000</w:t>
            </w:r>
          </w:p>
        </w:tc>
        <w:tc>
          <w:tcPr>
            <w:tcW w:w="1457" w:type="dxa"/>
          </w:tcPr>
          <w:p w14:paraId="515718A4" w14:textId="77777777" w:rsidR="00030089" w:rsidRDefault="00030089" w:rsidP="008547F7">
            <w:pPr>
              <w:pStyle w:val="NoSpacing"/>
              <w:spacing w:beforeLines="60" w:before="144" w:line="360" w:lineRule="auto"/>
              <w:jc w:val="right"/>
              <w:rPr>
                <w:rFonts w:ascii="Arial" w:hAnsi="Arial" w:cs="Arial"/>
                <w:b/>
                <w:color w:val="000000"/>
                <w:sz w:val="16"/>
                <w:szCs w:val="16"/>
              </w:rPr>
            </w:pPr>
            <w:r w:rsidRPr="00792CEC">
              <w:rPr>
                <w:rFonts w:ascii="Arial" w:hAnsi="Arial" w:cs="Arial"/>
                <w:b/>
                <w:color w:val="000000"/>
                <w:sz w:val="16"/>
                <w:szCs w:val="16"/>
              </w:rPr>
              <w:t>$34 567 655</w:t>
            </w:r>
          </w:p>
          <w:p w14:paraId="15593169" w14:textId="77777777" w:rsidR="00030089" w:rsidRPr="00EE2040" w:rsidRDefault="00030089" w:rsidP="008547F7">
            <w:pPr>
              <w:pStyle w:val="NoSpacing"/>
              <w:spacing w:beforeLines="60" w:before="144" w:line="360" w:lineRule="auto"/>
              <w:jc w:val="right"/>
              <w:rPr>
                <w:rFonts w:ascii="Arial" w:hAnsi="Arial" w:cs="Arial"/>
                <w:b/>
                <w:bCs/>
                <w:color w:val="000000"/>
                <w:sz w:val="16"/>
                <w:szCs w:val="16"/>
              </w:rPr>
            </w:pPr>
          </w:p>
        </w:tc>
        <w:tc>
          <w:tcPr>
            <w:tcW w:w="1743" w:type="dxa"/>
          </w:tcPr>
          <w:p w14:paraId="19C936DA" w14:textId="77777777" w:rsidR="00030089" w:rsidRPr="00EE2040" w:rsidRDefault="00030089" w:rsidP="008547F7">
            <w:pPr>
              <w:pStyle w:val="NoSpacing"/>
              <w:spacing w:beforeLines="60" w:before="144" w:line="360" w:lineRule="auto"/>
              <w:jc w:val="right"/>
              <w:rPr>
                <w:rFonts w:ascii="Arial" w:hAnsi="Arial" w:cs="Arial"/>
                <w:b/>
                <w:bCs/>
                <w:color w:val="000000"/>
                <w:sz w:val="16"/>
                <w:szCs w:val="16"/>
              </w:rPr>
            </w:pPr>
            <w:r w:rsidRPr="00EE2040">
              <w:rPr>
                <w:rFonts w:ascii="Arial" w:hAnsi="Arial" w:cs="Arial"/>
                <w:b/>
                <w:bCs/>
                <w:color w:val="000000"/>
                <w:sz w:val="16"/>
                <w:szCs w:val="16"/>
              </w:rPr>
              <w:t>$257 000 000</w:t>
            </w:r>
          </w:p>
        </w:tc>
      </w:tr>
    </w:tbl>
    <w:p w14:paraId="7201FE17" w14:textId="77777777" w:rsidR="00030089" w:rsidRPr="00F702E2" w:rsidRDefault="00030089" w:rsidP="00030089">
      <w:pPr>
        <w:pStyle w:val="ListParagraph"/>
        <w:numPr>
          <w:ilvl w:val="2"/>
          <w:numId w:val="3"/>
        </w:numPr>
        <w:spacing w:after="200" w:line="360" w:lineRule="auto"/>
        <w:ind w:hanging="788"/>
        <w:jc w:val="both"/>
        <w:outlineLvl w:val="2"/>
        <w:rPr>
          <w:rFonts w:ascii="Arial" w:hAnsi="Arial" w:cs="Arial"/>
          <w:b/>
          <w:szCs w:val="24"/>
        </w:rPr>
      </w:pPr>
      <w:bookmarkStart w:id="214" w:name="_Toc325459245"/>
      <w:bookmarkStart w:id="215" w:name="_Toc325531793"/>
      <w:bookmarkStart w:id="216" w:name="_Toc325531842"/>
      <w:bookmarkStart w:id="217" w:name="_Toc346008385"/>
      <w:bookmarkStart w:id="218" w:name="_Toc353562553"/>
      <w:r w:rsidRPr="00F702E2">
        <w:rPr>
          <w:rFonts w:ascii="Arial" w:hAnsi="Arial" w:cs="Arial"/>
          <w:b/>
          <w:szCs w:val="24"/>
        </w:rPr>
        <w:lastRenderedPageBreak/>
        <w:t>Market Benefits</w:t>
      </w:r>
      <w:bookmarkEnd w:id="214"/>
      <w:bookmarkEnd w:id="215"/>
      <w:bookmarkEnd w:id="216"/>
      <w:bookmarkEnd w:id="217"/>
      <w:bookmarkEnd w:id="218"/>
    </w:p>
    <w:p w14:paraId="517DB868" w14:textId="77777777" w:rsidR="00030089" w:rsidRPr="00F702E2" w:rsidRDefault="00030089" w:rsidP="00030089">
      <w:pPr>
        <w:pStyle w:val="Default"/>
        <w:rPr>
          <w:sz w:val="24"/>
          <w:szCs w:val="24"/>
        </w:rPr>
      </w:pPr>
      <w:r w:rsidRPr="00F702E2">
        <w:rPr>
          <w:sz w:val="24"/>
          <w:szCs w:val="24"/>
        </w:rPr>
        <w:t xml:space="preserve">The following </w:t>
      </w:r>
      <w:r w:rsidRPr="00F702E2">
        <w:rPr>
          <w:b/>
          <w:sz w:val="24"/>
          <w:szCs w:val="24"/>
        </w:rPr>
        <w:t>market benefits</w:t>
      </w:r>
      <w:r w:rsidRPr="00F702E2">
        <w:rPr>
          <w:sz w:val="24"/>
          <w:szCs w:val="24"/>
        </w:rPr>
        <w:t xml:space="preserve"> for each option were included in the analysis: </w:t>
      </w:r>
    </w:p>
    <w:p w14:paraId="5F1857F4" w14:textId="77777777" w:rsidR="00030089" w:rsidRPr="00F702E2" w:rsidRDefault="00030089" w:rsidP="00030089">
      <w:pPr>
        <w:pStyle w:val="Default"/>
        <w:rPr>
          <w:sz w:val="24"/>
          <w:szCs w:val="24"/>
        </w:rPr>
      </w:pPr>
      <w:r w:rsidRPr="00F702E2">
        <w:rPr>
          <w:b/>
          <w:sz w:val="24"/>
          <w:szCs w:val="24"/>
        </w:rPr>
        <w:t>Avoided kerbside costs</w:t>
      </w:r>
      <w:r w:rsidRPr="00F702E2">
        <w:rPr>
          <w:sz w:val="24"/>
          <w:szCs w:val="24"/>
        </w:rPr>
        <w:t xml:space="preserve"> include avoided costs and are therefore benefits, relating to pre-existing kerbside recycling arrangements. This is chiefly the costs to:</w:t>
      </w:r>
    </w:p>
    <w:p w14:paraId="43F3143E" w14:textId="77777777" w:rsidR="00030089" w:rsidRPr="00F702E2" w:rsidRDefault="00030089" w:rsidP="00030089">
      <w:pPr>
        <w:pStyle w:val="Default"/>
        <w:numPr>
          <w:ilvl w:val="0"/>
          <w:numId w:val="18"/>
        </w:numPr>
        <w:rPr>
          <w:sz w:val="24"/>
          <w:szCs w:val="24"/>
        </w:rPr>
      </w:pPr>
      <w:r w:rsidRPr="00F702E2">
        <w:rPr>
          <w:sz w:val="24"/>
          <w:szCs w:val="24"/>
        </w:rPr>
        <w:t>transport materials from collection infrastructure to existing recovery/recycling facilities;</w:t>
      </w:r>
    </w:p>
    <w:p w14:paraId="5F5C57E0" w14:textId="77777777" w:rsidR="00030089" w:rsidRPr="00F702E2" w:rsidRDefault="00030089" w:rsidP="00030089">
      <w:pPr>
        <w:pStyle w:val="Default"/>
        <w:numPr>
          <w:ilvl w:val="0"/>
          <w:numId w:val="18"/>
        </w:numPr>
        <w:rPr>
          <w:sz w:val="24"/>
          <w:szCs w:val="24"/>
        </w:rPr>
      </w:pPr>
      <w:r w:rsidRPr="00F702E2">
        <w:rPr>
          <w:sz w:val="24"/>
          <w:szCs w:val="24"/>
        </w:rPr>
        <w:t xml:space="preserve">sort/process material delivered to existing recovery/recycling facilities; and </w:t>
      </w:r>
    </w:p>
    <w:p w14:paraId="74A425E8" w14:textId="77777777" w:rsidR="00030089" w:rsidRPr="00F702E2" w:rsidRDefault="00030089" w:rsidP="00030089">
      <w:pPr>
        <w:pStyle w:val="Default"/>
        <w:numPr>
          <w:ilvl w:val="0"/>
          <w:numId w:val="18"/>
        </w:numPr>
        <w:rPr>
          <w:sz w:val="24"/>
          <w:szCs w:val="24"/>
        </w:rPr>
      </w:pPr>
      <w:r w:rsidRPr="00F702E2">
        <w:rPr>
          <w:sz w:val="24"/>
          <w:szCs w:val="24"/>
        </w:rPr>
        <w:t xml:space="preserve">landfill residual material that may be rejected due to contamination. </w:t>
      </w:r>
    </w:p>
    <w:p w14:paraId="584F26F2" w14:textId="77777777" w:rsidR="00030089" w:rsidRPr="00F702E2" w:rsidRDefault="00030089" w:rsidP="00030089">
      <w:pPr>
        <w:pStyle w:val="Default"/>
        <w:rPr>
          <w:sz w:val="24"/>
          <w:szCs w:val="24"/>
        </w:rPr>
      </w:pPr>
      <w:r w:rsidRPr="00F702E2">
        <w:rPr>
          <w:b/>
          <w:sz w:val="24"/>
          <w:szCs w:val="24"/>
        </w:rPr>
        <w:t xml:space="preserve">Market value of resources </w:t>
      </w:r>
      <w:r w:rsidRPr="00F702E2">
        <w:rPr>
          <w:sz w:val="24"/>
          <w:szCs w:val="24"/>
        </w:rPr>
        <w:t xml:space="preserve">is the financial market value of recovered resources that are diverted from landfill or the litter stream, including premiums for segregated and cleaner material streams; </w:t>
      </w:r>
    </w:p>
    <w:p w14:paraId="6F9600E1" w14:textId="77777777" w:rsidR="00030089" w:rsidRPr="00F702E2" w:rsidRDefault="00030089" w:rsidP="00030089">
      <w:pPr>
        <w:pStyle w:val="Default"/>
        <w:rPr>
          <w:sz w:val="24"/>
          <w:szCs w:val="24"/>
        </w:rPr>
      </w:pPr>
      <w:r w:rsidRPr="00F702E2">
        <w:rPr>
          <w:b/>
          <w:sz w:val="24"/>
          <w:szCs w:val="24"/>
        </w:rPr>
        <w:t xml:space="preserve">Avoided regulatory costs </w:t>
      </w:r>
      <w:r w:rsidRPr="00F702E2">
        <w:rPr>
          <w:sz w:val="24"/>
          <w:szCs w:val="24"/>
        </w:rPr>
        <w:t xml:space="preserve">are the potential gains from a national approach, as opposed to the state/territory based approach. This includes planning and administration. </w:t>
      </w:r>
    </w:p>
    <w:p w14:paraId="68ACB850" w14:textId="77777777" w:rsidR="00030089" w:rsidRPr="00F702E2" w:rsidRDefault="00030089" w:rsidP="00030089">
      <w:pPr>
        <w:pStyle w:val="Default"/>
        <w:rPr>
          <w:sz w:val="24"/>
          <w:szCs w:val="24"/>
        </w:rPr>
      </w:pPr>
      <w:r w:rsidRPr="00F702E2">
        <w:rPr>
          <w:b/>
          <w:sz w:val="24"/>
          <w:szCs w:val="24"/>
        </w:rPr>
        <w:t>Avoided operating costs of landfill</w:t>
      </w:r>
      <w:r w:rsidRPr="00F702E2">
        <w:rPr>
          <w:sz w:val="24"/>
          <w:szCs w:val="24"/>
        </w:rPr>
        <w:t xml:space="preserve"> are the avoided direct costs associated with operating landfills due to diverting material from landfill, including the opportunity cost of land, and other ongoing costs; </w:t>
      </w:r>
    </w:p>
    <w:p w14:paraId="4527C993" w14:textId="77777777" w:rsidR="00030089" w:rsidRPr="00F702E2" w:rsidRDefault="00030089" w:rsidP="00030089">
      <w:pPr>
        <w:pStyle w:val="Default"/>
        <w:rPr>
          <w:sz w:val="24"/>
          <w:szCs w:val="24"/>
        </w:rPr>
      </w:pPr>
      <w:r w:rsidRPr="00F702E2">
        <w:rPr>
          <w:b/>
          <w:sz w:val="24"/>
          <w:szCs w:val="24"/>
        </w:rPr>
        <w:t>Avoided costs of litter clean up</w:t>
      </w:r>
      <w:r w:rsidRPr="00F702E2">
        <w:rPr>
          <w:sz w:val="24"/>
          <w:szCs w:val="24"/>
        </w:rPr>
        <w:t xml:space="preserve"> are the avoided direct costs to the government for the range of services they provide that contribute to litter prevention including municipal litter services, street sweeping and litter clean up services.</w:t>
      </w:r>
    </w:p>
    <w:p w14:paraId="226CF78D" w14:textId="77777777" w:rsidR="00030089" w:rsidRPr="00F702E2" w:rsidRDefault="00030089" w:rsidP="00030089">
      <w:pPr>
        <w:pStyle w:val="Default"/>
        <w:rPr>
          <w:sz w:val="24"/>
          <w:szCs w:val="24"/>
        </w:rPr>
      </w:pPr>
      <w:r w:rsidRPr="00F702E2">
        <w:rPr>
          <w:b/>
          <w:sz w:val="24"/>
          <w:szCs w:val="24"/>
        </w:rPr>
        <w:t xml:space="preserve">Avoided landfill externalities </w:t>
      </w:r>
      <w:r w:rsidRPr="00F702E2">
        <w:rPr>
          <w:sz w:val="24"/>
          <w:szCs w:val="24"/>
        </w:rPr>
        <w:t>are the external costs that landfill of packaging imposes on third parties such as greenhouse gases and leachate.</w:t>
      </w:r>
    </w:p>
    <w:p w14:paraId="4961AC52" w14:textId="77777777" w:rsidR="00030089" w:rsidRPr="00F702E2" w:rsidRDefault="00030089" w:rsidP="00030089">
      <w:pPr>
        <w:pStyle w:val="Default"/>
        <w:rPr>
          <w:sz w:val="24"/>
          <w:szCs w:val="24"/>
        </w:rPr>
      </w:pPr>
      <w:r w:rsidRPr="00F702E2">
        <w:rPr>
          <w:b/>
          <w:sz w:val="24"/>
          <w:szCs w:val="24"/>
        </w:rPr>
        <w:t>Environmental benefits</w:t>
      </w:r>
      <w:r w:rsidRPr="00F702E2">
        <w:rPr>
          <w:sz w:val="24"/>
          <w:szCs w:val="24"/>
        </w:rPr>
        <w:t xml:space="preserve"> </w:t>
      </w:r>
      <w:r w:rsidRPr="00F702E2">
        <w:rPr>
          <w:b/>
          <w:sz w:val="24"/>
          <w:szCs w:val="24"/>
        </w:rPr>
        <w:t>of recycling</w:t>
      </w:r>
      <w:r w:rsidRPr="00F702E2">
        <w:rPr>
          <w:sz w:val="24"/>
          <w:szCs w:val="24"/>
        </w:rPr>
        <w:t xml:space="preserve"> are the value of decreased environmental impacts from the avoidance of the production of virgin container material.</w:t>
      </w:r>
    </w:p>
    <w:p w14:paraId="144D0F05" w14:textId="77777777" w:rsidR="00F702E2" w:rsidRDefault="00F702E2">
      <w:pPr>
        <w:rPr>
          <w:rFonts w:ascii="Arial" w:hAnsi="Arial" w:cs="Arial"/>
          <w:szCs w:val="28"/>
        </w:rPr>
      </w:pPr>
      <w:r>
        <w:rPr>
          <w:rFonts w:ascii="Arial" w:hAnsi="Arial" w:cs="Arial"/>
          <w:szCs w:val="28"/>
        </w:rPr>
        <w:br w:type="page"/>
      </w:r>
    </w:p>
    <w:p w14:paraId="431CA64C" w14:textId="3B004468" w:rsidR="00030089" w:rsidRDefault="00030089" w:rsidP="00030089">
      <w:pPr>
        <w:pStyle w:val="Footer"/>
        <w:tabs>
          <w:tab w:val="left" w:pos="7513"/>
        </w:tabs>
        <w:spacing w:after="240" w:line="360" w:lineRule="auto"/>
        <w:ind w:right="357"/>
        <w:rPr>
          <w:rFonts w:ascii="Arial" w:hAnsi="Arial" w:cs="Arial"/>
          <w:b/>
          <w:color w:val="0070C0"/>
          <w:szCs w:val="28"/>
        </w:rPr>
      </w:pPr>
      <w:r w:rsidRPr="00FE611A">
        <w:rPr>
          <w:rFonts w:ascii="Arial" w:hAnsi="Arial" w:cs="Arial"/>
          <w:szCs w:val="28"/>
        </w:rPr>
        <w:lastRenderedPageBreak/>
        <w:t xml:space="preserve">Table </w:t>
      </w:r>
      <w:r>
        <w:rPr>
          <w:rFonts w:ascii="Arial" w:hAnsi="Arial" w:cs="Arial"/>
          <w:szCs w:val="28"/>
        </w:rPr>
        <w:t>4.12</w:t>
      </w:r>
      <w:r w:rsidRPr="00FE611A">
        <w:rPr>
          <w:rFonts w:ascii="Arial" w:hAnsi="Arial" w:cs="Arial"/>
          <w:szCs w:val="28"/>
        </w:rPr>
        <w:t xml:space="preserve"> summarises the market benefits for all the considered options.</w:t>
      </w:r>
      <w:r w:rsidRPr="00FE611A">
        <w:rPr>
          <w:rFonts w:ascii="Arial" w:hAnsi="Arial" w:cs="Arial"/>
          <w:b/>
          <w:color w:val="0070C0"/>
          <w:szCs w:val="28"/>
        </w:rPr>
        <w:t xml:space="preserve"> </w:t>
      </w:r>
    </w:p>
    <w:p w14:paraId="3D2489A7"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19" w:name="_Toc353562502"/>
      <w:r w:rsidR="00740026">
        <w:rPr>
          <w:noProof/>
          <w:color w:val="auto"/>
        </w:rPr>
        <w:t>21</w:t>
      </w:r>
      <w:r w:rsidRPr="00682556">
        <w:rPr>
          <w:noProof/>
          <w:color w:val="auto"/>
        </w:rPr>
        <w:fldChar w:fldCharType="end"/>
      </w:r>
      <w:r w:rsidRPr="00682556">
        <w:rPr>
          <w:noProof/>
          <w:color w:val="auto"/>
        </w:rPr>
        <w:t xml:space="preserve"> Table 4.</w:t>
      </w:r>
      <w:r>
        <w:rPr>
          <w:noProof/>
          <w:color w:val="auto"/>
        </w:rPr>
        <w:t>12</w:t>
      </w:r>
      <w:r w:rsidRPr="00682556">
        <w:rPr>
          <w:noProof/>
          <w:color w:val="auto"/>
        </w:rPr>
        <w:t>: Summary of benefits for all options over 25 years  (discounted 7%)</w:t>
      </w:r>
      <w:bookmarkEnd w:id="219"/>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843"/>
        <w:gridCol w:w="1701"/>
        <w:gridCol w:w="1843"/>
        <w:gridCol w:w="1944"/>
      </w:tblGrid>
      <w:tr w:rsidR="00030089" w:rsidRPr="006C7FB7" w14:paraId="2A45B8DE" w14:textId="77777777" w:rsidTr="008547F7">
        <w:trPr>
          <w:tblHeader/>
          <w:jc w:val="center"/>
        </w:trPr>
        <w:tc>
          <w:tcPr>
            <w:tcW w:w="1708" w:type="dxa"/>
            <w:shd w:val="pct10" w:color="auto" w:fill="auto"/>
          </w:tcPr>
          <w:p w14:paraId="3DC18F8E" w14:textId="77777777" w:rsidR="00030089" w:rsidRDefault="00030089" w:rsidP="008547F7">
            <w:pPr>
              <w:pStyle w:val="NoSpacing"/>
              <w:spacing w:beforeLines="60" w:before="144" w:line="360" w:lineRule="auto"/>
              <w:rPr>
                <w:rFonts w:ascii="Arial" w:eastAsiaTheme="majorEastAsia" w:hAnsi="Arial" w:cs="Arial"/>
                <w:b/>
                <w:bCs/>
                <w:sz w:val="16"/>
                <w:szCs w:val="16"/>
              </w:rPr>
            </w:pPr>
            <w:bookmarkStart w:id="220" w:name="OLE_LINK1"/>
            <w:bookmarkStart w:id="221" w:name="OLE_LINK2"/>
            <w:r w:rsidRPr="00767A6B">
              <w:rPr>
                <w:rFonts w:ascii="Arial" w:hAnsi="Arial" w:cs="Arial"/>
                <w:b/>
                <w:sz w:val="16"/>
                <w:szCs w:val="16"/>
              </w:rPr>
              <w:t>Options</w:t>
            </w:r>
          </w:p>
        </w:tc>
        <w:tc>
          <w:tcPr>
            <w:tcW w:w="1843" w:type="dxa"/>
            <w:shd w:val="pct10" w:color="auto" w:fill="auto"/>
          </w:tcPr>
          <w:p w14:paraId="45AD03CA" w14:textId="77777777" w:rsidR="00030089" w:rsidRPr="00767A6B" w:rsidRDefault="00030089" w:rsidP="008547F7">
            <w:pPr>
              <w:pStyle w:val="NoSpacing"/>
              <w:spacing w:before="60" w:line="360" w:lineRule="auto"/>
              <w:jc w:val="right"/>
              <w:rPr>
                <w:rFonts w:ascii="Arial" w:hAnsi="Arial" w:cs="Arial"/>
                <w:b/>
                <w:sz w:val="16"/>
                <w:szCs w:val="16"/>
              </w:rPr>
            </w:pPr>
            <w:r w:rsidRPr="00767A6B">
              <w:rPr>
                <w:rFonts w:ascii="Arial" w:hAnsi="Arial" w:cs="Arial"/>
                <w:b/>
                <w:sz w:val="16"/>
                <w:szCs w:val="16"/>
              </w:rPr>
              <w:t>Option 1</w:t>
            </w:r>
          </w:p>
          <w:p w14:paraId="197747FC" w14:textId="77777777" w:rsidR="00030089" w:rsidRDefault="00030089" w:rsidP="008547F7">
            <w:pPr>
              <w:pStyle w:val="NoSpacing"/>
              <w:spacing w:beforeLines="60" w:before="144" w:line="360" w:lineRule="auto"/>
              <w:jc w:val="right"/>
              <w:rPr>
                <w:rFonts w:ascii="Arial" w:hAnsi="Arial" w:cs="Arial"/>
                <w:sz w:val="16"/>
                <w:szCs w:val="16"/>
              </w:rPr>
            </w:pPr>
          </w:p>
        </w:tc>
        <w:tc>
          <w:tcPr>
            <w:tcW w:w="1701" w:type="dxa"/>
            <w:shd w:val="pct10" w:color="auto" w:fill="auto"/>
          </w:tcPr>
          <w:p w14:paraId="10113BBB" w14:textId="77777777" w:rsidR="00030089" w:rsidRPr="00767A6B" w:rsidRDefault="00030089" w:rsidP="008547F7">
            <w:pPr>
              <w:pStyle w:val="NoSpacing"/>
              <w:spacing w:before="60" w:line="360" w:lineRule="auto"/>
              <w:jc w:val="right"/>
              <w:rPr>
                <w:rFonts w:ascii="Arial" w:hAnsi="Arial" w:cs="Arial"/>
                <w:b/>
                <w:sz w:val="16"/>
                <w:szCs w:val="16"/>
              </w:rPr>
            </w:pPr>
            <w:r w:rsidRPr="00767A6B">
              <w:rPr>
                <w:rFonts w:ascii="Arial" w:hAnsi="Arial" w:cs="Arial"/>
                <w:b/>
                <w:sz w:val="16"/>
                <w:szCs w:val="16"/>
              </w:rPr>
              <w:t>Option 2</w:t>
            </w:r>
          </w:p>
          <w:p w14:paraId="002D3CB8" w14:textId="77777777" w:rsidR="00030089" w:rsidRDefault="00030089" w:rsidP="008547F7">
            <w:pPr>
              <w:pStyle w:val="NoSpacing"/>
              <w:spacing w:beforeLines="60" w:before="144" w:line="360" w:lineRule="auto"/>
              <w:jc w:val="right"/>
              <w:rPr>
                <w:rFonts w:ascii="Arial" w:hAnsi="Arial" w:cs="Arial"/>
                <w:color w:val="0070C0"/>
                <w:sz w:val="16"/>
                <w:szCs w:val="16"/>
              </w:rPr>
            </w:pPr>
          </w:p>
        </w:tc>
        <w:tc>
          <w:tcPr>
            <w:tcW w:w="1843" w:type="dxa"/>
            <w:shd w:val="pct10" w:color="auto" w:fill="auto"/>
          </w:tcPr>
          <w:p w14:paraId="627F12C4" w14:textId="77777777" w:rsidR="00030089" w:rsidRDefault="00030089" w:rsidP="008547F7">
            <w:pPr>
              <w:pStyle w:val="NoSpacing"/>
              <w:spacing w:before="60" w:line="360" w:lineRule="auto"/>
              <w:jc w:val="right"/>
              <w:rPr>
                <w:rFonts w:ascii="Arial" w:hAnsi="Arial" w:cs="Arial"/>
                <w:b/>
                <w:sz w:val="16"/>
                <w:szCs w:val="16"/>
              </w:rPr>
            </w:pPr>
            <w:r w:rsidRPr="001D692B">
              <w:rPr>
                <w:rFonts w:ascii="Arial" w:hAnsi="Arial" w:cs="Arial"/>
                <w:b/>
                <w:sz w:val="16"/>
                <w:szCs w:val="16"/>
              </w:rPr>
              <w:t>Option 3</w:t>
            </w:r>
          </w:p>
          <w:p w14:paraId="3FFFE4B0" w14:textId="77777777" w:rsidR="00030089" w:rsidRDefault="00030089" w:rsidP="008547F7">
            <w:pPr>
              <w:pStyle w:val="NoSpacing"/>
              <w:spacing w:beforeLines="60" w:before="144" w:line="360" w:lineRule="auto"/>
              <w:jc w:val="right"/>
              <w:rPr>
                <w:rFonts w:ascii="Arial" w:hAnsi="Arial" w:cs="Arial"/>
                <w:color w:val="0070C0"/>
                <w:sz w:val="16"/>
                <w:szCs w:val="16"/>
              </w:rPr>
            </w:pPr>
          </w:p>
        </w:tc>
        <w:tc>
          <w:tcPr>
            <w:tcW w:w="1944" w:type="dxa"/>
            <w:shd w:val="pct10" w:color="auto" w:fill="auto"/>
          </w:tcPr>
          <w:p w14:paraId="56F502FC" w14:textId="77777777" w:rsidR="00030089" w:rsidRPr="00732FFB" w:rsidRDefault="00030089" w:rsidP="008547F7">
            <w:pPr>
              <w:pStyle w:val="NoSpacing"/>
              <w:spacing w:before="60" w:line="360" w:lineRule="auto"/>
              <w:jc w:val="right"/>
              <w:rPr>
                <w:rFonts w:ascii="Arial" w:hAnsi="Arial" w:cs="Arial"/>
                <w:b/>
                <w:sz w:val="16"/>
                <w:szCs w:val="16"/>
              </w:rPr>
            </w:pPr>
            <w:r w:rsidRPr="00732FFB">
              <w:rPr>
                <w:rFonts w:ascii="Arial" w:hAnsi="Arial" w:cs="Arial"/>
                <w:b/>
                <w:sz w:val="16"/>
                <w:szCs w:val="16"/>
              </w:rPr>
              <w:t xml:space="preserve">Option 4 </w:t>
            </w:r>
          </w:p>
          <w:p w14:paraId="10806F97" w14:textId="77777777" w:rsidR="00030089" w:rsidRDefault="00030089" w:rsidP="008547F7">
            <w:pPr>
              <w:pStyle w:val="NoSpacing"/>
              <w:spacing w:beforeLines="60" w:before="144" w:line="360" w:lineRule="auto"/>
              <w:jc w:val="right"/>
              <w:rPr>
                <w:rFonts w:ascii="Arial" w:hAnsi="Arial" w:cs="Arial"/>
                <w:color w:val="0070C0"/>
                <w:sz w:val="16"/>
                <w:szCs w:val="16"/>
              </w:rPr>
            </w:pPr>
          </w:p>
        </w:tc>
      </w:tr>
      <w:tr w:rsidR="00030089" w:rsidRPr="006C7FB7" w14:paraId="08CC15C8" w14:textId="77777777" w:rsidTr="008547F7">
        <w:trPr>
          <w:trHeight w:val="802"/>
          <w:jc w:val="center"/>
        </w:trPr>
        <w:tc>
          <w:tcPr>
            <w:tcW w:w="1708" w:type="dxa"/>
            <w:shd w:val="clear" w:color="auto" w:fill="auto"/>
          </w:tcPr>
          <w:p w14:paraId="4FD1DB4A" w14:textId="77777777" w:rsidR="00030089" w:rsidRDefault="00030089" w:rsidP="008547F7">
            <w:pPr>
              <w:pStyle w:val="NoSpacing"/>
              <w:spacing w:beforeLines="60" w:before="144" w:line="360" w:lineRule="auto"/>
              <w:rPr>
                <w:rFonts w:ascii="Arial" w:hAnsi="Arial" w:cs="Arial"/>
                <w:sz w:val="16"/>
                <w:szCs w:val="16"/>
              </w:rPr>
            </w:pPr>
            <w:r>
              <w:rPr>
                <w:rFonts w:ascii="Arial" w:hAnsi="Arial" w:cs="Arial"/>
                <w:sz w:val="16"/>
                <w:szCs w:val="16"/>
              </w:rPr>
              <w:t>Avoided kerbside costs</w:t>
            </w:r>
          </w:p>
        </w:tc>
        <w:tc>
          <w:tcPr>
            <w:tcW w:w="1843" w:type="dxa"/>
          </w:tcPr>
          <w:p w14:paraId="40D67A07"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$6 299 800</w:t>
            </w:r>
          </w:p>
          <w:p w14:paraId="7F1437B4" w14:textId="77777777" w:rsidR="00030089" w:rsidRPr="00A36E24" w:rsidRDefault="00030089" w:rsidP="008547F7">
            <w:pPr>
              <w:pStyle w:val="NoSpacing"/>
              <w:spacing w:before="60" w:line="360" w:lineRule="auto"/>
              <w:jc w:val="right"/>
              <w:rPr>
                <w:rFonts w:ascii="Arial" w:hAnsi="Arial" w:cs="Arial"/>
                <w:sz w:val="16"/>
                <w:szCs w:val="16"/>
              </w:rPr>
            </w:pPr>
          </w:p>
        </w:tc>
        <w:tc>
          <w:tcPr>
            <w:tcW w:w="1701" w:type="dxa"/>
          </w:tcPr>
          <w:p w14:paraId="45A9FA70" w14:textId="77777777" w:rsidR="00030089" w:rsidRPr="00A36E24" w:rsidRDefault="00030089" w:rsidP="008547F7">
            <w:pPr>
              <w:pStyle w:val="NoSpacing"/>
              <w:spacing w:before="60" w:line="360" w:lineRule="auto"/>
              <w:jc w:val="right"/>
              <w:rPr>
                <w:rFonts w:ascii="Arial" w:hAnsi="Arial" w:cs="Arial"/>
                <w:sz w:val="16"/>
                <w:szCs w:val="16"/>
              </w:rPr>
            </w:pPr>
            <w:r w:rsidRPr="00A36E24">
              <w:rPr>
                <w:rFonts w:ascii="Arial" w:hAnsi="Arial" w:cs="Arial"/>
                <w:sz w:val="16"/>
                <w:szCs w:val="16"/>
              </w:rPr>
              <w:t>$2 723 000 000</w:t>
            </w:r>
          </w:p>
        </w:tc>
        <w:tc>
          <w:tcPr>
            <w:tcW w:w="1843" w:type="dxa"/>
          </w:tcPr>
          <w:p w14:paraId="24F972E1"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$12 599,600</w:t>
            </w:r>
          </w:p>
          <w:p w14:paraId="10B8F390" w14:textId="77777777" w:rsidR="00030089" w:rsidRPr="00A36E24" w:rsidRDefault="00030089" w:rsidP="008547F7">
            <w:pPr>
              <w:pStyle w:val="NoSpacing"/>
              <w:spacing w:before="60" w:line="360" w:lineRule="auto"/>
              <w:jc w:val="right"/>
              <w:rPr>
                <w:rFonts w:ascii="Arial" w:hAnsi="Arial" w:cs="Arial"/>
                <w:sz w:val="16"/>
                <w:szCs w:val="16"/>
              </w:rPr>
            </w:pPr>
          </w:p>
        </w:tc>
        <w:tc>
          <w:tcPr>
            <w:tcW w:w="1944" w:type="dxa"/>
          </w:tcPr>
          <w:p w14:paraId="22649C47" w14:textId="77777777" w:rsidR="00030089" w:rsidRPr="00035311" w:rsidDel="00A06589" w:rsidRDefault="00030089" w:rsidP="008547F7">
            <w:pPr>
              <w:pStyle w:val="NoSpacing"/>
              <w:spacing w:before="60" w:line="360" w:lineRule="auto"/>
              <w:jc w:val="right"/>
              <w:rPr>
                <w:rFonts w:ascii="Arial" w:hAnsi="Arial" w:cs="Arial"/>
                <w:sz w:val="16"/>
                <w:szCs w:val="16"/>
              </w:rPr>
            </w:pPr>
          </w:p>
        </w:tc>
      </w:tr>
      <w:tr w:rsidR="00030089" w:rsidRPr="006C7FB7" w14:paraId="00D1EC07" w14:textId="77777777" w:rsidTr="008547F7">
        <w:trPr>
          <w:trHeight w:val="802"/>
          <w:jc w:val="center"/>
        </w:trPr>
        <w:tc>
          <w:tcPr>
            <w:tcW w:w="1708" w:type="dxa"/>
            <w:shd w:val="clear" w:color="auto" w:fill="auto"/>
          </w:tcPr>
          <w:p w14:paraId="186C3FCC" w14:textId="77777777" w:rsidR="00030089" w:rsidRDefault="00030089" w:rsidP="008547F7">
            <w:pPr>
              <w:pStyle w:val="NoSpacing"/>
              <w:spacing w:beforeLines="60" w:before="144" w:line="360" w:lineRule="auto"/>
              <w:rPr>
                <w:rFonts w:ascii="Arial" w:hAnsi="Arial" w:cs="Arial"/>
                <w:sz w:val="16"/>
                <w:szCs w:val="16"/>
              </w:rPr>
            </w:pPr>
            <w:r>
              <w:rPr>
                <w:rFonts w:ascii="Arial" w:hAnsi="Arial" w:cs="Arial"/>
                <w:sz w:val="16"/>
                <w:szCs w:val="16"/>
              </w:rPr>
              <w:t>M</w:t>
            </w:r>
            <w:r w:rsidRPr="00FA3AE5">
              <w:rPr>
                <w:rFonts w:ascii="Arial" w:hAnsi="Arial" w:cs="Arial"/>
                <w:sz w:val="16"/>
                <w:szCs w:val="16"/>
              </w:rPr>
              <w:t>arket value of resources</w:t>
            </w:r>
          </w:p>
        </w:tc>
        <w:tc>
          <w:tcPr>
            <w:tcW w:w="1843" w:type="dxa"/>
          </w:tcPr>
          <w:p w14:paraId="0BD83A0C"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$2 057 246</w:t>
            </w:r>
          </w:p>
          <w:p w14:paraId="01379609" w14:textId="77777777" w:rsidR="00030089" w:rsidRPr="00A36E24" w:rsidRDefault="00030089" w:rsidP="008547F7">
            <w:pPr>
              <w:pStyle w:val="NoSpacing"/>
              <w:spacing w:before="60" w:line="360" w:lineRule="auto"/>
              <w:jc w:val="right"/>
              <w:rPr>
                <w:rFonts w:ascii="Arial" w:hAnsi="Arial" w:cs="Arial"/>
                <w:sz w:val="16"/>
                <w:szCs w:val="16"/>
              </w:rPr>
            </w:pPr>
          </w:p>
        </w:tc>
        <w:tc>
          <w:tcPr>
            <w:tcW w:w="1701" w:type="dxa"/>
          </w:tcPr>
          <w:p w14:paraId="4C83892C" w14:textId="77777777" w:rsidR="00030089" w:rsidRPr="00A36E24" w:rsidRDefault="00030089" w:rsidP="008547F7">
            <w:pPr>
              <w:pStyle w:val="NoSpacing"/>
              <w:spacing w:before="60" w:line="360" w:lineRule="auto"/>
              <w:jc w:val="right"/>
              <w:rPr>
                <w:rFonts w:ascii="Arial" w:hAnsi="Arial" w:cs="Arial"/>
                <w:sz w:val="16"/>
                <w:szCs w:val="16"/>
              </w:rPr>
            </w:pPr>
            <w:r w:rsidRPr="00A36E24">
              <w:rPr>
                <w:rFonts w:ascii="Arial" w:hAnsi="Arial" w:cs="Arial"/>
                <w:sz w:val="16"/>
                <w:szCs w:val="16"/>
              </w:rPr>
              <w:t>$463 000 000</w:t>
            </w:r>
          </w:p>
        </w:tc>
        <w:tc>
          <w:tcPr>
            <w:tcW w:w="1843" w:type="dxa"/>
          </w:tcPr>
          <w:p w14:paraId="6D3235C6"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$4 114 492</w:t>
            </w:r>
          </w:p>
          <w:p w14:paraId="3A45DB99" w14:textId="77777777" w:rsidR="00030089" w:rsidRPr="00A36E24" w:rsidRDefault="00030089" w:rsidP="008547F7">
            <w:pPr>
              <w:pStyle w:val="NoSpacing"/>
              <w:spacing w:before="60" w:line="360" w:lineRule="auto"/>
              <w:jc w:val="right"/>
              <w:rPr>
                <w:rFonts w:ascii="Arial" w:hAnsi="Arial" w:cs="Arial"/>
                <w:sz w:val="16"/>
                <w:szCs w:val="16"/>
              </w:rPr>
            </w:pPr>
          </w:p>
        </w:tc>
        <w:tc>
          <w:tcPr>
            <w:tcW w:w="1944" w:type="dxa"/>
          </w:tcPr>
          <w:p w14:paraId="2506615D" w14:textId="77777777" w:rsidR="00030089" w:rsidRPr="00035311" w:rsidRDefault="00030089" w:rsidP="008547F7">
            <w:pPr>
              <w:pStyle w:val="NoSpacing"/>
              <w:spacing w:before="60" w:line="360" w:lineRule="auto"/>
              <w:jc w:val="right"/>
              <w:rPr>
                <w:rFonts w:ascii="Arial" w:hAnsi="Arial" w:cs="Arial"/>
                <w:sz w:val="16"/>
                <w:szCs w:val="16"/>
              </w:rPr>
            </w:pPr>
            <w:r w:rsidRPr="00A36E24">
              <w:rPr>
                <w:rFonts w:ascii="Arial" w:hAnsi="Arial" w:cs="Arial"/>
                <w:sz w:val="16"/>
                <w:szCs w:val="16"/>
              </w:rPr>
              <w:t>$152 000 000</w:t>
            </w:r>
          </w:p>
        </w:tc>
      </w:tr>
      <w:tr w:rsidR="00030089" w:rsidRPr="006C7FB7" w14:paraId="6354BE19" w14:textId="77777777" w:rsidTr="008547F7">
        <w:trPr>
          <w:jc w:val="center"/>
        </w:trPr>
        <w:tc>
          <w:tcPr>
            <w:tcW w:w="1708" w:type="dxa"/>
            <w:shd w:val="clear" w:color="auto" w:fill="auto"/>
          </w:tcPr>
          <w:p w14:paraId="105887B6" w14:textId="77777777" w:rsidR="00030089" w:rsidRDefault="00030089" w:rsidP="008547F7">
            <w:pPr>
              <w:pStyle w:val="NoSpacing"/>
              <w:spacing w:beforeLines="60" w:before="144" w:line="360" w:lineRule="auto"/>
              <w:rPr>
                <w:rFonts w:ascii="Arial" w:hAnsi="Arial" w:cs="Arial"/>
                <w:sz w:val="16"/>
                <w:szCs w:val="16"/>
              </w:rPr>
            </w:pPr>
            <w:r>
              <w:rPr>
                <w:rFonts w:ascii="Arial" w:hAnsi="Arial" w:cs="Arial"/>
                <w:sz w:val="16"/>
                <w:szCs w:val="16"/>
              </w:rPr>
              <w:t>A</w:t>
            </w:r>
            <w:r w:rsidRPr="00FA3AE5">
              <w:rPr>
                <w:rFonts w:ascii="Arial" w:hAnsi="Arial" w:cs="Arial"/>
                <w:sz w:val="16"/>
                <w:szCs w:val="16"/>
              </w:rPr>
              <w:t>voided regulatory costs</w:t>
            </w:r>
          </w:p>
        </w:tc>
        <w:tc>
          <w:tcPr>
            <w:tcW w:w="1843" w:type="dxa"/>
          </w:tcPr>
          <w:p w14:paraId="2F5B0951" w14:textId="77777777" w:rsidR="00030089" w:rsidRPr="00A36E24" w:rsidRDefault="00030089" w:rsidP="008547F7">
            <w:pPr>
              <w:pStyle w:val="NoSpacing"/>
              <w:spacing w:before="60" w:line="360" w:lineRule="auto"/>
              <w:jc w:val="right"/>
              <w:rPr>
                <w:rFonts w:ascii="Arial" w:hAnsi="Arial" w:cs="Arial"/>
                <w:sz w:val="16"/>
                <w:szCs w:val="16"/>
              </w:rPr>
            </w:pPr>
          </w:p>
        </w:tc>
        <w:tc>
          <w:tcPr>
            <w:tcW w:w="1701" w:type="dxa"/>
          </w:tcPr>
          <w:p w14:paraId="5281303E" w14:textId="77777777" w:rsidR="00030089" w:rsidRPr="00A36E24" w:rsidRDefault="00030089" w:rsidP="008547F7">
            <w:pPr>
              <w:pStyle w:val="NoSpacing"/>
              <w:spacing w:before="60" w:line="360" w:lineRule="auto"/>
              <w:jc w:val="right"/>
              <w:rPr>
                <w:rFonts w:ascii="Arial" w:hAnsi="Arial" w:cs="Arial"/>
                <w:sz w:val="16"/>
                <w:szCs w:val="16"/>
              </w:rPr>
            </w:pPr>
            <w:r w:rsidRPr="00A36E24">
              <w:rPr>
                <w:rFonts w:ascii="Arial" w:hAnsi="Arial" w:cs="Arial"/>
                <w:sz w:val="16"/>
                <w:szCs w:val="16"/>
              </w:rPr>
              <w:t>$35 000 000</w:t>
            </w:r>
          </w:p>
        </w:tc>
        <w:tc>
          <w:tcPr>
            <w:tcW w:w="1843" w:type="dxa"/>
          </w:tcPr>
          <w:p w14:paraId="4124AB7A" w14:textId="77777777" w:rsidR="00030089" w:rsidRPr="00A36E24" w:rsidRDefault="00030089" w:rsidP="008547F7">
            <w:pPr>
              <w:pStyle w:val="NoSpacing"/>
              <w:spacing w:before="60" w:line="360" w:lineRule="auto"/>
              <w:jc w:val="right"/>
              <w:rPr>
                <w:rFonts w:ascii="Arial" w:hAnsi="Arial" w:cs="Arial"/>
                <w:sz w:val="16"/>
                <w:szCs w:val="16"/>
              </w:rPr>
            </w:pPr>
          </w:p>
        </w:tc>
        <w:tc>
          <w:tcPr>
            <w:tcW w:w="1944" w:type="dxa"/>
          </w:tcPr>
          <w:p w14:paraId="36D34D99" w14:textId="77777777" w:rsidR="00030089" w:rsidRPr="001167CF" w:rsidRDefault="00030089" w:rsidP="008547F7">
            <w:pPr>
              <w:pStyle w:val="NoSpacing"/>
              <w:spacing w:before="60" w:line="360" w:lineRule="auto"/>
              <w:jc w:val="right"/>
              <w:rPr>
                <w:rFonts w:ascii="Arial" w:hAnsi="Arial" w:cs="Arial"/>
                <w:sz w:val="16"/>
                <w:szCs w:val="16"/>
              </w:rPr>
            </w:pPr>
            <w:r w:rsidRPr="00A36E24">
              <w:rPr>
                <w:rFonts w:ascii="Arial" w:hAnsi="Arial" w:cs="Arial"/>
                <w:sz w:val="16"/>
                <w:szCs w:val="16"/>
              </w:rPr>
              <w:t>$35 000 000</w:t>
            </w:r>
          </w:p>
        </w:tc>
      </w:tr>
      <w:tr w:rsidR="00030089" w:rsidRPr="006C7FB7" w14:paraId="6EFF2013" w14:textId="77777777" w:rsidTr="008547F7">
        <w:trPr>
          <w:trHeight w:val="944"/>
          <w:jc w:val="center"/>
        </w:trPr>
        <w:tc>
          <w:tcPr>
            <w:tcW w:w="1708" w:type="dxa"/>
            <w:shd w:val="clear" w:color="auto" w:fill="auto"/>
          </w:tcPr>
          <w:p w14:paraId="450DA4EA" w14:textId="77777777" w:rsidR="00030089" w:rsidRDefault="00030089" w:rsidP="008547F7">
            <w:pPr>
              <w:pStyle w:val="NoSpacing"/>
              <w:spacing w:beforeLines="60" w:before="144" w:line="360" w:lineRule="auto"/>
              <w:rPr>
                <w:rFonts w:ascii="Arial" w:hAnsi="Arial" w:cs="Arial"/>
                <w:sz w:val="16"/>
                <w:szCs w:val="16"/>
              </w:rPr>
            </w:pPr>
            <w:r>
              <w:rPr>
                <w:rFonts w:ascii="Arial" w:hAnsi="Arial" w:cs="Arial"/>
                <w:sz w:val="16"/>
                <w:szCs w:val="16"/>
              </w:rPr>
              <w:t>A</w:t>
            </w:r>
            <w:r w:rsidRPr="00FA3AE5">
              <w:rPr>
                <w:rFonts w:ascii="Arial" w:hAnsi="Arial" w:cs="Arial"/>
                <w:sz w:val="16"/>
                <w:szCs w:val="16"/>
              </w:rPr>
              <w:t>voided landfill operating costs</w:t>
            </w:r>
          </w:p>
        </w:tc>
        <w:tc>
          <w:tcPr>
            <w:tcW w:w="1843" w:type="dxa"/>
          </w:tcPr>
          <w:p w14:paraId="377C8B10"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$1 323 214</w:t>
            </w:r>
          </w:p>
          <w:p w14:paraId="3FEFA76D" w14:textId="77777777" w:rsidR="00030089" w:rsidRPr="00A36E24" w:rsidRDefault="00030089" w:rsidP="008547F7">
            <w:pPr>
              <w:pStyle w:val="NoSpacing"/>
              <w:spacing w:before="60" w:line="360" w:lineRule="auto"/>
              <w:jc w:val="right"/>
              <w:rPr>
                <w:rFonts w:ascii="Arial" w:hAnsi="Arial" w:cs="Arial"/>
                <w:sz w:val="16"/>
                <w:szCs w:val="16"/>
              </w:rPr>
            </w:pPr>
          </w:p>
        </w:tc>
        <w:tc>
          <w:tcPr>
            <w:tcW w:w="1701" w:type="dxa"/>
          </w:tcPr>
          <w:p w14:paraId="67F6C66E" w14:textId="77777777" w:rsidR="00030089" w:rsidRPr="00A36E24" w:rsidRDefault="00030089" w:rsidP="008547F7">
            <w:pPr>
              <w:pStyle w:val="NoSpacing"/>
              <w:spacing w:before="60" w:line="360" w:lineRule="auto"/>
              <w:jc w:val="right"/>
              <w:rPr>
                <w:rFonts w:ascii="Arial" w:hAnsi="Arial" w:cs="Arial"/>
                <w:sz w:val="16"/>
                <w:szCs w:val="16"/>
              </w:rPr>
            </w:pPr>
            <w:r w:rsidRPr="00A36E24">
              <w:rPr>
                <w:rFonts w:ascii="Arial" w:hAnsi="Arial" w:cs="Arial"/>
                <w:sz w:val="16"/>
                <w:szCs w:val="16"/>
              </w:rPr>
              <w:t>$62 000 000</w:t>
            </w:r>
          </w:p>
        </w:tc>
        <w:tc>
          <w:tcPr>
            <w:tcW w:w="1843" w:type="dxa"/>
          </w:tcPr>
          <w:p w14:paraId="01274EE5"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$2 646 427</w:t>
            </w:r>
          </w:p>
          <w:p w14:paraId="5C0A4E01" w14:textId="77777777" w:rsidR="00030089" w:rsidRPr="00A36E24" w:rsidRDefault="00030089" w:rsidP="008547F7">
            <w:pPr>
              <w:pStyle w:val="NoSpacing"/>
              <w:spacing w:before="60" w:line="360" w:lineRule="auto"/>
              <w:jc w:val="right"/>
              <w:rPr>
                <w:rFonts w:ascii="Arial" w:hAnsi="Arial" w:cs="Arial"/>
                <w:sz w:val="16"/>
                <w:szCs w:val="16"/>
              </w:rPr>
            </w:pPr>
          </w:p>
        </w:tc>
        <w:tc>
          <w:tcPr>
            <w:tcW w:w="1944" w:type="dxa"/>
          </w:tcPr>
          <w:p w14:paraId="125F59A7" w14:textId="77777777" w:rsidR="00030089" w:rsidRPr="00035311" w:rsidRDefault="00030089" w:rsidP="008547F7">
            <w:pPr>
              <w:pStyle w:val="NoSpacing"/>
              <w:spacing w:before="60" w:line="360" w:lineRule="auto"/>
              <w:jc w:val="right"/>
              <w:rPr>
                <w:rFonts w:ascii="Arial" w:hAnsi="Arial" w:cs="Arial"/>
                <w:sz w:val="16"/>
                <w:szCs w:val="16"/>
              </w:rPr>
            </w:pPr>
            <w:r w:rsidRPr="00A36E24">
              <w:rPr>
                <w:rFonts w:ascii="Arial" w:hAnsi="Arial" w:cs="Arial"/>
                <w:sz w:val="16"/>
                <w:szCs w:val="16"/>
              </w:rPr>
              <w:t>$31 000 000</w:t>
            </w:r>
          </w:p>
        </w:tc>
      </w:tr>
      <w:tr w:rsidR="00030089" w:rsidRPr="006C7FB7" w14:paraId="321A6101" w14:textId="77777777" w:rsidTr="008547F7">
        <w:trPr>
          <w:trHeight w:val="944"/>
          <w:jc w:val="center"/>
        </w:trPr>
        <w:tc>
          <w:tcPr>
            <w:tcW w:w="1708" w:type="dxa"/>
            <w:shd w:val="clear" w:color="auto" w:fill="auto"/>
          </w:tcPr>
          <w:p w14:paraId="4C7E72E3" w14:textId="77777777" w:rsidR="00030089" w:rsidRDefault="00030089" w:rsidP="008547F7">
            <w:pPr>
              <w:pStyle w:val="NoSpacing"/>
              <w:spacing w:beforeLines="60" w:before="144" w:line="360" w:lineRule="auto"/>
              <w:rPr>
                <w:rFonts w:ascii="Arial" w:hAnsi="Arial" w:cs="Arial"/>
                <w:sz w:val="16"/>
                <w:szCs w:val="16"/>
              </w:rPr>
            </w:pPr>
            <w:r>
              <w:rPr>
                <w:rFonts w:ascii="Arial" w:hAnsi="Arial" w:cs="Arial"/>
                <w:sz w:val="16"/>
                <w:szCs w:val="16"/>
              </w:rPr>
              <w:t>A</w:t>
            </w:r>
            <w:r w:rsidRPr="00FA3AE5">
              <w:rPr>
                <w:rFonts w:ascii="Arial" w:hAnsi="Arial" w:cs="Arial"/>
                <w:sz w:val="16"/>
                <w:szCs w:val="16"/>
              </w:rPr>
              <w:t>voided litter clean- up costs</w:t>
            </w:r>
          </w:p>
        </w:tc>
        <w:tc>
          <w:tcPr>
            <w:tcW w:w="1843" w:type="dxa"/>
          </w:tcPr>
          <w:p w14:paraId="2A0A3D37"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$1 242 072</w:t>
            </w:r>
          </w:p>
          <w:p w14:paraId="65DB3D25" w14:textId="77777777" w:rsidR="00030089" w:rsidRPr="00A36E24" w:rsidRDefault="00030089" w:rsidP="008547F7">
            <w:pPr>
              <w:pStyle w:val="NoSpacing"/>
              <w:spacing w:before="60" w:line="360" w:lineRule="auto"/>
              <w:jc w:val="right"/>
              <w:rPr>
                <w:rFonts w:ascii="Arial" w:hAnsi="Arial" w:cs="Arial"/>
                <w:sz w:val="16"/>
                <w:szCs w:val="16"/>
              </w:rPr>
            </w:pPr>
          </w:p>
        </w:tc>
        <w:tc>
          <w:tcPr>
            <w:tcW w:w="1701" w:type="dxa"/>
          </w:tcPr>
          <w:p w14:paraId="26C5B04D" w14:textId="77777777" w:rsidR="00030089" w:rsidRPr="00A36E24" w:rsidRDefault="00030089" w:rsidP="008547F7">
            <w:pPr>
              <w:pStyle w:val="NoSpacing"/>
              <w:spacing w:before="60" w:line="360" w:lineRule="auto"/>
              <w:jc w:val="right"/>
              <w:rPr>
                <w:rFonts w:ascii="Arial" w:hAnsi="Arial" w:cs="Arial"/>
                <w:sz w:val="16"/>
                <w:szCs w:val="16"/>
              </w:rPr>
            </w:pPr>
            <w:r w:rsidRPr="00A36E24">
              <w:rPr>
                <w:rFonts w:ascii="Arial" w:hAnsi="Arial" w:cs="Arial"/>
                <w:sz w:val="16"/>
                <w:szCs w:val="16"/>
              </w:rPr>
              <w:t>$114 000 000</w:t>
            </w:r>
          </w:p>
        </w:tc>
        <w:tc>
          <w:tcPr>
            <w:tcW w:w="1843" w:type="dxa"/>
          </w:tcPr>
          <w:p w14:paraId="0909371E"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$2,484 145</w:t>
            </w:r>
          </w:p>
          <w:p w14:paraId="419435C4" w14:textId="77777777" w:rsidR="00030089" w:rsidRPr="00A36E24" w:rsidRDefault="00030089" w:rsidP="008547F7">
            <w:pPr>
              <w:pStyle w:val="NoSpacing"/>
              <w:spacing w:before="60" w:line="360" w:lineRule="auto"/>
              <w:jc w:val="right"/>
              <w:rPr>
                <w:rFonts w:ascii="Arial" w:hAnsi="Arial" w:cs="Arial"/>
                <w:sz w:val="16"/>
                <w:szCs w:val="16"/>
              </w:rPr>
            </w:pPr>
          </w:p>
        </w:tc>
        <w:tc>
          <w:tcPr>
            <w:tcW w:w="1944" w:type="dxa"/>
          </w:tcPr>
          <w:p w14:paraId="6DDF7F0F" w14:textId="77777777" w:rsidR="00030089" w:rsidRPr="00035311" w:rsidRDefault="00030089" w:rsidP="008547F7">
            <w:pPr>
              <w:pStyle w:val="NoSpacing"/>
              <w:spacing w:before="60" w:line="360" w:lineRule="auto"/>
              <w:jc w:val="right"/>
              <w:rPr>
                <w:rFonts w:ascii="Arial" w:hAnsi="Arial" w:cs="Arial"/>
                <w:sz w:val="16"/>
                <w:szCs w:val="16"/>
              </w:rPr>
            </w:pPr>
            <w:r w:rsidRPr="00A36E24">
              <w:rPr>
                <w:rFonts w:ascii="Arial" w:hAnsi="Arial" w:cs="Arial"/>
                <w:sz w:val="16"/>
                <w:szCs w:val="16"/>
              </w:rPr>
              <w:t>$56 000 000</w:t>
            </w:r>
          </w:p>
        </w:tc>
      </w:tr>
      <w:tr w:rsidR="00030089" w:rsidRPr="006C7FB7" w14:paraId="09EF1A11" w14:textId="77777777" w:rsidTr="008547F7">
        <w:trPr>
          <w:trHeight w:val="1000"/>
          <w:jc w:val="center"/>
        </w:trPr>
        <w:tc>
          <w:tcPr>
            <w:tcW w:w="1708" w:type="dxa"/>
            <w:shd w:val="clear" w:color="auto" w:fill="auto"/>
          </w:tcPr>
          <w:p w14:paraId="39083543" w14:textId="77777777" w:rsidR="00030089" w:rsidRDefault="00030089" w:rsidP="008547F7">
            <w:pPr>
              <w:pStyle w:val="NoSpacing"/>
              <w:spacing w:beforeLines="60" w:before="144" w:line="360" w:lineRule="auto"/>
              <w:rPr>
                <w:rFonts w:ascii="Arial" w:hAnsi="Arial" w:cs="Arial"/>
                <w:sz w:val="16"/>
                <w:szCs w:val="16"/>
              </w:rPr>
            </w:pPr>
            <w:r w:rsidRPr="007F77EF">
              <w:rPr>
                <w:rFonts w:ascii="Arial" w:hAnsi="Arial" w:cs="Arial"/>
                <w:sz w:val="16"/>
                <w:szCs w:val="16"/>
              </w:rPr>
              <w:t>Avoided landfill externalities</w:t>
            </w:r>
          </w:p>
        </w:tc>
        <w:tc>
          <w:tcPr>
            <w:tcW w:w="1843" w:type="dxa"/>
          </w:tcPr>
          <w:p w14:paraId="0AF01346" w14:textId="77777777" w:rsidR="00030089" w:rsidRPr="00A36E24" w:rsidRDefault="00030089" w:rsidP="008547F7">
            <w:pPr>
              <w:pStyle w:val="NoSpacing"/>
              <w:spacing w:before="60" w:line="360" w:lineRule="auto"/>
              <w:jc w:val="right"/>
              <w:rPr>
                <w:rFonts w:ascii="Arial" w:hAnsi="Arial" w:cs="Arial"/>
                <w:sz w:val="16"/>
                <w:szCs w:val="16"/>
              </w:rPr>
            </w:pPr>
          </w:p>
        </w:tc>
        <w:tc>
          <w:tcPr>
            <w:tcW w:w="1701" w:type="dxa"/>
          </w:tcPr>
          <w:p w14:paraId="3720264B" w14:textId="77777777" w:rsidR="00030089" w:rsidRPr="00A36E24"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$36 000 000</w:t>
            </w:r>
          </w:p>
        </w:tc>
        <w:tc>
          <w:tcPr>
            <w:tcW w:w="1843" w:type="dxa"/>
          </w:tcPr>
          <w:p w14:paraId="6769D81F" w14:textId="77777777" w:rsidR="00030089" w:rsidRPr="00035311" w:rsidRDefault="00030089" w:rsidP="008547F7">
            <w:pPr>
              <w:pStyle w:val="NoSpacing"/>
              <w:spacing w:before="60" w:line="360" w:lineRule="auto"/>
              <w:jc w:val="right"/>
              <w:rPr>
                <w:rFonts w:ascii="Arial" w:hAnsi="Arial" w:cs="Arial"/>
                <w:sz w:val="16"/>
                <w:szCs w:val="16"/>
              </w:rPr>
            </w:pPr>
          </w:p>
        </w:tc>
        <w:tc>
          <w:tcPr>
            <w:tcW w:w="1944" w:type="dxa"/>
          </w:tcPr>
          <w:p w14:paraId="62950509" w14:textId="77777777" w:rsidR="00030089" w:rsidRPr="00A36E24" w:rsidRDefault="00030089" w:rsidP="008547F7">
            <w:pPr>
              <w:pStyle w:val="NoSpacing"/>
              <w:spacing w:beforeLines="60" w:before="144" w:line="360" w:lineRule="auto"/>
              <w:jc w:val="right"/>
              <w:rPr>
                <w:rFonts w:ascii="Arial" w:hAnsi="Arial" w:cs="Arial"/>
                <w:sz w:val="16"/>
                <w:szCs w:val="16"/>
              </w:rPr>
            </w:pPr>
            <w:r w:rsidRPr="00035311">
              <w:rPr>
                <w:rFonts w:ascii="Arial" w:hAnsi="Arial" w:cs="Arial"/>
                <w:sz w:val="16"/>
                <w:szCs w:val="16"/>
              </w:rPr>
              <w:t>$ 30 000 000</w:t>
            </w:r>
          </w:p>
        </w:tc>
      </w:tr>
      <w:tr w:rsidR="00030089" w:rsidRPr="006C7FB7" w14:paraId="1383D42B" w14:textId="77777777" w:rsidTr="008547F7">
        <w:trPr>
          <w:trHeight w:val="1000"/>
          <w:jc w:val="center"/>
        </w:trPr>
        <w:tc>
          <w:tcPr>
            <w:tcW w:w="1708" w:type="dxa"/>
            <w:shd w:val="clear" w:color="auto" w:fill="auto"/>
          </w:tcPr>
          <w:p w14:paraId="34C7B1F4" w14:textId="77777777" w:rsidR="00030089" w:rsidRDefault="00030089" w:rsidP="008547F7">
            <w:pPr>
              <w:pStyle w:val="NoSpacing"/>
              <w:spacing w:beforeLines="60" w:before="144" w:line="360" w:lineRule="auto"/>
              <w:rPr>
                <w:rFonts w:ascii="Arial" w:hAnsi="Arial" w:cs="Arial"/>
                <w:sz w:val="16"/>
                <w:szCs w:val="16"/>
              </w:rPr>
            </w:pPr>
            <w:r>
              <w:rPr>
                <w:rFonts w:ascii="Arial" w:hAnsi="Arial" w:cs="Arial"/>
                <w:sz w:val="16"/>
                <w:szCs w:val="16"/>
              </w:rPr>
              <w:t>E</w:t>
            </w:r>
            <w:r w:rsidRPr="00FA3AE5">
              <w:rPr>
                <w:rFonts w:ascii="Arial" w:hAnsi="Arial" w:cs="Arial"/>
                <w:sz w:val="16"/>
                <w:szCs w:val="16"/>
              </w:rPr>
              <w:t>nvironmental benefits</w:t>
            </w:r>
          </w:p>
        </w:tc>
        <w:tc>
          <w:tcPr>
            <w:tcW w:w="1843" w:type="dxa"/>
          </w:tcPr>
          <w:p w14:paraId="6C02A4D2"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$11 300 451</w:t>
            </w:r>
          </w:p>
          <w:p w14:paraId="3C79FB8F" w14:textId="77777777" w:rsidR="00030089" w:rsidRPr="00A36E24" w:rsidRDefault="00030089" w:rsidP="008547F7">
            <w:pPr>
              <w:pStyle w:val="NoSpacing"/>
              <w:spacing w:before="60" w:line="360" w:lineRule="auto"/>
              <w:jc w:val="right"/>
              <w:rPr>
                <w:rFonts w:ascii="Arial" w:hAnsi="Arial" w:cs="Arial"/>
                <w:sz w:val="16"/>
                <w:szCs w:val="16"/>
              </w:rPr>
            </w:pPr>
          </w:p>
        </w:tc>
        <w:tc>
          <w:tcPr>
            <w:tcW w:w="1701" w:type="dxa"/>
          </w:tcPr>
          <w:p w14:paraId="2EB46CC0" w14:textId="77777777" w:rsidR="00030089" w:rsidRPr="00A36E24" w:rsidRDefault="00030089" w:rsidP="008547F7">
            <w:pPr>
              <w:pStyle w:val="NoSpacing"/>
              <w:spacing w:before="60" w:line="360" w:lineRule="auto"/>
              <w:jc w:val="right"/>
              <w:rPr>
                <w:rFonts w:ascii="Arial" w:hAnsi="Arial" w:cs="Arial"/>
                <w:sz w:val="16"/>
                <w:szCs w:val="16"/>
              </w:rPr>
            </w:pPr>
          </w:p>
        </w:tc>
        <w:tc>
          <w:tcPr>
            <w:tcW w:w="1843" w:type="dxa"/>
          </w:tcPr>
          <w:p w14:paraId="5ABCC662"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$22 600 901</w:t>
            </w:r>
          </w:p>
          <w:p w14:paraId="17138621" w14:textId="77777777" w:rsidR="00030089" w:rsidRPr="00A36E24" w:rsidRDefault="00030089" w:rsidP="008547F7">
            <w:pPr>
              <w:pStyle w:val="NoSpacing"/>
              <w:spacing w:before="60" w:line="360" w:lineRule="auto"/>
              <w:jc w:val="right"/>
              <w:rPr>
                <w:rFonts w:ascii="Arial" w:hAnsi="Arial" w:cs="Arial"/>
                <w:sz w:val="16"/>
                <w:szCs w:val="16"/>
              </w:rPr>
            </w:pPr>
          </w:p>
        </w:tc>
        <w:tc>
          <w:tcPr>
            <w:tcW w:w="1944" w:type="dxa"/>
          </w:tcPr>
          <w:p w14:paraId="630D625F" w14:textId="77777777" w:rsidR="00030089" w:rsidRPr="00A36E24" w:rsidRDefault="00030089" w:rsidP="008547F7">
            <w:pPr>
              <w:pStyle w:val="NoSpacing"/>
              <w:spacing w:before="60" w:line="360" w:lineRule="auto"/>
              <w:jc w:val="right"/>
              <w:rPr>
                <w:rFonts w:ascii="Arial" w:hAnsi="Arial" w:cs="Arial"/>
                <w:sz w:val="16"/>
                <w:szCs w:val="16"/>
              </w:rPr>
            </w:pPr>
          </w:p>
        </w:tc>
      </w:tr>
      <w:tr w:rsidR="00030089" w:rsidRPr="006C7FB7" w14:paraId="0367B064" w14:textId="77777777" w:rsidTr="008547F7">
        <w:trPr>
          <w:jc w:val="center"/>
        </w:trPr>
        <w:tc>
          <w:tcPr>
            <w:tcW w:w="1708" w:type="dxa"/>
            <w:shd w:val="clear" w:color="auto" w:fill="auto"/>
          </w:tcPr>
          <w:p w14:paraId="436F408D" w14:textId="77777777" w:rsidR="00030089" w:rsidRDefault="00030089" w:rsidP="008547F7">
            <w:pPr>
              <w:pStyle w:val="NoSpacing"/>
              <w:spacing w:beforeLines="60" w:before="144" w:line="360" w:lineRule="auto"/>
              <w:rPr>
                <w:rFonts w:ascii="Arial" w:hAnsi="Arial" w:cs="Arial"/>
                <w:b/>
                <w:sz w:val="16"/>
                <w:szCs w:val="16"/>
              </w:rPr>
            </w:pPr>
            <w:r w:rsidRPr="00767A6B">
              <w:rPr>
                <w:rFonts w:ascii="Arial" w:hAnsi="Arial" w:cs="Arial"/>
                <w:b/>
                <w:sz w:val="16"/>
                <w:szCs w:val="16"/>
              </w:rPr>
              <w:t>Total Benefits</w:t>
            </w:r>
            <w:r>
              <w:rPr>
                <w:rFonts w:ascii="Arial" w:hAnsi="Arial" w:cs="Arial"/>
                <w:b/>
                <w:sz w:val="16"/>
                <w:szCs w:val="16"/>
              </w:rPr>
              <w:t xml:space="preserve"> Discounted</w:t>
            </w:r>
          </w:p>
        </w:tc>
        <w:tc>
          <w:tcPr>
            <w:tcW w:w="1843" w:type="dxa"/>
            <w:shd w:val="clear" w:color="auto" w:fill="FFFFFF"/>
          </w:tcPr>
          <w:p w14:paraId="1E0C2D47"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$22 222 782</w:t>
            </w:r>
          </w:p>
          <w:p w14:paraId="5431BE48" w14:textId="77777777" w:rsidR="00030089" w:rsidRPr="00035311" w:rsidRDefault="00030089" w:rsidP="008547F7">
            <w:pPr>
              <w:pStyle w:val="NoSpacing"/>
              <w:spacing w:before="60" w:line="360" w:lineRule="auto"/>
              <w:jc w:val="right"/>
              <w:rPr>
                <w:rFonts w:ascii="Arial" w:hAnsi="Arial" w:cs="Arial"/>
                <w:sz w:val="16"/>
                <w:szCs w:val="16"/>
              </w:rPr>
            </w:pPr>
          </w:p>
        </w:tc>
        <w:tc>
          <w:tcPr>
            <w:tcW w:w="1701" w:type="dxa"/>
            <w:shd w:val="clear" w:color="auto" w:fill="FFFFFF"/>
          </w:tcPr>
          <w:p w14:paraId="135DA08F"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$3 433 000 000</w:t>
            </w:r>
          </w:p>
        </w:tc>
        <w:tc>
          <w:tcPr>
            <w:tcW w:w="1843" w:type="dxa"/>
            <w:shd w:val="clear" w:color="auto" w:fill="FFFFFF"/>
          </w:tcPr>
          <w:p w14:paraId="09E53D9B"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$44 445 564</w:t>
            </w:r>
          </w:p>
          <w:p w14:paraId="3A792ADE" w14:textId="77777777" w:rsidR="00030089" w:rsidRPr="00035311" w:rsidRDefault="00030089" w:rsidP="008547F7">
            <w:pPr>
              <w:pStyle w:val="NoSpacing"/>
              <w:spacing w:before="60" w:line="360" w:lineRule="auto"/>
              <w:jc w:val="right"/>
              <w:rPr>
                <w:rFonts w:ascii="Arial" w:hAnsi="Arial" w:cs="Arial"/>
                <w:sz w:val="16"/>
                <w:szCs w:val="16"/>
              </w:rPr>
            </w:pPr>
          </w:p>
        </w:tc>
        <w:tc>
          <w:tcPr>
            <w:tcW w:w="1944" w:type="dxa"/>
            <w:shd w:val="clear" w:color="auto" w:fill="FFFFFF"/>
          </w:tcPr>
          <w:p w14:paraId="556E4C08" w14:textId="77777777" w:rsidR="00030089" w:rsidRPr="00035311" w:rsidRDefault="00030089" w:rsidP="008547F7">
            <w:pPr>
              <w:pStyle w:val="NoSpacing"/>
              <w:spacing w:before="60" w:line="360" w:lineRule="auto"/>
              <w:jc w:val="right"/>
              <w:rPr>
                <w:rFonts w:ascii="Arial" w:hAnsi="Arial" w:cs="Arial"/>
                <w:sz w:val="16"/>
                <w:szCs w:val="16"/>
              </w:rPr>
            </w:pPr>
            <w:r w:rsidRPr="00035311">
              <w:rPr>
                <w:rFonts w:ascii="Arial" w:hAnsi="Arial" w:cs="Arial"/>
                <w:sz w:val="16"/>
                <w:szCs w:val="16"/>
              </w:rPr>
              <w:t>$304 000 000</w:t>
            </w:r>
          </w:p>
        </w:tc>
      </w:tr>
      <w:bookmarkEnd w:id="220"/>
      <w:bookmarkEnd w:id="221"/>
    </w:tbl>
    <w:p w14:paraId="3BE6ABDE" w14:textId="77777777" w:rsidR="00030089" w:rsidRPr="006C7FB7" w:rsidRDefault="00030089" w:rsidP="00030089">
      <w:pPr>
        <w:rPr>
          <w:sz w:val="18"/>
          <w:szCs w:val="18"/>
        </w:rPr>
      </w:pPr>
    </w:p>
    <w:p w14:paraId="1B5C3EB0" w14:textId="77777777" w:rsidR="00030089" w:rsidRPr="00FE611A" w:rsidRDefault="00030089" w:rsidP="00030089">
      <w:pPr>
        <w:pStyle w:val="ListParagraph"/>
        <w:numPr>
          <w:ilvl w:val="1"/>
          <w:numId w:val="3"/>
        </w:numPr>
        <w:spacing w:after="200" w:line="360" w:lineRule="auto"/>
        <w:ind w:left="567" w:hanging="573"/>
        <w:contextualSpacing w:val="0"/>
        <w:outlineLvl w:val="1"/>
        <w:rPr>
          <w:rFonts w:ascii="Arial" w:hAnsi="Arial" w:cs="Arial"/>
          <w:b/>
          <w:szCs w:val="28"/>
        </w:rPr>
      </w:pPr>
      <w:bookmarkStart w:id="222" w:name="_Toc325459246"/>
      <w:bookmarkStart w:id="223" w:name="_Toc325531794"/>
      <w:bookmarkStart w:id="224" w:name="_Toc325531843"/>
      <w:bookmarkStart w:id="225" w:name="_Toc346008386"/>
      <w:bookmarkStart w:id="226" w:name="_Toc353562554"/>
      <w:r w:rsidRPr="00FE611A">
        <w:rPr>
          <w:rFonts w:ascii="Arial" w:hAnsi="Arial" w:cs="Arial"/>
          <w:b/>
          <w:szCs w:val="28"/>
        </w:rPr>
        <w:t>Individual Option Analyses</w:t>
      </w:r>
      <w:bookmarkEnd w:id="222"/>
      <w:bookmarkEnd w:id="223"/>
      <w:bookmarkEnd w:id="224"/>
      <w:bookmarkEnd w:id="225"/>
      <w:bookmarkEnd w:id="226"/>
    </w:p>
    <w:p w14:paraId="3CDDB403" w14:textId="77777777" w:rsidR="00030089" w:rsidRPr="006F0D70" w:rsidRDefault="00030089" w:rsidP="00030089">
      <w:pPr>
        <w:pStyle w:val="ListParagraph"/>
        <w:numPr>
          <w:ilvl w:val="2"/>
          <w:numId w:val="3"/>
        </w:numPr>
        <w:spacing w:after="200" w:line="360" w:lineRule="auto"/>
        <w:ind w:left="709" w:hanging="709"/>
        <w:contextualSpacing w:val="0"/>
        <w:outlineLvl w:val="2"/>
        <w:rPr>
          <w:rFonts w:ascii="Arial" w:hAnsi="Arial" w:cs="Arial"/>
          <w:b/>
          <w:szCs w:val="28"/>
        </w:rPr>
      </w:pPr>
      <w:bookmarkStart w:id="227" w:name="_Toc353562555"/>
      <w:r>
        <w:rPr>
          <w:rFonts w:ascii="Arial" w:hAnsi="Arial" w:cs="Arial"/>
          <w:b/>
          <w:szCs w:val="28"/>
        </w:rPr>
        <w:t>Background</w:t>
      </w:r>
      <w:bookmarkEnd w:id="227"/>
    </w:p>
    <w:p w14:paraId="204FBB45" w14:textId="77777777" w:rsidR="00030089" w:rsidRPr="00F7202A" w:rsidRDefault="00030089" w:rsidP="00030089">
      <w:pPr>
        <w:pStyle w:val="Footer"/>
        <w:tabs>
          <w:tab w:val="left" w:pos="7513"/>
        </w:tabs>
        <w:spacing w:after="240" w:line="360" w:lineRule="auto"/>
        <w:ind w:right="357"/>
        <w:jc w:val="both"/>
        <w:rPr>
          <w:rFonts w:ascii="Arial" w:hAnsi="Arial" w:cs="Arial"/>
          <w:b/>
          <w:color w:val="0070C0"/>
        </w:rPr>
      </w:pPr>
      <w:bookmarkStart w:id="228" w:name="_Toc347315453"/>
      <w:r>
        <w:rPr>
          <w:rFonts w:ascii="Arial" w:hAnsi="Arial" w:cs="Arial"/>
        </w:rPr>
        <w:t>Table 4.13</w:t>
      </w:r>
      <w:r w:rsidRPr="00560508">
        <w:rPr>
          <w:rFonts w:ascii="Arial" w:hAnsi="Arial" w:cs="Arial"/>
        </w:rPr>
        <w:t xml:space="preserve"> summarises the</w:t>
      </w:r>
      <w:r w:rsidRPr="00226E2A">
        <w:rPr>
          <w:rFonts w:ascii="Arial" w:hAnsi="Arial" w:cs="Arial"/>
        </w:rPr>
        <w:t xml:space="preserve"> market</w:t>
      </w:r>
      <w:r w:rsidRPr="00560508">
        <w:rPr>
          <w:rFonts w:ascii="Arial" w:hAnsi="Arial" w:cs="Arial"/>
        </w:rPr>
        <w:t xml:space="preserve"> costs and benefits </w:t>
      </w:r>
      <w:r>
        <w:rPr>
          <w:rFonts w:ascii="Arial" w:hAnsi="Arial" w:cs="Arial"/>
        </w:rPr>
        <w:t>for the NT CDS after its first twelve months of operation</w:t>
      </w:r>
      <w:r w:rsidRPr="00560508">
        <w:rPr>
          <w:rFonts w:ascii="Arial" w:hAnsi="Arial" w:cs="Arial"/>
        </w:rPr>
        <w:t>.</w:t>
      </w:r>
      <w:r w:rsidRPr="00560508">
        <w:rPr>
          <w:rFonts w:ascii="Arial" w:hAnsi="Arial" w:cs="Arial"/>
          <w:b/>
          <w:color w:val="0070C0"/>
        </w:rPr>
        <w:t xml:space="preserve"> </w:t>
      </w:r>
    </w:p>
    <w:p w14:paraId="2DD01A4A"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29" w:name="_Toc353562503"/>
      <w:r w:rsidR="00740026">
        <w:rPr>
          <w:noProof/>
          <w:color w:val="auto"/>
        </w:rPr>
        <w:t>22</w:t>
      </w:r>
      <w:r w:rsidRPr="00682556">
        <w:rPr>
          <w:noProof/>
          <w:color w:val="auto"/>
        </w:rPr>
        <w:fldChar w:fldCharType="end"/>
      </w:r>
      <w:r w:rsidRPr="00682556">
        <w:rPr>
          <w:noProof/>
          <w:color w:val="auto"/>
        </w:rPr>
        <w:t xml:space="preserve"> Table 4.</w:t>
      </w:r>
      <w:r>
        <w:rPr>
          <w:noProof/>
          <w:color w:val="auto"/>
        </w:rPr>
        <w:t>13</w:t>
      </w:r>
      <w:r w:rsidRPr="00682556">
        <w:rPr>
          <w:noProof/>
          <w:color w:val="auto"/>
        </w:rPr>
        <w:t>: Cost and benefit analysis for NT CDS after first 12 months operation</w:t>
      </w:r>
      <w:bookmarkEnd w:id="2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4"/>
        <w:gridCol w:w="2646"/>
      </w:tblGrid>
      <w:tr w:rsidR="00030089" w:rsidRPr="003D324F" w14:paraId="09079BED" w14:textId="77777777" w:rsidTr="008547F7">
        <w:trPr>
          <w:tblHeader/>
        </w:trPr>
        <w:tc>
          <w:tcPr>
            <w:tcW w:w="4584" w:type="dxa"/>
            <w:shd w:val="pct10" w:color="auto" w:fill="auto"/>
          </w:tcPr>
          <w:p w14:paraId="238D42A8" w14:textId="77777777" w:rsidR="00030089" w:rsidRPr="001505FD" w:rsidRDefault="00030089" w:rsidP="008547F7">
            <w:pPr>
              <w:pStyle w:val="NoSpacing"/>
              <w:spacing w:before="60" w:line="360" w:lineRule="auto"/>
              <w:rPr>
                <w:rFonts w:ascii="Arial" w:hAnsi="Arial" w:cs="Arial"/>
                <w:b/>
                <w:sz w:val="18"/>
                <w:szCs w:val="18"/>
              </w:rPr>
            </w:pPr>
            <w:r w:rsidRPr="001505FD">
              <w:rPr>
                <w:rFonts w:ascii="Arial" w:hAnsi="Arial" w:cs="Arial"/>
                <w:b/>
                <w:sz w:val="18"/>
                <w:szCs w:val="18"/>
              </w:rPr>
              <w:t>Description of Costs / Benefits</w:t>
            </w:r>
          </w:p>
        </w:tc>
        <w:tc>
          <w:tcPr>
            <w:tcW w:w="2646" w:type="dxa"/>
            <w:shd w:val="pct10" w:color="auto" w:fill="auto"/>
          </w:tcPr>
          <w:p w14:paraId="7D42DC3A" w14:textId="77777777" w:rsidR="00030089" w:rsidRPr="001505FD" w:rsidRDefault="00030089" w:rsidP="008547F7">
            <w:pPr>
              <w:pStyle w:val="NoSpacing"/>
              <w:spacing w:before="60" w:line="360" w:lineRule="auto"/>
              <w:jc w:val="right"/>
              <w:rPr>
                <w:rFonts w:ascii="Arial" w:hAnsi="Arial" w:cs="Arial"/>
                <w:b/>
                <w:sz w:val="18"/>
                <w:szCs w:val="18"/>
              </w:rPr>
            </w:pPr>
            <w:r w:rsidRPr="001505FD">
              <w:rPr>
                <w:rFonts w:ascii="Arial" w:hAnsi="Arial" w:cs="Arial"/>
                <w:b/>
                <w:sz w:val="18"/>
                <w:szCs w:val="18"/>
              </w:rPr>
              <w:t>Value</w:t>
            </w:r>
          </w:p>
        </w:tc>
      </w:tr>
      <w:tr w:rsidR="00030089" w:rsidRPr="003D324F" w14:paraId="11CCC436" w14:textId="77777777" w:rsidTr="008547F7">
        <w:tc>
          <w:tcPr>
            <w:tcW w:w="4584" w:type="dxa"/>
            <w:shd w:val="clear" w:color="auto" w:fill="FFFFFF" w:themeFill="background1"/>
          </w:tcPr>
          <w:p w14:paraId="03F59A82" w14:textId="77777777" w:rsidR="00030089" w:rsidRPr="001505FD" w:rsidRDefault="00030089" w:rsidP="008547F7">
            <w:pPr>
              <w:pStyle w:val="NoSpacing"/>
              <w:spacing w:before="60" w:line="360" w:lineRule="auto"/>
              <w:rPr>
                <w:rFonts w:ascii="Arial" w:hAnsi="Arial" w:cs="Arial"/>
                <w:b/>
                <w:sz w:val="18"/>
                <w:szCs w:val="18"/>
              </w:rPr>
            </w:pPr>
            <w:r w:rsidRPr="001505FD">
              <w:rPr>
                <w:rFonts w:ascii="Arial" w:hAnsi="Arial" w:cs="Arial"/>
                <w:b/>
                <w:sz w:val="18"/>
                <w:szCs w:val="18"/>
              </w:rPr>
              <w:t>Costs</w:t>
            </w:r>
          </w:p>
        </w:tc>
        <w:tc>
          <w:tcPr>
            <w:tcW w:w="2646" w:type="dxa"/>
            <w:shd w:val="clear" w:color="auto" w:fill="FFFFFF" w:themeFill="background1"/>
          </w:tcPr>
          <w:p w14:paraId="003524AD" w14:textId="77777777" w:rsidR="00030089" w:rsidRPr="001505FD" w:rsidRDefault="00030089" w:rsidP="008547F7">
            <w:pPr>
              <w:pStyle w:val="NoSpacing"/>
              <w:spacing w:before="60" w:line="360" w:lineRule="auto"/>
              <w:jc w:val="right"/>
              <w:rPr>
                <w:rFonts w:ascii="Arial" w:hAnsi="Arial" w:cs="Arial"/>
                <w:sz w:val="18"/>
                <w:szCs w:val="18"/>
              </w:rPr>
            </w:pPr>
          </w:p>
        </w:tc>
      </w:tr>
      <w:tr w:rsidR="00030089" w:rsidRPr="003D324F" w14:paraId="5DD0336D" w14:textId="77777777" w:rsidTr="008547F7">
        <w:tc>
          <w:tcPr>
            <w:tcW w:w="4584" w:type="dxa"/>
          </w:tcPr>
          <w:p w14:paraId="77900A68" w14:textId="77777777" w:rsidR="00030089" w:rsidRPr="001505FD" w:rsidRDefault="00030089" w:rsidP="008547F7">
            <w:pPr>
              <w:pStyle w:val="NoSpacing"/>
              <w:spacing w:before="60" w:line="360" w:lineRule="auto"/>
              <w:rPr>
                <w:rFonts w:ascii="Arial" w:hAnsi="Arial" w:cs="Arial"/>
                <w:sz w:val="18"/>
                <w:szCs w:val="18"/>
              </w:rPr>
            </w:pPr>
            <w:r>
              <w:rPr>
                <w:rFonts w:ascii="Arial" w:hAnsi="Arial" w:cs="Arial"/>
                <w:sz w:val="18"/>
                <w:szCs w:val="18"/>
              </w:rPr>
              <w:t>S</w:t>
            </w:r>
            <w:r w:rsidRPr="001505FD">
              <w:rPr>
                <w:rFonts w:ascii="Arial" w:hAnsi="Arial" w:cs="Arial"/>
                <w:sz w:val="18"/>
                <w:szCs w:val="18"/>
              </w:rPr>
              <w:t>cheme design and implementation</w:t>
            </w:r>
          </w:p>
        </w:tc>
        <w:tc>
          <w:tcPr>
            <w:tcW w:w="2646" w:type="dxa"/>
          </w:tcPr>
          <w:p w14:paraId="6BEC283A" w14:textId="77777777" w:rsidR="00030089" w:rsidRPr="001505FD" w:rsidRDefault="00030089" w:rsidP="008547F7">
            <w:pPr>
              <w:pStyle w:val="NoSpacing"/>
              <w:spacing w:before="60" w:line="360" w:lineRule="auto"/>
              <w:jc w:val="right"/>
              <w:rPr>
                <w:rFonts w:ascii="Arial" w:hAnsi="Arial" w:cs="Arial"/>
                <w:sz w:val="18"/>
                <w:szCs w:val="18"/>
              </w:rPr>
            </w:pPr>
            <w:r w:rsidRPr="001505FD">
              <w:rPr>
                <w:rFonts w:ascii="Arial" w:hAnsi="Arial" w:cs="Arial"/>
                <w:sz w:val="18"/>
                <w:szCs w:val="18"/>
              </w:rPr>
              <w:t>$315 000</w:t>
            </w:r>
          </w:p>
        </w:tc>
      </w:tr>
      <w:tr w:rsidR="00030089" w:rsidRPr="003D324F" w14:paraId="41B5040B" w14:textId="77777777" w:rsidTr="008547F7">
        <w:tc>
          <w:tcPr>
            <w:tcW w:w="4584" w:type="dxa"/>
          </w:tcPr>
          <w:p w14:paraId="1751CE44" w14:textId="77777777" w:rsidR="00030089" w:rsidRPr="001505FD" w:rsidRDefault="00030089" w:rsidP="008547F7">
            <w:pPr>
              <w:pStyle w:val="NoSpacing"/>
              <w:spacing w:before="60" w:line="360" w:lineRule="auto"/>
              <w:rPr>
                <w:rFonts w:ascii="Arial" w:hAnsi="Arial" w:cs="Arial"/>
                <w:sz w:val="18"/>
                <w:szCs w:val="18"/>
              </w:rPr>
            </w:pPr>
            <w:r>
              <w:rPr>
                <w:rFonts w:ascii="Arial" w:hAnsi="Arial" w:cs="Arial"/>
                <w:sz w:val="18"/>
                <w:szCs w:val="18"/>
              </w:rPr>
              <w:t>S</w:t>
            </w:r>
            <w:r w:rsidRPr="001505FD">
              <w:rPr>
                <w:rFonts w:ascii="Arial" w:hAnsi="Arial" w:cs="Arial"/>
                <w:sz w:val="18"/>
                <w:szCs w:val="18"/>
              </w:rPr>
              <w:t>cheme operation and compliance</w:t>
            </w:r>
          </w:p>
        </w:tc>
        <w:tc>
          <w:tcPr>
            <w:tcW w:w="2646" w:type="dxa"/>
          </w:tcPr>
          <w:p w14:paraId="3862CF3C" w14:textId="77777777" w:rsidR="00030089" w:rsidRPr="001505FD" w:rsidRDefault="00030089" w:rsidP="008547F7">
            <w:pPr>
              <w:pStyle w:val="NoSpacing"/>
              <w:spacing w:before="60" w:line="360" w:lineRule="auto"/>
              <w:jc w:val="right"/>
              <w:rPr>
                <w:rFonts w:ascii="Arial" w:hAnsi="Arial" w:cs="Arial"/>
                <w:sz w:val="18"/>
                <w:szCs w:val="18"/>
              </w:rPr>
            </w:pPr>
            <w:r w:rsidRPr="001505FD">
              <w:rPr>
                <w:rFonts w:ascii="Arial" w:hAnsi="Arial" w:cs="Arial"/>
                <w:sz w:val="18"/>
                <w:szCs w:val="18"/>
              </w:rPr>
              <w:t>$1 875 924</w:t>
            </w:r>
          </w:p>
        </w:tc>
      </w:tr>
      <w:tr w:rsidR="00030089" w:rsidRPr="003D324F" w14:paraId="552336F0" w14:textId="77777777" w:rsidTr="008547F7">
        <w:tc>
          <w:tcPr>
            <w:tcW w:w="4584" w:type="dxa"/>
          </w:tcPr>
          <w:p w14:paraId="5868EC44" w14:textId="77777777" w:rsidR="00030089" w:rsidRPr="001505FD" w:rsidRDefault="00030089" w:rsidP="008547F7">
            <w:pPr>
              <w:pStyle w:val="NoSpacing"/>
              <w:spacing w:before="60" w:line="360" w:lineRule="auto"/>
              <w:rPr>
                <w:rFonts w:ascii="Arial" w:hAnsi="Arial" w:cs="Arial"/>
                <w:sz w:val="18"/>
                <w:szCs w:val="18"/>
              </w:rPr>
            </w:pPr>
            <w:r>
              <w:rPr>
                <w:rFonts w:ascii="Arial" w:hAnsi="Arial" w:cs="Arial"/>
                <w:sz w:val="18"/>
                <w:szCs w:val="18"/>
              </w:rPr>
              <w:t>H</w:t>
            </w:r>
            <w:r w:rsidRPr="001505FD">
              <w:rPr>
                <w:rFonts w:ascii="Arial" w:hAnsi="Arial" w:cs="Arial"/>
                <w:sz w:val="18"/>
                <w:szCs w:val="18"/>
              </w:rPr>
              <w:t>ousehold participation costs</w:t>
            </w:r>
          </w:p>
        </w:tc>
        <w:tc>
          <w:tcPr>
            <w:tcW w:w="2646" w:type="dxa"/>
          </w:tcPr>
          <w:p w14:paraId="4C3CD77A" w14:textId="77777777" w:rsidR="00030089" w:rsidRPr="001505FD" w:rsidRDefault="00030089" w:rsidP="008547F7">
            <w:pPr>
              <w:pStyle w:val="NoSpacing"/>
              <w:spacing w:before="60" w:line="360" w:lineRule="auto"/>
              <w:jc w:val="right"/>
              <w:rPr>
                <w:rFonts w:ascii="Arial" w:hAnsi="Arial" w:cs="Arial"/>
                <w:sz w:val="18"/>
                <w:szCs w:val="18"/>
              </w:rPr>
            </w:pPr>
            <w:r w:rsidRPr="001505FD">
              <w:rPr>
                <w:rFonts w:ascii="Arial" w:hAnsi="Arial" w:cs="Arial"/>
                <w:sz w:val="18"/>
                <w:szCs w:val="18"/>
              </w:rPr>
              <w:t>$192 600</w:t>
            </w:r>
          </w:p>
        </w:tc>
      </w:tr>
      <w:tr w:rsidR="00030089" w:rsidRPr="003D324F" w14:paraId="4AB27492" w14:textId="77777777" w:rsidTr="008547F7">
        <w:tc>
          <w:tcPr>
            <w:tcW w:w="4584" w:type="dxa"/>
            <w:shd w:val="clear" w:color="auto" w:fill="auto"/>
          </w:tcPr>
          <w:p w14:paraId="42FF8A4D" w14:textId="77777777" w:rsidR="00030089" w:rsidRPr="00115EA0" w:rsidRDefault="00030089" w:rsidP="008547F7">
            <w:pPr>
              <w:pStyle w:val="NoSpacing"/>
              <w:spacing w:before="60" w:line="360" w:lineRule="auto"/>
              <w:rPr>
                <w:rFonts w:ascii="Arial" w:hAnsi="Arial" w:cs="Arial"/>
                <w:b/>
                <w:sz w:val="18"/>
                <w:szCs w:val="18"/>
              </w:rPr>
            </w:pPr>
            <w:r>
              <w:rPr>
                <w:rFonts w:ascii="Arial" w:hAnsi="Arial" w:cs="Arial"/>
                <w:sz w:val="18"/>
                <w:szCs w:val="18"/>
              </w:rPr>
              <w:t>Business</w:t>
            </w:r>
            <w:r w:rsidRPr="001505FD">
              <w:rPr>
                <w:rFonts w:ascii="Arial" w:hAnsi="Arial" w:cs="Arial"/>
                <w:sz w:val="18"/>
                <w:szCs w:val="18"/>
              </w:rPr>
              <w:t xml:space="preserve"> participation costs</w:t>
            </w:r>
            <w:r w:rsidRPr="00115EA0" w:rsidDel="00BC6C68">
              <w:rPr>
                <w:rFonts w:ascii="Arial" w:hAnsi="Arial" w:cs="Arial"/>
                <w:b/>
                <w:sz w:val="18"/>
                <w:szCs w:val="18"/>
              </w:rPr>
              <w:t xml:space="preserve"> </w:t>
            </w:r>
          </w:p>
        </w:tc>
        <w:tc>
          <w:tcPr>
            <w:tcW w:w="2646" w:type="dxa"/>
            <w:shd w:val="clear" w:color="auto" w:fill="auto"/>
          </w:tcPr>
          <w:p w14:paraId="60698223" w14:textId="77777777" w:rsidR="00030089" w:rsidRPr="00115EA0" w:rsidRDefault="00030089" w:rsidP="008547F7">
            <w:pPr>
              <w:pStyle w:val="NoSpacing"/>
              <w:spacing w:before="60" w:line="360" w:lineRule="auto"/>
              <w:jc w:val="right"/>
              <w:rPr>
                <w:rFonts w:ascii="Arial" w:hAnsi="Arial" w:cs="Arial"/>
                <w:b/>
                <w:color w:val="C00000"/>
                <w:sz w:val="18"/>
                <w:szCs w:val="18"/>
              </w:rPr>
            </w:pPr>
            <w:r>
              <w:rPr>
                <w:rFonts w:ascii="Arial" w:hAnsi="Arial" w:cs="Arial"/>
                <w:sz w:val="18"/>
                <w:szCs w:val="18"/>
              </w:rPr>
              <w:t>$70 000</w:t>
            </w:r>
          </w:p>
        </w:tc>
      </w:tr>
      <w:tr w:rsidR="00030089" w:rsidRPr="003D324F" w14:paraId="2888046E" w14:textId="77777777" w:rsidTr="008547F7">
        <w:trPr>
          <w:trHeight w:val="333"/>
        </w:trPr>
        <w:tc>
          <w:tcPr>
            <w:tcW w:w="4584" w:type="dxa"/>
            <w:shd w:val="clear" w:color="auto" w:fill="auto"/>
            <w:vAlign w:val="center"/>
          </w:tcPr>
          <w:p w14:paraId="3B2EE88B" w14:textId="77777777" w:rsidR="00030089" w:rsidRDefault="00030089" w:rsidP="008547F7">
            <w:pPr>
              <w:pStyle w:val="NoSpacing"/>
              <w:spacing w:before="60" w:line="360" w:lineRule="auto"/>
              <w:rPr>
                <w:rFonts w:ascii="Arial" w:hAnsi="Arial" w:cs="Arial"/>
                <w:sz w:val="18"/>
                <w:szCs w:val="18"/>
              </w:rPr>
            </w:pPr>
            <w:r w:rsidRPr="00792CEC">
              <w:rPr>
                <w:rFonts w:ascii="Arial" w:hAnsi="Arial" w:cs="Arial"/>
                <w:sz w:val="18"/>
                <w:szCs w:val="18"/>
              </w:rPr>
              <w:lastRenderedPageBreak/>
              <w:t>Litigation costs</w:t>
            </w:r>
          </w:p>
        </w:tc>
        <w:tc>
          <w:tcPr>
            <w:tcW w:w="2646" w:type="dxa"/>
            <w:shd w:val="clear" w:color="auto" w:fill="auto"/>
          </w:tcPr>
          <w:p w14:paraId="119BFEBB" w14:textId="77777777" w:rsidR="00030089" w:rsidRPr="00A36E24" w:rsidRDefault="00030089" w:rsidP="008547F7">
            <w:pPr>
              <w:pStyle w:val="NoSpacing"/>
              <w:spacing w:before="60" w:line="360" w:lineRule="auto"/>
              <w:jc w:val="right"/>
              <w:rPr>
                <w:rFonts w:ascii="Arial" w:hAnsi="Arial" w:cs="Arial"/>
                <w:sz w:val="18"/>
                <w:szCs w:val="18"/>
              </w:rPr>
            </w:pPr>
            <w:r w:rsidRPr="00792CEC">
              <w:rPr>
                <w:rFonts w:ascii="Arial" w:hAnsi="Arial" w:cs="Arial"/>
                <w:sz w:val="18"/>
                <w:szCs w:val="18"/>
              </w:rPr>
              <w:t>$200 000</w:t>
            </w:r>
          </w:p>
        </w:tc>
      </w:tr>
      <w:tr w:rsidR="00030089" w:rsidRPr="003D324F" w14:paraId="349B93D9" w14:textId="77777777" w:rsidTr="008547F7">
        <w:trPr>
          <w:trHeight w:val="857"/>
        </w:trPr>
        <w:tc>
          <w:tcPr>
            <w:tcW w:w="4584" w:type="dxa"/>
            <w:shd w:val="clear" w:color="auto" w:fill="auto"/>
          </w:tcPr>
          <w:p w14:paraId="051EC828" w14:textId="77777777" w:rsidR="00030089" w:rsidRDefault="00030089" w:rsidP="008547F7">
            <w:pPr>
              <w:pStyle w:val="NoSpacing"/>
              <w:spacing w:before="60" w:line="360" w:lineRule="auto"/>
              <w:jc w:val="right"/>
              <w:rPr>
                <w:rFonts w:ascii="Arial" w:hAnsi="Arial" w:cs="Arial"/>
                <w:b/>
                <w:sz w:val="18"/>
                <w:szCs w:val="18"/>
              </w:rPr>
            </w:pPr>
          </w:p>
          <w:p w14:paraId="08F151FE" w14:textId="77777777" w:rsidR="00030089" w:rsidRDefault="00030089" w:rsidP="008547F7">
            <w:pPr>
              <w:pStyle w:val="NoSpacing"/>
              <w:spacing w:before="60" w:line="360" w:lineRule="auto"/>
              <w:jc w:val="right"/>
              <w:rPr>
                <w:rFonts w:ascii="Arial" w:hAnsi="Arial" w:cs="Arial"/>
                <w:b/>
                <w:sz w:val="18"/>
                <w:szCs w:val="18"/>
              </w:rPr>
            </w:pPr>
            <w:r w:rsidRPr="00115EA0">
              <w:rPr>
                <w:rFonts w:ascii="Arial" w:hAnsi="Arial" w:cs="Arial"/>
                <w:b/>
                <w:sz w:val="18"/>
                <w:szCs w:val="18"/>
              </w:rPr>
              <w:t>Total costs</w:t>
            </w:r>
          </w:p>
        </w:tc>
        <w:tc>
          <w:tcPr>
            <w:tcW w:w="2646" w:type="dxa"/>
            <w:shd w:val="clear" w:color="auto" w:fill="auto"/>
          </w:tcPr>
          <w:p w14:paraId="2CE33E3D" w14:textId="77777777" w:rsidR="00030089" w:rsidRDefault="00030089" w:rsidP="008547F7">
            <w:pPr>
              <w:jc w:val="right"/>
              <w:rPr>
                <w:rFonts w:ascii="Arial" w:hAnsi="Arial" w:cs="Arial"/>
                <w:color w:val="000000"/>
                <w:sz w:val="18"/>
                <w:szCs w:val="18"/>
              </w:rPr>
            </w:pPr>
          </w:p>
          <w:p w14:paraId="24D77025" w14:textId="77777777" w:rsidR="00030089" w:rsidRDefault="00030089" w:rsidP="008547F7">
            <w:pPr>
              <w:jc w:val="right"/>
              <w:rPr>
                <w:rFonts w:ascii="Arial" w:hAnsi="Arial" w:cs="Arial"/>
                <w:color w:val="000000"/>
                <w:sz w:val="18"/>
                <w:szCs w:val="18"/>
              </w:rPr>
            </w:pPr>
            <w:r>
              <w:rPr>
                <w:rFonts w:ascii="Arial" w:hAnsi="Arial" w:cs="Arial"/>
                <w:color w:val="000000"/>
                <w:sz w:val="18"/>
                <w:szCs w:val="18"/>
              </w:rPr>
              <w:t>$2 653 524</w:t>
            </w:r>
          </w:p>
          <w:p w14:paraId="77F607F1" w14:textId="77777777" w:rsidR="00030089" w:rsidRDefault="00030089" w:rsidP="008547F7">
            <w:pPr>
              <w:pStyle w:val="NoSpacing"/>
              <w:spacing w:before="60" w:line="360" w:lineRule="auto"/>
              <w:jc w:val="right"/>
              <w:rPr>
                <w:rFonts w:ascii="Arial" w:hAnsi="Arial" w:cs="Arial"/>
                <w:color w:val="000000"/>
                <w:sz w:val="18"/>
                <w:szCs w:val="18"/>
              </w:rPr>
            </w:pPr>
          </w:p>
        </w:tc>
      </w:tr>
      <w:tr w:rsidR="00030089" w:rsidRPr="003D324F" w14:paraId="03F5E6CD" w14:textId="77777777" w:rsidTr="008547F7">
        <w:tc>
          <w:tcPr>
            <w:tcW w:w="4584" w:type="dxa"/>
            <w:shd w:val="clear" w:color="auto" w:fill="FFFFFF" w:themeFill="background1"/>
          </w:tcPr>
          <w:p w14:paraId="4F83C9DE" w14:textId="77777777" w:rsidR="00030089" w:rsidRPr="001505FD" w:rsidRDefault="00030089" w:rsidP="008547F7">
            <w:pPr>
              <w:pStyle w:val="NoSpacing"/>
              <w:spacing w:before="60" w:line="360" w:lineRule="auto"/>
              <w:rPr>
                <w:rFonts w:ascii="Arial" w:hAnsi="Arial" w:cs="Arial"/>
                <w:b/>
                <w:sz w:val="18"/>
                <w:szCs w:val="18"/>
              </w:rPr>
            </w:pPr>
            <w:r w:rsidRPr="001505FD">
              <w:rPr>
                <w:rFonts w:ascii="Arial" w:hAnsi="Arial" w:cs="Arial"/>
                <w:b/>
                <w:sz w:val="18"/>
                <w:szCs w:val="18"/>
              </w:rPr>
              <w:t>Benefits</w:t>
            </w:r>
          </w:p>
        </w:tc>
        <w:tc>
          <w:tcPr>
            <w:tcW w:w="2646" w:type="dxa"/>
            <w:shd w:val="clear" w:color="auto" w:fill="FFFFFF" w:themeFill="background1"/>
          </w:tcPr>
          <w:p w14:paraId="0DE421EB" w14:textId="77777777" w:rsidR="00030089" w:rsidRPr="001505FD" w:rsidRDefault="00030089" w:rsidP="008547F7">
            <w:pPr>
              <w:pStyle w:val="NoSpacing"/>
              <w:spacing w:before="60" w:line="360" w:lineRule="auto"/>
              <w:jc w:val="right"/>
              <w:rPr>
                <w:rFonts w:ascii="Arial" w:hAnsi="Arial" w:cs="Arial"/>
                <w:sz w:val="18"/>
                <w:szCs w:val="18"/>
              </w:rPr>
            </w:pPr>
          </w:p>
        </w:tc>
      </w:tr>
      <w:tr w:rsidR="00030089" w:rsidRPr="003D324F" w14:paraId="1CCAE801" w14:textId="77777777" w:rsidTr="008547F7">
        <w:tc>
          <w:tcPr>
            <w:tcW w:w="4584" w:type="dxa"/>
          </w:tcPr>
          <w:p w14:paraId="0BA40351" w14:textId="77777777" w:rsidR="00030089" w:rsidRPr="001505FD" w:rsidRDefault="00030089" w:rsidP="008547F7">
            <w:pPr>
              <w:pStyle w:val="NoSpacing"/>
              <w:spacing w:before="60" w:line="360" w:lineRule="auto"/>
              <w:rPr>
                <w:rFonts w:ascii="Arial" w:hAnsi="Arial" w:cs="Arial"/>
                <w:sz w:val="18"/>
                <w:szCs w:val="18"/>
              </w:rPr>
            </w:pPr>
            <w:r w:rsidRPr="00792CEC">
              <w:rPr>
                <w:rFonts w:ascii="Arial" w:hAnsi="Arial" w:cs="Arial"/>
                <w:sz w:val="18"/>
                <w:szCs w:val="18"/>
              </w:rPr>
              <w:t>Avoided kerbside costs</w:t>
            </w:r>
          </w:p>
        </w:tc>
        <w:tc>
          <w:tcPr>
            <w:tcW w:w="2646" w:type="dxa"/>
          </w:tcPr>
          <w:p w14:paraId="2E2000C9" w14:textId="77777777" w:rsidR="00030089" w:rsidRPr="001505FD" w:rsidRDefault="00030089" w:rsidP="008547F7">
            <w:pPr>
              <w:pStyle w:val="NoSpacing"/>
              <w:spacing w:before="60" w:line="360" w:lineRule="auto"/>
              <w:jc w:val="right"/>
              <w:rPr>
                <w:rFonts w:ascii="Arial" w:hAnsi="Arial" w:cs="Arial"/>
                <w:sz w:val="18"/>
                <w:szCs w:val="18"/>
              </w:rPr>
            </w:pPr>
            <w:r w:rsidRPr="001505FD">
              <w:rPr>
                <w:rFonts w:ascii="Arial" w:hAnsi="Arial" w:cs="Arial"/>
                <w:sz w:val="18"/>
                <w:szCs w:val="18"/>
              </w:rPr>
              <w:t>$870 965</w:t>
            </w:r>
          </w:p>
        </w:tc>
      </w:tr>
      <w:tr w:rsidR="00030089" w:rsidRPr="003D324F" w14:paraId="7FD17A45" w14:textId="77777777" w:rsidTr="008547F7">
        <w:tc>
          <w:tcPr>
            <w:tcW w:w="4584" w:type="dxa"/>
          </w:tcPr>
          <w:p w14:paraId="2F331EB2" w14:textId="77777777" w:rsidR="00030089" w:rsidRDefault="00030089" w:rsidP="008547F7">
            <w:pPr>
              <w:pStyle w:val="NoSpacing"/>
              <w:spacing w:before="60" w:line="360" w:lineRule="auto"/>
              <w:rPr>
                <w:rFonts w:ascii="Arial" w:hAnsi="Arial" w:cs="Arial"/>
                <w:sz w:val="18"/>
                <w:szCs w:val="18"/>
              </w:rPr>
            </w:pPr>
            <w:r>
              <w:rPr>
                <w:rFonts w:ascii="Arial" w:hAnsi="Arial" w:cs="Arial"/>
                <w:sz w:val="18"/>
                <w:szCs w:val="18"/>
              </w:rPr>
              <w:t>M</w:t>
            </w:r>
            <w:r w:rsidRPr="001505FD">
              <w:rPr>
                <w:rFonts w:ascii="Arial" w:hAnsi="Arial" w:cs="Arial"/>
                <w:sz w:val="18"/>
                <w:szCs w:val="18"/>
              </w:rPr>
              <w:t>arket value of resources</w:t>
            </w:r>
          </w:p>
        </w:tc>
        <w:tc>
          <w:tcPr>
            <w:tcW w:w="2646" w:type="dxa"/>
          </w:tcPr>
          <w:p w14:paraId="572D4C35" w14:textId="77777777" w:rsidR="00030089" w:rsidRPr="001505FD" w:rsidRDefault="00030089" w:rsidP="008547F7">
            <w:pPr>
              <w:pStyle w:val="NoSpacing"/>
              <w:spacing w:before="60" w:line="360" w:lineRule="auto"/>
              <w:jc w:val="right"/>
              <w:rPr>
                <w:rFonts w:ascii="Arial" w:hAnsi="Arial" w:cs="Arial"/>
                <w:sz w:val="18"/>
                <w:szCs w:val="18"/>
              </w:rPr>
            </w:pPr>
            <w:r w:rsidRPr="001505FD">
              <w:rPr>
                <w:rFonts w:ascii="Arial" w:hAnsi="Arial" w:cs="Arial"/>
                <w:sz w:val="18"/>
                <w:szCs w:val="18"/>
              </w:rPr>
              <w:t>$</w:t>
            </w:r>
            <w:r>
              <w:rPr>
                <w:rFonts w:ascii="Arial" w:hAnsi="Arial" w:cs="Arial"/>
                <w:sz w:val="18"/>
                <w:szCs w:val="18"/>
              </w:rPr>
              <w:t xml:space="preserve"> 284 420</w:t>
            </w:r>
          </w:p>
        </w:tc>
      </w:tr>
      <w:tr w:rsidR="00030089" w:rsidRPr="003D324F" w14:paraId="52E732FA" w14:textId="77777777" w:rsidTr="008547F7">
        <w:tc>
          <w:tcPr>
            <w:tcW w:w="4584" w:type="dxa"/>
          </w:tcPr>
          <w:p w14:paraId="224CB449" w14:textId="77777777" w:rsidR="00030089" w:rsidRPr="001505FD" w:rsidRDefault="00030089" w:rsidP="008547F7">
            <w:pPr>
              <w:pStyle w:val="NoSpacing"/>
              <w:spacing w:before="60" w:line="360" w:lineRule="auto"/>
              <w:rPr>
                <w:rFonts w:ascii="Arial" w:hAnsi="Arial" w:cs="Arial"/>
                <w:sz w:val="18"/>
                <w:szCs w:val="18"/>
              </w:rPr>
            </w:pPr>
            <w:r>
              <w:rPr>
                <w:rFonts w:ascii="Arial" w:hAnsi="Arial" w:cs="Arial"/>
                <w:sz w:val="18"/>
                <w:szCs w:val="18"/>
              </w:rPr>
              <w:t>A</w:t>
            </w:r>
            <w:r w:rsidRPr="001505FD">
              <w:rPr>
                <w:rFonts w:ascii="Arial" w:hAnsi="Arial" w:cs="Arial"/>
                <w:sz w:val="18"/>
                <w:szCs w:val="18"/>
              </w:rPr>
              <w:t>voided landfill operating costs</w:t>
            </w:r>
          </w:p>
        </w:tc>
        <w:tc>
          <w:tcPr>
            <w:tcW w:w="2646" w:type="dxa"/>
          </w:tcPr>
          <w:p w14:paraId="73AD1AB9" w14:textId="77777777" w:rsidR="00030089" w:rsidRPr="001505FD" w:rsidRDefault="00030089" w:rsidP="008547F7">
            <w:pPr>
              <w:pStyle w:val="NoSpacing"/>
              <w:spacing w:before="60" w:line="360" w:lineRule="auto"/>
              <w:jc w:val="right"/>
              <w:rPr>
                <w:rFonts w:ascii="Arial" w:hAnsi="Arial" w:cs="Arial"/>
                <w:sz w:val="18"/>
                <w:szCs w:val="18"/>
              </w:rPr>
            </w:pPr>
            <w:r w:rsidRPr="001505FD">
              <w:rPr>
                <w:rFonts w:ascii="Arial" w:hAnsi="Arial" w:cs="Arial"/>
                <w:sz w:val="18"/>
                <w:szCs w:val="18"/>
              </w:rPr>
              <w:t>$</w:t>
            </w:r>
            <w:r>
              <w:rPr>
                <w:rFonts w:ascii="Arial" w:hAnsi="Arial" w:cs="Arial"/>
                <w:sz w:val="18"/>
                <w:szCs w:val="18"/>
              </w:rPr>
              <w:t>182 938</w:t>
            </w:r>
          </w:p>
        </w:tc>
      </w:tr>
      <w:tr w:rsidR="00030089" w:rsidRPr="003D324F" w14:paraId="0F41C122" w14:textId="77777777" w:rsidTr="008547F7">
        <w:tc>
          <w:tcPr>
            <w:tcW w:w="4584" w:type="dxa"/>
          </w:tcPr>
          <w:p w14:paraId="0A9B7FC2" w14:textId="77777777" w:rsidR="00030089" w:rsidRPr="001505FD" w:rsidRDefault="00030089" w:rsidP="008547F7">
            <w:pPr>
              <w:pStyle w:val="NoSpacing"/>
              <w:spacing w:before="60" w:line="360" w:lineRule="auto"/>
              <w:rPr>
                <w:rFonts w:ascii="Arial" w:hAnsi="Arial" w:cs="Arial"/>
                <w:sz w:val="18"/>
                <w:szCs w:val="18"/>
              </w:rPr>
            </w:pPr>
            <w:r>
              <w:rPr>
                <w:rFonts w:ascii="Arial" w:hAnsi="Arial" w:cs="Arial"/>
                <w:sz w:val="18"/>
                <w:szCs w:val="18"/>
              </w:rPr>
              <w:t>A</w:t>
            </w:r>
            <w:r w:rsidRPr="001505FD">
              <w:rPr>
                <w:rFonts w:ascii="Arial" w:hAnsi="Arial" w:cs="Arial"/>
                <w:sz w:val="18"/>
                <w:szCs w:val="18"/>
              </w:rPr>
              <w:t>voided litter clean up</w:t>
            </w:r>
          </w:p>
        </w:tc>
        <w:tc>
          <w:tcPr>
            <w:tcW w:w="2646" w:type="dxa"/>
          </w:tcPr>
          <w:p w14:paraId="0A80EE47" w14:textId="77777777" w:rsidR="00030089" w:rsidRPr="001505FD" w:rsidRDefault="00030089" w:rsidP="008547F7">
            <w:pPr>
              <w:pStyle w:val="NoSpacing"/>
              <w:spacing w:before="60" w:line="360" w:lineRule="auto"/>
              <w:jc w:val="right"/>
              <w:rPr>
                <w:rFonts w:ascii="Arial" w:hAnsi="Arial" w:cs="Arial"/>
                <w:sz w:val="18"/>
                <w:szCs w:val="18"/>
              </w:rPr>
            </w:pPr>
            <w:r w:rsidRPr="001505FD">
              <w:rPr>
                <w:rFonts w:ascii="Arial" w:hAnsi="Arial" w:cs="Arial"/>
                <w:sz w:val="18"/>
                <w:szCs w:val="18"/>
              </w:rPr>
              <w:t>$171 720</w:t>
            </w:r>
          </w:p>
        </w:tc>
      </w:tr>
      <w:tr w:rsidR="00030089" w:rsidRPr="003D324F" w14:paraId="60686519" w14:textId="77777777" w:rsidTr="008547F7">
        <w:tc>
          <w:tcPr>
            <w:tcW w:w="4584" w:type="dxa"/>
          </w:tcPr>
          <w:p w14:paraId="689AF6B0" w14:textId="77777777" w:rsidR="00030089" w:rsidRPr="001505FD" w:rsidRDefault="00030089" w:rsidP="008547F7">
            <w:pPr>
              <w:pStyle w:val="NoSpacing"/>
              <w:spacing w:before="60" w:line="360" w:lineRule="auto"/>
              <w:rPr>
                <w:rFonts w:ascii="Arial" w:hAnsi="Arial" w:cs="Arial"/>
                <w:sz w:val="18"/>
                <w:szCs w:val="18"/>
              </w:rPr>
            </w:pPr>
            <w:r>
              <w:rPr>
                <w:rFonts w:ascii="Arial" w:hAnsi="Arial" w:cs="Arial"/>
                <w:sz w:val="18"/>
                <w:szCs w:val="18"/>
              </w:rPr>
              <w:t>E</w:t>
            </w:r>
            <w:r w:rsidRPr="001505FD">
              <w:rPr>
                <w:rFonts w:ascii="Arial" w:hAnsi="Arial" w:cs="Arial"/>
                <w:sz w:val="18"/>
                <w:szCs w:val="18"/>
              </w:rPr>
              <w:t>nvironmental benefits</w:t>
            </w:r>
          </w:p>
        </w:tc>
        <w:tc>
          <w:tcPr>
            <w:tcW w:w="2646" w:type="dxa"/>
          </w:tcPr>
          <w:p w14:paraId="1BF6A6C4" w14:textId="77777777" w:rsidR="00030089" w:rsidRPr="001505FD" w:rsidRDefault="00030089" w:rsidP="008547F7">
            <w:pPr>
              <w:pStyle w:val="NoSpacing"/>
              <w:spacing w:before="60" w:line="360" w:lineRule="auto"/>
              <w:jc w:val="right"/>
              <w:rPr>
                <w:rFonts w:ascii="Arial" w:hAnsi="Arial" w:cs="Arial"/>
                <w:sz w:val="18"/>
                <w:szCs w:val="18"/>
              </w:rPr>
            </w:pPr>
            <w:r w:rsidRPr="001505FD">
              <w:rPr>
                <w:rFonts w:ascii="Arial" w:hAnsi="Arial" w:cs="Arial"/>
                <w:sz w:val="18"/>
                <w:szCs w:val="18"/>
              </w:rPr>
              <w:t>$</w:t>
            </w:r>
            <w:r>
              <w:rPr>
                <w:rFonts w:ascii="Arial" w:hAnsi="Arial" w:cs="Arial"/>
                <w:sz w:val="18"/>
                <w:szCs w:val="18"/>
              </w:rPr>
              <w:t>1 562 319</w:t>
            </w:r>
          </w:p>
        </w:tc>
      </w:tr>
      <w:tr w:rsidR="00030089" w:rsidRPr="003D324F" w14:paraId="5DBF8AF6" w14:textId="77777777" w:rsidTr="008547F7">
        <w:tc>
          <w:tcPr>
            <w:tcW w:w="4584" w:type="dxa"/>
            <w:tcBorders>
              <w:bottom w:val="single" w:sz="4" w:space="0" w:color="auto"/>
            </w:tcBorders>
            <w:shd w:val="clear" w:color="auto" w:fill="FFFFFF" w:themeFill="background1"/>
          </w:tcPr>
          <w:p w14:paraId="1FFB5D41" w14:textId="77777777" w:rsidR="00030089" w:rsidRDefault="00030089" w:rsidP="008547F7">
            <w:pPr>
              <w:pStyle w:val="NoSpacing"/>
              <w:spacing w:before="60" w:line="360" w:lineRule="auto"/>
              <w:jc w:val="right"/>
              <w:rPr>
                <w:rFonts w:ascii="Arial" w:hAnsi="Arial" w:cs="Arial"/>
                <w:b/>
                <w:sz w:val="18"/>
                <w:szCs w:val="18"/>
              </w:rPr>
            </w:pPr>
            <w:r w:rsidRPr="00115EA0">
              <w:rPr>
                <w:rFonts w:ascii="Arial" w:hAnsi="Arial" w:cs="Arial"/>
                <w:b/>
                <w:sz w:val="18"/>
                <w:szCs w:val="18"/>
              </w:rPr>
              <w:t>Total Benefits</w:t>
            </w:r>
          </w:p>
        </w:tc>
        <w:tc>
          <w:tcPr>
            <w:tcW w:w="2646" w:type="dxa"/>
            <w:tcBorders>
              <w:bottom w:val="single" w:sz="4" w:space="0" w:color="auto"/>
            </w:tcBorders>
            <w:shd w:val="clear" w:color="auto" w:fill="FFFFFF" w:themeFill="background1"/>
          </w:tcPr>
          <w:p w14:paraId="0935530B" w14:textId="77777777" w:rsidR="00030089" w:rsidRDefault="00030089" w:rsidP="008547F7">
            <w:pPr>
              <w:pStyle w:val="NoSpacing"/>
              <w:spacing w:before="60" w:line="360" w:lineRule="auto"/>
              <w:jc w:val="right"/>
              <w:rPr>
                <w:rFonts w:ascii="Arial" w:hAnsi="Arial" w:cs="Arial"/>
                <w:b/>
                <w:sz w:val="18"/>
                <w:szCs w:val="18"/>
              </w:rPr>
            </w:pPr>
            <w:r>
              <w:rPr>
                <w:rFonts w:ascii="Arial" w:hAnsi="Arial" w:cs="Arial"/>
                <w:b/>
                <w:sz w:val="18"/>
                <w:szCs w:val="18"/>
              </w:rPr>
              <w:t xml:space="preserve"> $3 072 362</w:t>
            </w:r>
          </w:p>
        </w:tc>
      </w:tr>
      <w:tr w:rsidR="00030089" w:rsidRPr="003D324F" w14:paraId="6D2957EC" w14:textId="77777777" w:rsidTr="008547F7">
        <w:tc>
          <w:tcPr>
            <w:tcW w:w="4584" w:type="dxa"/>
            <w:shd w:val="clear" w:color="auto" w:fill="auto"/>
          </w:tcPr>
          <w:p w14:paraId="1842E187" w14:textId="77777777" w:rsidR="00030089" w:rsidRPr="001505FD" w:rsidRDefault="00030089" w:rsidP="008547F7">
            <w:pPr>
              <w:pStyle w:val="NoSpacing"/>
              <w:spacing w:before="60" w:line="360" w:lineRule="auto"/>
              <w:rPr>
                <w:rFonts w:ascii="Arial" w:hAnsi="Arial" w:cs="Arial"/>
                <w:sz w:val="18"/>
                <w:szCs w:val="18"/>
              </w:rPr>
            </w:pPr>
            <w:r w:rsidRPr="001505FD">
              <w:rPr>
                <w:rFonts w:ascii="Arial" w:hAnsi="Arial" w:cs="Arial"/>
                <w:b/>
                <w:sz w:val="18"/>
                <w:szCs w:val="18"/>
              </w:rPr>
              <w:t>N</w:t>
            </w:r>
            <w:r>
              <w:rPr>
                <w:rFonts w:ascii="Arial" w:hAnsi="Arial" w:cs="Arial"/>
                <w:b/>
                <w:sz w:val="18"/>
                <w:szCs w:val="18"/>
              </w:rPr>
              <w:t>et Present Value</w:t>
            </w:r>
          </w:p>
        </w:tc>
        <w:tc>
          <w:tcPr>
            <w:tcW w:w="2646" w:type="dxa"/>
            <w:shd w:val="clear" w:color="auto" w:fill="auto"/>
          </w:tcPr>
          <w:p w14:paraId="58D2A992" w14:textId="77777777" w:rsidR="00030089" w:rsidRDefault="00030089" w:rsidP="008547F7">
            <w:pPr>
              <w:pStyle w:val="NoSpacing"/>
              <w:spacing w:before="60" w:line="360" w:lineRule="auto"/>
              <w:jc w:val="right"/>
              <w:rPr>
                <w:rFonts w:ascii="Arial" w:hAnsi="Arial" w:cs="Arial"/>
                <w:b/>
                <w:sz w:val="18"/>
                <w:szCs w:val="18"/>
              </w:rPr>
            </w:pPr>
            <w:r>
              <w:rPr>
                <w:rFonts w:ascii="Arial" w:hAnsi="Arial" w:cs="Arial"/>
                <w:b/>
                <w:sz w:val="18"/>
                <w:szCs w:val="18"/>
              </w:rPr>
              <w:t xml:space="preserve"> </w:t>
            </w:r>
          </w:p>
          <w:p w14:paraId="24C0225A" w14:textId="77777777" w:rsidR="00030089" w:rsidRDefault="00030089" w:rsidP="008547F7">
            <w:pPr>
              <w:jc w:val="right"/>
              <w:rPr>
                <w:rFonts w:ascii="Arial" w:hAnsi="Arial" w:cs="Arial"/>
                <w:b/>
                <w:bCs/>
                <w:color w:val="000000"/>
                <w:sz w:val="18"/>
                <w:szCs w:val="18"/>
              </w:rPr>
            </w:pPr>
            <w:r>
              <w:rPr>
                <w:rFonts w:ascii="Arial" w:hAnsi="Arial" w:cs="Arial"/>
                <w:b/>
                <w:bCs/>
                <w:color w:val="000000"/>
                <w:sz w:val="18"/>
                <w:szCs w:val="18"/>
              </w:rPr>
              <w:t>$418 838</w:t>
            </w:r>
          </w:p>
          <w:p w14:paraId="79F2A824" w14:textId="77777777" w:rsidR="00030089" w:rsidRPr="00115EA0" w:rsidRDefault="00030089" w:rsidP="008547F7">
            <w:pPr>
              <w:pStyle w:val="NoSpacing"/>
              <w:spacing w:before="60" w:line="360" w:lineRule="auto"/>
              <w:jc w:val="right"/>
              <w:rPr>
                <w:rFonts w:ascii="Arial" w:hAnsi="Arial" w:cs="Arial"/>
                <w:color w:val="C00000"/>
                <w:sz w:val="18"/>
                <w:szCs w:val="18"/>
              </w:rPr>
            </w:pPr>
          </w:p>
        </w:tc>
      </w:tr>
    </w:tbl>
    <w:p w14:paraId="661EF9AF" w14:textId="77777777" w:rsidR="00030089" w:rsidRDefault="00030089" w:rsidP="00030089">
      <w:pPr>
        <w:pStyle w:val="Footer"/>
        <w:tabs>
          <w:tab w:val="left" w:pos="7513"/>
        </w:tabs>
        <w:spacing w:after="240" w:line="360" w:lineRule="auto"/>
        <w:ind w:right="357"/>
        <w:rPr>
          <w:rFonts w:ascii="Arial" w:hAnsi="Arial" w:cs="Arial"/>
          <w:b/>
          <w:szCs w:val="28"/>
        </w:rPr>
      </w:pPr>
      <w:r>
        <w:rPr>
          <w:rFonts w:ascii="Arial" w:hAnsi="Arial" w:cs="Arial"/>
          <w:b/>
          <w:szCs w:val="28"/>
        </w:rPr>
        <w:t xml:space="preserve"> </w:t>
      </w:r>
      <w:r>
        <w:rPr>
          <w:rFonts w:ascii="Arial" w:hAnsi="Arial" w:cs="Arial"/>
          <w:b/>
          <w:szCs w:val="28"/>
        </w:rPr>
        <w:br/>
      </w:r>
    </w:p>
    <w:p w14:paraId="4D5D9FA4" w14:textId="77777777" w:rsidR="00030089" w:rsidRDefault="00030089" w:rsidP="00030089">
      <w:pPr>
        <w:pStyle w:val="Footer"/>
        <w:tabs>
          <w:tab w:val="left" w:pos="7513"/>
        </w:tabs>
        <w:spacing w:after="240" w:line="360" w:lineRule="auto"/>
        <w:ind w:right="357"/>
        <w:rPr>
          <w:rFonts w:ascii="Arial" w:hAnsi="Arial" w:cs="Arial"/>
          <w:b/>
          <w:szCs w:val="28"/>
        </w:rPr>
      </w:pPr>
      <w:r w:rsidRPr="00617CCA">
        <w:rPr>
          <w:rFonts w:ascii="Arial" w:hAnsi="Arial" w:cs="Arial"/>
          <w:b/>
          <w:szCs w:val="28"/>
        </w:rPr>
        <w:t>NT</w:t>
      </w:r>
      <w:r>
        <w:rPr>
          <w:rFonts w:ascii="Arial" w:hAnsi="Arial" w:cs="Arial"/>
          <w:b/>
          <w:szCs w:val="28"/>
        </w:rPr>
        <w:t xml:space="preserve"> </w:t>
      </w:r>
      <w:r w:rsidRPr="00617CCA">
        <w:rPr>
          <w:rFonts w:ascii="Arial" w:hAnsi="Arial" w:cs="Arial"/>
          <w:b/>
          <w:szCs w:val="28"/>
        </w:rPr>
        <w:t xml:space="preserve">CDS Performance to </w:t>
      </w:r>
      <w:r>
        <w:rPr>
          <w:rFonts w:ascii="Arial" w:hAnsi="Arial" w:cs="Arial"/>
          <w:b/>
          <w:szCs w:val="28"/>
        </w:rPr>
        <w:t>D</w:t>
      </w:r>
      <w:r w:rsidRPr="00617CCA">
        <w:rPr>
          <w:rFonts w:ascii="Arial" w:hAnsi="Arial" w:cs="Arial"/>
          <w:b/>
          <w:szCs w:val="28"/>
        </w:rPr>
        <w:t>ate</w:t>
      </w:r>
      <w:bookmarkStart w:id="230" w:name="_Toc347315454"/>
    </w:p>
    <w:p w14:paraId="1BC23417" w14:textId="77777777" w:rsidR="00030089" w:rsidRDefault="00030089" w:rsidP="00030089">
      <w:pPr>
        <w:jc w:val="both"/>
        <w:rPr>
          <w:rFonts w:ascii="Arial" w:hAnsi="Arial" w:cs="Arial"/>
          <w:b/>
          <w:szCs w:val="28"/>
        </w:rPr>
      </w:pPr>
      <w:r w:rsidRPr="00CD2C9F">
        <w:rPr>
          <w:rFonts w:ascii="Arial" w:hAnsi="Arial" w:cs="Arial"/>
          <w:b/>
          <w:szCs w:val="28"/>
        </w:rPr>
        <w:t>Return Rat</w:t>
      </w:r>
      <w:bookmarkEnd w:id="230"/>
      <w:r>
        <w:rPr>
          <w:rFonts w:ascii="Arial" w:hAnsi="Arial" w:cs="Arial"/>
          <w:b/>
          <w:szCs w:val="28"/>
        </w:rPr>
        <w:t>e</w:t>
      </w:r>
    </w:p>
    <w:p w14:paraId="04552436" w14:textId="77777777" w:rsidR="00030089" w:rsidRPr="00973569" w:rsidRDefault="00030089" w:rsidP="00030089">
      <w:pPr>
        <w:jc w:val="both"/>
        <w:rPr>
          <w:b/>
          <w:kern w:val="32"/>
          <w:szCs w:val="28"/>
        </w:rPr>
      </w:pPr>
      <w:r w:rsidRPr="00EA415E">
        <w:rPr>
          <w:rFonts w:ascii="Arial" w:hAnsi="Arial" w:cs="Arial"/>
          <w:szCs w:val="28"/>
        </w:rPr>
        <w:t>O</w:t>
      </w:r>
      <w:r w:rsidRPr="009966BD">
        <w:rPr>
          <w:rFonts w:ascii="Arial" w:hAnsi="Arial" w:cs="Arial"/>
          <w:szCs w:val="28"/>
        </w:rPr>
        <w:t xml:space="preserve">f the 155 204 413 approved containers sold into the NT during the first year of the CDS’s operation, a total of </w:t>
      </w:r>
      <w:r w:rsidRPr="009966BD">
        <w:rPr>
          <w:rFonts w:ascii="Arial" w:eastAsia="Times New Roman" w:hAnsi="Arial" w:cs="Arial"/>
        </w:rPr>
        <w:t>52</w:t>
      </w:r>
      <w:r>
        <w:rPr>
          <w:rFonts w:ascii="Arial" w:eastAsia="Times New Roman" w:hAnsi="Arial" w:cs="Arial"/>
        </w:rPr>
        <w:t xml:space="preserve"> </w:t>
      </w:r>
      <w:r w:rsidRPr="009966BD">
        <w:rPr>
          <w:rFonts w:ascii="Arial" w:eastAsia="Times New Roman" w:hAnsi="Arial" w:cs="Arial"/>
        </w:rPr>
        <w:t>481</w:t>
      </w:r>
      <w:r>
        <w:rPr>
          <w:rFonts w:ascii="Arial" w:eastAsia="Times New Roman" w:hAnsi="Arial" w:cs="Arial"/>
        </w:rPr>
        <w:t xml:space="preserve"> </w:t>
      </w:r>
      <w:r w:rsidRPr="009966BD">
        <w:rPr>
          <w:rFonts w:ascii="Arial" w:eastAsia="Times New Roman" w:hAnsi="Arial" w:cs="Arial"/>
        </w:rPr>
        <w:t>684 containers were returned to CDS Coordinators</w:t>
      </w:r>
      <w:r>
        <w:rPr>
          <w:rFonts w:ascii="Arial" w:eastAsia="Times New Roman" w:hAnsi="Arial" w:cs="Arial"/>
          <w:vertAlign w:val="superscript"/>
        </w:rPr>
        <w:t>12</w:t>
      </w:r>
      <w:r>
        <w:rPr>
          <w:rFonts w:ascii="Arial" w:eastAsia="Times New Roman" w:hAnsi="Arial" w:cs="Arial"/>
        </w:rPr>
        <w:t>.</w:t>
      </w:r>
      <w:r w:rsidRPr="009966BD">
        <w:rPr>
          <w:rFonts w:ascii="Arial" w:hAnsi="Arial" w:cs="Arial"/>
          <w:szCs w:val="28"/>
        </w:rPr>
        <w:t xml:space="preserve"> </w:t>
      </w:r>
      <w:r w:rsidRPr="009966BD">
        <w:rPr>
          <w:rFonts w:ascii="Arial" w:eastAsia="Times New Roman" w:hAnsi="Arial" w:cs="Arial"/>
        </w:rPr>
        <w:t>These consisted of:</w:t>
      </w:r>
      <w:r w:rsidRPr="00973569">
        <w:rPr>
          <w:szCs w:val="28"/>
        </w:rPr>
        <w:t xml:space="preserve"> </w:t>
      </w:r>
    </w:p>
    <w:p w14:paraId="515AD487" w14:textId="77777777" w:rsidR="00030089" w:rsidRPr="00973569" w:rsidRDefault="00030089" w:rsidP="00030089">
      <w:pPr>
        <w:pStyle w:val="ListParagraph"/>
        <w:numPr>
          <w:ilvl w:val="0"/>
          <w:numId w:val="8"/>
        </w:numPr>
        <w:spacing w:after="200" w:line="360" w:lineRule="auto"/>
        <w:ind w:left="851" w:firstLine="0"/>
        <w:rPr>
          <w:rFonts w:ascii="Arial" w:hAnsi="Arial" w:cs="Arial"/>
          <w:szCs w:val="28"/>
        </w:rPr>
      </w:pPr>
      <w:r w:rsidRPr="00973569">
        <w:rPr>
          <w:rFonts w:ascii="Arial" w:hAnsi="Arial" w:cs="Arial"/>
          <w:szCs w:val="28"/>
        </w:rPr>
        <w:t>26 931 023</w:t>
      </w:r>
      <w:r>
        <w:rPr>
          <w:rFonts w:ascii="Arial" w:hAnsi="Arial" w:cs="Arial"/>
          <w:szCs w:val="28"/>
        </w:rPr>
        <w:t xml:space="preserve"> </w:t>
      </w:r>
      <w:r w:rsidRPr="00973569">
        <w:rPr>
          <w:rFonts w:ascii="Arial" w:hAnsi="Arial" w:cs="Arial"/>
          <w:szCs w:val="28"/>
        </w:rPr>
        <w:t>aluminium cans;</w:t>
      </w:r>
    </w:p>
    <w:p w14:paraId="24981FA1" w14:textId="77777777" w:rsidR="00030089" w:rsidRPr="00973569" w:rsidRDefault="00030089" w:rsidP="00030089">
      <w:pPr>
        <w:pStyle w:val="ListParagraph"/>
        <w:numPr>
          <w:ilvl w:val="0"/>
          <w:numId w:val="8"/>
        </w:numPr>
        <w:spacing w:after="200" w:line="360" w:lineRule="auto"/>
        <w:ind w:left="851" w:firstLine="0"/>
        <w:rPr>
          <w:rFonts w:ascii="Arial" w:hAnsi="Arial" w:cs="Arial"/>
          <w:szCs w:val="28"/>
        </w:rPr>
      </w:pPr>
      <w:r w:rsidRPr="00973569">
        <w:rPr>
          <w:rFonts w:ascii="Arial" w:hAnsi="Arial" w:cs="Arial"/>
          <w:szCs w:val="28"/>
        </w:rPr>
        <w:t>14 835 843 glass containers;</w:t>
      </w:r>
    </w:p>
    <w:p w14:paraId="7B021C21" w14:textId="77777777" w:rsidR="00030089" w:rsidRPr="00973569" w:rsidRDefault="00030089" w:rsidP="00030089">
      <w:pPr>
        <w:pStyle w:val="ListParagraph"/>
        <w:numPr>
          <w:ilvl w:val="0"/>
          <w:numId w:val="8"/>
        </w:numPr>
        <w:spacing w:after="200" w:line="360" w:lineRule="auto"/>
        <w:ind w:left="851" w:firstLine="0"/>
        <w:rPr>
          <w:rFonts w:ascii="Arial" w:hAnsi="Arial" w:cs="Arial"/>
          <w:szCs w:val="28"/>
        </w:rPr>
      </w:pPr>
      <w:r w:rsidRPr="00973569">
        <w:rPr>
          <w:rFonts w:ascii="Arial" w:hAnsi="Arial" w:cs="Arial"/>
          <w:szCs w:val="28"/>
        </w:rPr>
        <w:t>7 907 576 PET containers;</w:t>
      </w:r>
    </w:p>
    <w:p w14:paraId="1AFE2A7B" w14:textId="77777777" w:rsidR="00030089" w:rsidRPr="00973569" w:rsidRDefault="00030089" w:rsidP="00030089">
      <w:pPr>
        <w:pStyle w:val="ListParagraph"/>
        <w:numPr>
          <w:ilvl w:val="0"/>
          <w:numId w:val="8"/>
        </w:numPr>
        <w:spacing w:after="200" w:line="360" w:lineRule="auto"/>
        <w:ind w:left="851" w:firstLine="0"/>
        <w:rPr>
          <w:rFonts w:ascii="Arial" w:hAnsi="Arial" w:cs="Arial"/>
          <w:szCs w:val="28"/>
        </w:rPr>
      </w:pPr>
      <w:r w:rsidRPr="00973569">
        <w:rPr>
          <w:rFonts w:ascii="Arial" w:hAnsi="Arial" w:cs="Arial"/>
          <w:szCs w:val="28"/>
        </w:rPr>
        <w:t>681 411 HDPE containers;</w:t>
      </w:r>
    </w:p>
    <w:p w14:paraId="23B07A57" w14:textId="77777777" w:rsidR="00030089" w:rsidRPr="00973569" w:rsidRDefault="00030089" w:rsidP="00030089">
      <w:pPr>
        <w:pStyle w:val="ListParagraph"/>
        <w:numPr>
          <w:ilvl w:val="0"/>
          <w:numId w:val="8"/>
        </w:numPr>
        <w:spacing w:after="200" w:line="360" w:lineRule="auto"/>
        <w:ind w:left="851" w:firstLine="0"/>
        <w:rPr>
          <w:rFonts w:ascii="Arial" w:hAnsi="Arial" w:cs="Arial"/>
          <w:szCs w:val="28"/>
        </w:rPr>
      </w:pPr>
      <w:r w:rsidRPr="00973569">
        <w:rPr>
          <w:rFonts w:ascii="Arial" w:hAnsi="Arial" w:cs="Arial"/>
          <w:szCs w:val="28"/>
        </w:rPr>
        <w:t>2 035 519 liquid paper board containers; and</w:t>
      </w:r>
    </w:p>
    <w:p w14:paraId="44522449" w14:textId="77777777" w:rsidR="00030089" w:rsidRPr="00973569" w:rsidRDefault="00030089" w:rsidP="00030089">
      <w:pPr>
        <w:pStyle w:val="ListParagraph"/>
        <w:numPr>
          <w:ilvl w:val="0"/>
          <w:numId w:val="8"/>
        </w:numPr>
        <w:spacing w:after="200" w:line="360" w:lineRule="auto"/>
        <w:ind w:left="851" w:firstLine="0"/>
        <w:rPr>
          <w:rFonts w:ascii="Arial" w:hAnsi="Arial" w:cs="Arial"/>
          <w:szCs w:val="28"/>
        </w:rPr>
      </w:pPr>
      <w:r w:rsidRPr="00973569">
        <w:rPr>
          <w:rFonts w:ascii="Arial" w:hAnsi="Arial" w:cs="Arial"/>
          <w:szCs w:val="28"/>
        </w:rPr>
        <w:t>90</w:t>
      </w:r>
      <w:r>
        <w:rPr>
          <w:rFonts w:ascii="Arial" w:hAnsi="Arial" w:cs="Arial"/>
          <w:szCs w:val="28"/>
        </w:rPr>
        <w:t xml:space="preserve"> </w:t>
      </w:r>
      <w:r w:rsidRPr="00973569">
        <w:rPr>
          <w:rFonts w:ascii="Arial" w:hAnsi="Arial" w:cs="Arial"/>
          <w:szCs w:val="28"/>
        </w:rPr>
        <w:t>312</w:t>
      </w:r>
      <w:r>
        <w:rPr>
          <w:rFonts w:ascii="Arial" w:hAnsi="Arial" w:cs="Arial"/>
          <w:szCs w:val="28"/>
        </w:rPr>
        <w:t xml:space="preserve"> </w:t>
      </w:r>
      <w:r w:rsidRPr="00973569">
        <w:rPr>
          <w:rFonts w:ascii="Arial" w:hAnsi="Arial" w:cs="Arial"/>
          <w:szCs w:val="28"/>
        </w:rPr>
        <w:t xml:space="preserve">other containers, including other plastics and steel. </w:t>
      </w:r>
    </w:p>
    <w:p w14:paraId="1E46E5B4" w14:textId="77777777" w:rsidR="00030089" w:rsidRPr="00F702E2" w:rsidRDefault="00030089" w:rsidP="00030089">
      <w:pPr>
        <w:pStyle w:val="Pa7"/>
        <w:spacing w:line="360" w:lineRule="auto"/>
        <w:rPr>
          <w:sz w:val="24"/>
          <w:szCs w:val="24"/>
        </w:rPr>
      </w:pPr>
      <w:r w:rsidRPr="00F702E2">
        <w:rPr>
          <w:sz w:val="24"/>
          <w:szCs w:val="24"/>
        </w:rPr>
        <w:t xml:space="preserve">This equates to a return rate of 33.82 per cent across all material types for the first 12 months, all of which have been recycled/re-used. The return of these containers equates to over $5.25 million in deposits that have been paid out to families, schools, community organisations and commercial operators in the Northern Territory. As Figure 4.1 shows the NT CDS has sustained a steady improvement in return rates. </w:t>
      </w:r>
    </w:p>
    <w:p w14:paraId="20E6F46C" w14:textId="77777777" w:rsidR="00030089" w:rsidRPr="00682556" w:rsidRDefault="00030089" w:rsidP="00030089">
      <w:pPr>
        <w:pStyle w:val="Caption"/>
        <w:keepNext/>
        <w:rPr>
          <w:noProof/>
          <w:color w:val="auto"/>
        </w:rPr>
      </w:pPr>
      <w:r w:rsidRPr="00682556">
        <w:rPr>
          <w:noProof/>
          <w:color w:val="auto"/>
        </w:rPr>
        <w:lastRenderedPageBreak/>
        <w:fldChar w:fldCharType="begin"/>
      </w:r>
      <w:r w:rsidRPr="00682556">
        <w:rPr>
          <w:noProof/>
          <w:color w:val="auto"/>
        </w:rPr>
        <w:instrText xml:space="preserve"> SEQ Figure \* ARABIC </w:instrText>
      </w:r>
      <w:r w:rsidRPr="00682556">
        <w:rPr>
          <w:noProof/>
          <w:color w:val="auto"/>
        </w:rPr>
        <w:fldChar w:fldCharType="separate"/>
      </w:r>
      <w:bookmarkStart w:id="231" w:name="_Toc353562504"/>
      <w:r w:rsidR="00740026">
        <w:rPr>
          <w:noProof/>
          <w:color w:val="auto"/>
        </w:rPr>
        <w:t>23</w:t>
      </w:r>
      <w:r w:rsidRPr="00682556">
        <w:rPr>
          <w:noProof/>
          <w:color w:val="auto"/>
        </w:rPr>
        <w:fldChar w:fldCharType="end"/>
      </w:r>
      <w:r w:rsidRPr="00682556">
        <w:rPr>
          <w:noProof/>
          <w:color w:val="auto"/>
        </w:rPr>
        <w:t xml:space="preserve"> Figure 4.1: NT CDS containers returned to CDS Coordinators in 2012</w:t>
      </w:r>
      <w:bookmarkEnd w:id="231"/>
    </w:p>
    <w:p w14:paraId="573B9864" w14:textId="77777777" w:rsidR="00030089" w:rsidRPr="00EA415E" w:rsidRDefault="00030089" w:rsidP="00030089">
      <w:pPr>
        <w:rPr>
          <w:rFonts w:ascii="Arial" w:hAnsi="Arial" w:cs="Arial"/>
          <w:b/>
          <w:sz w:val="18"/>
          <w:szCs w:val="20"/>
        </w:rPr>
      </w:pPr>
      <w:r>
        <w:rPr>
          <w:noProof/>
          <w:lang w:eastAsia="en-AU"/>
        </w:rPr>
        <w:drawing>
          <wp:inline distT="0" distB="0" distL="0" distR="0" wp14:anchorId="76E81061" wp14:editId="3FC94583">
            <wp:extent cx="5229225" cy="32004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95FDF2" w14:textId="77777777" w:rsidR="00F702E2" w:rsidRDefault="00F702E2" w:rsidP="00030089">
      <w:pPr>
        <w:pStyle w:val="Header"/>
        <w:spacing w:before="120" w:after="120" w:line="360" w:lineRule="auto"/>
        <w:jc w:val="both"/>
        <w:rPr>
          <w:rFonts w:ascii="Arial" w:hAnsi="Arial" w:cs="Arial"/>
          <w:b/>
          <w:szCs w:val="28"/>
        </w:rPr>
      </w:pPr>
      <w:bookmarkStart w:id="232" w:name="_Toc347315455"/>
    </w:p>
    <w:p w14:paraId="24522745" w14:textId="77777777" w:rsidR="00030089" w:rsidRPr="004524DE" w:rsidRDefault="00030089" w:rsidP="00030089">
      <w:pPr>
        <w:pStyle w:val="Header"/>
        <w:spacing w:before="120" w:after="120" w:line="360" w:lineRule="auto"/>
        <w:jc w:val="both"/>
        <w:rPr>
          <w:rFonts w:ascii="Arial" w:hAnsi="Arial" w:cs="Arial"/>
          <w:b/>
          <w:szCs w:val="28"/>
        </w:rPr>
      </w:pPr>
      <w:r w:rsidRPr="004524DE">
        <w:rPr>
          <w:rFonts w:ascii="Arial" w:hAnsi="Arial" w:cs="Arial"/>
          <w:b/>
          <w:szCs w:val="28"/>
        </w:rPr>
        <w:t xml:space="preserve">Recycling Rate </w:t>
      </w:r>
    </w:p>
    <w:p w14:paraId="7EB94DF7" w14:textId="77777777" w:rsidR="00030089" w:rsidRDefault="00030089" w:rsidP="00030089">
      <w:pPr>
        <w:pStyle w:val="Header"/>
        <w:spacing w:before="120" w:after="120" w:line="360" w:lineRule="auto"/>
        <w:jc w:val="both"/>
        <w:rPr>
          <w:rFonts w:ascii="Arial" w:hAnsi="Arial" w:cs="Arial"/>
          <w:szCs w:val="28"/>
        </w:rPr>
      </w:pPr>
      <w:r w:rsidRPr="00940DCC">
        <w:rPr>
          <w:rFonts w:ascii="Arial" w:hAnsi="Arial" w:cs="Arial"/>
          <w:szCs w:val="28"/>
        </w:rPr>
        <w:t xml:space="preserve">As </w:t>
      </w:r>
      <w:r>
        <w:rPr>
          <w:rFonts w:ascii="Arial" w:hAnsi="Arial" w:cs="Arial"/>
          <w:szCs w:val="28"/>
        </w:rPr>
        <w:t>Table 4.14</w:t>
      </w:r>
      <w:r w:rsidRPr="00940DCC">
        <w:rPr>
          <w:rFonts w:ascii="Arial" w:hAnsi="Arial" w:cs="Arial"/>
          <w:szCs w:val="28"/>
        </w:rPr>
        <w:t xml:space="preserve"> suggests, the NT CDS has, to date, led to a very significant rise in the </w:t>
      </w:r>
      <w:r>
        <w:rPr>
          <w:rFonts w:ascii="Arial" w:hAnsi="Arial" w:cs="Arial"/>
          <w:szCs w:val="28"/>
        </w:rPr>
        <w:t xml:space="preserve">beverage container </w:t>
      </w:r>
      <w:r w:rsidRPr="00940DCC">
        <w:rPr>
          <w:rFonts w:ascii="Arial" w:hAnsi="Arial" w:cs="Arial"/>
          <w:szCs w:val="28"/>
        </w:rPr>
        <w:t xml:space="preserve">recycling rate in the NT. </w:t>
      </w:r>
      <w:r w:rsidRPr="00973569">
        <w:rPr>
          <w:rFonts w:ascii="Arial" w:hAnsi="Arial" w:cs="Arial"/>
          <w:szCs w:val="28"/>
        </w:rPr>
        <w:t xml:space="preserve">In </w:t>
      </w:r>
      <w:r>
        <w:rPr>
          <w:rFonts w:ascii="Arial" w:hAnsi="Arial" w:cs="Arial"/>
          <w:szCs w:val="28"/>
        </w:rPr>
        <w:t>its</w:t>
      </w:r>
      <w:r w:rsidRPr="00973569">
        <w:rPr>
          <w:rFonts w:ascii="Arial" w:hAnsi="Arial" w:cs="Arial"/>
          <w:szCs w:val="28"/>
        </w:rPr>
        <w:t xml:space="preserve"> first year of operation the NT CDS has seen beverage container recycling increase by </w:t>
      </w:r>
      <w:r w:rsidRPr="002C3790">
        <w:rPr>
          <w:rFonts w:ascii="Arial" w:hAnsi="Arial" w:cs="Arial"/>
          <w:szCs w:val="28"/>
        </w:rPr>
        <w:t xml:space="preserve">some </w:t>
      </w:r>
      <w:r>
        <w:rPr>
          <w:rFonts w:ascii="Arial" w:hAnsi="Arial" w:cs="Arial"/>
          <w:szCs w:val="28"/>
        </w:rPr>
        <w:t>2 472</w:t>
      </w:r>
      <w:r w:rsidRPr="00E20792">
        <w:rPr>
          <w:rFonts w:ascii="Arial" w:hAnsi="Arial" w:cs="Arial"/>
          <w:szCs w:val="28"/>
        </w:rPr>
        <w:t xml:space="preserve"> tonnes.</w:t>
      </w:r>
      <w:r>
        <w:rPr>
          <w:rFonts w:ascii="Arial" w:hAnsi="Arial" w:cs="Arial"/>
          <w:szCs w:val="28"/>
        </w:rPr>
        <w:t xml:space="preserve"> This figure is an increase over and above container recycling already undertaken by way of kerbside recycling before the scheme was introduced</w:t>
      </w:r>
      <w:r w:rsidRPr="00E20792">
        <w:rPr>
          <w:rFonts w:ascii="Arial" w:hAnsi="Arial" w:cs="Arial"/>
          <w:szCs w:val="28"/>
        </w:rPr>
        <w:t>.</w:t>
      </w:r>
      <w:r>
        <w:rPr>
          <w:rFonts w:ascii="Arial" w:hAnsi="Arial" w:cs="Arial"/>
          <w:szCs w:val="28"/>
        </w:rPr>
        <w:t xml:space="preserve"> To date 100% of this material has been recycled, although there is potential in the future for some reuse of materials to occur. This increase represents a 173.4 per cent increase in beverage container recycling in the NT since the scheme’s introduction.</w:t>
      </w:r>
    </w:p>
    <w:p w14:paraId="25F0FD02" w14:textId="77777777" w:rsidR="00030089" w:rsidRDefault="00030089" w:rsidP="00030089">
      <w:pPr>
        <w:pStyle w:val="Header"/>
        <w:spacing w:before="120" w:after="120" w:line="360" w:lineRule="auto"/>
        <w:jc w:val="both"/>
        <w:rPr>
          <w:rFonts w:ascii="Arial" w:hAnsi="Arial" w:cs="Arial"/>
          <w:szCs w:val="28"/>
        </w:rPr>
      </w:pPr>
    </w:p>
    <w:p w14:paraId="29270E5E" w14:textId="3604C38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33" w:name="_Toc353562505"/>
      <w:r w:rsidR="00740026">
        <w:rPr>
          <w:noProof/>
          <w:color w:val="auto"/>
        </w:rPr>
        <w:t>24</w:t>
      </w:r>
      <w:r w:rsidRPr="00682556">
        <w:rPr>
          <w:noProof/>
          <w:color w:val="auto"/>
        </w:rPr>
        <w:fldChar w:fldCharType="end"/>
      </w:r>
      <w:bookmarkStart w:id="234" w:name="_Toc351023670"/>
      <w:r>
        <w:rPr>
          <w:noProof/>
          <w:color w:val="auto"/>
        </w:rPr>
        <mc:AlternateContent>
          <mc:Choice Requires="wps">
            <w:drawing>
              <wp:anchor distT="0" distB="0" distL="114300" distR="114300" simplePos="0" relativeHeight="251657216" behindDoc="0" locked="0" layoutInCell="1" allowOverlap="1" wp14:anchorId="099568E4" wp14:editId="7A374952">
                <wp:simplePos x="0" y="0"/>
                <wp:positionH relativeFrom="column">
                  <wp:posOffset>-30480</wp:posOffset>
                </wp:positionH>
                <wp:positionV relativeFrom="paragraph">
                  <wp:posOffset>196215</wp:posOffset>
                </wp:positionV>
                <wp:extent cx="5810250" cy="25012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501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2260"/>
                              <w:gridCol w:w="2260"/>
                              <w:gridCol w:w="2260"/>
                            </w:tblGrid>
                            <w:tr w:rsidR="00290CD0" w:rsidRPr="00F82FA4" w14:paraId="554D8E3C" w14:textId="77777777" w:rsidTr="008547F7">
                              <w:trPr>
                                <w:trHeight w:val="765"/>
                              </w:trPr>
                              <w:tc>
                                <w:tcPr>
                                  <w:tcW w:w="2259" w:type="dxa"/>
                                  <w:shd w:val="pct10" w:color="auto" w:fill="FFFFFF" w:themeFill="background1"/>
                                  <w:noWrap/>
                                  <w:hideMark/>
                                </w:tcPr>
                                <w:p w14:paraId="13E799F2" w14:textId="77777777" w:rsidR="00290CD0" w:rsidRPr="00F82FA4" w:rsidRDefault="00290CD0" w:rsidP="008547F7">
                                  <w:pPr>
                                    <w:spacing w:after="0" w:line="240" w:lineRule="auto"/>
                                    <w:rPr>
                                      <w:rFonts w:ascii="Arial" w:eastAsia="Times New Roman" w:hAnsi="Arial" w:cs="Arial"/>
                                      <w:b/>
                                      <w:sz w:val="18"/>
                                      <w:szCs w:val="18"/>
                                    </w:rPr>
                                  </w:pPr>
                                  <w:r w:rsidRPr="00F82FA4">
                                    <w:rPr>
                                      <w:rFonts w:ascii="Arial" w:eastAsia="Times New Roman" w:hAnsi="Arial" w:cs="Arial"/>
                                      <w:b/>
                                      <w:sz w:val="18"/>
                                      <w:szCs w:val="18"/>
                                    </w:rPr>
                                    <w:t>Materials</w:t>
                                  </w:r>
                                </w:p>
                              </w:tc>
                              <w:tc>
                                <w:tcPr>
                                  <w:tcW w:w="2260" w:type="dxa"/>
                                  <w:shd w:val="pct10" w:color="auto" w:fill="FFFFFF" w:themeFill="background1"/>
                                </w:tcPr>
                                <w:p w14:paraId="3709A318" w14:textId="77777777" w:rsidR="00290CD0" w:rsidRDefault="00290CD0" w:rsidP="008547F7">
                                  <w:pPr>
                                    <w:spacing w:after="0" w:line="240" w:lineRule="auto"/>
                                    <w:jc w:val="right"/>
                                    <w:rPr>
                                      <w:rFonts w:ascii="Arial" w:eastAsia="Times New Roman" w:hAnsi="Arial" w:cs="Arial"/>
                                      <w:b/>
                                      <w:sz w:val="18"/>
                                      <w:szCs w:val="18"/>
                                    </w:rPr>
                                  </w:pPr>
                                  <w:r>
                                    <w:rPr>
                                      <w:rFonts w:ascii="Arial" w:eastAsia="Times New Roman" w:hAnsi="Arial" w:cs="Arial"/>
                                      <w:b/>
                                      <w:sz w:val="18"/>
                                      <w:szCs w:val="18"/>
                                    </w:rPr>
                                    <w:t>B</w:t>
                                  </w:r>
                                  <w:r w:rsidRPr="00F82FA4">
                                    <w:rPr>
                                      <w:rFonts w:ascii="Arial" w:eastAsia="Times New Roman" w:hAnsi="Arial" w:cs="Arial"/>
                                      <w:b/>
                                      <w:sz w:val="18"/>
                                      <w:szCs w:val="18"/>
                                    </w:rPr>
                                    <w:t xml:space="preserve">everage containers recycled pre NT CDS </w:t>
                                  </w:r>
                                </w:p>
                                <w:p w14:paraId="07C2A2D1" w14:textId="77777777" w:rsidR="00290CD0" w:rsidRPr="00F82FA4" w:rsidRDefault="00290CD0" w:rsidP="008547F7">
                                  <w:pPr>
                                    <w:spacing w:after="0" w:line="240" w:lineRule="auto"/>
                                    <w:jc w:val="right"/>
                                    <w:rPr>
                                      <w:rFonts w:ascii="Arial" w:eastAsia="Times New Roman" w:hAnsi="Arial" w:cs="Arial"/>
                                      <w:b/>
                                      <w:sz w:val="18"/>
                                      <w:szCs w:val="18"/>
                                    </w:rPr>
                                  </w:pPr>
                                  <w:r>
                                    <w:rPr>
                                      <w:rFonts w:ascii="Arial" w:eastAsia="Times New Roman" w:hAnsi="Arial" w:cs="Arial"/>
                                      <w:b/>
                                      <w:sz w:val="18"/>
                                      <w:szCs w:val="18"/>
                                    </w:rPr>
                                    <w:t>(tonnes)</w:t>
                                  </w:r>
                                </w:p>
                              </w:tc>
                              <w:tc>
                                <w:tcPr>
                                  <w:tcW w:w="2260" w:type="dxa"/>
                                  <w:shd w:val="pct10" w:color="auto" w:fill="FFFFFF" w:themeFill="background1"/>
                                  <w:hideMark/>
                                </w:tcPr>
                                <w:p w14:paraId="50ECF042" w14:textId="77777777" w:rsidR="00290CD0" w:rsidRDefault="00290CD0" w:rsidP="008547F7">
                                  <w:pPr>
                                    <w:spacing w:after="0" w:line="240" w:lineRule="auto"/>
                                    <w:jc w:val="right"/>
                                    <w:rPr>
                                      <w:rFonts w:ascii="Arial" w:eastAsia="Times New Roman" w:hAnsi="Arial" w:cs="Arial"/>
                                      <w:b/>
                                      <w:sz w:val="18"/>
                                      <w:szCs w:val="18"/>
                                    </w:rPr>
                                  </w:pPr>
                                  <w:r>
                                    <w:rPr>
                                      <w:rFonts w:ascii="Arial" w:eastAsia="Times New Roman" w:hAnsi="Arial" w:cs="Arial"/>
                                      <w:b/>
                                      <w:sz w:val="18"/>
                                      <w:szCs w:val="18"/>
                                    </w:rPr>
                                    <w:t>B</w:t>
                                  </w:r>
                                  <w:r w:rsidRPr="00F82FA4">
                                    <w:rPr>
                                      <w:rFonts w:ascii="Arial" w:eastAsia="Times New Roman" w:hAnsi="Arial" w:cs="Arial"/>
                                      <w:b/>
                                      <w:sz w:val="18"/>
                                      <w:szCs w:val="18"/>
                                    </w:rPr>
                                    <w:t>everage containers recycled from NT CDS</w:t>
                                  </w:r>
                                </w:p>
                                <w:p w14:paraId="2CCA06FE" w14:textId="77777777" w:rsidR="00290CD0" w:rsidRPr="00F82FA4" w:rsidRDefault="00290CD0" w:rsidP="008547F7">
                                  <w:pPr>
                                    <w:spacing w:after="0" w:line="240" w:lineRule="auto"/>
                                    <w:jc w:val="right"/>
                                    <w:rPr>
                                      <w:rFonts w:ascii="Arial" w:eastAsia="Times New Roman" w:hAnsi="Arial" w:cs="Arial"/>
                                      <w:b/>
                                      <w:sz w:val="18"/>
                                      <w:szCs w:val="18"/>
                                    </w:rPr>
                                  </w:pPr>
                                  <w:r>
                                    <w:rPr>
                                      <w:rFonts w:ascii="Arial" w:eastAsia="Times New Roman" w:hAnsi="Arial" w:cs="Arial"/>
                                      <w:b/>
                                      <w:sz w:val="18"/>
                                      <w:szCs w:val="18"/>
                                    </w:rPr>
                                    <w:t>(tonnes)</w:t>
                                  </w:r>
                                </w:p>
                              </w:tc>
                              <w:tc>
                                <w:tcPr>
                                  <w:tcW w:w="2260" w:type="dxa"/>
                                  <w:shd w:val="pct10" w:color="auto" w:fill="FFFFFF" w:themeFill="background1"/>
                                </w:tcPr>
                                <w:p w14:paraId="5D7B1125" w14:textId="77777777" w:rsidR="00290CD0" w:rsidRPr="00F82FA4" w:rsidRDefault="00290CD0" w:rsidP="008547F7">
                                  <w:pPr>
                                    <w:spacing w:after="0" w:line="240" w:lineRule="auto"/>
                                    <w:jc w:val="right"/>
                                    <w:rPr>
                                      <w:rFonts w:ascii="Arial" w:eastAsia="Times New Roman" w:hAnsi="Arial" w:cs="Arial"/>
                                      <w:b/>
                                      <w:sz w:val="18"/>
                                      <w:szCs w:val="18"/>
                                    </w:rPr>
                                  </w:pPr>
                                  <w:r w:rsidRPr="00F82FA4">
                                    <w:rPr>
                                      <w:rFonts w:ascii="Arial" w:eastAsia="Times New Roman" w:hAnsi="Arial" w:cs="Arial"/>
                                      <w:b/>
                                      <w:sz w:val="18"/>
                                      <w:szCs w:val="18"/>
                                    </w:rPr>
                                    <w:t>Beverage container recycling increase (tonnes)</w:t>
                                  </w:r>
                                </w:p>
                              </w:tc>
                            </w:tr>
                            <w:tr w:rsidR="00290CD0" w:rsidRPr="00F82FA4" w14:paraId="3CF724B7" w14:textId="77777777" w:rsidTr="008547F7">
                              <w:trPr>
                                <w:trHeight w:val="300"/>
                              </w:trPr>
                              <w:tc>
                                <w:tcPr>
                                  <w:tcW w:w="2259" w:type="dxa"/>
                                  <w:shd w:val="clear" w:color="auto" w:fill="auto"/>
                                  <w:noWrap/>
                                  <w:vAlign w:val="center"/>
                                  <w:hideMark/>
                                </w:tcPr>
                                <w:p w14:paraId="1B566CD0" w14:textId="77777777" w:rsidR="00290CD0" w:rsidRPr="00F82FA4" w:rsidRDefault="00290CD0" w:rsidP="008547F7">
                                  <w:pPr>
                                    <w:spacing w:after="0" w:line="240" w:lineRule="auto"/>
                                    <w:rPr>
                                      <w:rFonts w:ascii="Arial" w:eastAsia="Times New Roman" w:hAnsi="Arial" w:cs="Arial"/>
                                      <w:sz w:val="18"/>
                                      <w:szCs w:val="18"/>
                                    </w:rPr>
                                  </w:pPr>
                                  <w:r w:rsidRPr="00F82FA4">
                                    <w:rPr>
                                      <w:rFonts w:ascii="Arial" w:eastAsia="Times New Roman" w:hAnsi="Arial" w:cs="Arial"/>
                                      <w:sz w:val="18"/>
                                      <w:szCs w:val="18"/>
                                    </w:rPr>
                                    <w:t>Paper etc</w:t>
                                  </w:r>
                                </w:p>
                              </w:tc>
                              <w:tc>
                                <w:tcPr>
                                  <w:tcW w:w="2260" w:type="dxa"/>
                                  <w:shd w:val="clear" w:color="auto" w:fill="auto"/>
                                </w:tcPr>
                                <w:p w14:paraId="5D99394F"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0</w:t>
                                  </w:r>
                                </w:p>
                              </w:tc>
                              <w:tc>
                                <w:tcPr>
                                  <w:tcW w:w="2260" w:type="dxa"/>
                                  <w:shd w:val="clear" w:color="auto" w:fill="auto"/>
                                  <w:noWrap/>
                                  <w:hideMark/>
                                </w:tcPr>
                                <w:p w14:paraId="5A386C0E"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0</w:t>
                                  </w:r>
                                </w:p>
                              </w:tc>
                              <w:tc>
                                <w:tcPr>
                                  <w:tcW w:w="2260" w:type="dxa"/>
                                  <w:shd w:val="clear" w:color="auto" w:fill="auto"/>
                                </w:tcPr>
                                <w:p w14:paraId="4196458E"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0</w:t>
                                  </w:r>
                                </w:p>
                              </w:tc>
                            </w:tr>
                            <w:tr w:rsidR="00290CD0" w:rsidRPr="00F82FA4" w14:paraId="0939DC0A" w14:textId="77777777" w:rsidTr="008547F7">
                              <w:trPr>
                                <w:trHeight w:val="300"/>
                              </w:trPr>
                              <w:tc>
                                <w:tcPr>
                                  <w:tcW w:w="2259" w:type="dxa"/>
                                  <w:shd w:val="clear" w:color="auto" w:fill="auto"/>
                                  <w:noWrap/>
                                  <w:vAlign w:val="center"/>
                                  <w:hideMark/>
                                </w:tcPr>
                                <w:p w14:paraId="704848EF" w14:textId="77777777" w:rsidR="00290CD0" w:rsidRPr="00F82FA4" w:rsidRDefault="00290CD0" w:rsidP="008547F7">
                                  <w:pPr>
                                    <w:spacing w:after="0" w:line="240" w:lineRule="auto"/>
                                    <w:rPr>
                                      <w:rFonts w:ascii="Arial" w:eastAsia="Times New Roman" w:hAnsi="Arial" w:cs="Arial"/>
                                      <w:sz w:val="18"/>
                                      <w:szCs w:val="18"/>
                                    </w:rPr>
                                  </w:pPr>
                                  <w:r w:rsidRPr="00F82FA4">
                                    <w:rPr>
                                      <w:rFonts w:ascii="Arial" w:eastAsia="Times New Roman" w:hAnsi="Arial" w:cs="Arial"/>
                                      <w:sz w:val="18"/>
                                      <w:szCs w:val="18"/>
                                    </w:rPr>
                                    <w:t>Glass</w:t>
                                  </w:r>
                                </w:p>
                              </w:tc>
                              <w:tc>
                                <w:tcPr>
                                  <w:tcW w:w="2260" w:type="dxa"/>
                                  <w:shd w:val="clear" w:color="auto" w:fill="auto"/>
                                </w:tcPr>
                                <w:p w14:paraId="2022EB77"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1 244</w:t>
                                  </w:r>
                                </w:p>
                              </w:tc>
                              <w:tc>
                                <w:tcPr>
                                  <w:tcW w:w="2260" w:type="dxa"/>
                                  <w:shd w:val="clear" w:color="auto" w:fill="auto"/>
                                  <w:noWrap/>
                                  <w:hideMark/>
                                </w:tcPr>
                                <w:p w14:paraId="76B00A9F" w14:textId="77777777" w:rsidR="00290CD0" w:rsidRPr="00F82FA4" w:rsidRDefault="00290CD0" w:rsidP="008547F7">
                                  <w:pPr>
                                    <w:spacing w:after="0" w:line="240" w:lineRule="auto"/>
                                    <w:jc w:val="right"/>
                                    <w:rPr>
                                      <w:rFonts w:ascii="Arial" w:eastAsia="Times New Roman" w:hAnsi="Arial" w:cs="Arial"/>
                                      <w:sz w:val="18"/>
                                      <w:szCs w:val="18"/>
                                    </w:rPr>
                                  </w:pPr>
                                  <w:r>
                                    <w:rPr>
                                      <w:rFonts w:ascii="Arial" w:eastAsia="Times New Roman" w:hAnsi="Arial" w:cs="Arial"/>
                                      <w:sz w:val="18"/>
                                      <w:szCs w:val="18"/>
                                    </w:rPr>
                                    <w:t>3 101</w:t>
                                  </w:r>
                                </w:p>
                              </w:tc>
                              <w:tc>
                                <w:tcPr>
                                  <w:tcW w:w="2260" w:type="dxa"/>
                                  <w:shd w:val="clear" w:color="auto" w:fill="auto"/>
                                </w:tcPr>
                                <w:p w14:paraId="5A946029" w14:textId="77777777" w:rsidR="00290CD0" w:rsidRPr="00F82FA4" w:rsidRDefault="00290CD0" w:rsidP="008547F7">
                                  <w:pPr>
                                    <w:spacing w:after="0" w:line="240" w:lineRule="auto"/>
                                    <w:jc w:val="right"/>
                                    <w:rPr>
                                      <w:rFonts w:ascii="Arial" w:eastAsia="Times New Roman" w:hAnsi="Arial" w:cs="Arial"/>
                                      <w:sz w:val="18"/>
                                      <w:szCs w:val="18"/>
                                    </w:rPr>
                                  </w:pPr>
                                  <w:r>
                                    <w:rPr>
                                      <w:rFonts w:ascii="Arial" w:eastAsia="Times New Roman" w:hAnsi="Arial" w:cs="Arial"/>
                                      <w:sz w:val="18"/>
                                      <w:szCs w:val="18"/>
                                    </w:rPr>
                                    <w:t>1 857</w:t>
                                  </w:r>
                                </w:p>
                              </w:tc>
                            </w:tr>
                            <w:tr w:rsidR="00290CD0" w:rsidRPr="00F82FA4" w14:paraId="58E7D06B" w14:textId="77777777" w:rsidTr="008547F7">
                              <w:trPr>
                                <w:trHeight w:val="300"/>
                              </w:trPr>
                              <w:tc>
                                <w:tcPr>
                                  <w:tcW w:w="2259" w:type="dxa"/>
                                  <w:shd w:val="clear" w:color="auto" w:fill="auto"/>
                                  <w:noWrap/>
                                  <w:vAlign w:val="center"/>
                                </w:tcPr>
                                <w:p w14:paraId="0BBB28A1" w14:textId="77777777" w:rsidR="00290CD0" w:rsidRPr="00F82FA4" w:rsidRDefault="00290CD0" w:rsidP="008547F7">
                                  <w:pPr>
                                    <w:spacing w:after="0" w:line="240" w:lineRule="auto"/>
                                    <w:rPr>
                                      <w:rFonts w:ascii="Arial" w:eastAsia="Times New Roman" w:hAnsi="Arial" w:cs="Arial"/>
                                      <w:sz w:val="18"/>
                                      <w:szCs w:val="18"/>
                                    </w:rPr>
                                  </w:pPr>
                                  <w:r w:rsidRPr="00F82FA4">
                                    <w:rPr>
                                      <w:rFonts w:ascii="Arial" w:eastAsia="Times New Roman" w:hAnsi="Arial" w:cs="Arial"/>
                                      <w:sz w:val="18"/>
                                      <w:szCs w:val="18"/>
                                    </w:rPr>
                                    <w:t>HDPE</w:t>
                                  </w:r>
                                </w:p>
                              </w:tc>
                              <w:tc>
                                <w:tcPr>
                                  <w:tcW w:w="2260" w:type="dxa"/>
                                  <w:shd w:val="clear" w:color="auto" w:fill="auto"/>
                                </w:tcPr>
                                <w:p w14:paraId="2612566C" w14:textId="77777777" w:rsidR="00290CD0" w:rsidRPr="00F82FA4" w:rsidRDefault="00290CD0" w:rsidP="008547F7">
                                  <w:pPr>
                                    <w:spacing w:after="0" w:line="240" w:lineRule="auto"/>
                                    <w:jc w:val="right"/>
                                    <w:rPr>
                                      <w:rFonts w:ascii="Arial" w:eastAsia="Times New Roman" w:hAnsi="Arial" w:cs="Arial"/>
                                      <w:sz w:val="18"/>
                                      <w:szCs w:val="18"/>
                                    </w:rPr>
                                  </w:pPr>
                                </w:p>
                              </w:tc>
                              <w:tc>
                                <w:tcPr>
                                  <w:tcW w:w="2260" w:type="dxa"/>
                                  <w:shd w:val="clear" w:color="auto" w:fill="auto"/>
                                  <w:noWrap/>
                                </w:tcPr>
                                <w:p w14:paraId="288A2DF9"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34</w:t>
                                  </w:r>
                                </w:p>
                              </w:tc>
                              <w:tc>
                                <w:tcPr>
                                  <w:tcW w:w="2260" w:type="dxa"/>
                                  <w:shd w:val="clear" w:color="auto" w:fill="auto"/>
                                </w:tcPr>
                                <w:p w14:paraId="581280E6"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34</w:t>
                                  </w:r>
                                </w:p>
                              </w:tc>
                            </w:tr>
                            <w:tr w:rsidR="00290CD0" w:rsidRPr="00F82FA4" w14:paraId="343395BA" w14:textId="77777777" w:rsidTr="008547F7">
                              <w:trPr>
                                <w:trHeight w:val="300"/>
                              </w:trPr>
                              <w:tc>
                                <w:tcPr>
                                  <w:tcW w:w="2259" w:type="dxa"/>
                                  <w:shd w:val="clear" w:color="auto" w:fill="auto"/>
                                  <w:noWrap/>
                                  <w:vAlign w:val="center"/>
                                  <w:hideMark/>
                                </w:tcPr>
                                <w:p w14:paraId="5033830B" w14:textId="77777777" w:rsidR="00290CD0" w:rsidRPr="00F82FA4" w:rsidRDefault="00290CD0" w:rsidP="008547F7">
                                  <w:pPr>
                                    <w:spacing w:after="0" w:line="240" w:lineRule="auto"/>
                                    <w:rPr>
                                      <w:rFonts w:ascii="Arial" w:eastAsia="Times New Roman" w:hAnsi="Arial" w:cs="Arial"/>
                                      <w:sz w:val="18"/>
                                      <w:szCs w:val="18"/>
                                    </w:rPr>
                                  </w:pPr>
                                  <w:r w:rsidRPr="00F82FA4">
                                    <w:rPr>
                                      <w:rFonts w:ascii="Arial" w:eastAsia="Times New Roman" w:hAnsi="Arial" w:cs="Arial"/>
                                      <w:sz w:val="18"/>
                                      <w:szCs w:val="18"/>
                                    </w:rPr>
                                    <w:t>PET</w:t>
                                  </w:r>
                                </w:p>
                              </w:tc>
                              <w:tc>
                                <w:tcPr>
                                  <w:tcW w:w="2260" w:type="dxa"/>
                                  <w:shd w:val="clear" w:color="auto" w:fill="auto"/>
                                </w:tcPr>
                                <w:p w14:paraId="63372598"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74</w:t>
                                  </w:r>
                                </w:p>
                              </w:tc>
                              <w:tc>
                                <w:tcPr>
                                  <w:tcW w:w="2260" w:type="dxa"/>
                                  <w:shd w:val="clear" w:color="auto" w:fill="auto"/>
                                  <w:noWrap/>
                                  <w:hideMark/>
                                </w:tcPr>
                                <w:p w14:paraId="55AA27F0"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271</w:t>
                                  </w:r>
                                </w:p>
                              </w:tc>
                              <w:tc>
                                <w:tcPr>
                                  <w:tcW w:w="2260" w:type="dxa"/>
                                  <w:shd w:val="clear" w:color="auto" w:fill="auto"/>
                                </w:tcPr>
                                <w:p w14:paraId="7BCAF55B"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197</w:t>
                                  </w:r>
                                </w:p>
                              </w:tc>
                            </w:tr>
                            <w:tr w:rsidR="00290CD0" w:rsidRPr="00F82FA4" w14:paraId="6F785E8D" w14:textId="77777777" w:rsidTr="008547F7">
                              <w:trPr>
                                <w:trHeight w:val="300"/>
                              </w:trPr>
                              <w:tc>
                                <w:tcPr>
                                  <w:tcW w:w="2259" w:type="dxa"/>
                                  <w:shd w:val="clear" w:color="auto" w:fill="auto"/>
                                  <w:noWrap/>
                                  <w:vAlign w:val="center"/>
                                  <w:hideMark/>
                                </w:tcPr>
                                <w:p w14:paraId="3A03C92D" w14:textId="77777777" w:rsidR="00290CD0" w:rsidRPr="00F82FA4" w:rsidRDefault="00290CD0" w:rsidP="008547F7">
                                  <w:pPr>
                                    <w:spacing w:after="0" w:line="240" w:lineRule="auto"/>
                                    <w:rPr>
                                      <w:rFonts w:ascii="Arial" w:eastAsia="Times New Roman" w:hAnsi="Arial" w:cs="Arial"/>
                                      <w:sz w:val="18"/>
                                      <w:szCs w:val="18"/>
                                    </w:rPr>
                                  </w:pPr>
                                  <w:r w:rsidRPr="00F82FA4">
                                    <w:rPr>
                                      <w:rFonts w:ascii="Arial" w:eastAsia="Times New Roman" w:hAnsi="Arial" w:cs="Arial"/>
                                      <w:sz w:val="18"/>
                                      <w:szCs w:val="18"/>
                                    </w:rPr>
                                    <w:t>Aluminium</w:t>
                                  </w:r>
                                </w:p>
                              </w:tc>
                              <w:tc>
                                <w:tcPr>
                                  <w:tcW w:w="2260" w:type="dxa"/>
                                  <w:shd w:val="clear" w:color="auto" w:fill="auto"/>
                                </w:tcPr>
                                <w:p w14:paraId="3E499D90"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107</w:t>
                                  </w:r>
                                </w:p>
                              </w:tc>
                              <w:tc>
                                <w:tcPr>
                                  <w:tcW w:w="2260" w:type="dxa"/>
                                  <w:shd w:val="clear" w:color="auto" w:fill="auto"/>
                                  <w:noWrap/>
                                  <w:hideMark/>
                                </w:tcPr>
                                <w:p w14:paraId="292E6B77"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403</w:t>
                                  </w:r>
                                </w:p>
                              </w:tc>
                              <w:tc>
                                <w:tcPr>
                                  <w:tcW w:w="2260" w:type="dxa"/>
                                  <w:shd w:val="clear" w:color="auto" w:fill="auto"/>
                                </w:tcPr>
                                <w:p w14:paraId="74DD7903"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296</w:t>
                                  </w:r>
                                </w:p>
                              </w:tc>
                            </w:tr>
                            <w:tr w:rsidR="00290CD0" w:rsidRPr="00F82FA4" w14:paraId="1EAB2E11" w14:textId="77777777" w:rsidTr="008547F7">
                              <w:trPr>
                                <w:trHeight w:val="300"/>
                              </w:trPr>
                              <w:tc>
                                <w:tcPr>
                                  <w:tcW w:w="2259" w:type="dxa"/>
                                  <w:shd w:val="clear" w:color="auto" w:fill="auto"/>
                                  <w:noWrap/>
                                  <w:vAlign w:val="center"/>
                                  <w:hideMark/>
                                </w:tcPr>
                                <w:p w14:paraId="77D027CD" w14:textId="77777777" w:rsidR="00290CD0" w:rsidRPr="00F82FA4" w:rsidRDefault="00290CD0" w:rsidP="008547F7">
                                  <w:pPr>
                                    <w:spacing w:after="0" w:line="240" w:lineRule="auto"/>
                                    <w:rPr>
                                      <w:rFonts w:ascii="Arial" w:eastAsia="Times New Roman" w:hAnsi="Arial" w:cs="Arial"/>
                                      <w:sz w:val="18"/>
                                      <w:szCs w:val="18"/>
                                    </w:rPr>
                                  </w:pPr>
                                  <w:r w:rsidRPr="00F82FA4">
                                    <w:rPr>
                                      <w:rFonts w:ascii="Arial" w:eastAsia="Times New Roman" w:hAnsi="Arial" w:cs="Arial"/>
                                      <w:sz w:val="18"/>
                                      <w:szCs w:val="18"/>
                                    </w:rPr>
                                    <w:t>LPB</w:t>
                                  </w:r>
                                </w:p>
                              </w:tc>
                              <w:tc>
                                <w:tcPr>
                                  <w:tcW w:w="2260" w:type="dxa"/>
                                  <w:shd w:val="clear" w:color="auto" w:fill="auto"/>
                                </w:tcPr>
                                <w:p w14:paraId="0793E8EC"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data unavailable</w:t>
                                  </w:r>
                                </w:p>
                              </w:tc>
                              <w:tc>
                                <w:tcPr>
                                  <w:tcW w:w="2260" w:type="dxa"/>
                                  <w:shd w:val="clear" w:color="auto" w:fill="auto"/>
                                  <w:noWrap/>
                                  <w:hideMark/>
                                </w:tcPr>
                                <w:p w14:paraId="505B6C8A"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84</w:t>
                                  </w:r>
                                </w:p>
                              </w:tc>
                              <w:tc>
                                <w:tcPr>
                                  <w:tcW w:w="2260" w:type="dxa"/>
                                  <w:shd w:val="clear" w:color="auto" w:fill="auto"/>
                                </w:tcPr>
                                <w:p w14:paraId="5E5FDCEC"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84</w:t>
                                  </w:r>
                                </w:p>
                              </w:tc>
                            </w:tr>
                            <w:tr w:rsidR="00290CD0" w:rsidRPr="00F82FA4" w14:paraId="08C26F00" w14:textId="77777777" w:rsidTr="008547F7">
                              <w:trPr>
                                <w:trHeight w:val="300"/>
                              </w:trPr>
                              <w:tc>
                                <w:tcPr>
                                  <w:tcW w:w="2259" w:type="dxa"/>
                                  <w:shd w:val="clear" w:color="auto" w:fill="auto"/>
                                  <w:noWrap/>
                                  <w:vAlign w:val="center"/>
                                </w:tcPr>
                                <w:p w14:paraId="2812FDF8" w14:textId="77777777" w:rsidR="00290CD0" w:rsidRPr="00F82FA4" w:rsidRDefault="00290CD0" w:rsidP="008547F7">
                                  <w:pPr>
                                    <w:spacing w:after="0" w:line="240" w:lineRule="auto"/>
                                    <w:rPr>
                                      <w:rFonts w:ascii="Arial" w:eastAsia="Times New Roman" w:hAnsi="Arial" w:cs="Arial"/>
                                      <w:sz w:val="18"/>
                                      <w:szCs w:val="18"/>
                                    </w:rPr>
                                  </w:pPr>
                                  <w:r w:rsidRPr="00F82FA4">
                                    <w:rPr>
                                      <w:rFonts w:ascii="Arial" w:eastAsia="Times New Roman" w:hAnsi="Arial" w:cs="Arial"/>
                                      <w:sz w:val="18"/>
                                      <w:szCs w:val="18"/>
                                    </w:rPr>
                                    <w:t>Other</w:t>
                                  </w:r>
                                </w:p>
                              </w:tc>
                              <w:tc>
                                <w:tcPr>
                                  <w:tcW w:w="2260" w:type="dxa"/>
                                  <w:shd w:val="clear" w:color="auto" w:fill="auto"/>
                                </w:tcPr>
                                <w:p w14:paraId="7BA5EAFB" w14:textId="77777777" w:rsidR="00290CD0" w:rsidRPr="00F82FA4" w:rsidRDefault="00290CD0" w:rsidP="008547F7">
                                  <w:pPr>
                                    <w:spacing w:after="0" w:line="240" w:lineRule="auto"/>
                                    <w:jc w:val="right"/>
                                    <w:rPr>
                                      <w:rFonts w:ascii="Arial" w:eastAsia="Times New Roman" w:hAnsi="Arial" w:cs="Arial"/>
                                      <w:sz w:val="18"/>
                                      <w:szCs w:val="18"/>
                                    </w:rPr>
                                  </w:pPr>
                                </w:p>
                              </w:tc>
                              <w:tc>
                                <w:tcPr>
                                  <w:tcW w:w="2260" w:type="dxa"/>
                                  <w:shd w:val="clear" w:color="auto" w:fill="auto"/>
                                  <w:noWrap/>
                                </w:tcPr>
                                <w:p w14:paraId="2734A1DC"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4</w:t>
                                  </w:r>
                                </w:p>
                              </w:tc>
                              <w:tc>
                                <w:tcPr>
                                  <w:tcW w:w="2260" w:type="dxa"/>
                                  <w:shd w:val="clear" w:color="auto" w:fill="auto"/>
                                </w:tcPr>
                                <w:p w14:paraId="2932465F"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4</w:t>
                                  </w:r>
                                </w:p>
                              </w:tc>
                            </w:tr>
                            <w:tr w:rsidR="00290CD0" w:rsidRPr="00F82FA4" w14:paraId="07F617FE" w14:textId="77777777" w:rsidTr="008547F7">
                              <w:trPr>
                                <w:trHeight w:val="300"/>
                              </w:trPr>
                              <w:tc>
                                <w:tcPr>
                                  <w:tcW w:w="2259" w:type="dxa"/>
                                  <w:shd w:val="clear" w:color="auto" w:fill="auto"/>
                                  <w:noWrap/>
                                  <w:vAlign w:val="center"/>
                                  <w:hideMark/>
                                </w:tcPr>
                                <w:p w14:paraId="2629073A" w14:textId="77777777" w:rsidR="00290CD0" w:rsidRPr="00F82FA4" w:rsidRDefault="00290CD0" w:rsidP="008547F7">
                                  <w:pPr>
                                    <w:spacing w:after="0" w:line="240" w:lineRule="auto"/>
                                    <w:rPr>
                                      <w:rFonts w:ascii="Arial" w:eastAsia="Times New Roman" w:hAnsi="Arial" w:cs="Arial"/>
                                      <w:b/>
                                      <w:sz w:val="18"/>
                                      <w:szCs w:val="18"/>
                                    </w:rPr>
                                  </w:pPr>
                                  <w:r w:rsidRPr="00F82FA4">
                                    <w:rPr>
                                      <w:rFonts w:ascii="Arial" w:eastAsia="Times New Roman" w:hAnsi="Arial" w:cs="Arial"/>
                                      <w:b/>
                                      <w:sz w:val="18"/>
                                      <w:szCs w:val="18"/>
                                    </w:rPr>
                                    <w:t>TOTAL</w:t>
                                  </w:r>
                                </w:p>
                              </w:tc>
                              <w:tc>
                                <w:tcPr>
                                  <w:tcW w:w="2260" w:type="dxa"/>
                                  <w:shd w:val="clear" w:color="auto" w:fill="auto"/>
                                </w:tcPr>
                                <w:p w14:paraId="0F0706B4" w14:textId="77777777" w:rsidR="00290CD0" w:rsidRPr="00F82FA4" w:rsidRDefault="00290CD0" w:rsidP="008547F7">
                                  <w:pPr>
                                    <w:spacing w:after="0" w:line="240" w:lineRule="auto"/>
                                    <w:jc w:val="right"/>
                                    <w:rPr>
                                      <w:rFonts w:ascii="Arial" w:eastAsia="Times New Roman" w:hAnsi="Arial" w:cs="Arial"/>
                                      <w:b/>
                                      <w:sz w:val="18"/>
                                      <w:szCs w:val="18"/>
                                    </w:rPr>
                                  </w:pPr>
                                  <w:r w:rsidRPr="00F82FA4">
                                    <w:rPr>
                                      <w:rFonts w:ascii="Arial" w:eastAsia="Times New Roman" w:hAnsi="Arial" w:cs="Arial"/>
                                      <w:b/>
                                      <w:sz w:val="18"/>
                                      <w:szCs w:val="18"/>
                                    </w:rPr>
                                    <w:t>1 4</w:t>
                                  </w:r>
                                  <w:r>
                                    <w:rPr>
                                      <w:rFonts w:ascii="Arial" w:eastAsia="Times New Roman" w:hAnsi="Arial" w:cs="Arial"/>
                                      <w:b/>
                                      <w:sz w:val="18"/>
                                      <w:szCs w:val="18"/>
                                    </w:rPr>
                                    <w:t>25</w:t>
                                  </w:r>
                                </w:p>
                              </w:tc>
                              <w:tc>
                                <w:tcPr>
                                  <w:tcW w:w="2260" w:type="dxa"/>
                                  <w:shd w:val="clear" w:color="auto" w:fill="auto"/>
                                  <w:noWrap/>
                                  <w:hideMark/>
                                </w:tcPr>
                                <w:p w14:paraId="1B98D792" w14:textId="77777777" w:rsidR="00290CD0" w:rsidRDefault="00290CD0" w:rsidP="008547F7">
                                  <w:pPr>
                                    <w:spacing w:after="0" w:line="240" w:lineRule="auto"/>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3 897</w:t>
                                  </w:r>
                                </w:p>
                              </w:tc>
                              <w:tc>
                                <w:tcPr>
                                  <w:tcW w:w="2260" w:type="dxa"/>
                                  <w:shd w:val="clear" w:color="auto" w:fill="auto"/>
                                </w:tcPr>
                                <w:p w14:paraId="5192CE03" w14:textId="77777777" w:rsidR="00290CD0" w:rsidRPr="002C3790" w:rsidRDefault="00290CD0" w:rsidP="008547F7">
                                  <w:pPr>
                                    <w:spacing w:after="0" w:line="240" w:lineRule="auto"/>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2 472</w:t>
                                  </w:r>
                                  <w:r w:rsidRPr="002C3790">
                                    <w:rPr>
                                      <w:rFonts w:ascii="Arial" w:eastAsia="Times New Roman" w:hAnsi="Arial" w:cs="Arial"/>
                                      <w:b/>
                                      <w:color w:val="000000" w:themeColor="text1"/>
                                      <w:sz w:val="18"/>
                                      <w:szCs w:val="18"/>
                                    </w:rPr>
                                    <w:t xml:space="preserve"> </w:t>
                                  </w:r>
                                </w:p>
                              </w:tc>
                            </w:tr>
                          </w:tbl>
                          <w:p w14:paraId="07032905" w14:textId="77777777" w:rsidR="00290CD0" w:rsidRDefault="00290CD0" w:rsidP="000300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2.4pt;margin-top:15.45pt;width:457.5pt;height:19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" stroked="f">
                <v:textbox>
                  <w:txbxContent>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2260"/>
                        <w:gridCol w:w="2260"/>
                        <w:gridCol w:w="2260"/>
                      </w:tblGrid>
                      <w:tr w:rsidR="00290CD0" w:rsidRPr="00F82FA4" w14:paraId="554D8E3C" w14:textId="77777777" w:rsidTr="008547F7">
                        <w:trPr>
                          <w:trHeight w:val="765"/>
                        </w:trPr>
                        <w:tc>
                          <w:tcPr>
                            <w:tcW w:w="2259" w:type="dxa"/>
                            <w:shd w:val="pct10" w:color="auto" w:fill="FFFFFF" w:themeFill="background1"/>
                            <w:noWrap/>
                            <w:hideMark/>
                          </w:tcPr>
                          <w:p w14:paraId="13E799F2" w14:textId="77777777" w:rsidR="00290CD0" w:rsidRPr="00F82FA4" w:rsidRDefault="00290CD0" w:rsidP="008547F7">
                            <w:pPr>
                              <w:spacing w:after="0" w:line="240" w:lineRule="auto"/>
                              <w:rPr>
                                <w:rFonts w:ascii="Arial" w:eastAsia="Times New Roman" w:hAnsi="Arial" w:cs="Arial"/>
                                <w:b/>
                                <w:sz w:val="18"/>
                                <w:szCs w:val="18"/>
                              </w:rPr>
                            </w:pPr>
                            <w:r w:rsidRPr="00F82FA4">
                              <w:rPr>
                                <w:rFonts w:ascii="Arial" w:eastAsia="Times New Roman" w:hAnsi="Arial" w:cs="Arial"/>
                                <w:b/>
                                <w:sz w:val="18"/>
                                <w:szCs w:val="18"/>
                              </w:rPr>
                              <w:t>Materials</w:t>
                            </w:r>
                          </w:p>
                        </w:tc>
                        <w:tc>
                          <w:tcPr>
                            <w:tcW w:w="2260" w:type="dxa"/>
                            <w:shd w:val="pct10" w:color="auto" w:fill="FFFFFF" w:themeFill="background1"/>
                          </w:tcPr>
                          <w:p w14:paraId="3709A318" w14:textId="77777777" w:rsidR="00290CD0" w:rsidRDefault="00290CD0" w:rsidP="008547F7">
                            <w:pPr>
                              <w:spacing w:after="0" w:line="240" w:lineRule="auto"/>
                              <w:jc w:val="right"/>
                              <w:rPr>
                                <w:rFonts w:ascii="Arial" w:eastAsia="Times New Roman" w:hAnsi="Arial" w:cs="Arial"/>
                                <w:b/>
                                <w:sz w:val="18"/>
                                <w:szCs w:val="18"/>
                              </w:rPr>
                            </w:pPr>
                            <w:r>
                              <w:rPr>
                                <w:rFonts w:ascii="Arial" w:eastAsia="Times New Roman" w:hAnsi="Arial" w:cs="Arial"/>
                                <w:b/>
                                <w:sz w:val="18"/>
                                <w:szCs w:val="18"/>
                              </w:rPr>
                              <w:t>B</w:t>
                            </w:r>
                            <w:r w:rsidRPr="00F82FA4">
                              <w:rPr>
                                <w:rFonts w:ascii="Arial" w:eastAsia="Times New Roman" w:hAnsi="Arial" w:cs="Arial"/>
                                <w:b/>
                                <w:sz w:val="18"/>
                                <w:szCs w:val="18"/>
                              </w:rPr>
                              <w:t xml:space="preserve">everage containers recycled pre NT CDS </w:t>
                            </w:r>
                          </w:p>
                          <w:p w14:paraId="07C2A2D1" w14:textId="77777777" w:rsidR="00290CD0" w:rsidRPr="00F82FA4" w:rsidRDefault="00290CD0" w:rsidP="008547F7">
                            <w:pPr>
                              <w:spacing w:after="0" w:line="240" w:lineRule="auto"/>
                              <w:jc w:val="right"/>
                              <w:rPr>
                                <w:rFonts w:ascii="Arial" w:eastAsia="Times New Roman" w:hAnsi="Arial" w:cs="Arial"/>
                                <w:b/>
                                <w:sz w:val="18"/>
                                <w:szCs w:val="18"/>
                              </w:rPr>
                            </w:pPr>
                            <w:r>
                              <w:rPr>
                                <w:rFonts w:ascii="Arial" w:eastAsia="Times New Roman" w:hAnsi="Arial" w:cs="Arial"/>
                                <w:b/>
                                <w:sz w:val="18"/>
                                <w:szCs w:val="18"/>
                              </w:rPr>
                              <w:t>(tonnes)</w:t>
                            </w:r>
                          </w:p>
                        </w:tc>
                        <w:tc>
                          <w:tcPr>
                            <w:tcW w:w="2260" w:type="dxa"/>
                            <w:shd w:val="pct10" w:color="auto" w:fill="FFFFFF" w:themeFill="background1"/>
                            <w:hideMark/>
                          </w:tcPr>
                          <w:p w14:paraId="50ECF042" w14:textId="77777777" w:rsidR="00290CD0" w:rsidRDefault="00290CD0" w:rsidP="008547F7">
                            <w:pPr>
                              <w:spacing w:after="0" w:line="240" w:lineRule="auto"/>
                              <w:jc w:val="right"/>
                              <w:rPr>
                                <w:rFonts w:ascii="Arial" w:eastAsia="Times New Roman" w:hAnsi="Arial" w:cs="Arial"/>
                                <w:b/>
                                <w:sz w:val="18"/>
                                <w:szCs w:val="18"/>
                              </w:rPr>
                            </w:pPr>
                            <w:r>
                              <w:rPr>
                                <w:rFonts w:ascii="Arial" w:eastAsia="Times New Roman" w:hAnsi="Arial" w:cs="Arial"/>
                                <w:b/>
                                <w:sz w:val="18"/>
                                <w:szCs w:val="18"/>
                              </w:rPr>
                              <w:t>B</w:t>
                            </w:r>
                            <w:r w:rsidRPr="00F82FA4">
                              <w:rPr>
                                <w:rFonts w:ascii="Arial" w:eastAsia="Times New Roman" w:hAnsi="Arial" w:cs="Arial"/>
                                <w:b/>
                                <w:sz w:val="18"/>
                                <w:szCs w:val="18"/>
                              </w:rPr>
                              <w:t>everage containers recycled from NT CDS</w:t>
                            </w:r>
                          </w:p>
                          <w:p w14:paraId="2CCA06FE" w14:textId="77777777" w:rsidR="00290CD0" w:rsidRPr="00F82FA4" w:rsidRDefault="00290CD0" w:rsidP="008547F7">
                            <w:pPr>
                              <w:spacing w:after="0" w:line="240" w:lineRule="auto"/>
                              <w:jc w:val="right"/>
                              <w:rPr>
                                <w:rFonts w:ascii="Arial" w:eastAsia="Times New Roman" w:hAnsi="Arial" w:cs="Arial"/>
                                <w:b/>
                                <w:sz w:val="18"/>
                                <w:szCs w:val="18"/>
                              </w:rPr>
                            </w:pPr>
                            <w:r>
                              <w:rPr>
                                <w:rFonts w:ascii="Arial" w:eastAsia="Times New Roman" w:hAnsi="Arial" w:cs="Arial"/>
                                <w:b/>
                                <w:sz w:val="18"/>
                                <w:szCs w:val="18"/>
                              </w:rPr>
                              <w:t>(tonnes)</w:t>
                            </w:r>
                          </w:p>
                        </w:tc>
                        <w:tc>
                          <w:tcPr>
                            <w:tcW w:w="2260" w:type="dxa"/>
                            <w:shd w:val="pct10" w:color="auto" w:fill="FFFFFF" w:themeFill="background1"/>
                          </w:tcPr>
                          <w:p w14:paraId="5D7B1125" w14:textId="77777777" w:rsidR="00290CD0" w:rsidRPr="00F82FA4" w:rsidRDefault="00290CD0" w:rsidP="008547F7">
                            <w:pPr>
                              <w:spacing w:after="0" w:line="240" w:lineRule="auto"/>
                              <w:jc w:val="right"/>
                              <w:rPr>
                                <w:rFonts w:ascii="Arial" w:eastAsia="Times New Roman" w:hAnsi="Arial" w:cs="Arial"/>
                                <w:b/>
                                <w:sz w:val="18"/>
                                <w:szCs w:val="18"/>
                              </w:rPr>
                            </w:pPr>
                            <w:r w:rsidRPr="00F82FA4">
                              <w:rPr>
                                <w:rFonts w:ascii="Arial" w:eastAsia="Times New Roman" w:hAnsi="Arial" w:cs="Arial"/>
                                <w:b/>
                                <w:sz w:val="18"/>
                                <w:szCs w:val="18"/>
                              </w:rPr>
                              <w:t>Beverage container recycling increase (tonnes)</w:t>
                            </w:r>
                          </w:p>
                        </w:tc>
                      </w:tr>
                      <w:tr w:rsidR="00290CD0" w:rsidRPr="00F82FA4" w14:paraId="3CF724B7" w14:textId="77777777" w:rsidTr="008547F7">
                        <w:trPr>
                          <w:trHeight w:val="300"/>
                        </w:trPr>
                        <w:tc>
                          <w:tcPr>
                            <w:tcW w:w="2259" w:type="dxa"/>
                            <w:shd w:val="clear" w:color="auto" w:fill="auto"/>
                            <w:noWrap/>
                            <w:vAlign w:val="center"/>
                            <w:hideMark/>
                          </w:tcPr>
                          <w:p w14:paraId="1B566CD0" w14:textId="77777777" w:rsidR="00290CD0" w:rsidRPr="00F82FA4" w:rsidRDefault="00290CD0" w:rsidP="008547F7">
                            <w:pPr>
                              <w:spacing w:after="0" w:line="240" w:lineRule="auto"/>
                              <w:rPr>
                                <w:rFonts w:ascii="Arial" w:eastAsia="Times New Roman" w:hAnsi="Arial" w:cs="Arial"/>
                                <w:sz w:val="18"/>
                                <w:szCs w:val="18"/>
                              </w:rPr>
                            </w:pPr>
                            <w:r w:rsidRPr="00F82FA4">
                              <w:rPr>
                                <w:rFonts w:ascii="Arial" w:eastAsia="Times New Roman" w:hAnsi="Arial" w:cs="Arial"/>
                                <w:sz w:val="18"/>
                                <w:szCs w:val="18"/>
                              </w:rPr>
                              <w:t>Paper etc</w:t>
                            </w:r>
                          </w:p>
                        </w:tc>
                        <w:tc>
                          <w:tcPr>
                            <w:tcW w:w="2260" w:type="dxa"/>
                            <w:shd w:val="clear" w:color="auto" w:fill="auto"/>
                          </w:tcPr>
                          <w:p w14:paraId="5D99394F"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0</w:t>
                            </w:r>
                          </w:p>
                        </w:tc>
                        <w:tc>
                          <w:tcPr>
                            <w:tcW w:w="2260" w:type="dxa"/>
                            <w:shd w:val="clear" w:color="auto" w:fill="auto"/>
                            <w:noWrap/>
                            <w:hideMark/>
                          </w:tcPr>
                          <w:p w14:paraId="5A386C0E"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0</w:t>
                            </w:r>
                          </w:p>
                        </w:tc>
                        <w:tc>
                          <w:tcPr>
                            <w:tcW w:w="2260" w:type="dxa"/>
                            <w:shd w:val="clear" w:color="auto" w:fill="auto"/>
                          </w:tcPr>
                          <w:p w14:paraId="4196458E"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0</w:t>
                            </w:r>
                          </w:p>
                        </w:tc>
                      </w:tr>
                      <w:tr w:rsidR="00290CD0" w:rsidRPr="00F82FA4" w14:paraId="0939DC0A" w14:textId="77777777" w:rsidTr="008547F7">
                        <w:trPr>
                          <w:trHeight w:val="300"/>
                        </w:trPr>
                        <w:tc>
                          <w:tcPr>
                            <w:tcW w:w="2259" w:type="dxa"/>
                            <w:shd w:val="clear" w:color="auto" w:fill="auto"/>
                            <w:noWrap/>
                            <w:vAlign w:val="center"/>
                            <w:hideMark/>
                          </w:tcPr>
                          <w:p w14:paraId="704848EF" w14:textId="77777777" w:rsidR="00290CD0" w:rsidRPr="00F82FA4" w:rsidRDefault="00290CD0" w:rsidP="008547F7">
                            <w:pPr>
                              <w:spacing w:after="0" w:line="240" w:lineRule="auto"/>
                              <w:rPr>
                                <w:rFonts w:ascii="Arial" w:eastAsia="Times New Roman" w:hAnsi="Arial" w:cs="Arial"/>
                                <w:sz w:val="18"/>
                                <w:szCs w:val="18"/>
                              </w:rPr>
                            </w:pPr>
                            <w:r w:rsidRPr="00F82FA4">
                              <w:rPr>
                                <w:rFonts w:ascii="Arial" w:eastAsia="Times New Roman" w:hAnsi="Arial" w:cs="Arial"/>
                                <w:sz w:val="18"/>
                                <w:szCs w:val="18"/>
                              </w:rPr>
                              <w:t>Glass</w:t>
                            </w:r>
                          </w:p>
                        </w:tc>
                        <w:tc>
                          <w:tcPr>
                            <w:tcW w:w="2260" w:type="dxa"/>
                            <w:shd w:val="clear" w:color="auto" w:fill="auto"/>
                          </w:tcPr>
                          <w:p w14:paraId="2022EB77"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1 244</w:t>
                            </w:r>
                          </w:p>
                        </w:tc>
                        <w:tc>
                          <w:tcPr>
                            <w:tcW w:w="2260" w:type="dxa"/>
                            <w:shd w:val="clear" w:color="auto" w:fill="auto"/>
                            <w:noWrap/>
                            <w:hideMark/>
                          </w:tcPr>
                          <w:p w14:paraId="76B00A9F" w14:textId="77777777" w:rsidR="00290CD0" w:rsidRPr="00F82FA4" w:rsidRDefault="00290CD0" w:rsidP="008547F7">
                            <w:pPr>
                              <w:spacing w:after="0" w:line="240" w:lineRule="auto"/>
                              <w:jc w:val="right"/>
                              <w:rPr>
                                <w:rFonts w:ascii="Arial" w:eastAsia="Times New Roman" w:hAnsi="Arial" w:cs="Arial"/>
                                <w:sz w:val="18"/>
                                <w:szCs w:val="18"/>
                              </w:rPr>
                            </w:pPr>
                            <w:r>
                              <w:rPr>
                                <w:rFonts w:ascii="Arial" w:eastAsia="Times New Roman" w:hAnsi="Arial" w:cs="Arial"/>
                                <w:sz w:val="18"/>
                                <w:szCs w:val="18"/>
                              </w:rPr>
                              <w:t>3 101</w:t>
                            </w:r>
                          </w:p>
                        </w:tc>
                        <w:tc>
                          <w:tcPr>
                            <w:tcW w:w="2260" w:type="dxa"/>
                            <w:shd w:val="clear" w:color="auto" w:fill="auto"/>
                          </w:tcPr>
                          <w:p w14:paraId="5A946029" w14:textId="77777777" w:rsidR="00290CD0" w:rsidRPr="00F82FA4" w:rsidRDefault="00290CD0" w:rsidP="008547F7">
                            <w:pPr>
                              <w:spacing w:after="0" w:line="240" w:lineRule="auto"/>
                              <w:jc w:val="right"/>
                              <w:rPr>
                                <w:rFonts w:ascii="Arial" w:eastAsia="Times New Roman" w:hAnsi="Arial" w:cs="Arial"/>
                                <w:sz w:val="18"/>
                                <w:szCs w:val="18"/>
                              </w:rPr>
                            </w:pPr>
                            <w:r>
                              <w:rPr>
                                <w:rFonts w:ascii="Arial" w:eastAsia="Times New Roman" w:hAnsi="Arial" w:cs="Arial"/>
                                <w:sz w:val="18"/>
                                <w:szCs w:val="18"/>
                              </w:rPr>
                              <w:t>1 857</w:t>
                            </w:r>
                          </w:p>
                        </w:tc>
                      </w:tr>
                      <w:tr w:rsidR="00290CD0" w:rsidRPr="00F82FA4" w14:paraId="58E7D06B" w14:textId="77777777" w:rsidTr="008547F7">
                        <w:trPr>
                          <w:trHeight w:val="300"/>
                        </w:trPr>
                        <w:tc>
                          <w:tcPr>
                            <w:tcW w:w="2259" w:type="dxa"/>
                            <w:shd w:val="clear" w:color="auto" w:fill="auto"/>
                            <w:noWrap/>
                            <w:vAlign w:val="center"/>
                          </w:tcPr>
                          <w:p w14:paraId="0BBB28A1" w14:textId="77777777" w:rsidR="00290CD0" w:rsidRPr="00F82FA4" w:rsidRDefault="00290CD0" w:rsidP="008547F7">
                            <w:pPr>
                              <w:spacing w:after="0" w:line="240" w:lineRule="auto"/>
                              <w:rPr>
                                <w:rFonts w:ascii="Arial" w:eastAsia="Times New Roman" w:hAnsi="Arial" w:cs="Arial"/>
                                <w:sz w:val="18"/>
                                <w:szCs w:val="18"/>
                              </w:rPr>
                            </w:pPr>
                            <w:r w:rsidRPr="00F82FA4">
                              <w:rPr>
                                <w:rFonts w:ascii="Arial" w:eastAsia="Times New Roman" w:hAnsi="Arial" w:cs="Arial"/>
                                <w:sz w:val="18"/>
                                <w:szCs w:val="18"/>
                              </w:rPr>
                              <w:t>HDPE</w:t>
                            </w:r>
                          </w:p>
                        </w:tc>
                        <w:tc>
                          <w:tcPr>
                            <w:tcW w:w="2260" w:type="dxa"/>
                            <w:shd w:val="clear" w:color="auto" w:fill="auto"/>
                          </w:tcPr>
                          <w:p w14:paraId="2612566C" w14:textId="77777777" w:rsidR="00290CD0" w:rsidRPr="00F82FA4" w:rsidRDefault="00290CD0" w:rsidP="008547F7">
                            <w:pPr>
                              <w:spacing w:after="0" w:line="240" w:lineRule="auto"/>
                              <w:jc w:val="right"/>
                              <w:rPr>
                                <w:rFonts w:ascii="Arial" w:eastAsia="Times New Roman" w:hAnsi="Arial" w:cs="Arial"/>
                                <w:sz w:val="18"/>
                                <w:szCs w:val="18"/>
                              </w:rPr>
                            </w:pPr>
                          </w:p>
                        </w:tc>
                        <w:tc>
                          <w:tcPr>
                            <w:tcW w:w="2260" w:type="dxa"/>
                            <w:shd w:val="clear" w:color="auto" w:fill="auto"/>
                            <w:noWrap/>
                          </w:tcPr>
                          <w:p w14:paraId="288A2DF9"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34</w:t>
                            </w:r>
                          </w:p>
                        </w:tc>
                        <w:tc>
                          <w:tcPr>
                            <w:tcW w:w="2260" w:type="dxa"/>
                            <w:shd w:val="clear" w:color="auto" w:fill="auto"/>
                          </w:tcPr>
                          <w:p w14:paraId="581280E6"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34</w:t>
                            </w:r>
                          </w:p>
                        </w:tc>
                      </w:tr>
                      <w:tr w:rsidR="00290CD0" w:rsidRPr="00F82FA4" w14:paraId="343395BA" w14:textId="77777777" w:rsidTr="008547F7">
                        <w:trPr>
                          <w:trHeight w:val="300"/>
                        </w:trPr>
                        <w:tc>
                          <w:tcPr>
                            <w:tcW w:w="2259" w:type="dxa"/>
                            <w:shd w:val="clear" w:color="auto" w:fill="auto"/>
                            <w:noWrap/>
                            <w:vAlign w:val="center"/>
                            <w:hideMark/>
                          </w:tcPr>
                          <w:p w14:paraId="5033830B" w14:textId="77777777" w:rsidR="00290CD0" w:rsidRPr="00F82FA4" w:rsidRDefault="00290CD0" w:rsidP="008547F7">
                            <w:pPr>
                              <w:spacing w:after="0" w:line="240" w:lineRule="auto"/>
                              <w:rPr>
                                <w:rFonts w:ascii="Arial" w:eastAsia="Times New Roman" w:hAnsi="Arial" w:cs="Arial"/>
                                <w:sz w:val="18"/>
                                <w:szCs w:val="18"/>
                              </w:rPr>
                            </w:pPr>
                            <w:r w:rsidRPr="00F82FA4">
                              <w:rPr>
                                <w:rFonts w:ascii="Arial" w:eastAsia="Times New Roman" w:hAnsi="Arial" w:cs="Arial"/>
                                <w:sz w:val="18"/>
                                <w:szCs w:val="18"/>
                              </w:rPr>
                              <w:t>PET</w:t>
                            </w:r>
                          </w:p>
                        </w:tc>
                        <w:tc>
                          <w:tcPr>
                            <w:tcW w:w="2260" w:type="dxa"/>
                            <w:shd w:val="clear" w:color="auto" w:fill="auto"/>
                          </w:tcPr>
                          <w:p w14:paraId="63372598"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74</w:t>
                            </w:r>
                          </w:p>
                        </w:tc>
                        <w:tc>
                          <w:tcPr>
                            <w:tcW w:w="2260" w:type="dxa"/>
                            <w:shd w:val="clear" w:color="auto" w:fill="auto"/>
                            <w:noWrap/>
                            <w:hideMark/>
                          </w:tcPr>
                          <w:p w14:paraId="55AA27F0"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271</w:t>
                            </w:r>
                          </w:p>
                        </w:tc>
                        <w:tc>
                          <w:tcPr>
                            <w:tcW w:w="2260" w:type="dxa"/>
                            <w:shd w:val="clear" w:color="auto" w:fill="auto"/>
                          </w:tcPr>
                          <w:p w14:paraId="7BCAF55B"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197</w:t>
                            </w:r>
                          </w:p>
                        </w:tc>
                      </w:tr>
                      <w:tr w:rsidR="00290CD0" w:rsidRPr="00F82FA4" w14:paraId="6F785E8D" w14:textId="77777777" w:rsidTr="008547F7">
                        <w:trPr>
                          <w:trHeight w:val="300"/>
                        </w:trPr>
                        <w:tc>
                          <w:tcPr>
                            <w:tcW w:w="2259" w:type="dxa"/>
                            <w:shd w:val="clear" w:color="auto" w:fill="auto"/>
                            <w:noWrap/>
                            <w:vAlign w:val="center"/>
                            <w:hideMark/>
                          </w:tcPr>
                          <w:p w14:paraId="3A03C92D" w14:textId="77777777" w:rsidR="00290CD0" w:rsidRPr="00F82FA4" w:rsidRDefault="00290CD0" w:rsidP="008547F7">
                            <w:pPr>
                              <w:spacing w:after="0" w:line="240" w:lineRule="auto"/>
                              <w:rPr>
                                <w:rFonts w:ascii="Arial" w:eastAsia="Times New Roman" w:hAnsi="Arial" w:cs="Arial"/>
                                <w:sz w:val="18"/>
                                <w:szCs w:val="18"/>
                              </w:rPr>
                            </w:pPr>
                            <w:r w:rsidRPr="00F82FA4">
                              <w:rPr>
                                <w:rFonts w:ascii="Arial" w:eastAsia="Times New Roman" w:hAnsi="Arial" w:cs="Arial"/>
                                <w:sz w:val="18"/>
                                <w:szCs w:val="18"/>
                              </w:rPr>
                              <w:t>Aluminium</w:t>
                            </w:r>
                          </w:p>
                        </w:tc>
                        <w:tc>
                          <w:tcPr>
                            <w:tcW w:w="2260" w:type="dxa"/>
                            <w:shd w:val="clear" w:color="auto" w:fill="auto"/>
                          </w:tcPr>
                          <w:p w14:paraId="3E499D90"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107</w:t>
                            </w:r>
                          </w:p>
                        </w:tc>
                        <w:tc>
                          <w:tcPr>
                            <w:tcW w:w="2260" w:type="dxa"/>
                            <w:shd w:val="clear" w:color="auto" w:fill="auto"/>
                            <w:noWrap/>
                            <w:hideMark/>
                          </w:tcPr>
                          <w:p w14:paraId="292E6B77"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403</w:t>
                            </w:r>
                          </w:p>
                        </w:tc>
                        <w:tc>
                          <w:tcPr>
                            <w:tcW w:w="2260" w:type="dxa"/>
                            <w:shd w:val="clear" w:color="auto" w:fill="auto"/>
                          </w:tcPr>
                          <w:p w14:paraId="74DD7903"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296</w:t>
                            </w:r>
                          </w:p>
                        </w:tc>
                      </w:tr>
                      <w:tr w:rsidR="00290CD0" w:rsidRPr="00F82FA4" w14:paraId="1EAB2E11" w14:textId="77777777" w:rsidTr="008547F7">
                        <w:trPr>
                          <w:trHeight w:val="300"/>
                        </w:trPr>
                        <w:tc>
                          <w:tcPr>
                            <w:tcW w:w="2259" w:type="dxa"/>
                            <w:shd w:val="clear" w:color="auto" w:fill="auto"/>
                            <w:noWrap/>
                            <w:vAlign w:val="center"/>
                            <w:hideMark/>
                          </w:tcPr>
                          <w:p w14:paraId="77D027CD" w14:textId="77777777" w:rsidR="00290CD0" w:rsidRPr="00F82FA4" w:rsidRDefault="00290CD0" w:rsidP="008547F7">
                            <w:pPr>
                              <w:spacing w:after="0" w:line="240" w:lineRule="auto"/>
                              <w:rPr>
                                <w:rFonts w:ascii="Arial" w:eastAsia="Times New Roman" w:hAnsi="Arial" w:cs="Arial"/>
                                <w:sz w:val="18"/>
                                <w:szCs w:val="18"/>
                              </w:rPr>
                            </w:pPr>
                            <w:r w:rsidRPr="00F82FA4">
                              <w:rPr>
                                <w:rFonts w:ascii="Arial" w:eastAsia="Times New Roman" w:hAnsi="Arial" w:cs="Arial"/>
                                <w:sz w:val="18"/>
                                <w:szCs w:val="18"/>
                              </w:rPr>
                              <w:t>LPB</w:t>
                            </w:r>
                          </w:p>
                        </w:tc>
                        <w:tc>
                          <w:tcPr>
                            <w:tcW w:w="2260" w:type="dxa"/>
                            <w:shd w:val="clear" w:color="auto" w:fill="auto"/>
                          </w:tcPr>
                          <w:p w14:paraId="0793E8EC"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data unavailable</w:t>
                            </w:r>
                          </w:p>
                        </w:tc>
                        <w:tc>
                          <w:tcPr>
                            <w:tcW w:w="2260" w:type="dxa"/>
                            <w:shd w:val="clear" w:color="auto" w:fill="auto"/>
                            <w:noWrap/>
                            <w:hideMark/>
                          </w:tcPr>
                          <w:p w14:paraId="505B6C8A"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84</w:t>
                            </w:r>
                          </w:p>
                        </w:tc>
                        <w:tc>
                          <w:tcPr>
                            <w:tcW w:w="2260" w:type="dxa"/>
                            <w:shd w:val="clear" w:color="auto" w:fill="auto"/>
                          </w:tcPr>
                          <w:p w14:paraId="5E5FDCEC"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84</w:t>
                            </w:r>
                          </w:p>
                        </w:tc>
                      </w:tr>
                      <w:tr w:rsidR="00290CD0" w:rsidRPr="00F82FA4" w14:paraId="08C26F00" w14:textId="77777777" w:rsidTr="008547F7">
                        <w:trPr>
                          <w:trHeight w:val="300"/>
                        </w:trPr>
                        <w:tc>
                          <w:tcPr>
                            <w:tcW w:w="2259" w:type="dxa"/>
                            <w:shd w:val="clear" w:color="auto" w:fill="auto"/>
                            <w:noWrap/>
                            <w:vAlign w:val="center"/>
                          </w:tcPr>
                          <w:p w14:paraId="2812FDF8" w14:textId="77777777" w:rsidR="00290CD0" w:rsidRPr="00F82FA4" w:rsidRDefault="00290CD0" w:rsidP="008547F7">
                            <w:pPr>
                              <w:spacing w:after="0" w:line="240" w:lineRule="auto"/>
                              <w:rPr>
                                <w:rFonts w:ascii="Arial" w:eastAsia="Times New Roman" w:hAnsi="Arial" w:cs="Arial"/>
                                <w:sz w:val="18"/>
                                <w:szCs w:val="18"/>
                              </w:rPr>
                            </w:pPr>
                            <w:r w:rsidRPr="00F82FA4">
                              <w:rPr>
                                <w:rFonts w:ascii="Arial" w:eastAsia="Times New Roman" w:hAnsi="Arial" w:cs="Arial"/>
                                <w:sz w:val="18"/>
                                <w:szCs w:val="18"/>
                              </w:rPr>
                              <w:t>Other</w:t>
                            </w:r>
                          </w:p>
                        </w:tc>
                        <w:tc>
                          <w:tcPr>
                            <w:tcW w:w="2260" w:type="dxa"/>
                            <w:shd w:val="clear" w:color="auto" w:fill="auto"/>
                          </w:tcPr>
                          <w:p w14:paraId="7BA5EAFB" w14:textId="77777777" w:rsidR="00290CD0" w:rsidRPr="00F82FA4" w:rsidRDefault="00290CD0" w:rsidP="008547F7">
                            <w:pPr>
                              <w:spacing w:after="0" w:line="240" w:lineRule="auto"/>
                              <w:jc w:val="right"/>
                              <w:rPr>
                                <w:rFonts w:ascii="Arial" w:eastAsia="Times New Roman" w:hAnsi="Arial" w:cs="Arial"/>
                                <w:sz w:val="18"/>
                                <w:szCs w:val="18"/>
                              </w:rPr>
                            </w:pPr>
                          </w:p>
                        </w:tc>
                        <w:tc>
                          <w:tcPr>
                            <w:tcW w:w="2260" w:type="dxa"/>
                            <w:shd w:val="clear" w:color="auto" w:fill="auto"/>
                            <w:noWrap/>
                          </w:tcPr>
                          <w:p w14:paraId="2734A1DC"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4</w:t>
                            </w:r>
                          </w:p>
                        </w:tc>
                        <w:tc>
                          <w:tcPr>
                            <w:tcW w:w="2260" w:type="dxa"/>
                            <w:shd w:val="clear" w:color="auto" w:fill="auto"/>
                          </w:tcPr>
                          <w:p w14:paraId="2932465F" w14:textId="77777777" w:rsidR="00290CD0" w:rsidRPr="00F82FA4" w:rsidRDefault="00290CD0" w:rsidP="008547F7">
                            <w:pPr>
                              <w:spacing w:after="0" w:line="240" w:lineRule="auto"/>
                              <w:jc w:val="right"/>
                              <w:rPr>
                                <w:rFonts w:ascii="Arial" w:eastAsia="Times New Roman" w:hAnsi="Arial" w:cs="Arial"/>
                                <w:sz w:val="18"/>
                                <w:szCs w:val="18"/>
                              </w:rPr>
                            </w:pPr>
                            <w:r w:rsidRPr="00F82FA4">
                              <w:rPr>
                                <w:rFonts w:ascii="Arial" w:eastAsia="Times New Roman" w:hAnsi="Arial" w:cs="Arial"/>
                                <w:sz w:val="18"/>
                                <w:szCs w:val="18"/>
                              </w:rPr>
                              <w:t>4</w:t>
                            </w:r>
                          </w:p>
                        </w:tc>
                      </w:tr>
                      <w:tr w:rsidR="00290CD0" w:rsidRPr="00F82FA4" w14:paraId="07F617FE" w14:textId="77777777" w:rsidTr="008547F7">
                        <w:trPr>
                          <w:trHeight w:val="300"/>
                        </w:trPr>
                        <w:tc>
                          <w:tcPr>
                            <w:tcW w:w="2259" w:type="dxa"/>
                            <w:shd w:val="clear" w:color="auto" w:fill="auto"/>
                            <w:noWrap/>
                            <w:vAlign w:val="center"/>
                            <w:hideMark/>
                          </w:tcPr>
                          <w:p w14:paraId="2629073A" w14:textId="77777777" w:rsidR="00290CD0" w:rsidRPr="00F82FA4" w:rsidRDefault="00290CD0" w:rsidP="008547F7">
                            <w:pPr>
                              <w:spacing w:after="0" w:line="240" w:lineRule="auto"/>
                              <w:rPr>
                                <w:rFonts w:ascii="Arial" w:eastAsia="Times New Roman" w:hAnsi="Arial" w:cs="Arial"/>
                                <w:b/>
                                <w:sz w:val="18"/>
                                <w:szCs w:val="18"/>
                              </w:rPr>
                            </w:pPr>
                            <w:r w:rsidRPr="00F82FA4">
                              <w:rPr>
                                <w:rFonts w:ascii="Arial" w:eastAsia="Times New Roman" w:hAnsi="Arial" w:cs="Arial"/>
                                <w:b/>
                                <w:sz w:val="18"/>
                                <w:szCs w:val="18"/>
                              </w:rPr>
                              <w:t>TOTAL</w:t>
                            </w:r>
                          </w:p>
                        </w:tc>
                        <w:tc>
                          <w:tcPr>
                            <w:tcW w:w="2260" w:type="dxa"/>
                            <w:shd w:val="clear" w:color="auto" w:fill="auto"/>
                          </w:tcPr>
                          <w:p w14:paraId="0F0706B4" w14:textId="77777777" w:rsidR="00290CD0" w:rsidRPr="00F82FA4" w:rsidRDefault="00290CD0" w:rsidP="008547F7">
                            <w:pPr>
                              <w:spacing w:after="0" w:line="240" w:lineRule="auto"/>
                              <w:jc w:val="right"/>
                              <w:rPr>
                                <w:rFonts w:ascii="Arial" w:eastAsia="Times New Roman" w:hAnsi="Arial" w:cs="Arial"/>
                                <w:b/>
                                <w:sz w:val="18"/>
                                <w:szCs w:val="18"/>
                              </w:rPr>
                            </w:pPr>
                            <w:r w:rsidRPr="00F82FA4">
                              <w:rPr>
                                <w:rFonts w:ascii="Arial" w:eastAsia="Times New Roman" w:hAnsi="Arial" w:cs="Arial"/>
                                <w:b/>
                                <w:sz w:val="18"/>
                                <w:szCs w:val="18"/>
                              </w:rPr>
                              <w:t>1 4</w:t>
                            </w:r>
                            <w:r>
                              <w:rPr>
                                <w:rFonts w:ascii="Arial" w:eastAsia="Times New Roman" w:hAnsi="Arial" w:cs="Arial"/>
                                <w:b/>
                                <w:sz w:val="18"/>
                                <w:szCs w:val="18"/>
                              </w:rPr>
                              <w:t>25</w:t>
                            </w:r>
                          </w:p>
                        </w:tc>
                        <w:tc>
                          <w:tcPr>
                            <w:tcW w:w="2260" w:type="dxa"/>
                            <w:shd w:val="clear" w:color="auto" w:fill="auto"/>
                            <w:noWrap/>
                            <w:hideMark/>
                          </w:tcPr>
                          <w:p w14:paraId="1B98D792" w14:textId="77777777" w:rsidR="00290CD0" w:rsidRDefault="00290CD0" w:rsidP="008547F7">
                            <w:pPr>
                              <w:spacing w:after="0" w:line="240" w:lineRule="auto"/>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3 897</w:t>
                            </w:r>
                          </w:p>
                        </w:tc>
                        <w:tc>
                          <w:tcPr>
                            <w:tcW w:w="2260" w:type="dxa"/>
                            <w:shd w:val="clear" w:color="auto" w:fill="auto"/>
                          </w:tcPr>
                          <w:p w14:paraId="5192CE03" w14:textId="77777777" w:rsidR="00290CD0" w:rsidRPr="002C3790" w:rsidRDefault="00290CD0" w:rsidP="008547F7">
                            <w:pPr>
                              <w:spacing w:after="0" w:line="240" w:lineRule="auto"/>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2 472</w:t>
                            </w:r>
                            <w:r w:rsidRPr="002C3790">
                              <w:rPr>
                                <w:rFonts w:ascii="Arial" w:eastAsia="Times New Roman" w:hAnsi="Arial" w:cs="Arial"/>
                                <w:b/>
                                <w:color w:val="000000" w:themeColor="text1"/>
                                <w:sz w:val="18"/>
                                <w:szCs w:val="18"/>
                              </w:rPr>
                              <w:t xml:space="preserve"> </w:t>
                            </w:r>
                          </w:p>
                        </w:tc>
                      </w:tr>
                    </w:tbl>
                    <w:p w14:paraId="07032905" w14:textId="77777777" w:rsidR="00290CD0" w:rsidRDefault="00290CD0" w:rsidP="00030089"/>
                  </w:txbxContent>
                </v:textbox>
              </v:shape>
            </w:pict>
          </mc:Fallback>
        </mc:AlternateContent>
      </w:r>
      <w:r>
        <w:rPr>
          <w:noProof/>
          <w:color w:val="auto"/>
        </w:rPr>
        <w:t xml:space="preserve"> </w:t>
      </w:r>
      <w:r w:rsidRPr="00682556">
        <w:rPr>
          <w:noProof/>
          <w:color w:val="auto"/>
        </w:rPr>
        <w:t>Table 4.1</w:t>
      </w:r>
      <w:r>
        <w:rPr>
          <w:noProof/>
          <w:color w:val="auto"/>
        </w:rPr>
        <w:t>4</w:t>
      </w:r>
      <w:r w:rsidRPr="00682556">
        <w:rPr>
          <w:noProof/>
          <w:color w:val="auto"/>
        </w:rPr>
        <w:t>: Tonnes of beverage containers recycled pre and post CDS</w:t>
      </w:r>
      <w:bookmarkEnd w:id="233"/>
      <w:bookmarkEnd w:id="234"/>
    </w:p>
    <w:p w14:paraId="5A5F016A" w14:textId="77777777" w:rsidR="00030089" w:rsidRDefault="00030089" w:rsidP="00030089">
      <w:pPr>
        <w:pStyle w:val="Header"/>
        <w:spacing w:after="120"/>
        <w:ind w:left="142" w:hanging="142"/>
        <w:rPr>
          <w:rFonts w:ascii="Arial" w:hAnsi="Arial" w:cs="Arial"/>
          <w:b/>
          <w:sz w:val="18"/>
          <w:szCs w:val="20"/>
        </w:rPr>
      </w:pPr>
    </w:p>
    <w:p w14:paraId="09C63479" w14:textId="77777777" w:rsidR="00030089" w:rsidRDefault="00030089" w:rsidP="00030089">
      <w:pPr>
        <w:pStyle w:val="Header"/>
        <w:spacing w:after="120"/>
        <w:ind w:left="142" w:hanging="142"/>
        <w:rPr>
          <w:rFonts w:ascii="Arial" w:hAnsi="Arial" w:cs="Arial"/>
          <w:b/>
          <w:sz w:val="18"/>
          <w:szCs w:val="20"/>
        </w:rPr>
      </w:pPr>
    </w:p>
    <w:p w14:paraId="13D7CE31" w14:textId="77777777" w:rsidR="00030089" w:rsidRDefault="00030089" w:rsidP="00030089">
      <w:pPr>
        <w:pStyle w:val="Header"/>
        <w:spacing w:after="120"/>
        <w:ind w:left="142" w:hanging="142"/>
        <w:rPr>
          <w:rFonts w:ascii="Arial" w:hAnsi="Arial" w:cs="Arial"/>
          <w:b/>
          <w:sz w:val="18"/>
          <w:szCs w:val="20"/>
        </w:rPr>
      </w:pPr>
    </w:p>
    <w:p w14:paraId="590DE52C" w14:textId="77777777" w:rsidR="00030089" w:rsidRDefault="00030089" w:rsidP="00030089">
      <w:pPr>
        <w:pStyle w:val="Header"/>
        <w:spacing w:after="120"/>
        <w:ind w:left="142" w:hanging="142"/>
        <w:rPr>
          <w:rFonts w:ascii="Arial" w:hAnsi="Arial" w:cs="Arial"/>
          <w:b/>
          <w:sz w:val="18"/>
          <w:szCs w:val="20"/>
        </w:rPr>
      </w:pPr>
    </w:p>
    <w:p w14:paraId="051DABBE" w14:textId="77777777" w:rsidR="00030089" w:rsidRDefault="00030089" w:rsidP="00030089">
      <w:pPr>
        <w:pStyle w:val="Header"/>
        <w:spacing w:after="120"/>
        <w:ind w:left="142" w:hanging="142"/>
        <w:rPr>
          <w:rFonts w:ascii="Arial" w:hAnsi="Arial" w:cs="Arial"/>
          <w:b/>
          <w:sz w:val="18"/>
          <w:szCs w:val="20"/>
        </w:rPr>
      </w:pPr>
    </w:p>
    <w:p w14:paraId="5E525AEF" w14:textId="77777777" w:rsidR="00030089" w:rsidRDefault="00030089" w:rsidP="00030089">
      <w:pPr>
        <w:pStyle w:val="Header"/>
        <w:spacing w:after="120"/>
        <w:ind w:left="142" w:hanging="142"/>
        <w:rPr>
          <w:rFonts w:ascii="Arial" w:hAnsi="Arial" w:cs="Arial"/>
          <w:b/>
          <w:sz w:val="18"/>
          <w:szCs w:val="20"/>
        </w:rPr>
      </w:pPr>
    </w:p>
    <w:p w14:paraId="18776489" w14:textId="77777777" w:rsidR="00030089" w:rsidRDefault="00030089" w:rsidP="00030089">
      <w:pPr>
        <w:pStyle w:val="Header"/>
        <w:spacing w:after="120"/>
        <w:ind w:left="142" w:hanging="142"/>
        <w:rPr>
          <w:rFonts w:ascii="Arial" w:hAnsi="Arial" w:cs="Arial"/>
          <w:b/>
          <w:sz w:val="18"/>
          <w:szCs w:val="20"/>
        </w:rPr>
      </w:pPr>
    </w:p>
    <w:p w14:paraId="375889DA" w14:textId="77777777" w:rsidR="00030089" w:rsidRDefault="00030089" w:rsidP="00030089">
      <w:pPr>
        <w:pStyle w:val="Header"/>
        <w:spacing w:after="120"/>
        <w:ind w:left="142" w:hanging="142"/>
        <w:rPr>
          <w:rFonts w:ascii="Arial" w:hAnsi="Arial" w:cs="Arial"/>
          <w:b/>
          <w:sz w:val="18"/>
          <w:szCs w:val="20"/>
        </w:rPr>
      </w:pPr>
    </w:p>
    <w:bookmarkEnd w:id="232"/>
    <w:p w14:paraId="5AAD3EDE" w14:textId="77777777" w:rsidR="00030089" w:rsidRPr="00F00014" w:rsidRDefault="00030089" w:rsidP="00030089">
      <w:pPr>
        <w:rPr>
          <w:rFonts w:ascii="Arial" w:hAnsi="Arial" w:cs="Arial"/>
          <w:b/>
          <w:szCs w:val="28"/>
        </w:rPr>
      </w:pPr>
      <w:r w:rsidRPr="00F00014">
        <w:rPr>
          <w:rFonts w:ascii="Arial" w:hAnsi="Arial" w:cs="Arial"/>
          <w:b/>
          <w:szCs w:val="28"/>
        </w:rPr>
        <w:t>Market Costs</w:t>
      </w:r>
    </w:p>
    <w:p w14:paraId="4351C036" w14:textId="77777777" w:rsidR="00030089" w:rsidRPr="00F702E2" w:rsidRDefault="00030089" w:rsidP="00030089">
      <w:pPr>
        <w:pStyle w:val="Default"/>
        <w:rPr>
          <w:sz w:val="24"/>
          <w:szCs w:val="24"/>
        </w:rPr>
      </w:pPr>
      <w:r w:rsidRPr="00F702E2">
        <w:rPr>
          <w:b/>
          <w:sz w:val="24"/>
          <w:szCs w:val="24"/>
        </w:rPr>
        <w:lastRenderedPageBreak/>
        <w:t xml:space="preserve">Scheme Design and Implementation Costs </w:t>
      </w:r>
      <w:r w:rsidRPr="00F702E2">
        <w:rPr>
          <w:sz w:val="24"/>
          <w:szCs w:val="24"/>
        </w:rPr>
        <w:t>for the NT CDS</w:t>
      </w:r>
      <w:r w:rsidRPr="00F702E2">
        <w:rPr>
          <w:b/>
          <w:sz w:val="24"/>
          <w:szCs w:val="24"/>
        </w:rPr>
        <w:t xml:space="preserve"> </w:t>
      </w:r>
      <w:r w:rsidRPr="00F702E2">
        <w:rPr>
          <w:sz w:val="24"/>
          <w:szCs w:val="24"/>
        </w:rPr>
        <w:t>are approximately $315 000 per annum. This encompasses staff costs for administration and legislative compliance.</w:t>
      </w:r>
    </w:p>
    <w:p w14:paraId="3247B13C" w14:textId="77777777" w:rsidR="00030089" w:rsidRPr="00F702E2" w:rsidRDefault="00030089" w:rsidP="00030089">
      <w:pPr>
        <w:pStyle w:val="Default"/>
        <w:rPr>
          <w:sz w:val="24"/>
          <w:szCs w:val="24"/>
        </w:rPr>
      </w:pPr>
      <w:r w:rsidRPr="00F702E2">
        <w:rPr>
          <w:b/>
          <w:sz w:val="24"/>
          <w:szCs w:val="24"/>
        </w:rPr>
        <w:t xml:space="preserve">Scheme Operational Costs and Compliance Costs </w:t>
      </w:r>
      <w:r w:rsidRPr="00F702E2">
        <w:rPr>
          <w:sz w:val="24"/>
          <w:szCs w:val="24"/>
        </w:rPr>
        <w:t>are passed from beverage manufacturers and imposed on the NT consumer. The jurisdictional breakdown for these companies is as follows:</w:t>
      </w:r>
    </w:p>
    <w:p w14:paraId="03670791" w14:textId="77777777" w:rsidR="00030089" w:rsidRPr="00F702E2" w:rsidRDefault="00030089" w:rsidP="00030089">
      <w:pPr>
        <w:pStyle w:val="NoSpacing"/>
        <w:numPr>
          <w:ilvl w:val="0"/>
          <w:numId w:val="4"/>
        </w:numPr>
        <w:spacing w:after="240"/>
        <w:ind w:left="811" w:hanging="454"/>
        <w:contextualSpacing/>
        <w:rPr>
          <w:rFonts w:ascii="Arial" w:hAnsi="Arial" w:cs="Arial"/>
          <w:sz w:val="24"/>
          <w:szCs w:val="24"/>
        </w:rPr>
      </w:pPr>
      <w:r w:rsidRPr="00F702E2">
        <w:rPr>
          <w:rFonts w:ascii="Arial" w:hAnsi="Arial" w:cs="Arial"/>
          <w:sz w:val="24"/>
          <w:szCs w:val="24"/>
        </w:rPr>
        <w:t xml:space="preserve">56 NSW </w:t>
      </w:r>
    </w:p>
    <w:p w14:paraId="229A0511" w14:textId="77777777" w:rsidR="00030089" w:rsidRPr="00F702E2" w:rsidRDefault="00030089" w:rsidP="00030089">
      <w:pPr>
        <w:pStyle w:val="NoSpacing"/>
        <w:numPr>
          <w:ilvl w:val="0"/>
          <w:numId w:val="4"/>
        </w:numPr>
        <w:spacing w:after="240"/>
        <w:ind w:left="811" w:hanging="454"/>
        <w:contextualSpacing/>
        <w:rPr>
          <w:rFonts w:ascii="Arial" w:hAnsi="Arial" w:cs="Arial"/>
          <w:sz w:val="24"/>
          <w:szCs w:val="24"/>
        </w:rPr>
      </w:pPr>
      <w:r w:rsidRPr="00F702E2">
        <w:rPr>
          <w:rFonts w:ascii="Arial" w:hAnsi="Arial" w:cs="Arial"/>
          <w:sz w:val="24"/>
          <w:szCs w:val="24"/>
        </w:rPr>
        <w:t>47 Vic</w:t>
      </w:r>
    </w:p>
    <w:p w14:paraId="09C12A48" w14:textId="77777777" w:rsidR="00030089" w:rsidRPr="00F702E2" w:rsidRDefault="00030089" w:rsidP="00030089">
      <w:pPr>
        <w:pStyle w:val="NoSpacing"/>
        <w:numPr>
          <w:ilvl w:val="0"/>
          <w:numId w:val="4"/>
        </w:numPr>
        <w:spacing w:after="240"/>
        <w:ind w:left="811" w:hanging="454"/>
        <w:contextualSpacing/>
        <w:rPr>
          <w:rFonts w:ascii="Arial" w:hAnsi="Arial" w:cs="Arial"/>
          <w:sz w:val="24"/>
          <w:szCs w:val="24"/>
        </w:rPr>
      </w:pPr>
      <w:r w:rsidRPr="00F702E2">
        <w:rPr>
          <w:rFonts w:ascii="Arial" w:hAnsi="Arial" w:cs="Arial"/>
          <w:sz w:val="24"/>
          <w:szCs w:val="24"/>
        </w:rPr>
        <w:t>29 SA</w:t>
      </w:r>
    </w:p>
    <w:p w14:paraId="527FBC1C" w14:textId="77777777" w:rsidR="00030089" w:rsidRPr="00F702E2" w:rsidRDefault="00030089" w:rsidP="00030089">
      <w:pPr>
        <w:pStyle w:val="NoSpacing"/>
        <w:numPr>
          <w:ilvl w:val="0"/>
          <w:numId w:val="4"/>
        </w:numPr>
        <w:spacing w:after="240"/>
        <w:ind w:left="811" w:hanging="454"/>
        <w:contextualSpacing/>
        <w:rPr>
          <w:rFonts w:ascii="Arial" w:hAnsi="Arial" w:cs="Arial"/>
          <w:sz w:val="24"/>
          <w:szCs w:val="24"/>
        </w:rPr>
      </w:pPr>
      <w:r w:rsidRPr="00F702E2">
        <w:rPr>
          <w:rFonts w:ascii="Arial" w:hAnsi="Arial" w:cs="Arial"/>
          <w:sz w:val="24"/>
          <w:szCs w:val="24"/>
        </w:rPr>
        <w:t>10 Qld</w:t>
      </w:r>
    </w:p>
    <w:p w14:paraId="0960619B" w14:textId="77777777" w:rsidR="00030089" w:rsidRPr="00F702E2" w:rsidRDefault="00030089" w:rsidP="00030089">
      <w:pPr>
        <w:pStyle w:val="NoSpacing"/>
        <w:numPr>
          <w:ilvl w:val="0"/>
          <w:numId w:val="4"/>
        </w:numPr>
        <w:spacing w:after="240"/>
        <w:ind w:left="811" w:hanging="454"/>
        <w:contextualSpacing/>
        <w:rPr>
          <w:rFonts w:ascii="Arial" w:hAnsi="Arial" w:cs="Arial"/>
          <w:sz w:val="24"/>
          <w:szCs w:val="24"/>
        </w:rPr>
      </w:pPr>
      <w:r w:rsidRPr="00F702E2">
        <w:rPr>
          <w:rFonts w:ascii="Arial" w:hAnsi="Arial" w:cs="Arial"/>
          <w:sz w:val="24"/>
          <w:szCs w:val="24"/>
        </w:rPr>
        <w:t>9 WA</w:t>
      </w:r>
    </w:p>
    <w:p w14:paraId="518D2C35" w14:textId="77777777" w:rsidR="00030089" w:rsidRPr="00F702E2" w:rsidRDefault="00030089" w:rsidP="00030089">
      <w:pPr>
        <w:pStyle w:val="NoSpacing"/>
        <w:numPr>
          <w:ilvl w:val="0"/>
          <w:numId w:val="4"/>
        </w:numPr>
        <w:spacing w:after="240"/>
        <w:ind w:left="811" w:hanging="454"/>
        <w:contextualSpacing/>
        <w:rPr>
          <w:rFonts w:ascii="Arial" w:hAnsi="Arial" w:cs="Arial"/>
          <w:sz w:val="24"/>
          <w:szCs w:val="24"/>
        </w:rPr>
      </w:pPr>
      <w:r w:rsidRPr="00F702E2">
        <w:rPr>
          <w:rFonts w:ascii="Arial" w:hAnsi="Arial" w:cs="Arial"/>
          <w:sz w:val="24"/>
          <w:szCs w:val="24"/>
        </w:rPr>
        <w:t xml:space="preserve">1 NT </w:t>
      </w:r>
    </w:p>
    <w:p w14:paraId="2FE5D03C" w14:textId="77777777" w:rsidR="00030089" w:rsidRPr="00F702E2" w:rsidRDefault="00030089" w:rsidP="00030089">
      <w:pPr>
        <w:pStyle w:val="NoSpacing"/>
        <w:numPr>
          <w:ilvl w:val="0"/>
          <w:numId w:val="4"/>
        </w:numPr>
        <w:spacing w:after="240"/>
        <w:ind w:left="811" w:hanging="454"/>
        <w:contextualSpacing/>
        <w:rPr>
          <w:rFonts w:ascii="Arial" w:hAnsi="Arial" w:cs="Arial"/>
          <w:sz w:val="24"/>
          <w:szCs w:val="24"/>
        </w:rPr>
      </w:pPr>
      <w:r w:rsidRPr="00F702E2">
        <w:rPr>
          <w:rFonts w:ascii="Arial" w:hAnsi="Arial" w:cs="Arial"/>
          <w:sz w:val="24"/>
          <w:szCs w:val="24"/>
        </w:rPr>
        <w:t>1 USA</w:t>
      </w:r>
    </w:p>
    <w:p w14:paraId="1E72659D" w14:textId="77777777" w:rsidR="00030089" w:rsidRPr="00F702E2" w:rsidRDefault="00030089" w:rsidP="00030089">
      <w:pPr>
        <w:pStyle w:val="NoSpacing"/>
        <w:numPr>
          <w:ilvl w:val="0"/>
          <w:numId w:val="4"/>
        </w:numPr>
        <w:spacing w:after="240"/>
        <w:ind w:left="811" w:hanging="454"/>
        <w:contextualSpacing/>
        <w:rPr>
          <w:rFonts w:ascii="Arial" w:hAnsi="Arial" w:cs="Arial"/>
          <w:sz w:val="24"/>
          <w:szCs w:val="24"/>
        </w:rPr>
      </w:pPr>
      <w:r w:rsidRPr="00F702E2">
        <w:rPr>
          <w:rFonts w:ascii="Arial" w:hAnsi="Arial" w:cs="Arial"/>
          <w:sz w:val="24"/>
          <w:szCs w:val="24"/>
        </w:rPr>
        <w:t>0 NZ</w:t>
      </w:r>
    </w:p>
    <w:p w14:paraId="40E3B230" w14:textId="77777777" w:rsidR="00F702E2" w:rsidRDefault="00F702E2" w:rsidP="00030089">
      <w:pPr>
        <w:spacing w:line="360" w:lineRule="auto"/>
        <w:jc w:val="both"/>
        <w:rPr>
          <w:rFonts w:ascii="Arial" w:hAnsi="Arial" w:cs="Arial"/>
          <w:szCs w:val="28"/>
        </w:rPr>
      </w:pPr>
    </w:p>
    <w:p w14:paraId="25B10D61" w14:textId="77777777" w:rsidR="00030089" w:rsidRPr="00FE611A" w:rsidRDefault="00030089" w:rsidP="00030089">
      <w:pPr>
        <w:spacing w:line="360" w:lineRule="auto"/>
        <w:jc w:val="both"/>
        <w:rPr>
          <w:rFonts w:ascii="Arial" w:hAnsi="Arial" w:cs="Arial"/>
          <w:szCs w:val="28"/>
        </w:rPr>
      </w:pPr>
      <w:r w:rsidRPr="00FE611A">
        <w:rPr>
          <w:rFonts w:ascii="Arial" w:hAnsi="Arial" w:cs="Arial"/>
          <w:szCs w:val="28"/>
        </w:rPr>
        <w:t xml:space="preserve">The use of </w:t>
      </w:r>
      <w:r>
        <w:rPr>
          <w:rFonts w:ascii="Arial" w:hAnsi="Arial" w:cs="Arial"/>
          <w:szCs w:val="28"/>
        </w:rPr>
        <w:t>operational cost estimates derived from</w:t>
      </w:r>
      <w:r w:rsidRPr="00FE611A">
        <w:rPr>
          <w:rFonts w:ascii="Arial" w:hAnsi="Arial" w:cs="Arial"/>
          <w:szCs w:val="28"/>
        </w:rPr>
        <w:t xml:space="preserve"> </w:t>
      </w:r>
      <w:r>
        <w:rPr>
          <w:rFonts w:ascii="Arial" w:hAnsi="Arial" w:cs="Arial"/>
          <w:szCs w:val="28"/>
        </w:rPr>
        <w:t>the hypothetical</w:t>
      </w:r>
      <w:r w:rsidRPr="00FE611A">
        <w:rPr>
          <w:rFonts w:ascii="Arial" w:hAnsi="Arial" w:cs="Arial"/>
          <w:szCs w:val="28"/>
        </w:rPr>
        <w:t xml:space="preserve"> </w:t>
      </w:r>
      <w:r>
        <w:rPr>
          <w:rFonts w:ascii="Arial" w:hAnsi="Arial" w:cs="Arial"/>
          <w:szCs w:val="28"/>
        </w:rPr>
        <w:t xml:space="preserve">Packaging Impacts CRIS estimates </w:t>
      </w:r>
      <w:r w:rsidRPr="00FE611A">
        <w:rPr>
          <w:rFonts w:ascii="Arial" w:hAnsi="Arial" w:cs="Arial"/>
          <w:szCs w:val="28"/>
        </w:rPr>
        <w:t>ha</w:t>
      </w:r>
      <w:r>
        <w:rPr>
          <w:rFonts w:ascii="Arial" w:hAnsi="Arial" w:cs="Arial"/>
          <w:szCs w:val="28"/>
        </w:rPr>
        <w:t>ve</w:t>
      </w:r>
      <w:r w:rsidRPr="00FE611A">
        <w:rPr>
          <w:rFonts w:ascii="Arial" w:hAnsi="Arial" w:cs="Arial"/>
          <w:szCs w:val="28"/>
        </w:rPr>
        <w:t xml:space="preserve"> been maintained</w:t>
      </w:r>
      <w:r>
        <w:rPr>
          <w:rFonts w:ascii="Arial" w:hAnsi="Arial" w:cs="Arial"/>
          <w:szCs w:val="28"/>
        </w:rPr>
        <w:t>. This has been done</w:t>
      </w:r>
      <w:r w:rsidRPr="00FE611A">
        <w:rPr>
          <w:rFonts w:ascii="Arial" w:hAnsi="Arial" w:cs="Arial"/>
          <w:szCs w:val="28"/>
        </w:rPr>
        <w:t xml:space="preserve"> despite the beverage industry calling for a non hypothetical costing based on ‘accurate cost data’ derived from operation of the NT</w:t>
      </w:r>
      <w:r>
        <w:rPr>
          <w:rFonts w:ascii="Arial" w:hAnsi="Arial" w:cs="Arial"/>
          <w:szCs w:val="28"/>
        </w:rPr>
        <w:t xml:space="preserve"> </w:t>
      </w:r>
      <w:r w:rsidRPr="00FE611A">
        <w:rPr>
          <w:rFonts w:ascii="Arial" w:hAnsi="Arial" w:cs="Arial"/>
          <w:szCs w:val="28"/>
        </w:rPr>
        <w:t xml:space="preserve">CDS to date. </w:t>
      </w:r>
      <w:r>
        <w:rPr>
          <w:rFonts w:ascii="Arial" w:hAnsi="Arial" w:cs="Arial"/>
          <w:szCs w:val="28"/>
        </w:rPr>
        <w:t>This is because ascertaining accurate data in terms of operation costs is problematic. C</w:t>
      </w:r>
      <w:r w:rsidRPr="00FE611A">
        <w:rPr>
          <w:rFonts w:ascii="Arial" w:hAnsi="Arial" w:cs="Arial"/>
          <w:szCs w:val="28"/>
        </w:rPr>
        <w:t>onsultation undertaken with collection depots indicates that some collection depots believe their costs are not reflected in the handling fee paid to them, while others are satisfied they are and anticipate their costs will reduce significantly in the medium to long term</w:t>
      </w:r>
      <w:r>
        <w:rPr>
          <w:rFonts w:ascii="Arial" w:hAnsi="Arial" w:cs="Arial"/>
          <w:szCs w:val="28"/>
        </w:rPr>
        <w:t xml:space="preserve"> if issues surrounding the number of splits and sorts in the CDS are resolved</w:t>
      </w:r>
      <w:r w:rsidRPr="00FE611A">
        <w:rPr>
          <w:rFonts w:ascii="Arial" w:hAnsi="Arial" w:cs="Arial"/>
          <w:szCs w:val="28"/>
        </w:rPr>
        <w:t xml:space="preserve">. </w:t>
      </w:r>
    </w:p>
    <w:p w14:paraId="145B17CF" w14:textId="77777777" w:rsidR="00030089" w:rsidRPr="00FE611A" w:rsidRDefault="00030089" w:rsidP="00030089">
      <w:pPr>
        <w:spacing w:line="360" w:lineRule="auto"/>
        <w:jc w:val="both"/>
        <w:rPr>
          <w:rFonts w:ascii="Arial" w:hAnsi="Arial" w:cs="Arial"/>
          <w:szCs w:val="28"/>
        </w:rPr>
      </w:pPr>
      <w:r>
        <w:rPr>
          <w:rFonts w:ascii="Arial" w:hAnsi="Arial" w:cs="Arial"/>
          <w:szCs w:val="28"/>
        </w:rPr>
        <w:t>C</w:t>
      </w:r>
      <w:r w:rsidRPr="00FE611A">
        <w:rPr>
          <w:rFonts w:ascii="Arial" w:hAnsi="Arial" w:cs="Arial"/>
          <w:szCs w:val="28"/>
        </w:rPr>
        <w:t xml:space="preserve">onsultation indicates there has been a wide disparity in the amount of capital investment made by collection depots to date. This is partly a reflection of </w:t>
      </w:r>
      <w:r>
        <w:rPr>
          <w:rFonts w:ascii="Arial" w:hAnsi="Arial" w:cs="Arial"/>
          <w:szCs w:val="28"/>
        </w:rPr>
        <w:t xml:space="preserve">there being </w:t>
      </w:r>
      <w:r w:rsidRPr="00FE611A">
        <w:rPr>
          <w:rFonts w:ascii="Arial" w:hAnsi="Arial" w:cs="Arial"/>
          <w:szCs w:val="28"/>
        </w:rPr>
        <w:t xml:space="preserve">new </w:t>
      </w:r>
      <w:r>
        <w:rPr>
          <w:rFonts w:ascii="Arial" w:hAnsi="Arial" w:cs="Arial"/>
          <w:szCs w:val="28"/>
        </w:rPr>
        <w:t>stakeholders entering into collection depot operations and</w:t>
      </w:r>
      <w:r w:rsidRPr="00FE611A">
        <w:rPr>
          <w:rFonts w:ascii="Arial" w:hAnsi="Arial" w:cs="Arial"/>
          <w:szCs w:val="28"/>
        </w:rPr>
        <w:t xml:space="preserve"> on the other hand seasoned operators who appreciate the need for sophisticated plant and technologies in order to obtain efficiencies. Clearly the level of investment made affects the operational costs incurred in processing containers. Over the medium term, investment as a proportion of overall costs is likely to diminish rapidly. </w:t>
      </w:r>
    </w:p>
    <w:p w14:paraId="05AD2450" w14:textId="77777777" w:rsidR="00030089" w:rsidRPr="00FE611A" w:rsidRDefault="00030089" w:rsidP="00030089">
      <w:pPr>
        <w:spacing w:line="360" w:lineRule="auto"/>
        <w:jc w:val="both"/>
        <w:rPr>
          <w:rFonts w:ascii="Arial" w:hAnsi="Arial" w:cs="Arial"/>
          <w:szCs w:val="28"/>
        </w:rPr>
      </w:pPr>
      <w:r w:rsidRPr="00FE611A">
        <w:rPr>
          <w:rFonts w:ascii="Arial" w:hAnsi="Arial" w:cs="Arial"/>
          <w:szCs w:val="28"/>
        </w:rPr>
        <w:t xml:space="preserve">Importantly, no alternative estimations of operational cost were provided by the manufacturing industry or its representatives. This was the case despite requests expressly made in the consultation RIS for such estimates in the context of an acknowledgment that the </w:t>
      </w:r>
      <w:r>
        <w:rPr>
          <w:rFonts w:ascii="Arial" w:hAnsi="Arial" w:cs="Arial"/>
          <w:szCs w:val="28"/>
        </w:rPr>
        <w:t xml:space="preserve">Packaging Impacts </w:t>
      </w:r>
      <w:r w:rsidRPr="00FE611A">
        <w:rPr>
          <w:rFonts w:ascii="Arial" w:hAnsi="Arial" w:cs="Arial"/>
          <w:szCs w:val="28"/>
        </w:rPr>
        <w:t xml:space="preserve">CRIS model is hypothetical. Further </w:t>
      </w:r>
      <w:r w:rsidRPr="00FE611A">
        <w:rPr>
          <w:rFonts w:ascii="Arial" w:hAnsi="Arial" w:cs="Arial"/>
          <w:szCs w:val="28"/>
        </w:rPr>
        <w:lastRenderedPageBreak/>
        <w:t xml:space="preserve">requests to industry representatives around their estimate of operational costs were subsequently made. </w:t>
      </w:r>
      <w:r>
        <w:rPr>
          <w:rFonts w:ascii="Arial" w:hAnsi="Arial" w:cs="Arial"/>
          <w:szCs w:val="28"/>
        </w:rPr>
        <w:t>Responses were</w:t>
      </w:r>
      <w:r w:rsidRPr="00FE611A">
        <w:rPr>
          <w:rFonts w:ascii="Arial" w:hAnsi="Arial" w:cs="Arial"/>
          <w:szCs w:val="28"/>
        </w:rPr>
        <w:t xml:space="preserve"> not received. This lack of response is taken as confirmation that securing non-hypothetical ‘accurate cost data’ that definitively determines the cost of a mature NT scheme is in fact problematic.</w:t>
      </w:r>
      <w:r>
        <w:rPr>
          <w:rFonts w:ascii="Arial" w:hAnsi="Arial" w:cs="Arial"/>
          <w:szCs w:val="28"/>
        </w:rPr>
        <w:t xml:space="preserve"> </w:t>
      </w:r>
    </w:p>
    <w:p w14:paraId="5E56C8CF" w14:textId="77777777" w:rsidR="00030089" w:rsidRPr="00F702E2" w:rsidRDefault="00030089" w:rsidP="00030089">
      <w:pPr>
        <w:pStyle w:val="Default"/>
        <w:rPr>
          <w:sz w:val="24"/>
          <w:szCs w:val="24"/>
          <w:vertAlign w:val="subscript"/>
        </w:rPr>
      </w:pPr>
      <w:r w:rsidRPr="00F702E2">
        <w:rPr>
          <w:sz w:val="24"/>
          <w:szCs w:val="24"/>
        </w:rPr>
        <w:t>The cost nominated here is an indicative estimate only, based on and consistent with, the assumptions used in the Packaging Impacts CRIS for Option 4A</w:t>
      </w:r>
      <w:r w:rsidRPr="00F702E2">
        <w:rPr>
          <w:rStyle w:val="FootnoteReference"/>
          <w:rFonts w:cs="Arial"/>
          <w:sz w:val="24"/>
          <w:szCs w:val="24"/>
        </w:rPr>
        <w:footnoteReference w:id="18"/>
      </w:r>
      <w:r w:rsidRPr="00F702E2">
        <w:rPr>
          <w:sz w:val="24"/>
          <w:szCs w:val="24"/>
          <w:vertAlign w:val="subscript"/>
        </w:rPr>
        <w:t>.</w:t>
      </w:r>
    </w:p>
    <w:p w14:paraId="42628C6F" w14:textId="77777777" w:rsidR="00030089" w:rsidRPr="00F702E2" w:rsidRDefault="00030089" w:rsidP="00030089">
      <w:pPr>
        <w:pStyle w:val="Default"/>
        <w:rPr>
          <w:sz w:val="24"/>
          <w:szCs w:val="24"/>
        </w:rPr>
      </w:pPr>
      <w:r w:rsidRPr="00F702E2">
        <w:rPr>
          <w:sz w:val="24"/>
          <w:szCs w:val="24"/>
        </w:rPr>
        <w:t>The Option 4A model adopted the conventional approach to estimating the cost of CDS arrangements whereby estimates are made of the various cost elements on a per container basis. Consistent with current practice for estimating costs for CDS arrangements in Australia, there was no separation of capital and operating costs. Instead one unit cost is used and is fully inclusive of both capital and operating costs. The model contains the following elements:</w:t>
      </w:r>
    </w:p>
    <w:p w14:paraId="59B252FE" w14:textId="77777777" w:rsidR="00030089" w:rsidRPr="00F702E2" w:rsidRDefault="00030089" w:rsidP="00030089">
      <w:pPr>
        <w:pStyle w:val="Default"/>
        <w:numPr>
          <w:ilvl w:val="0"/>
          <w:numId w:val="9"/>
        </w:numPr>
        <w:rPr>
          <w:sz w:val="24"/>
          <w:szCs w:val="24"/>
        </w:rPr>
      </w:pPr>
      <w:r w:rsidRPr="00F702E2">
        <w:rPr>
          <w:sz w:val="24"/>
          <w:szCs w:val="24"/>
        </w:rPr>
        <w:t>service areas – such as the cost to consolidate containers, the cost of transport, the cost of Reverse Vending Machines (RVM) etc;</w:t>
      </w:r>
    </w:p>
    <w:p w14:paraId="2926BDDB" w14:textId="77777777" w:rsidR="00030089" w:rsidRPr="00F702E2" w:rsidRDefault="00030089" w:rsidP="00030089">
      <w:pPr>
        <w:pStyle w:val="Default"/>
        <w:numPr>
          <w:ilvl w:val="0"/>
          <w:numId w:val="9"/>
        </w:numPr>
        <w:rPr>
          <w:sz w:val="24"/>
          <w:szCs w:val="24"/>
        </w:rPr>
      </w:pPr>
      <w:r w:rsidRPr="00F702E2">
        <w:rPr>
          <w:sz w:val="24"/>
          <w:szCs w:val="24"/>
        </w:rPr>
        <w:t>localities for services – such as kerbside, RVM sites, regional depots and rural and remote depots etc; and</w:t>
      </w:r>
    </w:p>
    <w:p w14:paraId="4E4E3D65" w14:textId="77777777" w:rsidR="00030089" w:rsidRPr="00F702E2" w:rsidRDefault="00030089" w:rsidP="00030089">
      <w:pPr>
        <w:pStyle w:val="Default"/>
        <w:numPr>
          <w:ilvl w:val="0"/>
          <w:numId w:val="9"/>
        </w:numPr>
        <w:rPr>
          <w:sz w:val="24"/>
          <w:szCs w:val="24"/>
        </w:rPr>
      </w:pPr>
      <w:r w:rsidRPr="00F702E2">
        <w:rPr>
          <w:sz w:val="24"/>
          <w:szCs w:val="24"/>
        </w:rPr>
        <w:t>unit costs – the cost per container for delivery of the relevant service at the designated locality, as a fully inclusive capital and operating cost.</w:t>
      </w:r>
    </w:p>
    <w:p w14:paraId="2A96266E" w14:textId="77777777" w:rsidR="00030089" w:rsidRPr="00F702E2" w:rsidRDefault="00030089" w:rsidP="00030089">
      <w:pPr>
        <w:pStyle w:val="Default"/>
        <w:rPr>
          <w:sz w:val="24"/>
          <w:szCs w:val="24"/>
        </w:rPr>
      </w:pPr>
      <w:r w:rsidRPr="00F702E2">
        <w:rPr>
          <w:sz w:val="24"/>
          <w:szCs w:val="24"/>
        </w:rPr>
        <w:t xml:space="preserve">In the Option 4A model, detailed supporting estimates were provided for the distribution of containers throughout the system covering the number of containers likely to present for re-aggregation at each of the localities where services are provided. Using these data, the Option 4A model estimated the cost to deliver CDS services at each of the localities and to aggregate the containers to centralised locations for reprocessing. </w:t>
      </w:r>
    </w:p>
    <w:p w14:paraId="5D4D2286" w14:textId="77777777" w:rsidR="00030089" w:rsidRPr="00F702E2" w:rsidRDefault="00030089" w:rsidP="00030089">
      <w:pPr>
        <w:pStyle w:val="Default"/>
        <w:rPr>
          <w:sz w:val="24"/>
          <w:szCs w:val="24"/>
        </w:rPr>
      </w:pPr>
      <w:r w:rsidRPr="00F702E2">
        <w:rPr>
          <w:sz w:val="24"/>
          <w:szCs w:val="24"/>
        </w:rPr>
        <w:t xml:space="preserve">The value adopted for Option 4A was 4.5 cents/container and 6 cents/container in rural and remote locations. This information has been used for this document’s Option One and Three. Co-ordination across the system was 0.4 cents/container, baling and transport from collection depots, RVMs and rural and remote collection points to hubs (urban and rural) was 0.72 cents/container, and rural and remote transport from hubs to reprocesses was </w:t>
      </w:r>
      <w:r w:rsidRPr="00F702E2">
        <w:rPr>
          <w:sz w:val="24"/>
          <w:szCs w:val="24"/>
        </w:rPr>
        <w:lastRenderedPageBreak/>
        <w:t>estimated at $106.30 per tonne. These estimates are based on the economic costs of the CDS infrastructure (i.e. include capital and operating costs) and exclude the payment of financial incentives to rural and remote infrastructure operators.</w:t>
      </w:r>
    </w:p>
    <w:p w14:paraId="73326357" w14:textId="77777777" w:rsidR="00030089" w:rsidRPr="00F702E2" w:rsidRDefault="00030089" w:rsidP="00030089">
      <w:pPr>
        <w:pStyle w:val="Default"/>
        <w:rPr>
          <w:sz w:val="24"/>
          <w:szCs w:val="24"/>
        </w:rPr>
      </w:pPr>
      <w:r w:rsidRPr="00F702E2">
        <w:rPr>
          <w:sz w:val="24"/>
          <w:szCs w:val="24"/>
        </w:rPr>
        <w:t xml:space="preserve">These costs are consistent with the 4 cents/container handling cost used in the </w:t>
      </w:r>
      <w:r w:rsidRPr="00F702E2">
        <w:rPr>
          <w:i/>
          <w:sz w:val="24"/>
          <w:szCs w:val="24"/>
        </w:rPr>
        <w:t>Beverage Container Investigation</w:t>
      </w:r>
      <w:r w:rsidRPr="00F702E2">
        <w:rPr>
          <w:rStyle w:val="FootnoteReference"/>
          <w:rFonts w:cs="Arial"/>
          <w:sz w:val="24"/>
          <w:szCs w:val="24"/>
        </w:rPr>
        <w:footnoteReference w:id="19"/>
      </w:r>
      <w:r w:rsidRPr="00F702E2">
        <w:rPr>
          <w:sz w:val="24"/>
          <w:szCs w:val="24"/>
        </w:rPr>
        <w:t>. The above handling costs are in line with the 4.25 cents/container depot handling fee estimate proposed in a 2009 report</w:t>
      </w:r>
      <w:r w:rsidRPr="00F702E2">
        <w:rPr>
          <w:rStyle w:val="FootnoteReference"/>
          <w:sz w:val="24"/>
          <w:szCs w:val="24"/>
        </w:rPr>
        <w:footnoteReference w:id="20"/>
      </w:r>
      <w:r w:rsidRPr="00F702E2">
        <w:rPr>
          <w:sz w:val="24"/>
          <w:szCs w:val="24"/>
        </w:rPr>
        <w:t>. The SA Environment Protection Authority estimates South Australian costs to be at 4.25 cents/container</w:t>
      </w:r>
      <w:r w:rsidRPr="00F702E2">
        <w:rPr>
          <w:rStyle w:val="FootnoteReference"/>
          <w:rFonts w:cs="Arial"/>
          <w:sz w:val="24"/>
          <w:szCs w:val="24"/>
        </w:rPr>
        <w:footnoteReference w:id="21"/>
      </w:r>
      <w:r w:rsidRPr="00F702E2">
        <w:rPr>
          <w:sz w:val="24"/>
          <w:szCs w:val="24"/>
        </w:rPr>
        <w:t>. A CDS in the NT requires development of more infrastructure and therefore NT costs are estimated to be higher than the SA scheme’s costs.</w:t>
      </w:r>
    </w:p>
    <w:p w14:paraId="6F19F9B0" w14:textId="77777777" w:rsidR="00030089" w:rsidRPr="00F702E2" w:rsidRDefault="00030089" w:rsidP="00030089">
      <w:pPr>
        <w:pStyle w:val="Default"/>
        <w:rPr>
          <w:sz w:val="24"/>
          <w:szCs w:val="24"/>
        </w:rPr>
      </w:pPr>
      <w:r w:rsidRPr="00F702E2">
        <w:rPr>
          <w:sz w:val="24"/>
          <w:szCs w:val="24"/>
        </w:rPr>
        <w:t>The cost of changing beverage container labels as per the legislative requirements does not represent a cost significant enough to register. A two year transitional period from the current SA labeling has been granted under the Act. The beverage industry can therefore make the change at a time when other labeling changes are already scheduled. Administrative costs associated with management of deposits and handling fees collected and paid to CDS coordinators and administrative costs associated with reporting on NT sales to CDS coordinators will represent a negligible increase on administration costs already borne for this purpose in relation to the SA CDS.</w:t>
      </w:r>
    </w:p>
    <w:p w14:paraId="528CC328" w14:textId="77777777" w:rsidR="00030089" w:rsidRPr="00F702E2" w:rsidRDefault="00030089" w:rsidP="00030089">
      <w:pPr>
        <w:pStyle w:val="Default"/>
        <w:rPr>
          <w:sz w:val="24"/>
          <w:szCs w:val="24"/>
        </w:rPr>
      </w:pPr>
      <w:r w:rsidRPr="00F702E2">
        <w:rPr>
          <w:sz w:val="24"/>
          <w:szCs w:val="24"/>
        </w:rPr>
        <w:t xml:space="preserve">Considering all these factors, annual operation and compliance costs for the NT CDS after 12 months of operation are estimated at approximately $1 875 924 per annum. This estimate is essentially an adjustment of the Packaging Impacts CRIS Option 4A estimate, in line with NT’s proportion of national population. </w:t>
      </w:r>
    </w:p>
    <w:p w14:paraId="7D27B6DC" w14:textId="77777777" w:rsidR="00030089" w:rsidRPr="00F702E2" w:rsidRDefault="00030089" w:rsidP="00030089">
      <w:pPr>
        <w:pStyle w:val="Default"/>
        <w:rPr>
          <w:sz w:val="24"/>
          <w:szCs w:val="24"/>
        </w:rPr>
      </w:pPr>
      <w:r w:rsidRPr="00F702E2">
        <w:rPr>
          <w:sz w:val="24"/>
          <w:szCs w:val="24"/>
        </w:rPr>
        <w:t xml:space="preserve">It should be noted that beverage prices will increase by 10c to cover the NT CDS’s redeemable deposit. Beverage manufacturers have also made it clear that they will increase beverage prices to cover their handling fees. However, the 10c deposit paid by consumers to beverage manufacturers when purchasing a beverage is then transferred by beverage manufacturers to depots. Depots in turn pay the 10c deposit back to consumers in exchange for their returned beverage container. </w:t>
      </w:r>
    </w:p>
    <w:p w14:paraId="779F143F" w14:textId="77777777" w:rsidR="00030089" w:rsidRPr="00F702E2" w:rsidRDefault="00030089" w:rsidP="00030089">
      <w:pPr>
        <w:pStyle w:val="Default"/>
        <w:rPr>
          <w:sz w:val="24"/>
          <w:szCs w:val="24"/>
        </w:rPr>
      </w:pPr>
      <w:r w:rsidRPr="00F702E2">
        <w:rPr>
          <w:b/>
          <w:sz w:val="24"/>
          <w:szCs w:val="24"/>
        </w:rPr>
        <w:lastRenderedPageBreak/>
        <w:t xml:space="preserve">Household Participation Costs </w:t>
      </w:r>
      <w:r w:rsidRPr="00F702E2">
        <w:rPr>
          <w:sz w:val="24"/>
          <w:szCs w:val="24"/>
        </w:rPr>
        <w:t xml:space="preserve">are estimated at $192 600. This is an adjustment of the Packaging Impacts CRIS Option 4A estimate, in line with NT’s proportion of national population. Key assumptions in the Packaging Impacts CRIS analysis centre on vehicle operating costs, in-vehicle travel time, accumulation time and container deposit redemption time. </w:t>
      </w:r>
    </w:p>
    <w:p w14:paraId="2CD8BE88" w14:textId="77777777" w:rsidR="00030089" w:rsidRPr="00F702E2" w:rsidRDefault="00030089" w:rsidP="00030089">
      <w:pPr>
        <w:pStyle w:val="Default"/>
        <w:rPr>
          <w:sz w:val="24"/>
          <w:szCs w:val="24"/>
        </w:rPr>
      </w:pPr>
      <w:r w:rsidRPr="00F702E2">
        <w:rPr>
          <w:sz w:val="24"/>
          <w:szCs w:val="24"/>
        </w:rPr>
        <w:t xml:space="preserve">Urban sprawl and congestion common to south-eastern jurisdictions is not a reality in the NT. While it is acknowledged that travel in the NT between major settlements and remote locations involve great distances and costs, travel within urban areas, where the majority of the population resides, is exceptionally convenient. Similarly, travel within remote settlements is also exceptionally convenient. Furthermore, the establishment of RVMs in the NT is beginning to allow incorporation of redemption of containers into existing shopping trips. </w:t>
      </w:r>
    </w:p>
    <w:p w14:paraId="121234CF" w14:textId="77777777" w:rsidR="00030089" w:rsidRPr="00137FC5" w:rsidRDefault="00030089" w:rsidP="00030089">
      <w:pPr>
        <w:rPr>
          <w:rFonts w:ascii="Arial" w:hAnsi="Arial" w:cs="Arial"/>
          <w:b/>
          <w:szCs w:val="28"/>
        </w:rPr>
      </w:pPr>
      <w:r w:rsidRPr="00137FC5">
        <w:rPr>
          <w:rFonts w:ascii="Arial" w:hAnsi="Arial" w:cs="Arial"/>
          <w:b/>
          <w:szCs w:val="28"/>
        </w:rPr>
        <w:t>Market Benefits</w:t>
      </w:r>
    </w:p>
    <w:p w14:paraId="5F80B506" w14:textId="77777777" w:rsidR="00030089" w:rsidRDefault="00030089" w:rsidP="00030089">
      <w:pPr>
        <w:autoSpaceDE w:val="0"/>
        <w:autoSpaceDN w:val="0"/>
        <w:adjustRightInd w:val="0"/>
        <w:spacing w:line="360" w:lineRule="auto"/>
        <w:jc w:val="both"/>
        <w:rPr>
          <w:rFonts w:ascii="Arial" w:hAnsi="Arial" w:cs="Arial"/>
          <w:szCs w:val="28"/>
        </w:rPr>
      </w:pPr>
      <w:r w:rsidRPr="00957795">
        <w:rPr>
          <w:rFonts w:ascii="Arial" w:hAnsi="Arial" w:cs="Arial"/>
          <w:b/>
          <w:szCs w:val="28"/>
        </w:rPr>
        <w:t>Market Value of Resources</w:t>
      </w:r>
      <w:r>
        <w:rPr>
          <w:rFonts w:ascii="Arial" w:hAnsi="Arial" w:cs="Arial"/>
          <w:color w:val="0070C0"/>
          <w:szCs w:val="28"/>
        </w:rPr>
        <w:t xml:space="preserve"> </w:t>
      </w:r>
      <w:r>
        <w:rPr>
          <w:rFonts w:ascii="Arial" w:hAnsi="Arial" w:cs="Arial"/>
        </w:rPr>
        <w:t>The NT CDS</w:t>
      </w:r>
      <w:r w:rsidRPr="00500687">
        <w:rPr>
          <w:rFonts w:ascii="Arial" w:hAnsi="Arial" w:cs="Arial"/>
        </w:rPr>
        <w:t xml:space="preserve"> generates resources that can be sold </w:t>
      </w:r>
      <w:r>
        <w:rPr>
          <w:rFonts w:ascii="Arial" w:hAnsi="Arial" w:cs="Arial"/>
        </w:rPr>
        <w:t xml:space="preserve">into the </w:t>
      </w:r>
      <w:r w:rsidRPr="00500687">
        <w:rPr>
          <w:rFonts w:ascii="Arial" w:hAnsi="Arial" w:cs="Arial"/>
        </w:rPr>
        <w:t xml:space="preserve"> recycl</w:t>
      </w:r>
      <w:r>
        <w:rPr>
          <w:rFonts w:ascii="Arial" w:hAnsi="Arial" w:cs="Arial"/>
        </w:rPr>
        <w:t>ing</w:t>
      </w:r>
      <w:r w:rsidRPr="00500687">
        <w:rPr>
          <w:rFonts w:ascii="Arial" w:hAnsi="Arial" w:cs="Arial"/>
        </w:rPr>
        <w:t xml:space="preserve"> market. The quality is high due to low contamination.</w:t>
      </w:r>
      <w:r>
        <w:rPr>
          <w:rFonts w:ascii="Arial" w:hAnsi="Arial" w:cs="Arial"/>
        </w:rPr>
        <w:t xml:space="preserve"> </w:t>
      </w:r>
      <w:r>
        <w:rPr>
          <w:rFonts w:ascii="Arial" w:hAnsi="Arial" w:cs="Arial"/>
          <w:color w:val="000000" w:themeColor="text1"/>
          <w:szCs w:val="28"/>
        </w:rPr>
        <w:t xml:space="preserve">Table </w:t>
      </w:r>
      <w:r w:rsidRPr="00EA38F9">
        <w:rPr>
          <w:rFonts w:ascii="Arial" w:hAnsi="Arial" w:cs="Arial"/>
          <w:color w:val="000000" w:themeColor="text1"/>
          <w:szCs w:val="28"/>
        </w:rPr>
        <w:t>4.</w:t>
      </w:r>
      <w:r>
        <w:rPr>
          <w:rFonts w:ascii="Arial" w:hAnsi="Arial" w:cs="Arial"/>
          <w:color w:val="000000" w:themeColor="text1"/>
          <w:szCs w:val="28"/>
        </w:rPr>
        <w:t>15 shows that at</w:t>
      </w:r>
      <w:r w:rsidRPr="00D56E00">
        <w:rPr>
          <w:rFonts w:ascii="Arial" w:hAnsi="Arial" w:cs="Arial"/>
          <w:color w:val="000000" w:themeColor="text1"/>
          <w:szCs w:val="28"/>
        </w:rPr>
        <w:t xml:space="preserve"> </w:t>
      </w:r>
      <w:r>
        <w:rPr>
          <w:rFonts w:ascii="Arial" w:hAnsi="Arial" w:cs="Arial"/>
          <w:color w:val="000000" w:themeColor="text1"/>
          <w:szCs w:val="28"/>
        </w:rPr>
        <w:t xml:space="preserve">in the first year of the CDS’s operation, an additional 2 4722 </w:t>
      </w:r>
      <w:r w:rsidRPr="00D56E00">
        <w:rPr>
          <w:rFonts w:ascii="Arial" w:hAnsi="Arial" w:cs="Arial"/>
          <w:color w:val="000000" w:themeColor="text1"/>
          <w:szCs w:val="28"/>
        </w:rPr>
        <w:t>tonnes of beverage containers were di</w:t>
      </w:r>
      <w:r>
        <w:rPr>
          <w:rFonts w:ascii="Arial" w:hAnsi="Arial" w:cs="Arial"/>
          <w:color w:val="000000" w:themeColor="text1"/>
          <w:szCs w:val="28"/>
        </w:rPr>
        <w:t>verted from landfill</w:t>
      </w:r>
      <w:r w:rsidRPr="00D56E00">
        <w:rPr>
          <w:rFonts w:ascii="Arial" w:hAnsi="Arial" w:cs="Arial"/>
          <w:color w:val="000000" w:themeColor="text1"/>
          <w:szCs w:val="28"/>
        </w:rPr>
        <w:t xml:space="preserve">. </w:t>
      </w:r>
      <w:r w:rsidRPr="00137FC5">
        <w:rPr>
          <w:rFonts w:ascii="Arial" w:hAnsi="Arial" w:cs="Arial"/>
          <w:szCs w:val="28"/>
        </w:rPr>
        <w:t xml:space="preserve">As </w:t>
      </w:r>
      <w:r>
        <w:rPr>
          <w:rFonts w:ascii="Arial" w:hAnsi="Arial" w:cs="Arial"/>
          <w:szCs w:val="28"/>
        </w:rPr>
        <w:t>set out</w:t>
      </w:r>
      <w:r w:rsidRPr="00137FC5">
        <w:rPr>
          <w:rFonts w:ascii="Arial" w:hAnsi="Arial" w:cs="Arial"/>
          <w:szCs w:val="28"/>
        </w:rPr>
        <w:t xml:space="preserve"> in </w:t>
      </w:r>
      <w:r>
        <w:rPr>
          <w:rFonts w:ascii="Arial" w:hAnsi="Arial" w:cs="Arial"/>
          <w:szCs w:val="28"/>
        </w:rPr>
        <w:t>Table 4.15</w:t>
      </w:r>
      <w:r w:rsidRPr="00137FC5">
        <w:rPr>
          <w:rFonts w:ascii="Arial" w:hAnsi="Arial" w:cs="Arial"/>
          <w:szCs w:val="28"/>
        </w:rPr>
        <w:t xml:space="preserve">, at a 33.8 per cent return rate, the total value of </w:t>
      </w:r>
      <w:r>
        <w:rPr>
          <w:rFonts w:ascii="Arial" w:hAnsi="Arial" w:cs="Arial"/>
          <w:szCs w:val="28"/>
        </w:rPr>
        <w:t xml:space="preserve">this </w:t>
      </w:r>
      <w:r w:rsidRPr="00137FC5">
        <w:rPr>
          <w:rFonts w:ascii="Arial" w:hAnsi="Arial" w:cs="Arial"/>
          <w:szCs w:val="28"/>
        </w:rPr>
        <w:t xml:space="preserve">collected material </w:t>
      </w:r>
      <w:r>
        <w:rPr>
          <w:rFonts w:ascii="Arial" w:hAnsi="Arial" w:cs="Arial"/>
          <w:szCs w:val="28"/>
        </w:rPr>
        <w:t xml:space="preserve">in the first year of the NT CDS’s operation is estimated to have been </w:t>
      </w:r>
      <w:r w:rsidRPr="00137FC5">
        <w:rPr>
          <w:rFonts w:ascii="Arial" w:hAnsi="Arial" w:cs="Arial"/>
          <w:szCs w:val="28"/>
        </w:rPr>
        <w:t>$</w:t>
      </w:r>
      <w:r>
        <w:rPr>
          <w:rFonts w:ascii="Arial" w:hAnsi="Arial" w:cs="Arial"/>
          <w:szCs w:val="28"/>
        </w:rPr>
        <w:t>284 420.</w:t>
      </w:r>
    </w:p>
    <w:p w14:paraId="67ADA07D"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35" w:name="_Toc353562506"/>
      <w:r w:rsidR="00740026">
        <w:rPr>
          <w:noProof/>
          <w:color w:val="auto"/>
        </w:rPr>
        <w:t>25</w:t>
      </w:r>
      <w:r w:rsidRPr="00682556">
        <w:rPr>
          <w:noProof/>
          <w:color w:val="auto"/>
        </w:rPr>
        <w:fldChar w:fldCharType="end"/>
      </w:r>
      <w:r w:rsidRPr="00682556">
        <w:rPr>
          <w:noProof/>
          <w:color w:val="auto"/>
        </w:rPr>
        <w:t xml:space="preserve"> Table 4.1</w:t>
      </w:r>
      <w:r>
        <w:rPr>
          <w:noProof/>
          <w:color w:val="auto"/>
        </w:rPr>
        <w:t>5</w:t>
      </w:r>
      <w:r w:rsidRPr="00682556">
        <w:rPr>
          <w:noProof/>
          <w:color w:val="auto"/>
        </w:rPr>
        <w:t>: Market value of NT CDS recycling over and above existing kerbside</w:t>
      </w:r>
      <w:bookmarkEnd w:id="235"/>
    </w:p>
    <w:tbl>
      <w:tblPr>
        <w:tblStyle w:val="TableGrid"/>
        <w:tblW w:w="0" w:type="auto"/>
        <w:tblInd w:w="-34" w:type="dxa"/>
        <w:tblLook w:val="04A0" w:firstRow="1" w:lastRow="0" w:firstColumn="1" w:lastColumn="0" w:noHBand="0" w:noVBand="1"/>
      </w:tblPr>
      <w:tblGrid>
        <w:gridCol w:w="2259"/>
        <w:gridCol w:w="2378"/>
        <w:gridCol w:w="2378"/>
        <w:gridCol w:w="2378"/>
      </w:tblGrid>
      <w:tr w:rsidR="00030089" w:rsidRPr="00137FC5" w14:paraId="363CF29B" w14:textId="77777777" w:rsidTr="00290CD0">
        <w:trPr>
          <w:trHeight w:val="628"/>
          <w:tblHeader/>
        </w:trPr>
        <w:tc>
          <w:tcPr>
            <w:tcW w:w="2259" w:type="dxa"/>
            <w:shd w:val="pct10" w:color="auto" w:fill="auto"/>
          </w:tcPr>
          <w:p w14:paraId="0AF2B82D" w14:textId="11CBBF8F" w:rsidR="00030089" w:rsidRPr="00137FC5" w:rsidRDefault="00290CD0" w:rsidP="00290CD0">
            <w:pPr>
              <w:pStyle w:val="ListParagraph"/>
              <w:ind w:left="0" w:firstLine="34"/>
              <w:rPr>
                <w:rFonts w:ascii="Arial" w:hAnsi="Arial" w:cs="Arial"/>
                <w:b/>
                <w:sz w:val="20"/>
                <w:szCs w:val="20"/>
              </w:rPr>
            </w:pPr>
            <w:r>
              <w:rPr>
                <w:rFonts w:ascii="Arial" w:hAnsi="Arial" w:cs="Arial"/>
                <w:b/>
                <w:sz w:val="18"/>
                <w:szCs w:val="20"/>
              </w:rPr>
              <w:t>M</w:t>
            </w:r>
            <w:r w:rsidRPr="00137FC5">
              <w:rPr>
                <w:rFonts w:ascii="Arial" w:hAnsi="Arial" w:cs="Arial"/>
                <w:b/>
                <w:sz w:val="18"/>
                <w:szCs w:val="20"/>
              </w:rPr>
              <w:t>aterial</w:t>
            </w:r>
          </w:p>
        </w:tc>
        <w:tc>
          <w:tcPr>
            <w:tcW w:w="2378" w:type="dxa"/>
            <w:shd w:val="pct10" w:color="auto" w:fill="auto"/>
          </w:tcPr>
          <w:p w14:paraId="1C9044E1" w14:textId="77777777" w:rsidR="00030089" w:rsidRPr="00137FC5" w:rsidRDefault="00030089" w:rsidP="008547F7">
            <w:pPr>
              <w:pStyle w:val="ListParagraph"/>
              <w:ind w:left="0"/>
              <w:jc w:val="right"/>
              <w:rPr>
                <w:rFonts w:ascii="Arial" w:hAnsi="Arial" w:cs="Arial"/>
                <w:b/>
                <w:sz w:val="18"/>
                <w:szCs w:val="20"/>
              </w:rPr>
            </w:pPr>
            <w:r w:rsidRPr="00137FC5">
              <w:rPr>
                <w:rFonts w:ascii="Arial" w:hAnsi="Arial" w:cs="Arial"/>
                <w:b/>
                <w:sz w:val="18"/>
                <w:szCs w:val="20"/>
              </w:rPr>
              <w:t>NT CDS</w:t>
            </w:r>
            <w:r>
              <w:rPr>
                <w:rFonts w:ascii="Arial" w:hAnsi="Arial" w:cs="Arial"/>
                <w:b/>
                <w:sz w:val="18"/>
                <w:szCs w:val="20"/>
              </w:rPr>
              <w:t xml:space="preserve"> </w:t>
            </w:r>
            <w:r w:rsidRPr="00137FC5">
              <w:rPr>
                <w:rFonts w:ascii="Arial" w:hAnsi="Arial" w:cs="Arial"/>
                <w:b/>
                <w:sz w:val="18"/>
                <w:szCs w:val="20"/>
              </w:rPr>
              <w:t>recycling</w:t>
            </w:r>
          </w:p>
          <w:p w14:paraId="65AF3DDC" w14:textId="77777777" w:rsidR="00030089" w:rsidRPr="00137FC5" w:rsidRDefault="00030089" w:rsidP="008547F7">
            <w:pPr>
              <w:pStyle w:val="ListParagraph"/>
              <w:ind w:left="0"/>
              <w:jc w:val="right"/>
              <w:rPr>
                <w:rFonts w:ascii="Arial" w:hAnsi="Arial" w:cs="Arial"/>
                <w:b/>
                <w:sz w:val="20"/>
                <w:szCs w:val="20"/>
              </w:rPr>
            </w:pPr>
            <w:r>
              <w:rPr>
                <w:rFonts w:ascii="Arial" w:hAnsi="Arial" w:cs="Arial"/>
                <w:b/>
                <w:sz w:val="18"/>
                <w:szCs w:val="20"/>
              </w:rPr>
              <w:t>i</w:t>
            </w:r>
            <w:r w:rsidRPr="00137FC5">
              <w:rPr>
                <w:rFonts w:ascii="Arial" w:hAnsi="Arial" w:cs="Arial"/>
                <w:b/>
                <w:sz w:val="18"/>
                <w:szCs w:val="20"/>
              </w:rPr>
              <w:t>ncrease</w:t>
            </w:r>
            <w:r>
              <w:rPr>
                <w:rFonts w:ascii="Arial" w:hAnsi="Arial" w:cs="Arial"/>
                <w:b/>
                <w:sz w:val="18"/>
                <w:szCs w:val="20"/>
              </w:rPr>
              <w:t xml:space="preserve"> </w:t>
            </w:r>
            <w:r w:rsidRPr="00137FC5">
              <w:rPr>
                <w:rFonts w:ascii="Arial" w:hAnsi="Arial" w:cs="Arial"/>
                <w:b/>
                <w:sz w:val="18"/>
                <w:szCs w:val="20"/>
              </w:rPr>
              <w:t>at a 33.8%</w:t>
            </w:r>
            <w:r>
              <w:rPr>
                <w:rFonts w:ascii="Arial" w:hAnsi="Arial" w:cs="Arial"/>
                <w:b/>
                <w:sz w:val="18"/>
                <w:szCs w:val="20"/>
              </w:rPr>
              <w:t xml:space="preserve"> return </w:t>
            </w:r>
            <w:r w:rsidRPr="00137FC5">
              <w:rPr>
                <w:rFonts w:ascii="Arial" w:hAnsi="Arial" w:cs="Arial"/>
                <w:b/>
                <w:sz w:val="18"/>
                <w:szCs w:val="20"/>
              </w:rPr>
              <w:t>rate (tonnes)</w:t>
            </w:r>
          </w:p>
        </w:tc>
        <w:tc>
          <w:tcPr>
            <w:tcW w:w="2378" w:type="dxa"/>
            <w:shd w:val="pct10" w:color="auto" w:fill="auto"/>
          </w:tcPr>
          <w:p w14:paraId="0EE4FDC3" w14:textId="77777777" w:rsidR="00030089" w:rsidRPr="00137FC5" w:rsidRDefault="00030089" w:rsidP="008547F7">
            <w:pPr>
              <w:pStyle w:val="ListParagraph"/>
              <w:ind w:left="0"/>
              <w:jc w:val="right"/>
              <w:rPr>
                <w:rFonts w:ascii="Arial" w:hAnsi="Arial" w:cs="Arial"/>
                <w:b/>
                <w:sz w:val="20"/>
                <w:szCs w:val="20"/>
              </w:rPr>
            </w:pPr>
            <w:r w:rsidRPr="00137FC5">
              <w:rPr>
                <w:rFonts w:ascii="Arial" w:hAnsi="Arial" w:cs="Arial"/>
                <w:b/>
                <w:sz w:val="18"/>
                <w:szCs w:val="20"/>
              </w:rPr>
              <w:t>Estimated sales value net of transport costs ($/tonne)</w:t>
            </w:r>
            <w:r w:rsidRPr="00137FC5">
              <w:rPr>
                <w:rFonts w:ascii="Calibri" w:hAnsi="Calibri" w:cs="Calibri"/>
                <w:sz w:val="18"/>
                <w:szCs w:val="20"/>
              </w:rPr>
              <w:t xml:space="preserve"> </w:t>
            </w:r>
          </w:p>
        </w:tc>
        <w:tc>
          <w:tcPr>
            <w:tcW w:w="2378" w:type="dxa"/>
            <w:shd w:val="pct10" w:color="auto" w:fill="auto"/>
          </w:tcPr>
          <w:p w14:paraId="01E7D758" w14:textId="77777777" w:rsidR="00030089" w:rsidRPr="00137FC5" w:rsidRDefault="00030089" w:rsidP="008547F7">
            <w:pPr>
              <w:pStyle w:val="ListParagraph"/>
              <w:ind w:left="0"/>
              <w:jc w:val="right"/>
              <w:rPr>
                <w:rFonts w:ascii="Arial" w:hAnsi="Arial" w:cs="Arial"/>
                <w:b/>
                <w:sz w:val="20"/>
                <w:szCs w:val="20"/>
              </w:rPr>
            </w:pPr>
            <w:r w:rsidRPr="00137FC5">
              <w:rPr>
                <w:rFonts w:ascii="Arial" w:hAnsi="Arial" w:cs="Arial"/>
                <w:b/>
                <w:sz w:val="18"/>
                <w:szCs w:val="20"/>
              </w:rPr>
              <w:t xml:space="preserve">Total value of collected material at a 33.8% </w:t>
            </w:r>
            <w:r>
              <w:rPr>
                <w:rFonts w:ascii="Arial" w:hAnsi="Arial" w:cs="Arial"/>
                <w:b/>
                <w:sz w:val="18"/>
                <w:szCs w:val="20"/>
              </w:rPr>
              <w:t xml:space="preserve">return </w:t>
            </w:r>
            <w:r w:rsidRPr="00137FC5">
              <w:rPr>
                <w:rFonts w:ascii="Arial" w:hAnsi="Arial" w:cs="Arial"/>
                <w:b/>
                <w:sz w:val="18"/>
                <w:szCs w:val="20"/>
              </w:rPr>
              <w:t>rate ($)</w:t>
            </w:r>
          </w:p>
        </w:tc>
      </w:tr>
      <w:tr w:rsidR="00030089" w:rsidRPr="00137FC5" w14:paraId="0794FF73" w14:textId="77777777" w:rsidTr="00290CD0">
        <w:trPr>
          <w:trHeight w:val="331"/>
        </w:trPr>
        <w:tc>
          <w:tcPr>
            <w:tcW w:w="2259" w:type="dxa"/>
          </w:tcPr>
          <w:p w14:paraId="5B340185" w14:textId="77777777" w:rsidR="00030089" w:rsidRPr="00130D41" w:rsidRDefault="00030089" w:rsidP="00290CD0">
            <w:pPr>
              <w:pStyle w:val="ListParagraph"/>
              <w:spacing w:line="360" w:lineRule="auto"/>
              <w:ind w:left="0" w:firstLine="34"/>
              <w:rPr>
                <w:rFonts w:ascii="Arial" w:hAnsi="Arial" w:cs="Arial"/>
                <w:sz w:val="20"/>
                <w:szCs w:val="20"/>
              </w:rPr>
            </w:pPr>
            <w:r w:rsidRPr="00130D41">
              <w:rPr>
                <w:rFonts w:ascii="Arial" w:hAnsi="Arial" w:cs="Arial"/>
                <w:sz w:val="18"/>
                <w:szCs w:val="20"/>
              </w:rPr>
              <w:t>Glass</w:t>
            </w:r>
          </w:p>
        </w:tc>
        <w:tc>
          <w:tcPr>
            <w:tcW w:w="2378" w:type="dxa"/>
          </w:tcPr>
          <w:p w14:paraId="752B3AA8" w14:textId="77777777" w:rsidR="00030089" w:rsidRPr="00137FC5" w:rsidRDefault="00030089" w:rsidP="008547F7">
            <w:pPr>
              <w:pStyle w:val="ListParagraph"/>
              <w:spacing w:line="360" w:lineRule="auto"/>
              <w:ind w:left="0"/>
              <w:jc w:val="right"/>
              <w:rPr>
                <w:rFonts w:ascii="Arial" w:hAnsi="Arial" w:cs="Arial"/>
                <w:b/>
                <w:sz w:val="20"/>
                <w:szCs w:val="20"/>
              </w:rPr>
            </w:pPr>
            <w:r>
              <w:rPr>
                <w:rFonts w:ascii="Arial" w:eastAsia="Times New Roman" w:hAnsi="Arial" w:cs="Arial"/>
                <w:sz w:val="18"/>
                <w:szCs w:val="20"/>
              </w:rPr>
              <w:t>1 857</w:t>
            </w:r>
          </w:p>
        </w:tc>
        <w:tc>
          <w:tcPr>
            <w:tcW w:w="2378" w:type="dxa"/>
          </w:tcPr>
          <w:p w14:paraId="16763C17" w14:textId="77777777" w:rsidR="00030089" w:rsidRPr="00137FC5" w:rsidRDefault="00030089" w:rsidP="008547F7">
            <w:pPr>
              <w:pStyle w:val="ListParagraph"/>
              <w:spacing w:line="360" w:lineRule="auto"/>
              <w:ind w:left="0"/>
              <w:jc w:val="right"/>
              <w:rPr>
                <w:rFonts w:ascii="Arial" w:hAnsi="Arial" w:cs="Arial"/>
                <w:sz w:val="20"/>
                <w:szCs w:val="20"/>
              </w:rPr>
            </w:pPr>
            <w:r w:rsidRPr="00137FC5">
              <w:rPr>
                <w:rFonts w:ascii="Arial" w:hAnsi="Arial" w:cs="Arial"/>
                <w:sz w:val="18"/>
                <w:szCs w:val="20"/>
              </w:rPr>
              <w:t xml:space="preserve">20 </w:t>
            </w:r>
          </w:p>
        </w:tc>
        <w:tc>
          <w:tcPr>
            <w:tcW w:w="2378" w:type="dxa"/>
          </w:tcPr>
          <w:p w14:paraId="50EBF7FA" w14:textId="77777777" w:rsidR="00030089" w:rsidRPr="00137FC5" w:rsidRDefault="00030089" w:rsidP="008547F7">
            <w:pPr>
              <w:pStyle w:val="ListParagraph"/>
              <w:spacing w:line="360" w:lineRule="auto"/>
              <w:ind w:left="0"/>
              <w:jc w:val="right"/>
              <w:rPr>
                <w:rFonts w:ascii="Arial" w:hAnsi="Arial" w:cs="Arial"/>
                <w:sz w:val="20"/>
                <w:szCs w:val="20"/>
              </w:rPr>
            </w:pPr>
            <w:r>
              <w:rPr>
                <w:rFonts w:ascii="Arial" w:hAnsi="Arial" w:cs="Arial"/>
                <w:sz w:val="18"/>
                <w:szCs w:val="20"/>
              </w:rPr>
              <w:t>37 140</w:t>
            </w:r>
          </w:p>
        </w:tc>
      </w:tr>
      <w:tr w:rsidR="00030089" w:rsidRPr="00137FC5" w14:paraId="13A942B7" w14:textId="77777777" w:rsidTr="00290CD0">
        <w:trPr>
          <w:trHeight w:val="313"/>
        </w:trPr>
        <w:tc>
          <w:tcPr>
            <w:tcW w:w="2259" w:type="dxa"/>
          </w:tcPr>
          <w:p w14:paraId="7A189925" w14:textId="77777777" w:rsidR="00030089" w:rsidRPr="00130D41" w:rsidRDefault="00030089" w:rsidP="00290CD0">
            <w:pPr>
              <w:pStyle w:val="ListParagraph"/>
              <w:spacing w:line="360" w:lineRule="auto"/>
              <w:ind w:left="0" w:firstLine="34"/>
              <w:rPr>
                <w:rFonts w:ascii="Arial" w:hAnsi="Arial" w:cs="Arial"/>
                <w:sz w:val="18"/>
                <w:szCs w:val="20"/>
              </w:rPr>
            </w:pPr>
            <w:r>
              <w:rPr>
                <w:rFonts w:ascii="Arial" w:hAnsi="Arial" w:cs="Arial"/>
                <w:sz w:val="18"/>
                <w:szCs w:val="20"/>
              </w:rPr>
              <w:t>PET</w:t>
            </w:r>
          </w:p>
        </w:tc>
        <w:tc>
          <w:tcPr>
            <w:tcW w:w="2378" w:type="dxa"/>
          </w:tcPr>
          <w:p w14:paraId="1CB80D64" w14:textId="77777777" w:rsidR="00030089" w:rsidRDefault="00030089" w:rsidP="008547F7">
            <w:pPr>
              <w:pStyle w:val="ListParagraph"/>
              <w:spacing w:line="360" w:lineRule="auto"/>
              <w:ind w:left="0"/>
              <w:jc w:val="right"/>
              <w:rPr>
                <w:rFonts w:ascii="Arial" w:eastAsia="Times New Roman" w:hAnsi="Arial" w:cs="Arial"/>
                <w:sz w:val="18"/>
                <w:szCs w:val="20"/>
              </w:rPr>
            </w:pPr>
            <w:r>
              <w:rPr>
                <w:rFonts w:ascii="Arial" w:eastAsia="Times New Roman" w:hAnsi="Arial" w:cs="Arial"/>
                <w:sz w:val="18"/>
                <w:szCs w:val="20"/>
              </w:rPr>
              <w:t>197</w:t>
            </w:r>
          </w:p>
        </w:tc>
        <w:tc>
          <w:tcPr>
            <w:tcW w:w="2378" w:type="dxa"/>
          </w:tcPr>
          <w:p w14:paraId="5BE66CD9" w14:textId="77777777" w:rsidR="00030089" w:rsidRPr="00137FC5" w:rsidRDefault="00030089" w:rsidP="008547F7">
            <w:pPr>
              <w:pStyle w:val="ListParagraph"/>
              <w:spacing w:line="360" w:lineRule="auto"/>
              <w:ind w:left="0"/>
              <w:jc w:val="right"/>
              <w:rPr>
                <w:rFonts w:ascii="Arial" w:hAnsi="Arial" w:cs="Arial"/>
                <w:sz w:val="18"/>
                <w:szCs w:val="20"/>
              </w:rPr>
            </w:pPr>
            <w:r>
              <w:rPr>
                <w:rFonts w:ascii="Arial" w:hAnsi="Arial" w:cs="Arial"/>
                <w:sz w:val="18"/>
                <w:szCs w:val="20"/>
              </w:rPr>
              <w:t>400</w:t>
            </w:r>
          </w:p>
        </w:tc>
        <w:tc>
          <w:tcPr>
            <w:tcW w:w="2378" w:type="dxa"/>
          </w:tcPr>
          <w:p w14:paraId="31EAB186" w14:textId="77777777" w:rsidR="00030089" w:rsidRDefault="00030089" w:rsidP="008547F7">
            <w:pPr>
              <w:pStyle w:val="ListParagraph"/>
              <w:spacing w:line="360" w:lineRule="auto"/>
              <w:ind w:left="0"/>
              <w:jc w:val="right"/>
              <w:rPr>
                <w:rFonts w:ascii="Arial" w:hAnsi="Arial" w:cs="Arial"/>
                <w:sz w:val="18"/>
                <w:szCs w:val="20"/>
              </w:rPr>
            </w:pPr>
            <w:r>
              <w:rPr>
                <w:rFonts w:ascii="Arial" w:hAnsi="Arial" w:cs="Arial"/>
                <w:sz w:val="18"/>
                <w:szCs w:val="20"/>
              </w:rPr>
              <w:t>78 800</w:t>
            </w:r>
          </w:p>
        </w:tc>
      </w:tr>
      <w:tr w:rsidR="00030089" w:rsidRPr="00137FC5" w14:paraId="387CD23A" w14:textId="77777777" w:rsidTr="00290CD0">
        <w:trPr>
          <w:trHeight w:val="313"/>
        </w:trPr>
        <w:tc>
          <w:tcPr>
            <w:tcW w:w="2259" w:type="dxa"/>
          </w:tcPr>
          <w:p w14:paraId="5F712292" w14:textId="77777777" w:rsidR="00030089" w:rsidRPr="00130D41" w:rsidRDefault="00030089" w:rsidP="00290CD0">
            <w:pPr>
              <w:pStyle w:val="ListParagraph"/>
              <w:spacing w:line="360" w:lineRule="auto"/>
              <w:ind w:left="0" w:firstLine="34"/>
              <w:rPr>
                <w:rFonts w:ascii="Arial" w:hAnsi="Arial" w:cs="Arial"/>
                <w:sz w:val="18"/>
                <w:szCs w:val="20"/>
              </w:rPr>
            </w:pPr>
            <w:r>
              <w:rPr>
                <w:rFonts w:ascii="Arial" w:hAnsi="Arial" w:cs="Arial"/>
                <w:sz w:val="18"/>
                <w:szCs w:val="20"/>
              </w:rPr>
              <w:t>HDPE</w:t>
            </w:r>
          </w:p>
        </w:tc>
        <w:tc>
          <w:tcPr>
            <w:tcW w:w="2378" w:type="dxa"/>
          </w:tcPr>
          <w:p w14:paraId="12482ECE" w14:textId="77777777" w:rsidR="00030089" w:rsidRDefault="00030089" w:rsidP="008547F7">
            <w:pPr>
              <w:pStyle w:val="ListParagraph"/>
              <w:spacing w:line="360" w:lineRule="auto"/>
              <w:ind w:left="0"/>
              <w:jc w:val="right"/>
              <w:rPr>
                <w:rFonts w:ascii="Arial" w:eastAsia="Times New Roman" w:hAnsi="Arial" w:cs="Arial"/>
                <w:sz w:val="18"/>
                <w:szCs w:val="20"/>
              </w:rPr>
            </w:pPr>
            <w:r>
              <w:rPr>
                <w:rFonts w:ascii="Arial" w:eastAsia="Times New Roman" w:hAnsi="Arial" w:cs="Arial"/>
                <w:sz w:val="18"/>
                <w:szCs w:val="20"/>
              </w:rPr>
              <w:t>34</w:t>
            </w:r>
          </w:p>
        </w:tc>
        <w:tc>
          <w:tcPr>
            <w:tcW w:w="2378" w:type="dxa"/>
          </w:tcPr>
          <w:p w14:paraId="763860A9" w14:textId="77777777" w:rsidR="00030089" w:rsidRPr="00137FC5" w:rsidRDefault="00030089" w:rsidP="008547F7">
            <w:pPr>
              <w:pStyle w:val="ListParagraph"/>
              <w:spacing w:line="360" w:lineRule="auto"/>
              <w:ind w:left="0"/>
              <w:jc w:val="right"/>
              <w:rPr>
                <w:rFonts w:ascii="Arial" w:hAnsi="Arial" w:cs="Arial"/>
                <w:sz w:val="18"/>
                <w:szCs w:val="20"/>
              </w:rPr>
            </w:pPr>
            <w:r>
              <w:rPr>
                <w:rFonts w:ascii="Arial" w:hAnsi="Arial" w:cs="Arial"/>
                <w:sz w:val="18"/>
                <w:szCs w:val="20"/>
              </w:rPr>
              <w:t>1300</w:t>
            </w:r>
          </w:p>
        </w:tc>
        <w:tc>
          <w:tcPr>
            <w:tcW w:w="2378" w:type="dxa"/>
          </w:tcPr>
          <w:p w14:paraId="6BE12CB3" w14:textId="77777777" w:rsidR="00030089" w:rsidRDefault="00030089" w:rsidP="008547F7">
            <w:pPr>
              <w:pStyle w:val="ListParagraph"/>
              <w:spacing w:line="360" w:lineRule="auto"/>
              <w:ind w:left="0"/>
              <w:jc w:val="right"/>
              <w:rPr>
                <w:rFonts w:ascii="Arial" w:hAnsi="Arial" w:cs="Arial"/>
                <w:sz w:val="18"/>
                <w:szCs w:val="20"/>
              </w:rPr>
            </w:pPr>
            <w:r>
              <w:rPr>
                <w:rFonts w:ascii="Arial" w:hAnsi="Arial" w:cs="Arial"/>
                <w:sz w:val="18"/>
                <w:szCs w:val="20"/>
              </w:rPr>
              <w:t>44 200</w:t>
            </w:r>
          </w:p>
        </w:tc>
      </w:tr>
      <w:tr w:rsidR="00030089" w:rsidRPr="00137FC5" w14:paraId="7CCC6E40" w14:textId="77777777" w:rsidTr="00290CD0">
        <w:trPr>
          <w:trHeight w:val="313"/>
        </w:trPr>
        <w:tc>
          <w:tcPr>
            <w:tcW w:w="2259" w:type="dxa"/>
          </w:tcPr>
          <w:p w14:paraId="2799D702" w14:textId="77777777" w:rsidR="00030089" w:rsidRPr="00130D41" w:rsidRDefault="00030089" w:rsidP="00290CD0">
            <w:pPr>
              <w:pStyle w:val="ListParagraph"/>
              <w:spacing w:line="360" w:lineRule="auto"/>
              <w:ind w:left="0" w:firstLine="34"/>
              <w:rPr>
                <w:rFonts w:ascii="Arial" w:hAnsi="Arial" w:cs="Arial"/>
                <w:sz w:val="20"/>
                <w:szCs w:val="20"/>
              </w:rPr>
            </w:pPr>
            <w:r w:rsidRPr="00130D41">
              <w:rPr>
                <w:rFonts w:ascii="Arial" w:hAnsi="Arial" w:cs="Arial"/>
                <w:sz w:val="18"/>
                <w:szCs w:val="20"/>
              </w:rPr>
              <w:t>Aluminium</w:t>
            </w:r>
          </w:p>
        </w:tc>
        <w:tc>
          <w:tcPr>
            <w:tcW w:w="2378" w:type="dxa"/>
          </w:tcPr>
          <w:p w14:paraId="53DA3CB2" w14:textId="77777777" w:rsidR="00030089" w:rsidRPr="00137FC5" w:rsidRDefault="00030089" w:rsidP="008547F7">
            <w:pPr>
              <w:pStyle w:val="ListParagraph"/>
              <w:spacing w:line="360" w:lineRule="auto"/>
              <w:ind w:left="0"/>
              <w:jc w:val="right"/>
              <w:rPr>
                <w:rFonts w:ascii="Arial" w:hAnsi="Arial" w:cs="Arial"/>
                <w:b/>
                <w:sz w:val="20"/>
                <w:szCs w:val="20"/>
              </w:rPr>
            </w:pPr>
            <w:r>
              <w:rPr>
                <w:rFonts w:ascii="Arial" w:eastAsia="Times New Roman" w:hAnsi="Arial" w:cs="Arial"/>
                <w:sz w:val="18"/>
                <w:szCs w:val="20"/>
              </w:rPr>
              <w:t>296</w:t>
            </w:r>
          </w:p>
        </w:tc>
        <w:tc>
          <w:tcPr>
            <w:tcW w:w="2378" w:type="dxa"/>
          </w:tcPr>
          <w:p w14:paraId="765751C0" w14:textId="77777777" w:rsidR="00030089" w:rsidRPr="00137FC5" w:rsidRDefault="00030089" w:rsidP="008547F7">
            <w:pPr>
              <w:pStyle w:val="ListParagraph"/>
              <w:spacing w:line="360" w:lineRule="auto"/>
              <w:ind w:left="0"/>
              <w:jc w:val="right"/>
              <w:rPr>
                <w:rFonts w:ascii="Arial" w:hAnsi="Arial" w:cs="Arial"/>
                <w:sz w:val="20"/>
                <w:szCs w:val="20"/>
              </w:rPr>
            </w:pPr>
            <w:r w:rsidRPr="00137FC5">
              <w:rPr>
                <w:rFonts w:ascii="Arial" w:hAnsi="Arial" w:cs="Arial"/>
                <w:sz w:val="18"/>
                <w:szCs w:val="20"/>
              </w:rPr>
              <w:t xml:space="preserve">400 </w:t>
            </w:r>
          </w:p>
        </w:tc>
        <w:tc>
          <w:tcPr>
            <w:tcW w:w="2378" w:type="dxa"/>
          </w:tcPr>
          <w:p w14:paraId="0EE831D5" w14:textId="77777777" w:rsidR="00030089" w:rsidRPr="00137FC5" w:rsidRDefault="00030089" w:rsidP="008547F7">
            <w:pPr>
              <w:pStyle w:val="ListParagraph"/>
              <w:spacing w:line="360" w:lineRule="auto"/>
              <w:ind w:left="0"/>
              <w:jc w:val="right"/>
              <w:rPr>
                <w:rFonts w:ascii="Arial" w:hAnsi="Arial" w:cs="Arial"/>
                <w:sz w:val="20"/>
                <w:szCs w:val="20"/>
              </w:rPr>
            </w:pPr>
            <w:r>
              <w:rPr>
                <w:rFonts w:ascii="Arial" w:hAnsi="Arial" w:cs="Arial"/>
                <w:sz w:val="18"/>
                <w:szCs w:val="20"/>
              </w:rPr>
              <w:t xml:space="preserve"> 118 400</w:t>
            </w:r>
          </w:p>
        </w:tc>
      </w:tr>
      <w:tr w:rsidR="00030089" w:rsidRPr="00137FC5" w14:paraId="7C72FFC1" w14:textId="77777777" w:rsidTr="00290CD0">
        <w:trPr>
          <w:trHeight w:val="313"/>
        </w:trPr>
        <w:tc>
          <w:tcPr>
            <w:tcW w:w="2259" w:type="dxa"/>
          </w:tcPr>
          <w:p w14:paraId="49AE7E17" w14:textId="77777777" w:rsidR="00030089" w:rsidRPr="00130D41" w:rsidRDefault="00030089" w:rsidP="00290CD0">
            <w:pPr>
              <w:pStyle w:val="ListParagraph"/>
              <w:spacing w:line="360" w:lineRule="auto"/>
              <w:ind w:left="0" w:firstLine="34"/>
              <w:rPr>
                <w:rFonts w:ascii="Arial" w:hAnsi="Arial" w:cs="Arial"/>
                <w:sz w:val="20"/>
                <w:szCs w:val="20"/>
              </w:rPr>
            </w:pPr>
            <w:r w:rsidRPr="00130D41">
              <w:rPr>
                <w:rFonts w:ascii="Arial" w:hAnsi="Arial" w:cs="Arial"/>
                <w:sz w:val="18"/>
                <w:szCs w:val="20"/>
              </w:rPr>
              <w:t>LPB</w:t>
            </w:r>
          </w:p>
        </w:tc>
        <w:tc>
          <w:tcPr>
            <w:tcW w:w="2378" w:type="dxa"/>
          </w:tcPr>
          <w:p w14:paraId="46282753" w14:textId="77777777" w:rsidR="00030089" w:rsidRPr="00137FC5" w:rsidRDefault="00030089" w:rsidP="008547F7">
            <w:pPr>
              <w:pStyle w:val="ListParagraph"/>
              <w:spacing w:line="360" w:lineRule="auto"/>
              <w:ind w:left="0"/>
              <w:jc w:val="right"/>
              <w:rPr>
                <w:rFonts w:ascii="Arial" w:hAnsi="Arial" w:cs="Arial"/>
                <w:sz w:val="20"/>
                <w:szCs w:val="20"/>
              </w:rPr>
            </w:pPr>
            <w:r>
              <w:rPr>
                <w:rFonts w:ascii="Arial" w:hAnsi="Arial" w:cs="Arial"/>
                <w:sz w:val="18"/>
                <w:szCs w:val="20"/>
              </w:rPr>
              <w:t>84</w:t>
            </w:r>
          </w:p>
        </w:tc>
        <w:tc>
          <w:tcPr>
            <w:tcW w:w="2378" w:type="dxa"/>
          </w:tcPr>
          <w:p w14:paraId="0D79755F" w14:textId="77777777" w:rsidR="00030089" w:rsidRPr="00137FC5" w:rsidRDefault="00030089" w:rsidP="008547F7">
            <w:pPr>
              <w:pStyle w:val="ListParagraph"/>
              <w:spacing w:line="360" w:lineRule="auto"/>
              <w:ind w:left="0"/>
              <w:jc w:val="right"/>
              <w:rPr>
                <w:rFonts w:ascii="Arial" w:hAnsi="Arial" w:cs="Arial"/>
                <w:sz w:val="20"/>
                <w:szCs w:val="20"/>
              </w:rPr>
            </w:pPr>
            <w:r>
              <w:rPr>
                <w:rFonts w:ascii="Arial" w:hAnsi="Arial" w:cs="Arial"/>
                <w:sz w:val="18"/>
                <w:szCs w:val="20"/>
              </w:rPr>
              <w:t xml:space="preserve">70 </w:t>
            </w:r>
          </w:p>
        </w:tc>
        <w:tc>
          <w:tcPr>
            <w:tcW w:w="2378" w:type="dxa"/>
          </w:tcPr>
          <w:p w14:paraId="0798654D" w14:textId="77777777" w:rsidR="00030089" w:rsidRPr="00137FC5" w:rsidRDefault="00030089" w:rsidP="008547F7">
            <w:pPr>
              <w:pStyle w:val="ListParagraph"/>
              <w:spacing w:line="360" w:lineRule="auto"/>
              <w:ind w:left="0"/>
              <w:jc w:val="right"/>
              <w:rPr>
                <w:rFonts w:ascii="Arial" w:hAnsi="Arial" w:cs="Arial"/>
                <w:sz w:val="20"/>
                <w:szCs w:val="20"/>
              </w:rPr>
            </w:pPr>
            <w:r>
              <w:rPr>
                <w:rFonts w:ascii="Arial" w:hAnsi="Arial" w:cs="Arial"/>
                <w:sz w:val="18"/>
                <w:szCs w:val="20"/>
              </w:rPr>
              <w:t xml:space="preserve"> 5 880</w:t>
            </w:r>
          </w:p>
        </w:tc>
      </w:tr>
      <w:tr w:rsidR="00030089" w:rsidRPr="00137FC5" w14:paraId="179BD923" w14:textId="77777777" w:rsidTr="00290CD0">
        <w:trPr>
          <w:trHeight w:val="313"/>
        </w:trPr>
        <w:tc>
          <w:tcPr>
            <w:tcW w:w="2259" w:type="dxa"/>
          </w:tcPr>
          <w:p w14:paraId="62CA8593" w14:textId="77777777" w:rsidR="00030089" w:rsidRPr="00130D41" w:rsidRDefault="00030089" w:rsidP="00290CD0">
            <w:pPr>
              <w:pStyle w:val="ListParagraph"/>
              <w:spacing w:line="360" w:lineRule="auto"/>
              <w:ind w:left="0" w:firstLine="34"/>
              <w:rPr>
                <w:rFonts w:ascii="Arial" w:hAnsi="Arial" w:cs="Arial"/>
                <w:sz w:val="18"/>
                <w:szCs w:val="20"/>
              </w:rPr>
            </w:pPr>
            <w:r w:rsidRPr="00130D41">
              <w:rPr>
                <w:rFonts w:ascii="Arial" w:hAnsi="Arial" w:cs="Arial"/>
                <w:sz w:val="18"/>
                <w:szCs w:val="20"/>
              </w:rPr>
              <w:t>Other</w:t>
            </w:r>
          </w:p>
        </w:tc>
        <w:tc>
          <w:tcPr>
            <w:tcW w:w="2378" w:type="dxa"/>
          </w:tcPr>
          <w:p w14:paraId="0E7338FD" w14:textId="77777777" w:rsidR="00030089" w:rsidRPr="006D7FC4" w:rsidRDefault="00030089" w:rsidP="008547F7">
            <w:pPr>
              <w:pStyle w:val="ListParagraph"/>
              <w:spacing w:line="360" w:lineRule="auto"/>
              <w:ind w:left="0"/>
              <w:jc w:val="right"/>
              <w:rPr>
                <w:rFonts w:ascii="Arial" w:hAnsi="Arial" w:cs="Arial"/>
                <w:sz w:val="18"/>
                <w:szCs w:val="20"/>
              </w:rPr>
            </w:pPr>
            <w:r w:rsidRPr="006D7FC4">
              <w:rPr>
                <w:rFonts w:ascii="Arial" w:hAnsi="Arial" w:cs="Arial"/>
                <w:sz w:val="18"/>
                <w:szCs w:val="20"/>
              </w:rPr>
              <w:t>4</w:t>
            </w:r>
          </w:p>
        </w:tc>
        <w:tc>
          <w:tcPr>
            <w:tcW w:w="2378" w:type="dxa"/>
          </w:tcPr>
          <w:p w14:paraId="755DFA8E" w14:textId="77777777" w:rsidR="00030089" w:rsidRPr="00137FC5" w:rsidRDefault="00030089" w:rsidP="008547F7">
            <w:pPr>
              <w:pStyle w:val="ListParagraph"/>
              <w:spacing w:line="360" w:lineRule="auto"/>
              <w:ind w:left="0"/>
              <w:jc w:val="right"/>
              <w:rPr>
                <w:rFonts w:ascii="Arial" w:hAnsi="Arial" w:cs="Arial"/>
                <w:sz w:val="18"/>
                <w:szCs w:val="20"/>
              </w:rPr>
            </w:pPr>
          </w:p>
        </w:tc>
        <w:tc>
          <w:tcPr>
            <w:tcW w:w="2378" w:type="dxa"/>
          </w:tcPr>
          <w:p w14:paraId="3161FFB7" w14:textId="77777777" w:rsidR="00030089" w:rsidRPr="00137FC5" w:rsidRDefault="00030089" w:rsidP="008547F7">
            <w:pPr>
              <w:pStyle w:val="ListParagraph"/>
              <w:spacing w:line="360" w:lineRule="auto"/>
              <w:ind w:left="0"/>
              <w:jc w:val="right"/>
              <w:rPr>
                <w:rFonts w:ascii="Arial" w:hAnsi="Arial" w:cs="Arial"/>
                <w:b/>
                <w:sz w:val="18"/>
                <w:szCs w:val="20"/>
              </w:rPr>
            </w:pPr>
          </w:p>
        </w:tc>
      </w:tr>
      <w:tr w:rsidR="00030089" w:rsidRPr="00137FC5" w14:paraId="097EBA35" w14:textId="77777777" w:rsidTr="00290CD0">
        <w:trPr>
          <w:trHeight w:val="331"/>
        </w:trPr>
        <w:tc>
          <w:tcPr>
            <w:tcW w:w="2259" w:type="dxa"/>
          </w:tcPr>
          <w:p w14:paraId="50E5DC65" w14:textId="77777777" w:rsidR="00030089" w:rsidRPr="00137FC5" w:rsidRDefault="00030089" w:rsidP="00290CD0">
            <w:pPr>
              <w:pStyle w:val="ListParagraph"/>
              <w:spacing w:line="360" w:lineRule="auto"/>
              <w:ind w:left="0" w:firstLine="34"/>
              <w:rPr>
                <w:rFonts w:ascii="Arial" w:hAnsi="Arial" w:cs="Arial"/>
                <w:b/>
                <w:sz w:val="20"/>
                <w:szCs w:val="20"/>
              </w:rPr>
            </w:pPr>
            <w:r w:rsidRPr="00137FC5">
              <w:rPr>
                <w:rFonts w:ascii="Arial" w:hAnsi="Arial" w:cs="Arial"/>
                <w:b/>
                <w:sz w:val="18"/>
                <w:szCs w:val="20"/>
              </w:rPr>
              <w:t xml:space="preserve">TOTAL </w:t>
            </w:r>
          </w:p>
        </w:tc>
        <w:tc>
          <w:tcPr>
            <w:tcW w:w="2378" w:type="dxa"/>
          </w:tcPr>
          <w:p w14:paraId="1D44EFE0" w14:textId="77777777" w:rsidR="00030089" w:rsidRPr="00137FC5" w:rsidRDefault="00030089" w:rsidP="008547F7">
            <w:pPr>
              <w:pStyle w:val="ListParagraph"/>
              <w:spacing w:line="360" w:lineRule="auto"/>
              <w:ind w:left="0"/>
              <w:jc w:val="right"/>
              <w:rPr>
                <w:rFonts w:ascii="Arial" w:hAnsi="Arial" w:cs="Arial"/>
                <w:b/>
                <w:sz w:val="20"/>
                <w:szCs w:val="20"/>
              </w:rPr>
            </w:pPr>
            <w:r>
              <w:rPr>
                <w:rFonts w:ascii="Arial" w:hAnsi="Arial" w:cs="Arial"/>
                <w:b/>
                <w:sz w:val="18"/>
                <w:szCs w:val="20"/>
              </w:rPr>
              <w:t>2 472</w:t>
            </w:r>
          </w:p>
        </w:tc>
        <w:tc>
          <w:tcPr>
            <w:tcW w:w="2378" w:type="dxa"/>
          </w:tcPr>
          <w:p w14:paraId="78B32E67" w14:textId="77777777" w:rsidR="00030089" w:rsidRPr="00137FC5" w:rsidRDefault="00030089" w:rsidP="008547F7">
            <w:pPr>
              <w:pStyle w:val="ListParagraph"/>
              <w:spacing w:line="360" w:lineRule="auto"/>
              <w:ind w:left="0"/>
              <w:jc w:val="right"/>
              <w:rPr>
                <w:rFonts w:ascii="Arial" w:hAnsi="Arial" w:cs="Arial"/>
                <w:sz w:val="20"/>
                <w:szCs w:val="20"/>
              </w:rPr>
            </w:pPr>
            <w:r w:rsidRPr="00137FC5">
              <w:rPr>
                <w:rFonts w:ascii="Arial" w:hAnsi="Arial" w:cs="Arial"/>
                <w:sz w:val="18"/>
                <w:szCs w:val="20"/>
              </w:rPr>
              <w:t>n/a</w:t>
            </w:r>
          </w:p>
        </w:tc>
        <w:tc>
          <w:tcPr>
            <w:tcW w:w="2378" w:type="dxa"/>
          </w:tcPr>
          <w:p w14:paraId="0D0810F2" w14:textId="77777777" w:rsidR="00030089" w:rsidRPr="00137FC5" w:rsidRDefault="00030089" w:rsidP="008547F7">
            <w:pPr>
              <w:pStyle w:val="ListParagraph"/>
              <w:spacing w:line="360" w:lineRule="auto"/>
              <w:ind w:left="0"/>
              <w:jc w:val="right"/>
              <w:rPr>
                <w:rFonts w:ascii="Arial" w:hAnsi="Arial" w:cs="Arial"/>
                <w:b/>
                <w:sz w:val="20"/>
                <w:szCs w:val="20"/>
              </w:rPr>
            </w:pPr>
            <w:r w:rsidRPr="00137FC5">
              <w:rPr>
                <w:rFonts w:ascii="Arial" w:hAnsi="Arial" w:cs="Arial"/>
                <w:b/>
                <w:sz w:val="18"/>
                <w:szCs w:val="20"/>
              </w:rPr>
              <w:t>$</w:t>
            </w:r>
            <w:r>
              <w:rPr>
                <w:rFonts w:ascii="Arial" w:hAnsi="Arial" w:cs="Arial"/>
                <w:b/>
                <w:sz w:val="18"/>
                <w:szCs w:val="20"/>
              </w:rPr>
              <w:t>284 420</w:t>
            </w:r>
          </w:p>
        </w:tc>
      </w:tr>
    </w:tbl>
    <w:p w14:paraId="5DBA2FC3" w14:textId="77777777" w:rsidR="00030089" w:rsidRPr="00C67089" w:rsidRDefault="00030089" w:rsidP="00030089">
      <w:pPr>
        <w:pStyle w:val="Header"/>
        <w:spacing w:after="120" w:line="360" w:lineRule="auto"/>
        <w:jc w:val="both"/>
        <w:rPr>
          <w:rFonts w:ascii="Arial" w:hAnsi="Arial" w:cs="Arial"/>
          <w:b/>
          <w:szCs w:val="28"/>
        </w:rPr>
      </w:pPr>
    </w:p>
    <w:p w14:paraId="4AC721A2" w14:textId="77777777" w:rsidR="00030089" w:rsidRDefault="00030089" w:rsidP="00030089">
      <w:pPr>
        <w:spacing w:line="360" w:lineRule="auto"/>
        <w:jc w:val="both"/>
        <w:rPr>
          <w:rFonts w:ascii="Arial" w:hAnsi="Arial" w:cs="Arial"/>
          <w:szCs w:val="28"/>
        </w:rPr>
      </w:pPr>
      <w:r w:rsidRPr="00957795">
        <w:rPr>
          <w:rFonts w:ascii="Arial" w:hAnsi="Arial" w:cs="Arial"/>
          <w:b/>
          <w:szCs w:val="28"/>
        </w:rPr>
        <w:t>Avoided Landfill Operating Costs</w:t>
      </w:r>
      <w:r w:rsidRPr="00B02D5A">
        <w:rPr>
          <w:rFonts w:ascii="Arial" w:hAnsi="Arial" w:cs="Arial"/>
          <w:b/>
          <w:szCs w:val="28"/>
        </w:rPr>
        <w:t xml:space="preserve"> </w:t>
      </w:r>
      <w:r w:rsidRPr="00C67089">
        <w:rPr>
          <w:rFonts w:ascii="Arial" w:hAnsi="Arial" w:cs="Arial"/>
          <w:szCs w:val="28"/>
        </w:rPr>
        <w:t xml:space="preserve">As noted in </w:t>
      </w:r>
      <w:r>
        <w:rPr>
          <w:rFonts w:ascii="Arial" w:hAnsi="Arial" w:cs="Arial"/>
          <w:szCs w:val="28"/>
        </w:rPr>
        <w:t>Table 4.15</w:t>
      </w:r>
      <w:r w:rsidRPr="00C67089">
        <w:rPr>
          <w:rFonts w:ascii="Arial" w:hAnsi="Arial" w:cs="Arial"/>
          <w:szCs w:val="28"/>
        </w:rPr>
        <w:t xml:space="preserve">, </w:t>
      </w:r>
      <w:r>
        <w:rPr>
          <w:rFonts w:ascii="Arial" w:hAnsi="Arial" w:cs="Arial"/>
          <w:szCs w:val="28"/>
        </w:rPr>
        <w:t>i</w:t>
      </w:r>
      <w:r w:rsidRPr="00973569">
        <w:rPr>
          <w:rFonts w:ascii="Arial" w:hAnsi="Arial" w:cs="Arial"/>
          <w:szCs w:val="28"/>
        </w:rPr>
        <w:t xml:space="preserve">n </w:t>
      </w:r>
      <w:r>
        <w:rPr>
          <w:rFonts w:ascii="Arial" w:hAnsi="Arial" w:cs="Arial"/>
          <w:szCs w:val="28"/>
        </w:rPr>
        <w:t>its</w:t>
      </w:r>
      <w:r w:rsidRPr="00973569">
        <w:rPr>
          <w:rFonts w:ascii="Arial" w:hAnsi="Arial" w:cs="Arial"/>
          <w:szCs w:val="28"/>
        </w:rPr>
        <w:t xml:space="preserve"> first year of operation the NT CDS has seen beverage container recycling increase by </w:t>
      </w:r>
      <w:r>
        <w:rPr>
          <w:rFonts w:ascii="Arial" w:hAnsi="Arial" w:cs="Arial"/>
          <w:szCs w:val="28"/>
        </w:rPr>
        <w:t>2 472</w:t>
      </w:r>
      <w:r w:rsidRPr="00E20792">
        <w:rPr>
          <w:rFonts w:ascii="Arial" w:hAnsi="Arial" w:cs="Arial"/>
          <w:szCs w:val="28"/>
        </w:rPr>
        <w:t xml:space="preserve"> tonnes</w:t>
      </w:r>
      <w:r w:rsidRPr="00973569">
        <w:rPr>
          <w:rFonts w:ascii="Arial" w:hAnsi="Arial" w:cs="Arial"/>
          <w:szCs w:val="28"/>
        </w:rPr>
        <w:t xml:space="preserve"> </w:t>
      </w:r>
      <w:r w:rsidRPr="00C67089">
        <w:rPr>
          <w:rFonts w:ascii="Arial" w:hAnsi="Arial" w:cs="Arial"/>
          <w:szCs w:val="28"/>
        </w:rPr>
        <w:t xml:space="preserve">at a </w:t>
      </w:r>
      <w:r w:rsidRPr="00940DCC">
        <w:rPr>
          <w:rFonts w:ascii="Arial" w:hAnsi="Arial" w:cs="Arial"/>
          <w:szCs w:val="28"/>
        </w:rPr>
        <w:t xml:space="preserve">33.8 per cent </w:t>
      </w:r>
      <w:r>
        <w:rPr>
          <w:rFonts w:ascii="Arial" w:hAnsi="Arial" w:cs="Arial"/>
          <w:szCs w:val="28"/>
        </w:rPr>
        <w:t>return</w:t>
      </w:r>
      <w:r w:rsidRPr="00C67089">
        <w:rPr>
          <w:rFonts w:ascii="Arial" w:hAnsi="Arial" w:cs="Arial"/>
          <w:szCs w:val="28"/>
        </w:rPr>
        <w:t xml:space="preserve"> rate. </w:t>
      </w:r>
      <w:r w:rsidRPr="00823CB4">
        <w:rPr>
          <w:rFonts w:ascii="Arial" w:hAnsi="Arial" w:cs="Arial"/>
          <w:szCs w:val="28"/>
        </w:rPr>
        <w:t xml:space="preserve">The vast majority of landfills in the NT are small with poor controls. </w:t>
      </w:r>
      <w:r w:rsidRPr="00823CB4">
        <w:rPr>
          <w:rFonts w:ascii="Arial" w:hAnsi="Arial" w:cs="Arial"/>
          <w:szCs w:val="28"/>
        </w:rPr>
        <w:lastRenderedPageBreak/>
        <w:t xml:space="preserve">There are approximately 230 such landfills in the NT, as well as five medium sized landfills. </w:t>
      </w:r>
      <w:r>
        <w:rPr>
          <w:rFonts w:ascii="Arial" w:hAnsi="Arial" w:cs="Arial"/>
          <w:szCs w:val="28"/>
        </w:rPr>
        <w:t>Table 4.16</w:t>
      </w:r>
      <w:r w:rsidRPr="00823CB4">
        <w:rPr>
          <w:rFonts w:ascii="Arial" w:hAnsi="Arial" w:cs="Arial"/>
          <w:szCs w:val="28"/>
        </w:rPr>
        <w:t xml:space="preserve"> sets out average operating costs for landfills per tonne</w:t>
      </w:r>
      <w:r w:rsidRPr="00823CB4">
        <w:rPr>
          <w:rStyle w:val="FootnoteReference"/>
          <w:rFonts w:ascii="Arial" w:hAnsi="Arial"/>
          <w:szCs w:val="28"/>
        </w:rPr>
        <w:footnoteReference w:id="22"/>
      </w:r>
      <w:r w:rsidRPr="00823CB4">
        <w:rPr>
          <w:rFonts w:ascii="Arial" w:hAnsi="Arial" w:cs="Arial"/>
          <w:szCs w:val="28"/>
        </w:rPr>
        <w:t>.</w:t>
      </w:r>
    </w:p>
    <w:p w14:paraId="54621CDE"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36" w:name="_Toc353562507"/>
      <w:r w:rsidR="00740026">
        <w:rPr>
          <w:noProof/>
          <w:color w:val="auto"/>
        </w:rPr>
        <w:t>26</w:t>
      </w:r>
      <w:r w:rsidRPr="00682556">
        <w:rPr>
          <w:noProof/>
          <w:color w:val="auto"/>
        </w:rPr>
        <w:fldChar w:fldCharType="end"/>
      </w:r>
      <w:r w:rsidRPr="00682556">
        <w:rPr>
          <w:noProof/>
          <w:color w:val="auto"/>
        </w:rPr>
        <w:t xml:space="preserve"> Table 4.1</w:t>
      </w:r>
      <w:r>
        <w:rPr>
          <w:noProof/>
          <w:color w:val="auto"/>
        </w:rPr>
        <w:t>6</w:t>
      </w:r>
      <w:r w:rsidRPr="00682556">
        <w:rPr>
          <w:noProof/>
          <w:color w:val="auto"/>
        </w:rPr>
        <w:t>: Operating costs of landfill ($/tonne)</w:t>
      </w:r>
      <w:bookmarkEnd w:id="236"/>
    </w:p>
    <w:tbl>
      <w:tblPr>
        <w:tblStyle w:val="TableGrid"/>
        <w:tblW w:w="0" w:type="auto"/>
        <w:tblInd w:w="108" w:type="dxa"/>
        <w:tblLook w:val="04A0" w:firstRow="1" w:lastRow="0" w:firstColumn="1" w:lastColumn="0" w:noHBand="0" w:noVBand="1"/>
      </w:tblPr>
      <w:tblGrid>
        <w:gridCol w:w="1559"/>
        <w:gridCol w:w="2126"/>
        <w:gridCol w:w="1418"/>
      </w:tblGrid>
      <w:tr w:rsidR="00030089" w14:paraId="5C178224" w14:textId="77777777" w:rsidTr="008547F7">
        <w:tc>
          <w:tcPr>
            <w:tcW w:w="1559" w:type="dxa"/>
            <w:shd w:val="pct10" w:color="auto" w:fill="auto"/>
          </w:tcPr>
          <w:p w14:paraId="52FA4265" w14:textId="77777777" w:rsidR="00030089" w:rsidRDefault="00030089" w:rsidP="008547F7">
            <w:pPr>
              <w:rPr>
                <w:rFonts w:ascii="Arial" w:hAnsi="Arial" w:cs="Arial"/>
                <w:b/>
                <w:sz w:val="18"/>
                <w:szCs w:val="20"/>
              </w:rPr>
            </w:pPr>
            <w:r>
              <w:rPr>
                <w:rFonts w:ascii="Arial" w:hAnsi="Arial" w:cs="Arial"/>
                <w:b/>
                <w:sz w:val="18"/>
                <w:szCs w:val="20"/>
              </w:rPr>
              <w:t>Landfill size</w:t>
            </w:r>
          </w:p>
        </w:tc>
        <w:tc>
          <w:tcPr>
            <w:tcW w:w="2126" w:type="dxa"/>
            <w:shd w:val="pct10" w:color="auto" w:fill="auto"/>
          </w:tcPr>
          <w:p w14:paraId="65D1FD0C" w14:textId="77777777" w:rsidR="00030089" w:rsidRPr="00130D41" w:rsidRDefault="00030089" w:rsidP="008547F7">
            <w:pPr>
              <w:jc w:val="right"/>
              <w:rPr>
                <w:rFonts w:ascii="Arial" w:hAnsi="Arial" w:cs="Arial"/>
                <w:b/>
                <w:sz w:val="18"/>
                <w:szCs w:val="20"/>
              </w:rPr>
            </w:pPr>
            <w:r>
              <w:rPr>
                <w:rFonts w:ascii="Arial" w:hAnsi="Arial" w:cs="Arial"/>
                <w:b/>
                <w:sz w:val="18"/>
                <w:szCs w:val="20"/>
              </w:rPr>
              <w:t>Best practice controls</w:t>
            </w:r>
          </w:p>
        </w:tc>
        <w:tc>
          <w:tcPr>
            <w:tcW w:w="1418" w:type="dxa"/>
            <w:shd w:val="pct10" w:color="auto" w:fill="auto"/>
          </w:tcPr>
          <w:p w14:paraId="43E5A5D4" w14:textId="77777777" w:rsidR="00030089" w:rsidRDefault="00030089" w:rsidP="008547F7">
            <w:pPr>
              <w:jc w:val="right"/>
              <w:rPr>
                <w:rFonts w:ascii="Arial" w:hAnsi="Arial" w:cs="Arial"/>
                <w:b/>
                <w:sz w:val="18"/>
                <w:szCs w:val="20"/>
              </w:rPr>
            </w:pPr>
            <w:r>
              <w:rPr>
                <w:rFonts w:ascii="Arial" w:hAnsi="Arial" w:cs="Arial"/>
                <w:b/>
                <w:sz w:val="18"/>
                <w:szCs w:val="20"/>
              </w:rPr>
              <w:t>Poor controls</w:t>
            </w:r>
          </w:p>
        </w:tc>
      </w:tr>
      <w:tr w:rsidR="00030089" w14:paraId="7E57E8F6" w14:textId="77777777" w:rsidTr="008547F7">
        <w:tc>
          <w:tcPr>
            <w:tcW w:w="1559" w:type="dxa"/>
          </w:tcPr>
          <w:p w14:paraId="0CE88DE7" w14:textId="77777777" w:rsidR="00030089" w:rsidRPr="00130D41" w:rsidRDefault="00030089" w:rsidP="008547F7">
            <w:pPr>
              <w:rPr>
                <w:rFonts w:ascii="Arial" w:hAnsi="Arial" w:cs="Arial"/>
                <w:sz w:val="18"/>
                <w:szCs w:val="20"/>
              </w:rPr>
            </w:pPr>
            <w:r>
              <w:rPr>
                <w:rFonts w:ascii="Arial" w:hAnsi="Arial" w:cs="Arial"/>
                <w:sz w:val="18"/>
                <w:szCs w:val="20"/>
              </w:rPr>
              <w:t>Small</w:t>
            </w:r>
          </w:p>
        </w:tc>
        <w:tc>
          <w:tcPr>
            <w:tcW w:w="2126" w:type="dxa"/>
          </w:tcPr>
          <w:p w14:paraId="50987CD5" w14:textId="77777777" w:rsidR="00030089" w:rsidRPr="00130D41" w:rsidRDefault="00030089" w:rsidP="008547F7">
            <w:pPr>
              <w:jc w:val="right"/>
              <w:rPr>
                <w:rFonts w:ascii="Arial" w:hAnsi="Arial" w:cs="Arial"/>
                <w:sz w:val="18"/>
                <w:szCs w:val="20"/>
              </w:rPr>
            </w:pPr>
            <w:r>
              <w:rPr>
                <w:rFonts w:ascii="Arial" w:hAnsi="Arial" w:cs="Arial"/>
                <w:sz w:val="18"/>
                <w:szCs w:val="20"/>
              </w:rPr>
              <w:t>$100</w:t>
            </w:r>
          </w:p>
        </w:tc>
        <w:tc>
          <w:tcPr>
            <w:tcW w:w="1418" w:type="dxa"/>
          </w:tcPr>
          <w:p w14:paraId="04F9CDC6" w14:textId="77777777" w:rsidR="00030089" w:rsidRPr="00130D41" w:rsidRDefault="00030089" w:rsidP="008547F7">
            <w:pPr>
              <w:jc w:val="right"/>
              <w:rPr>
                <w:rFonts w:ascii="Arial" w:hAnsi="Arial" w:cs="Arial"/>
                <w:sz w:val="18"/>
                <w:szCs w:val="20"/>
              </w:rPr>
            </w:pPr>
            <w:r>
              <w:rPr>
                <w:rFonts w:ascii="Arial" w:hAnsi="Arial" w:cs="Arial"/>
                <w:sz w:val="18"/>
                <w:szCs w:val="20"/>
              </w:rPr>
              <w:t>$74</w:t>
            </w:r>
          </w:p>
        </w:tc>
      </w:tr>
      <w:tr w:rsidR="00030089" w14:paraId="463E2A0B" w14:textId="77777777" w:rsidTr="008547F7">
        <w:tc>
          <w:tcPr>
            <w:tcW w:w="1559" w:type="dxa"/>
          </w:tcPr>
          <w:p w14:paraId="0D9122E0" w14:textId="77777777" w:rsidR="00030089" w:rsidRPr="00130D41" w:rsidRDefault="00030089" w:rsidP="008547F7">
            <w:pPr>
              <w:rPr>
                <w:rFonts w:ascii="Arial" w:hAnsi="Arial" w:cs="Arial"/>
                <w:sz w:val="18"/>
                <w:szCs w:val="20"/>
              </w:rPr>
            </w:pPr>
            <w:r>
              <w:rPr>
                <w:rFonts w:ascii="Arial" w:hAnsi="Arial" w:cs="Arial"/>
                <w:sz w:val="18"/>
                <w:szCs w:val="20"/>
              </w:rPr>
              <w:t>Medium</w:t>
            </w:r>
          </w:p>
        </w:tc>
        <w:tc>
          <w:tcPr>
            <w:tcW w:w="2126" w:type="dxa"/>
          </w:tcPr>
          <w:p w14:paraId="13F3A872" w14:textId="77777777" w:rsidR="00030089" w:rsidRPr="00130D41" w:rsidRDefault="00030089" w:rsidP="008547F7">
            <w:pPr>
              <w:jc w:val="right"/>
              <w:rPr>
                <w:rFonts w:ascii="Arial" w:hAnsi="Arial" w:cs="Arial"/>
                <w:sz w:val="18"/>
                <w:szCs w:val="20"/>
              </w:rPr>
            </w:pPr>
            <w:r>
              <w:rPr>
                <w:rFonts w:ascii="Arial" w:hAnsi="Arial" w:cs="Arial"/>
                <w:sz w:val="18"/>
                <w:szCs w:val="20"/>
              </w:rPr>
              <w:t>$60</w:t>
            </w:r>
          </w:p>
        </w:tc>
        <w:tc>
          <w:tcPr>
            <w:tcW w:w="1418" w:type="dxa"/>
          </w:tcPr>
          <w:p w14:paraId="0591D251" w14:textId="77777777" w:rsidR="00030089" w:rsidRPr="00130D41" w:rsidRDefault="00030089" w:rsidP="008547F7">
            <w:pPr>
              <w:jc w:val="right"/>
              <w:rPr>
                <w:rFonts w:ascii="Arial" w:hAnsi="Arial" w:cs="Arial"/>
                <w:sz w:val="18"/>
                <w:szCs w:val="20"/>
              </w:rPr>
            </w:pPr>
            <w:r>
              <w:rPr>
                <w:rFonts w:ascii="Arial" w:hAnsi="Arial" w:cs="Arial"/>
                <w:sz w:val="18"/>
                <w:szCs w:val="20"/>
              </w:rPr>
              <w:t>$44</w:t>
            </w:r>
          </w:p>
        </w:tc>
      </w:tr>
      <w:tr w:rsidR="00030089" w14:paraId="5950BF4E" w14:textId="77777777" w:rsidTr="008547F7">
        <w:tc>
          <w:tcPr>
            <w:tcW w:w="1559" w:type="dxa"/>
          </w:tcPr>
          <w:p w14:paraId="59DFBFD0" w14:textId="77777777" w:rsidR="00030089" w:rsidRPr="00130D41" w:rsidRDefault="00030089" w:rsidP="008547F7">
            <w:pPr>
              <w:rPr>
                <w:rFonts w:ascii="Arial" w:hAnsi="Arial" w:cs="Arial"/>
                <w:sz w:val="18"/>
                <w:szCs w:val="20"/>
              </w:rPr>
            </w:pPr>
            <w:r>
              <w:rPr>
                <w:rFonts w:ascii="Arial" w:hAnsi="Arial" w:cs="Arial"/>
                <w:sz w:val="18"/>
                <w:szCs w:val="20"/>
              </w:rPr>
              <w:t>Large</w:t>
            </w:r>
          </w:p>
        </w:tc>
        <w:tc>
          <w:tcPr>
            <w:tcW w:w="2126" w:type="dxa"/>
          </w:tcPr>
          <w:p w14:paraId="77CE63E7" w14:textId="77777777" w:rsidR="00030089" w:rsidRPr="00130D41" w:rsidRDefault="00030089" w:rsidP="008547F7">
            <w:pPr>
              <w:jc w:val="right"/>
              <w:rPr>
                <w:rFonts w:ascii="Arial" w:hAnsi="Arial" w:cs="Arial"/>
                <w:sz w:val="18"/>
                <w:szCs w:val="20"/>
              </w:rPr>
            </w:pPr>
            <w:r>
              <w:rPr>
                <w:rFonts w:ascii="Arial" w:hAnsi="Arial" w:cs="Arial"/>
                <w:sz w:val="18"/>
                <w:szCs w:val="20"/>
              </w:rPr>
              <w:t>$40</w:t>
            </w:r>
          </w:p>
        </w:tc>
        <w:tc>
          <w:tcPr>
            <w:tcW w:w="1418" w:type="dxa"/>
          </w:tcPr>
          <w:p w14:paraId="43DB90D9" w14:textId="77777777" w:rsidR="00030089" w:rsidRPr="00130D41" w:rsidRDefault="00030089" w:rsidP="008547F7">
            <w:pPr>
              <w:jc w:val="right"/>
              <w:rPr>
                <w:rFonts w:ascii="Arial" w:hAnsi="Arial" w:cs="Arial"/>
                <w:sz w:val="18"/>
                <w:szCs w:val="20"/>
              </w:rPr>
            </w:pPr>
            <w:r>
              <w:rPr>
                <w:rFonts w:ascii="Arial" w:hAnsi="Arial" w:cs="Arial"/>
                <w:sz w:val="18"/>
                <w:szCs w:val="20"/>
              </w:rPr>
              <w:t>$30</w:t>
            </w:r>
          </w:p>
        </w:tc>
      </w:tr>
    </w:tbl>
    <w:p w14:paraId="09C7F173" w14:textId="77777777" w:rsidR="00030089" w:rsidRDefault="00030089" w:rsidP="00030089">
      <w:pPr>
        <w:rPr>
          <w:rFonts w:ascii="Arial" w:hAnsi="Arial" w:cs="Arial"/>
          <w:b/>
          <w:sz w:val="18"/>
          <w:szCs w:val="20"/>
        </w:rPr>
      </w:pPr>
    </w:p>
    <w:p w14:paraId="568681A6" w14:textId="77777777" w:rsidR="00030089" w:rsidRPr="004D561F" w:rsidRDefault="00030089" w:rsidP="00030089">
      <w:pPr>
        <w:spacing w:line="360" w:lineRule="auto"/>
        <w:jc w:val="both"/>
        <w:rPr>
          <w:rFonts w:ascii="Arial" w:hAnsi="Arial" w:cs="Arial"/>
          <w:szCs w:val="28"/>
        </w:rPr>
      </w:pPr>
      <w:r w:rsidRPr="000729A4">
        <w:rPr>
          <w:rFonts w:ascii="Arial" w:hAnsi="Arial" w:cs="Arial"/>
          <w:szCs w:val="28"/>
        </w:rPr>
        <w:t xml:space="preserve">With operating costs of $74 per tonne this amounts to a landfill operating cost saving of </w:t>
      </w:r>
      <w:r w:rsidRPr="000729A4">
        <w:rPr>
          <w:rFonts w:ascii="Arial" w:hAnsi="Arial" w:cs="Arial"/>
          <w:szCs w:val="28"/>
        </w:rPr>
        <w:br/>
        <w:t>$</w:t>
      </w:r>
      <w:r>
        <w:rPr>
          <w:rFonts w:ascii="Arial" w:hAnsi="Arial" w:cs="Arial"/>
          <w:szCs w:val="28"/>
        </w:rPr>
        <w:t>182 938</w:t>
      </w:r>
      <w:r w:rsidRPr="000729A4">
        <w:rPr>
          <w:rFonts w:ascii="Arial" w:hAnsi="Arial" w:cs="Arial"/>
          <w:szCs w:val="28"/>
        </w:rPr>
        <w:t xml:space="preserve"> for the NT CDS’s first year of operation.</w:t>
      </w:r>
    </w:p>
    <w:p w14:paraId="012891FA" w14:textId="77777777" w:rsidR="00030089" w:rsidRDefault="00030089" w:rsidP="00030089">
      <w:pPr>
        <w:spacing w:line="360" w:lineRule="auto"/>
        <w:jc w:val="both"/>
        <w:rPr>
          <w:rFonts w:ascii="Arial" w:hAnsi="Arial" w:cs="Arial"/>
          <w:szCs w:val="28"/>
        </w:rPr>
      </w:pPr>
      <w:r w:rsidRPr="00957795">
        <w:rPr>
          <w:rFonts w:ascii="Arial" w:hAnsi="Arial" w:cs="Arial"/>
          <w:b/>
          <w:szCs w:val="28"/>
        </w:rPr>
        <w:t>Avoided Litter-Clean-Up Costs</w:t>
      </w:r>
      <w:r w:rsidRPr="00B02AB6">
        <w:rPr>
          <w:rFonts w:ascii="Arial" w:hAnsi="Arial" w:cs="Arial"/>
          <w:szCs w:val="28"/>
        </w:rPr>
        <w:t xml:space="preserve"> </w:t>
      </w:r>
      <w:r>
        <w:rPr>
          <w:rFonts w:ascii="Arial" w:hAnsi="Arial" w:cs="Arial"/>
          <w:szCs w:val="28"/>
        </w:rPr>
        <w:t>T</w:t>
      </w:r>
      <w:r w:rsidRPr="009251D2">
        <w:rPr>
          <w:rFonts w:ascii="Arial" w:hAnsi="Arial" w:cs="Arial"/>
          <w:szCs w:val="28"/>
        </w:rPr>
        <w:t>he NT CDS is complemented by an NT plastic bag ban, also legislated under the EP (BC&amp;PB) Act</w:t>
      </w:r>
      <w:r>
        <w:rPr>
          <w:rFonts w:ascii="Arial" w:hAnsi="Arial" w:cs="Arial"/>
          <w:szCs w:val="28"/>
        </w:rPr>
        <w:t xml:space="preserve"> which came into force on 1 September 2011</w:t>
      </w:r>
      <w:r w:rsidRPr="009251D2">
        <w:rPr>
          <w:rFonts w:ascii="Arial" w:hAnsi="Arial" w:cs="Arial"/>
          <w:szCs w:val="28"/>
        </w:rPr>
        <w:t xml:space="preserve">. The two arms of the EP (BC&amp;PB) Act work in tandem. The legislative package </w:t>
      </w:r>
      <w:r>
        <w:rPr>
          <w:rFonts w:ascii="Arial" w:hAnsi="Arial" w:cs="Arial"/>
          <w:szCs w:val="28"/>
        </w:rPr>
        <w:t xml:space="preserve">enables the removal of high visibility litter.  </w:t>
      </w:r>
      <w:r w:rsidRPr="00D378FE">
        <w:rPr>
          <w:rFonts w:ascii="Arial" w:hAnsi="Arial" w:cs="Arial"/>
          <w:szCs w:val="28"/>
        </w:rPr>
        <w:t>Table 4</w:t>
      </w:r>
      <w:r>
        <w:rPr>
          <w:rFonts w:ascii="Arial" w:hAnsi="Arial" w:cs="Arial"/>
          <w:szCs w:val="28"/>
        </w:rPr>
        <w:t>.17</w:t>
      </w:r>
      <w:r w:rsidRPr="009251D2">
        <w:rPr>
          <w:rFonts w:ascii="Arial" w:hAnsi="Arial" w:cs="Arial"/>
          <w:szCs w:val="28"/>
        </w:rPr>
        <w:t xml:space="preserve"> </w:t>
      </w:r>
      <w:r>
        <w:rPr>
          <w:rFonts w:ascii="Arial" w:hAnsi="Arial" w:cs="Arial"/>
          <w:szCs w:val="28"/>
        </w:rPr>
        <w:t>demonstrates</w:t>
      </w:r>
      <w:r w:rsidRPr="009251D2">
        <w:rPr>
          <w:rFonts w:ascii="Arial" w:hAnsi="Arial" w:cs="Arial"/>
          <w:szCs w:val="28"/>
        </w:rPr>
        <w:t xml:space="preserve"> the success of the ban.</w:t>
      </w:r>
    </w:p>
    <w:p w14:paraId="0C74E10A"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37" w:name="_Toc353562508"/>
      <w:r w:rsidR="00740026">
        <w:rPr>
          <w:noProof/>
          <w:color w:val="auto"/>
        </w:rPr>
        <w:t>27</w:t>
      </w:r>
      <w:r w:rsidRPr="00682556">
        <w:rPr>
          <w:noProof/>
          <w:color w:val="auto"/>
        </w:rPr>
        <w:fldChar w:fldCharType="end"/>
      </w:r>
      <w:r w:rsidRPr="00682556">
        <w:rPr>
          <w:noProof/>
          <w:color w:val="auto"/>
        </w:rPr>
        <w:t xml:space="preserve"> Table 4.1</w:t>
      </w:r>
      <w:r>
        <w:rPr>
          <w:noProof/>
          <w:color w:val="auto"/>
        </w:rPr>
        <w:t>7</w:t>
      </w:r>
      <w:r w:rsidRPr="00682556">
        <w:rPr>
          <w:noProof/>
          <w:color w:val="auto"/>
        </w:rPr>
        <w:t>: Keep Australia Beautiful (KAB) Annual Results Tabulations: plastic bags 2011-12</w:t>
      </w:r>
      <w:bookmarkEnd w:id="237"/>
    </w:p>
    <w:tbl>
      <w:tblPr>
        <w:tblW w:w="0" w:type="auto"/>
        <w:tblInd w:w="108" w:type="dxa"/>
        <w:tblCellMar>
          <w:left w:w="0" w:type="dxa"/>
          <w:right w:w="0" w:type="dxa"/>
        </w:tblCellMar>
        <w:tblLook w:val="04A0" w:firstRow="1" w:lastRow="0" w:firstColumn="1" w:lastColumn="0" w:noHBand="0" w:noVBand="1"/>
      </w:tblPr>
      <w:tblGrid>
        <w:gridCol w:w="2127"/>
        <w:gridCol w:w="1559"/>
        <w:gridCol w:w="1417"/>
      </w:tblGrid>
      <w:tr w:rsidR="00030089" w:rsidRPr="009251D2" w14:paraId="7ABC1411" w14:textId="77777777" w:rsidTr="008547F7">
        <w:tc>
          <w:tcPr>
            <w:tcW w:w="2127" w:type="dxa"/>
            <w:tcBorders>
              <w:top w:val="single" w:sz="8" w:space="0" w:color="auto"/>
              <w:left w:val="single" w:sz="8" w:space="0" w:color="auto"/>
              <w:bottom w:val="single" w:sz="8" w:space="0" w:color="auto"/>
              <w:right w:val="single" w:sz="8" w:space="0" w:color="auto"/>
            </w:tcBorders>
            <w:shd w:val="pct10" w:color="auto" w:fill="FFFFFF" w:themeFill="background1"/>
            <w:tcMar>
              <w:top w:w="0" w:type="dxa"/>
              <w:left w:w="108" w:type="dxa"/>
              <w:bottom w:w="0" w:type="dxa"/>
              <w:right w:w="108" w:type="dxa"/>
            </w:tcMar>
            <w:hideMark/>
          </w:tcPr>
          <w:p w14:paraId="7AE9FF77" w14:textId="77777777" w:rsidR="00030089" w:rsidRPr="009251D2" w:rsidRDefault="00030089" w:rsidP="008547F7">
            <w:pPr>
              <w:spacing w:line="360" w:lineRule="auto"/>
              <w:rPr>
                <w:rFonts w:ascii="Arial" w:eastAsia="Times New Roman" w:hAnsi="Arial" w:cs="Arial"/>
                <w:b/>
                <w:sz w:val="20"/>
                <w:szCs w:val="20"/>
              </w:rPr>
            </w:pPr>
            <w:r w:rsidRPr="009251D2">
              <w:rPr>
                <w:rFonts w:ascii="Arial" w:hAnsi="Arial" w:cs="Arial"/>
                <w:b/>
                <w:sz w:val="18"/>
                <w:szCs w:val="20"/>
              </w:rPr>
              <w:t> </w:t>
            </w:r>
          </w:p>
        </w:tc>
        <w:tc>
          <w:tcPr>
            <w:tcW w:w="1559" w:type="dxa"/>
            <w:tcBorders>
              <w:top w:val="single" w:sz="8" w:space="0" w:color="auto"/>
              <w:left w:val="nil"/>
              <w:bottom w:val="single" w:sz="8" w:space="0" w:color="auto"/>
              <w:right w:val="single" w:sz="8" w:space="0" w:color="auto"/>
            </w:tcBorders>
            <w:shd w:val="pct10" w:color="auto" w:fill="FFFFFF" w:themeFill="background1"/>
            <w:tcMar>
              <w:top w:w="0" w:type="dxa"/>
              <w:left w:w="108" w:type="dxa"/>
              <w:bottom w:w="0" w:type="dxa"/>
              <w:right w:w="108" w:type="dxa"/>
            </w:tcMar>
            <w:hideMark/>
          </w:tcPr>
          <w:p w14:paraId="7DFA84D4" w14:textId="77777777" w:rsidR="00030089" w:rsidRPr="009251D2" w:rsidRDefault="00030089" w:rsidP="008547F7">
            <w:pPr>
              <w:spacing w:line="360" w:lineRule="auto"/>
              <w:jc w:val="right"/>
              <w:rPr>
                <w:rFonts w:ascii="Arial" w:eastAsia="Times New Roman" w:hAnsi="Arial" w:cs="Arial"/>
                <w:b/>
                <w:sz w:val="20"/>
                <w:szCs w:val="20"/>
              </w:rPr>
            </w:pPr>
            <w:r w:rsidRPr="009251D2">
              <w:rPr>
                <w:rFonts w:ascii="Arial" w:hAnsi="Arial" w:cs="Arial"/>
                <w:b/>
                <w:sz w:val="18"/>
                <w:szCs w:val="20"/>
              </w:rPr>
              <w:t>Nov</w:t>
            </w:r>
            <w:r>
              <w:rPr>
                <w:rFonts w:ascii="Arial" w:hAnsi="Arial" w:cs="Arial"/>
                <w:b/>
                <w:sz w:val="18"/>
                <w:szCs w:val="20"/>
              </w:rPr>
              <w:t>ember</w:t>
            </w:r>
            <w:r w:rsidRPr="009251D2">
              <w:rPr>
                <w:rFonts w:ascii="Arial" w:hAnsi="Arial" w:cs="Arial"/>
                <w:b/>
                <w:sz w:val="18"/>
                <w:szCs w:val="20"/>
              </w:rPr>
              <w:t xml:space="preserve"> 2011</w:t>
            </w:r>
          </w:p>
        </w:tc>
        <w:tc>
          <w:tcPr>
            <w:tcW w:w="1417" w:type="dxa"/>
            <w:tcBorders>
              <w:top w:val="single" w:sz="8" w:space="0" w:color="auto"/>
              <w:left w:val="nil"/>
              <w:bottom w:val="single" w:sz="8" w:space="0" w:color="auto"/>
              <w:right w:val="single" w:sz="8" w:space="0" w:color="auto"/>
            </w:tcBorders>
            <w:shd w:val="pct10" w:color="auto" w:fill="FFFFFF" w:themeFill="background1"/>
            <w:tcMar>
              <w:top w:w="0" w:type="dxa"/>
              <w:left w:w="108" w:type="dxa"/>
              <w:bottom w:w="0" w:type="dxa"/>
              <w:right w:w="108" w:type="dxa"/>
            </w:tcMar>
            <w:hideMark/>
          </w:tcPr>
          <w:p w14:paraId="0EC6C68F" w14:textId="77777777" w:rsidR="00030089" w:rsidRPr="009251D2" w:rsidRDefault="00030089" w:rsidP="008547F7">
            <w:pPr>
              <w:spacing w:line="360" w:lineRule="auto"/>
              <w:jc w:val="right"/>
              <w:rPr>
                <w:rFonts w:ascii="Arial" w:eastAsia="Times New Roman" w:hAnsi="Arial" w:cs="Arial"/>
                <w:b/>
                <w:sz w:val="18"/>
                <w:szCs w:val="20"/>
              </w:rPr>
            </w:pPr>
            <w:r w:rsidRPr="009251D2">
              <w:rPr>
                <w:rFonts w:ascii="Arial" w:hAnsi="Arial" w:cs="Arial"/>
                <w:b/>
                <w:sz w:val="18"/>
                <w:szCs w:val="20"/>
              </w:rPr>
              <w:t>May 2012</w:t>
            </w:r>
          </w:p>
        </w:tc>
      </w:tr>
      <w:tr w:rsidR="00030089" w:rsidRPr="009251D2" w14:paraId="7525EA90" w14:textId="77777777" w:rsidTr="008547F7">
        <w:trPr>
          <w:trHeight w:hRule="exact" w:val="567"/>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AD241" w14:textId="77777777" w:rsidR="00030089" w:rsidRPr="009251D2" w:rsidRDefault="00030089" w:rsidP="008547F7">
            <w:pPr>
              <w:spacing w:line="360" w:lineRule="auto"/>
              <w:rPr>
                <w:rFonts w:ascii="Arial" w:eastAsia="Times New Roman" w:hAnsi="Arial" w:cs="Arial"/>
                <w:b/>
                <w:sz w:val="20"/>
                <w:szCs w:val="20"/>
              </w:rPr>
            </w:pPr>
            <w:r w:rsidRPr="009251D2">
              <w:rPr>
                <w:rFonts w:ascii="Arial" w:hAnsi="Arial" w:cs="Arial"/>
                <w:b/>
                <w:sz w:val="18"/>
                <w:szCs w:val="20"/>
              </w:rPr>
              <w:t>Supermarket type lightweight, carry bags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340C7AD" w14:textId="77777777" w:rsidR="00030089" w:rsidRPr="009251D2" w:rsidRDefault="00030089" w:rsidP="008547F7">
            <w:pPr>
              <w:spacing w:line="360" w:lineRule="auto"/>
              <w:jc w:val="right"/>
              <w:rPr>
                <w:rFonts w:ascii="Arial" w:eastAsia="Times New Roman" w:hAnsi="Arial" w:cs="Arial"/>
                <w:sz w:val="20"/>
                <w:szCs w:val="20"/>
              </w:rPr>
            </w:pPr>
            <w:r w:rsidRPr="009251D2">
              <w:rPr>
                <w:rFonts w:ascii="Arial" w:hAnsi="Arial" w:cs="Arial"/>
                <w:bCs/>
                <w:sz w:val="18"/>
                <w:szCs w:val="20"/>
              </w:rPr>
              <w:t>56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7391D4D" w14:textId="77777777" w:rsidR="00030089" w:rsidRPr="009251D2" w:rsidRDefault="00030089" w:rsidP="008547F7">
            <w:pPr>
              <w:spacing w:line="360" w:lineRule="auto"/>
              <w:jc w:val="right"/>
              <w:rPr>
                <w:rFonts w:ascii="Arial" w:eastAsia="Times New Roman" w:hAnsi="Arial" w:cs="Arial"/>
                <w:sz w:val="18"/>
                <w:szCs w:val="20"/>
              </w:rPr>
            </w:pPr>
            <w:r w:rsidRPr="009251D2">
              <w:rPr>
                <w:rFonts w:ascii="Arial" w:hAnsi="Arial" w:cs="Arial"/>
                <w:bCs/>
                <w:sz w:val="18"/>
                <w:szCs w:val="20"/>
              </w:rPr>
              <w:t>18</w:t>
            </w:r>
          </w:p>
        </w:tc>
      </w:tr>
      <w:tr w:rsidR="00030089" w:rsidRPr="009251D2" w14:paraId="41B91771" w14:textId="77777777" w:rsidTr="008547F7">
        <w:trPr>
          <w:trHeight w:hRule="exact" w:val="567"/>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47D1D" w14:textId="77777777" w:rsidR="00030089" w:rsidRPr="009251D2" w:rsidRDefault="00030089" w:rsidP="008547F7">
            <w:pPr>
              <w:spacing w:line="360" w:lineRule="auto"/>
              <w:rPr>
                <w:rFonts w:ascii="Arial" w:eastAsia="Times New Roman" w:hAnsi="Arial" w:cs="Arial"/>
                <w:b/>
                <w:sz w:val="20"/>
                <w:szCs w:val="20"/>
              </w:rPr>
            </w:pPr>
            <w:r w:rsidRPr="009251D2">
              <w:rPr>
                <w:rFonts w:ascii="Arial" w:hAnsi="Arial" w:cs="Arial"/>
                <w:b/>
                <w:sz w:val="18"/>
                <w:szCs w:val="20"/>
              </w:rPr>
              <w:t>Heavy, glossy typically branded carry bags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360A378" w14:textId="77777777" w:rsidR="00030089" w:rsidRPr="009251D2" w:rsidRDefault="00030089" w:rsidP="008547F7">
            <w:pPr>
              <w:spacing w:line="360" w:lineRule="auto"/>
              <w:jc w:val="right"/>
              <w:rPr>
                <w:rFonts w:ascii="Arial" w:eastAsia="Times New Roman" w:hAnsi="Arial" w:cs="Arial"/>
                <w:sz w:val="20"/>
                <w:szCs w:val="20"/>
              </w:rPr>
            </w:pPr>
            <w:r w:rsidRPr="009251D2">
              <w:rPr>
                <w:rFonts w:ascii="Arial" w:hAnsi="Arial" w:cs="Arial"/>
                <w:bCs/>
                <w:sz w:val="18"/>
                <w:szCs w:val="20"/>
              </w:rPr>
              <w:t>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D6BF594" w14:textId="77777777" w:rsidR="00030089" w:rsidRPr="009251D2" w:rsidRDefault="00030089" w:rsidP="008547F7">
            <w:pPr>
              <w:spacing w:line="360" w:lineRule="auto"/>
              <w:jc w:val="right"/>
              <w:rPr>
                <w:rFonts w:ascii="Arial" w:eastAsia="Times New Roman" w:hAnsi="Arial" w:cs="Arial"/>
                <w:sz w:val="18"/>
                <w:szCs w:val="20"/>
              </w:rPr>
            </w:pPr>
            <w:r w:rsidRPr="009251D2">
              <w:rPr>
                <w:rFonts w:ascii="Arial" w:hAnsi="Arial" w:cs="Arial"/>
                <w:bCs/>
                <w:sz w:val="18"/>
                <w:szCs w:val="20"/>
              </w:rPr>
              <w:t>4</w:t>
            </w:r>
          </w:p>
        </w:tc>
      </w:tr>
    </w:tbl>
    <w:p w14:paraId="74C51A5F" w14:textId="77777777" w:rsidR="00030089" w:rsidRPr="009251D2" w:rsidRDefault="00030089" w:rsidP="00030089">
      <w:pPr>
        <w:spacing w:line="360" w:lineRule="auto"/>
        <w:rPr>
          <w:rFonts w:ascii="Arial" w:hAnsi="Arial" w:cs="Arial"/>
          <w:sz w:val="18"/>
          <w:szCs w:val="20"/>
        </w:rPr>
      </w:pPr>
    </w:p>
    <w:p w14:paraId="4891A3ED" w14:textId="77777777" w:rsidR="00030089" w:rsidRPr="009251D2" w:rsidRDefault="00030089" w:rsidP="00030089">
      <w:pPr>
        <w:spacing w:line="360" w:lineRule="auto"/>
        <w:jc w:val="both"/>
        <w:rPr>
          <w:rFonts w:ascii="Arial" w:hAnsi="Arial" w:cs="Arial"/>
          <w:szCs w:val="28"/>
        </w:rPr>
      </w:pPr>
      <w:r>
        <w:rPr>
          <w:rFonts w:ascii="Arial" w:hAnsi="Arial" w:cs="Arial"/>
          <w:szCs w:val="28"/>
        </w:rPr>
        <w:t>While</w:t>
      </w:r>
      <w:r w:rsidRPr="009251D2">
        <w:rPr>
          <w:rFonts w:ascii="Arial" w:hAnsi="Arial" w:cs="Arial"/>
          <w:szCs w:val="28"/>
        </w:rPr>
        <w:t xml:space="preserve"> there has been </w:t>
      </w:r>
      <w:r>
        <w:rPr>
          <w:rFonts w:ascii="Arial" w:hAnsi="Arial" w:cs="Arial"/>
          <w:szCs w:val="28"/>
        </w:rPr>
        <w:t>no</w:t>
      </w:r>
      <w:r w:rsidRPr="009251D2">
        <w:rPr>
          <w:rFonts w:ascii="Arial" w:hAnsi="Arial" w:cs="Arial"/>
          <w:szCs w:val="28"/>
        </w:rPr>
        <w:t xml:space="preserve"> increase in heavy duty bag litter since the ban, there has been a 67</w:t>
      </w:r>
      <w:r>
        <w:rPr>
          <w:rFonts w:ascii="Arial" w:hAnsi="Arial" w:cs="Arial"/>
          <w:szCs w:val="28"/>
        </w:rPr>
        <w:t xml:space="preserve"> per cent</w:t>
      </w:r>
      <w:r w:rsidRPr="009251D2">
        <w:rPr>
          <w:rFonts w:ascii="Arial" w:hAnsi="Arial" w:cs="Arial"/>
          <w:szCs w:val="28"/>
        </w:rPr>
        <w:t xml:space="preserve"> decrease in lightweight bag litter.</w:t>
      </w:r>
    </w:p>
    <w:p w14:paraId="164A86DA" w14:textId="77777777" w:rsidR="00030089" w:rsidRPr="009251D2" w:rsidRDefault="00030089" w:rsidP="00030089">
      <w:pPr>
        <w:spacing w:line="360" w:lineRule="auto"/>
        <w:jc w:val="both"/>
        <w:rPr>
          <w:rFonts w:ascii="Arial" w:hAnsi="Arial" w:cs="Arial"/>
          <w:b/>
          <w:szCs w:val="28"/>
        </w:rPr>
      </w:pPr>
      <w:r w:rsidRPr="009251D2">
        <w:rPr>
          <w:rFonts w:ascii="Arial" w:hAnsi="Arial" w:cs="Arial"/>
          <w:szCs w:val="28"/>
        </w:rPr>
        <w:t>Different li</w:t>
      </w:r>
      <w:r>
        <w:rPr>
          <w:rFonts w:ascii="Arial" w:hAnsi="Arial" w:cs="Arial"/>
          <w:szCs w:val="28"/>
        </w:rPr>
        <w:t>t</w:t>
      </w:r>
      <w:r w:rsidRPr="009251D2">
        <w:rPr>
          <w:rFonts w:ascii="Arial" w:hAnsi="Arial" w:cs="Arial"/>
          <w:szCs w:val="28"/>
        </w:rPr>
        <w:t xml:space="preserve">ter items have a different affect on amenity not registered by either volume or item number counts cited in </w:t>
      </w:r>
      <w:r>
        <w:rPr>
          <w:rFonts w:ascii="Arial" w:hAnsi="Arial" w:cs="Arial"/>
          <w:szCs w:val="28"/>
        </w:rPr>
        <w:t>Keep Australia Beautiful (</w:t>
      </w:r>
      <w:r w:rsidRPr="009251D2">
        <w:rPr>
          <w:rFonts w:ascii="Arial" w:hAnsi="Arial" w:cs="Arial"/>
          <w:szCs w:val="28"/>
        </w:rPr>
        <w:t>KAB</w:t>
      </w:r>
      <w:r>
        <w:rPr>
          <w:rFonts w:ascii="Arial" w:hAnsi="Arial" w:cs="Arial"/>
          <w:szCs w:val="28"/>
        </w:rPr>
        <w:t>)</w:t>
      </w:r>
      <w:r w:rsidRPr="009251D2">
        <w:rPr>
          <w:rFonts w:ascii="Arial" w:hAnsi="Arial" w:cs="Arial"/>
          <w:szCs w:val="28"/>
        </w:rPr>
        <w:t xml:space="preserve"> </w:t>
      </w:r>
      <w:r w:rsidRPr="009251D2">
        <w:rPr>
          <w:rFonts w:ascii="Arial" w:hAnsi="Arial" w:cs="Arial"/>
          <w:i/>
          <w:szCs w:val="28"/>
        </w:rPr>
        <w:t>Annual Results Tabulations</w:t>
      </w:r>
      <w:r w:rsidRPr="009251D2">
        <w:rPr>
          <w:rFonts w:ascii="Arial" w:hAnsi="Arial" w:cs="Arial"/>
          <w:szCs w:val="28"/>
        </w:rPr>
        <w:t xml:space="preserve">. For example: the May 2012 total volume of </w:t>
      </w:r>
      <w:r w:rsidRPr="0072549E">
        <w:rPr>
          <w:rFonts w:ascii="Arial" w:hAnsi="Arial" w:cs="Arial"/>
          <w:szCs w:val="28"/>
        </w:rPr>
        <w:t>heavy glossy typically branded carrier bags and drinking straws</w:t>
      </w:r>
      <w:r w:rsidRPr="009251D2">
        <w:rPr>
          <w:rFonts w:ascii="Arial" w:hAnsi="Arial" w:cs="Arial"/>
          <w:szCs w:val="28"/>
        </w:rPr>
        <w:t xml:space="preserve"> register the same volume each (0.3 litres). Yet one material type, the </w:t>
      </w:r>
      <w:r w:rsidRPr="0072549E">
        <w:rPr>
          <w:rFonts w:ascii="Arial" w:hAnsi="Arial" w:cs="Arial"/>
          <w:szCs w:val="28"/>
        </w:rPr>
        <w:t>heavy glossy typically branded carrier bag, c</w:t>
      </w:r>
      <w:r w:rsidRPr="009251D2">
        <w:rPr>
          <w:rFonts w:ascii="Arial" w:hAnsi="Arial" w:cs="Arial"/>
          <w:szCs w:val="28"/>
        </w:rPr>
        <w:t>learly has a greater impact on amenity than the other (due to its bulk) or even on a larger incidence of littering of the other</w:t>
      </w:r>
      <w:r w:rsidRPr="009251D2">
        <w:rPr>
          <w:rStyle w:val="FootnoteReference"/>
          <w:rFonts w:ascii="Arial" w:hAnsi="Arial"/>
          <w:szCs w:val="28"/>
        </w:rPr>
        <w:footnoteReference w:id="23"/>
      </w:r>
      <w:r>
        <w:rPr>
          <w:rFonts w:ascii="Arial" w:hAnsi="Arial" w:cs="Arial"/>
          <w:szCs w:val="28"/>
        </w:rPr>
        <w:t>.</w:t>
      </w:r>
    </w:p>
    <w:p w14:paraId="4424252C" w14:textId="77777777" w:rsidR="00030089" w:rsidRPr="009251D2" w:rsidRDefault="00030089" w:rsidP="00030089">
      <w:pPr>
        <w:spacing w:line="360" w:lineRule="auto"/>
        <w:jc w:val="both"/>
        <w:rPr>
          <w:rFonts w:ascii="Arial" w:hAnsi="Arial" w:cs="Arial"/>
          <w:szCs w:val="28"/>
        </w:rPr>
      </w:pPr>
      <w:r w:rsidRPr="009251D2">
        <w:rPr>
          <w:rFonts w:ascii="Arial" w:hAnsi="Arial" w:cs="Arial"/>
          <w:szCs w:val="28"/>
        </w:rPr>
        <w:t xml:space="preserve">Analysis of KAB data immediately before and during the NT CDS operation shows a reduction in beverage container litter in the NT in the first 12 months of the </w:t>
      </w:r>
      <w:r>
        <w:rPr>
          <w:rFonts w:ascii="Arial" w:hAnsi="Arial" w:cs="Arial"/>
          <w:szCs w:val="28"/>
        </w:rPr>
        <w:t>schemes</w:t>
      </w:r>
      <w:r w:rsidRPr="009251D2">
        <w:rPr>
          <w:rFonts w:ascii="Arial" w:hAnsi="Arial" w:cs="Arial"/>
          <w:szCs w:val="28"/>
        </w:rPr>
        <w:t xml:space="preserve"> operation. </w:t>
      </w:r>
    </w:p>
    <w:p w14:paraId="39B2E9DE" w14:textId="77777777" w:rsidR="00030089" w:rsidRDefault="00030089" w:rsidP="00030089">
      <w:pPr>
        <w:spacing w:line="360" w:lineRule="auto"/>
        <w:jc w:val="both"/>
        <w:rPr>
          <w:rFonts w:ascii="Arial" w:hAnsi="Arial" w:cs="Arial"/>
          <w:szCs w:val="28"/>
        </w:rPr>
      </w:pPr>
      <w:r>
        <w:rPr>
          <w:rFonts w:ascii="Arial" w:hAnsi="Arial" w:cs="Arial"/>
          <w:szCs w:val="28"/>
        </w:rPr>
        <w:lastRenderedPageBreak/>
        <w:t>Table 4.18 displays</w:t>
      </w:r>
      <w:r w:rsidRPr="009251D2">
        <w:rPr>
          <w:rFonts w:ascii="Arial" w:hAnsi="Arial" w:cs="Arial"/>
          <w:szCs w:val="28"/>
        </w:rPr>
        <w:t xml:space="preserve"> beverage</w:t>
      </w:r>
      <w:r>
        <w:rPr>
          <w:rFonts w:ascii="Arial" w:hAnsi="Arial" w:cs="Arial"/>
          <w:szCs w:val="28"/>
        </w:rPr>
        <w:t xml:space="preserve"> container</w:t>
      </w:r>
      <w:r w:rsidRPr="009251D2">
        <w:rPr>
          <w:rFonts w:ascii="Arial" w:hAnsi="Arial" w:cs="Arial"/>
          <w:szCs w:val="28"/>
        </w:rPr>
        <w:t xml:space="preserve"> litter recorded in KAB </w:t>
      </w:r>
      <w:r w:rsidRPr="00B72FF4">
        <w:rPr>
          <w:rFonts w:ascii="Arial" w:hAnsi="Arial" w:cs="Arial"/>
          <w:szCs w:val="28"/>
        </w:rPr>
        <w:t>beverage container litter by item</w:t>
      </w:r>
      <w:r>
        <w:rPr>
          <w:rFonts w:ascii="Arial" w:hAnsi="Arial" w:cs="Arial"/>
          <w:i/>
          <w:szCs w:val="28"/>
        </w:rPr>
        <w:t xml:space="preserve"> </w:t>
      </w:r>
      <w:r w:rsidRPr="009251D2">
        <w:rPr>
          <w:rFonts w:ascii="Arial" w:hAnsi="Arial" w:cs="Arial"/>
          <w:szCs w:val="28"/>
        </w:rPr>
        <w:t xml:space="preserve">found in the two surveys immediately before the NT CDS was introduced (May and November 2011) with the first survey after the NT CDS was introduced (May 2012): </w:t>
      </w:r>
    </w:p>
    <w:p w14:paraId="1FC2BE2B"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38" w:name="_Toc353562509"/>
      <w:r w:rsidR="00740026">
        <w:rPr>
          <w:noProof/>
          <w:color w:val="auto"/>
        </w:rPr>
        <w:t>28</w:t>
      </w:r>
      <w:r w:rsidRPr="00682556">
        <w:rPr>
          <w:noProof/>
          <w:color w:val="auto"/>
        </w:rPr>
        <w:fldChar w:fldCharType="end"/>
      </w:r>
      <w:r w:rsidRPr="00682556">
        <w:rPr>
          <w:noProof/>
          <w:color w:val="auto"/>
        </w:rPr>
        <w:t xml:space="preserve"> Table 4.1</w:t>
      </w:r>
      <w:r>
        <w:rPr>
          <w:noProof/>
          <w:color w:val="auto"/>
        </w:rPr>
        <w:t>8</w:t>
      </w:r>
      <w:r w:rsidRPr="00682556">
        <w:rPr>
          <w:noProof/>
          <w:color w:val="auto"/>
        </w:rPr>
        <w:t>: Beverage container litter by item</w:t>
      </w:r>
      <w:bookmarkEnd w:id="238"/>
    </w:p>
    <w:tbl>
      <w:tblPr>
        <w:tblStyle w:val="TableGrid"/>
        <w:tblW w:w="0" w:type="auto"/>
        <w:tblInd w:w="108" w:type="dxa"/>
        <w:tblLook w:val="04A0" w:firstRow="1" w:lastRow="0" w:firstColumn="1" w:lastColumn="0" w:noHBand="0" w:noVBand="1"/>
      </w:tblPr>
      <w:tblGrid>
        <w:gridCol w:w="4111"/>
        <w:gridCol w:w="1606"/>
        <w:gridCol w:w="1607"/>
        <w:gridCol w:w="1607"/>
      </w:tblGrid>
      <w:tr w:rsidR="00030089" w14:paraId="53D42D5E" w14:textId="77777777" w:rsidTr="008547F7">
        <w:tc>
          <w:tcPr>
            <w:tcW w:w="4111" w:type="dxa"/>
            <w:shd w:val="pct10" w:color="auto" w:fill="FFFFFF" w:themeFill="background1"/>
          </w:tcPr>
          <w:p w14:paraId="0D064D44" w14:textId="77777777" w:rsidR="00030089" w:rsidRPr="008A687B" w:rsidRDefault="00030089" w:rsidP="008547F7">
            <w:pPr>
              <w:pStyle w:val="Header"/>
              <w:spacing w:before="120" w:after="120"/>
              <w:jc w:val="both"/>
              <w:rPr>
                <w:rFonts w:ascii="Arial" w:hAnsi="Arial" w:cs="Arial"/>
                <w:b/>
                <w:sz w:val="18"/>
                <w:szCs w:val="20"/>
              </w:rPr>
            </w:pPr>
            <w:r>
              <w:rPr>
                <w:rFonts w:ascii="Arial" w:hAnsi="Arial" w:cs="Arial"/>
                <w:b/>
                <w:sz w:val="18"/>
                <w:szCs w:val="20"/>
              </w:rPr>
              <w:t>Littered Material (Covered by NT CDS)</w:t>
            </w:r>
          </w:p>
        </w:tc>
        <w:tc>
          <w:tcPr>
            <w:tcW w:w="1606" w:type="dxa"/>
            <w:shd w:val="pct10" w:color="auto" w:fill="FFFFFF" w:themeFill="background1"/>
          </w:tcPr>
          <w:p w14:paraId="45CEF4C8" w14:textId="77777777" w:rsidR="00030089" w:rsidRDefault="00030089" w:rsidP="008547F7">
            <w:pPr>
              <w:pStyle w:val="Header"/>
              <w:spacing w:before="120" w:after="120"/>
              <w:jc w:val="right"/>
              <w:rPr>
                <w:rFonts w:ascii="Arial" w:hAnsi="Arial" w:cs="Arial"/>
                <w:b/>
                <w:sz w:val="18"/>
                <w:szCs w:val="20"/>
              </w:rPr>
            </w:pPr>
            <w:r>
              <w:rPr>
                <w:rFonts w:ascii="Arial" w:hAnsi="Arial" w:cs="Arial"/>
                <w:b/>
                <w:sz w:val="18"/>
                <w:szCs w:val="20"/>
              </w:rPr>
              <w:t>May 2011</w:t>
            </w:r>
          </w:p>
        </w:tc>
        <w:tc>
          <w:tcPr>
            <w:tcW w:w="1607" w:type="dxa"/>
            <w:shd w:val="pct10" w:color="auto" w:fill="FFFFFF" w:themeFill="background1"/>
          </w:tcPr>
          <w:p w14:paraId="2F9176A5" w14:textId="77777777" w:rsidR="00030089" w:rsidRDefault="00030089" w:rsidP="008547F7">
            <w:pPr>
              <w:pStyle w:val="Header"/>
              <w:spacing w:before="120" w:after="120"/>
              <w:jc w:val="right"/>
              <w:rPr>
                <w:rFonts w:ascii="Arial" w:hAnsi="Arial" w:cs="Arial"/>
                <w:b/>
                <w:sz w:val="18"/>
                <w:szCs w:val="20"/>
              </w:rPr>
            </w:pPr>
            <w:r>
              <w:rPr>
                <w:rFonts w:ascii="Arial" w:hAnsi="Arial" w:cs="Arial"/>
                <w:b/>
                <w:sz w:val="18"/>
                <w:szCs w:val="20"/>
              </w:rPr>
              <w:t>November 2011</w:t>
            </w:r>
          </w:p>
        </w:tc>
        <w:tc>
          <w:tcPr>
            <w:tcW w:w="1607" w:type="dxa"/>
            <w:shd w:val="pct10" w:color="auto" w:fill="FFFFFF" w:themeFill="background1"/>
          </w:tcPr>
          <w:p w14:paraId="7A81778C" w14:textId="77777777" w:rsidR="00030089" w:rsidRDefault="00030089" w:rsidP="008547F7">
            <w:pPr>
              <w:pStyle w:val="Header"/>
              <w:spacing w:before="120" w:after="120"/>
              <w:jc w:val="right"/>
              <w:rPr>
                <w:rFonts w:ascii="Arial" w:hAnsi="Arial" w:cs="Arial"/>
                <w:b/>
                <w:sz w:val="18"/>
                <w:szCs w:val="20"/>
              </w:rPr>
            </w:pPr>
            <w:r>
              <w:rPr>
                <w:rFonts w:ascii="Arial" w:hAnsi="Arial" w:cs="Arial"/>
                <w:b/>
                <w:sz w:val="18"/>
                <w:szCs w:val="20"/>
              </w:rPr>
              <w:t>May 2012</w:t>
            </w:r>
          </w:p>
        </w:tc>
      </w:tr>
      <w:tr w:rsidR="00030089" w:rsidRPr="008A687B" w14:paraId="57B05389" w14:textId="77777777" w:rsidTr="008547F7">
        <w:tc>
          <w:tcPr>
            <w:tcW w:w="4111" w:type="dxa"/>
          </w:tcPr>
          <w:p w14:paraId="0DDD6491" w14:textId="77777777" w:rsidR="00030089" w:rsidRPr="008A687B" w:rsidRDefault="00030089" w:rsidP="008547F7">
            <w:pPr>
              <w:pStyle w:val="Header"/>
              <w:spacing w:before="120" w:after="120"/>
              <w:jc w:val="both"/>
              <w:rPr>
                <w:rFonts w:ascii="Arial" w:hAnsi="Arial" w:cs="Arial"/>
                <w:sz w:val="18"/>
                <w:szCs w:val="20"/>
              </w:rPr>
            </w:pPr>
            <w:r w:rsidRPr="008A687B">
              <w:rPr>
                <w:rFonts w:ascii="Arial" w:hAnsi="Arial" w:cs="Arial"/>
                <w:sz w:val="18"/>
                <w:szCs w:val="20"/>
              </w:rPr>
              <w:t>Glass beverage containers</w:t>
            </w:r>
          </w:p>
        </w:tc>
        <w:tc>
          <w:tcPr>
            <w:tcW w:w="1606" w:type="dxa"/>
          </w:tcPr>
          <w:p w14:paraId="0167B3FF" w14:textId="77777777" w:rsidR="00030089" w:rsidRPr="008A687B" w:rsidRDefault="00030089" w:rsidP="008547F7">
            <w:pPr>
              <w:pStyle w:val="Header"/>
              <w:spacing w:before="120" w:after="120"/>
              <w:jc w:val="right"/>
              <w:rPr>
                <w:rFonts w:ascii="Arial" w:hAnsi="Arial" w:cs="Arial"/>
                <w:sz w:val="18"/>
                <w:szCs w:val="20"/>
              </w:rPr>
            </w:pPr>
            <w:r w:rsidRPr="008A687B">
              <w:rPr>
                <w:rFonts w:ascii="Arial" w:hAnsi="Arial" w:cs="Arial"/>
                <w:sz w:val="18"/>
                <w:szCs w:val="20"/>
              </w:rPr>
              <w:t>51</w:t>
            </w:r>
          </w:p>
        </w:tc>
        <w:tc>
          <w:tcPr>
            <w:tcW w:w="1607" w:type="dxa"/>
          </w:tcPr>
          <w:p w14:paraId="0270DC49" w14:textId="77777777" w:rsidR="00030089" w:rsidRPr="008A687B" w:rsidRDefault="00030089" w:rsidP="008547F7">
            <w:pPr>
              <w:pStyle w:val="Header"/>
              <w:spacing w:before="120" w:after="120"/>
              <w:jc w:val="right"/>
              <w:rPr>
                <w:rFonts w:ascii="Arial" w:hAnsi="Arial" w:cs="Arial"/>
                <w:sz w:val="18"/>
                <w:szCs w:val="20"/>
              </w:rPr>
            </w:pPr>
            <w:r>
              <w:rPr>
                <w:rFonts w:ascii="Arial" w:hAnsi="Arial" w:cs="Arial"/>
                <w:sz w:val="18"/>
                <w:szCs w:val="20"/>
              </w:rPr>
              <w:t xml:space="preserve">42 </w:t>
            </w:r>
          </w:p>
        </w:tc>
        <w:tc>
          <w:tcPr>
            <w:tcW w:w="1607" w:type="dxa"/>
          </w:tcPr>
          <w:p w14:paraId="3EBF9B29" w14:textId="77777777" w:rsidR="00030089" w:rsidRPr="008A687B" w:rsidRDefault="00030089" w:rsidP="008547F7">
            <w:pPr>
              <w:pStyle w:val="Header"/>
              <w:spacing w:before="120" w:after="120"/>
              <w:jc w:val="right"/>
              <w:rPr>
                <w:rFonts w:ascii="Arial" w:hAnsi="Arial" w:cs="Arial"/>
                <w:sz w:val="18"/>
                <w:szCs w:val="20"/>
              </w:rPr>
            </w:pPr>
            <w:r>
              <w:rPr>
                <w:rFonts w:ascii="Arial" w:hAnsi="Arial" w:cs="Arial"/>
                <w:sz w:val="18"/>
                <w:szCs w:val="20"/>
              </w:rPr>
              <w:t>36</w:t>
            </w:r>
          </w:p>
        </w:tc>
      </w:tr>
      <w:tr w:rsidR="00030089" w:rsidRPr="008A687B" w14:paraId="11D562B5" w14:textId="77777777" w:rsidTr="008547F7">
        <w:tc>
          <w:tcPr>
            <w:tcW w:w="4111" w:type="dxa"/>
          </w:tcPr>
          <w:p w14:paraId="2281A5FC" w14:textId="77777777" w:rsidR="00030089" w:rsidRPr="008A687B" w:rsidRDefault="00030089" w:rsidP="008547F7">
            <w:pPr>
              <w:pStyle w:val="Header"/>
              <w:spacing w:before="120" w:after="120"/>
              <w:jc w:val="both"/>
              <w:rPr>
                <w:rFonts w:ascii="Arial" w:hAnsi="Arial" w:cs="Arial"/>
                <w:sz w:val="18"/>
                <w:szCs w:val="20"/>
              </w:rPr>
            </w:pPr>
            <w:r>
              <w:rPr>
                <w:rFonts w:ascii="Arial" w:hAnsi="Arial" w:cs="Arial"/>
                <w:sz w:val="18"/>
                <w:szCs w:val="20"/>
              </w:rPr>
              <w:t xml:space="preserve">Aluminium beverage containers </w:t>
            </w:r>
          </w:p>
        </w:tc>
        <w:tc>
          <w:tcPr>
            <w:tcW w:w="1606" w:type="dxa"/>
          </w:tcPr>
          <w:p w14:paraId="62C967A5" w14:textId="77777777" w:rsidR="00030089" w:rsidRPr="008A687B" w:rsidRDefault="00030089" w:rsidP="008547F7">
            <w:pPr>
              <w:pStyle w:val="Header"/>
              <w:spacing w:before="120" w:after="120"/>
              <w:jc w:val="right"/>
              <w:rPr>
                <w:rFonts w:ascii="Arial" w:hAnsi="Arial" w:cs="Arial"/>
                <w:sz w:val="18"/>
                <w:szCs w:val="20"/>
              </w:rPr>
            </w:pPr>
            <w:r>
              <w:rPr>
                <w:rFonts w:ascii="Arial" w:hAnsi="Arial" w:cs="Arial"/>
                <w:sz w:val="18"/>
                <w:szCs w:val="20"/>
              </w:rPr>
              <w:t>107</w:t>
            </w:r>
          </w:p>
        </w:tc>
        <w:tc>
          <w:tcPr>
            <w:tcW w:w="1607" w:type="dxa"/>
          </w:tcPr>
          <w:p w14:paraId="639A207F" w14:textId="77777777" w:rsidR="00030089" w:rsidRPr="008A687B" w:rsidRDefault="00030089" w:rsidP="008547F7">
            <w:pPr>
              <w:pStyle w:val="Header"/>
              <w:spacing w:before="120" w:after="120"/>
              <w:jc w:val="right"/>
              <w:rPr>
                <w:rFonts w:ascii="Arial" w:hAnsi="Arial" w:cs="Arial"/>
                <w:sz w:val="18"/>
                <w:szCs w:val="20"/>
              </w:rPr>
            </w:pPr>
            <w:r>
              <w:rPr>
                <w:rFonts w:ascii="Arial" w:hAnsi="Arial" w:cs="Arial"/>
                <w:sz w:val="18"/>
                <w:szCs w:val="20"/>
              </w:rPr>
              <w:t>102</w:t>
            </w:r>
          </w:p>
        </w:tc>
        <w:tc>
          <w:tcPr>
            <w:tcW w:w="1607" w:type="dxa"/>
          </w:tcPr>
          <w:p w14:paraId="2ADD9622" w14:textId="77777777" w:rsidR="00030089" w:rsidRPr="008A687B" w:rsidRDefault="00030089" w:rsidP="008547F7">
            <w:pPr>
              <w:pStyle w:val="Header"/>
              <w:spacing w:before="120" w:after="120"/>
              <w:jc w:val="right"/>
              <w:rPr>
                <w:rFonts w:ascii="Arial" w:hAnsi="Arial" w:cs="Arial"/>
                <w:sz w:val="18"/>
                <w:szCs w:val="20"/>
              </w:rPr>
            </w:pPr>
            <w:r>
              <w:rPr>
                <w:rFonts w:ascii="Arial" w:hAnsi="Arial" w:cs="Arial"/>
                <w:sz w:val="18"/>
                <w:szCs w:val="20"/>
              </w:rPr>
              <w:t>89</w:t>
            </w:r>
          </w:p>
        </w:tc>
      </w:tr>
      <w:tr w:rsidR="00030089" w:rsidRPr="008A687B" w14:paraId="68BFC335" w14:textId="77777777" w:rsidTr="008547F7">
        <w:tc>
          <w:tcPr>
            <w:tcW w:w="4111" w:type="dxa"/>
          </w:tcPr>
          <w:p w14:paraId="423870C0" w14:textId="77777777" w:rsidR="00030089" w:rsidRPr="008A687B" w:rsidRDefault="00030089" w:rsidP="008547F7">
            <w:pPr>
              <w:pStyle w:val="Header"/>
              <w:spacing w:before="120" w:after="120"/>
              <w:jc w:val="both"/>
              <w:rPr>
                <w:rFonts w:ascii="Arial" w:hAnsi="Arial" w:cs="Arial"/>
                <w:sz w:val="18"/>
                <w:szCs w:val="20"/>
              </w:rPr>
            </w:pPr>
            <w:r>
              <w:rPr>
                <w:rFonts w:ascii="Arial" w:hAnsi="Arial" w:cs="Arial"/>
                <w:sz w:val="18"/>
                <w:szCs w:val="20"/>
              </w:rPr>
              <w:t>LPB beverage containers</w:t>
            </w:r>
          </w:p>
        </w:tc>
        <w:tc>
          <w:tcPr>
            <w:tcW w:w="1606" w:type="dxa"/>
          </w:tcPr>
          <w:p w14:paraId="0A4A5C08" w14:textId="77777777" w:rsidR="00030089" w:rsidRPr="008A687B" w:rsidRDefault="00030089" w:rsidP="008547F7">
            <w:pPr>
              <w:pStyle w:val="Header"/>
              <w:spacing w:before="120" w:after="120"/>
              <w:jc w:val="right"/>
              <w:rPr>
                <w:rFonts w:ascii="Arial" w:hAnsi="Arial" w:cs="Arial"/>
                <w:sz w:val="18"/>
                <w:szCs w:val="20"/>
              </w:rPr>
            </w:pPr>
            <w:r>
              <w:rPr>
                <w:rFonts w:ascii="Arial" w:hAnsi="Arial" w:cs="Arial"/>
                <w:sz w:val="18"/>
                <w:szCs w:val="20"/>
              </w:rPr>
              <w:t>108</w:t>
            </w:r>
          </w:p>
        </w:tc>
        <w:tc>
          <w:tcPr>
            <w:tcW w:w="1607" w:type="dxa"/>
          </w:tcPr>
          <w:p w14:paraId="61B9500F" w14:textId="77777777" w:rsidR="00030089" w:rsidRPr="008A687B" w:rsidRDefault="00030089" w:rsidP="008547F7">
            <w:pPr>
              <w:pStyle w:val="Header"/>
              <w:spacing w:before="120" w:after="120"/>
              <w:jc w:val="right"/>
              <w:rPr>
                <w:rFonts w:ascii="Arial" w:hAnsi="Arial" w:cs="Arial"/>
                <w:sz w:val="18"/>
                <w:szCs w:val="20"/>
              </w:rPr>
            </w:pPr>
            <w:r>
              <w:rPr>
                <w:rFonts w:ascii="Arial" w:hAnsi="Arial" w:cs="Arial"/>
                <w:sz w:val="18"/>
                <w:szCs w:val="20"/>
              </w:rPr>
              <w:t>36</w:t>
            </w:r>
          </w:p>
        </w:tc>
        <w:tc>
          <w:tcPr>
            <w:tcW w:w="1607" w:type="dxa"/>
          </w:tcPr>
          <w:p w14:paraId="1D412F49" w14:textId="77777777" w:rsidR="00030089" w:rsidRPr="008A687B" w:rsidRDefault="00030089" w:rsidP="008547F7">
            <w:pPr>
              <w:pStyle w:val="Header"/>
              <w:spacing w:before="120" w:after="120"/>
              <w:jc w:val="right"/>
              <w:rPr>
                <w:rFonts w:ascii="Arial" w:hAnsi="Arial" w:cs="Arial"/>
                <w:sz w:val="18"/>
                <w:szCs w:val="20"/>
              </w:rPr>
            </w:pPr>
            <w:r>
              <w:rPr>
                <w:rFonts w:ascii="Arial" w:hAnsi="Arial" w:cs="Arial"/>
                <w:sz w:val="18"/>
                <w:szCs w:val="20"/>
              </w:rPr>
              <w:t>22</w:t>
            </w:r>
          </w:p>
        </w:tc>
      </w:tr>
      <w:tr w:rsidR="00030089" w:rsidRPr="008A687B" w14:paraId="5AAA3CD4" w14:textId="77777777" w:rsidTr="008547F7">
        <w:tc>
          <w:tcPr>
            <w:tcW w:w="4111" w:type="dxa"/>
          </w:tcPr>
          <w:p w14:paraId="1FB0B13B" w14:textId="77777777" w:rsidR="00030089" w:rsidRPr="008A687B" w:rsidRDefault="00030089" w:rsidP="008547F7">
            <w:pPr>
              <w:pStyle w:val="Header"/>
              <w:spacing w:before="120" w:after="120"/>
              <w:jc w:val="both"/>
              <w:rPr>
                <w:rFonts w:ascii="Arial" w:hAnsi="Arial" w:cs="Arial"/>
                <w:sz w:val="18"/>
                <w:szCs w:val="20"/>
              </w:rPr>
            </w:pPr>
            <w:r>
              <w:rPr>
                <w:rFonts w:ascii="Arial" w:hAnsi="Arial" w:cs="Arial"/>
                <w:sz w:val="18"/>
                <w:szCs w:val="20"/>
              </w:rPr>
              <w:t>Plastic beverage containers</w:t>
            </w:r>
          </w:p>
        </w:tc>
        <w:tc>
          <w:tcPr>
            <w:tcW w:w="1606" w:type="dxa"/>
          </w:tcPr>
          <w:p w14:paraId="588BEA44" w14:textId="77777777" w:rsidR="00030089" w:rsidRPr="008A687B" w:rsidRDefault="00030089" w:rsidP="008547F7">
            <w:pPr>
              <w:pStyle w:val="Header"/>
              <w:spacing w:before="120" w:after="120"/>
              <w:jc w:val="right"/>
              <w:rPr>
                <w:rFonts w:ascii="Arial" w:hAnsi="Arial" w:cs="Arial"/>
                <w:sz w:val="18"/>
                <w:szCs w:val="20"/>
              </w:rPr>
            </w:pPr>
            <w:r>
              <w:rPr>
                <w:rFonts w:ascii="Arial" w:hAnsi="Arial" w:cs="Arial"/>
                <w:sz w:val="18"/>
                <w:szCs w:val="20"/>
              </w:rPr>
              <w:t>67</w:t>
            </w:r>
          </w:p>
        </w:tc>
        <w:tc>
          <w:tcPr>
            <w:tcW w:w="1607" w:type="dxa"/>
          </w:tcPr>
          <w:p w14:paraId="0AA717A3" w14:textId="77777777" w:rsidR="00030089" w:rsidRPr="008A687B" w:rsidRDefault="00030089" w:rsidP="008547F7">
            <w:pPr>
              <w:pStyle w:val="Header"/>
              <w:spacing w:before="120" w:after="120"/>
              <w:jc w:val="right"/>
              <w:rPr>
                <w:rFonts w:ascii="Arial" w:hAnsi="Arial" w:cs="Arial"/>
                <w:sz w:val="18"/>
                <w:szCs w:val="20"/>
              </w:rPr>
            </w:pPr>
            <w:r>
              <w:rPr>
                <w:rFonts w:ascii="Arial" w:hAnsi="Arial" w:cs="Arial"/>
                <w:sz w:val="18"/>
                <w:szCs w:val="20"/>
              </w:rPr>
              <w:t>110</w:t>
            </w:r>
          </w:p>
        </w:tc>
        <w:tc>
          <w:tcPr>
            <w:tcW w:w="1607" w:type="dxa"/>
          </w:tcPr>
          <w:p w14:paraId="47426F07" w14:textId="77777777" w:rsidR="00030089" w:rsidRPr="008A687B" w:rsidRDefault="00030089" w:rsidP="008547F7">
            <w:pPr>
              <w:pStyle w:val="Header"/>
              <w:spacing w:before="120" w:after="120"/>
              <w:jc w:val="right"/>
              <w:rPr>
                <w:rFonts w:ascii="Arial" w:hAnsi="Arial" w:cs="Arial"/>
                <w:sz w:val="18"/>
                <w:szCs w:val="20"/>
              </w:rPr>
            </w:pPr>
            <w:r>
              <w:rPr>
                <w:rFonts w:ascii="Arial" w:hAnsi="Arial" w:cs="Arial"/>
                <w:sz w:val="18"/>
                <w:szCs w:val="20"/>
              </w:rPr>
              <w:t>30</w:t>
            </w:r>
          </w:p>
        </w:tc>
      </w:tr>
      <w:tr w:rsidR="00030089" w:rsidRPr="008A687B" w14:paraId="3413126E" w14:textId="77777777" w:rsidTr="008547F7">
        <w:tc>
          <w:tcPr>
            <w:tcW w:w="4111" w:type="dxa"/>
          </w:tcPr>
          <w:p w14:paraId="4FEC7053" w14:textId="77777777" w:rsidR="00030089" w:rsidRPr="008A687B" w:rsidRDefault="00030089" w:rsidP="008547F7">
            <w:pPr>
              <w:pStyle w:val="Header"/>
              <w:spacing w:before="120" w:after="120"/>
              <w:jc w:val="both"/>
              <w:rPr>
                <w:rFonts w:ascii="Arial" w:hAnsi="Arial" w:cs="Arial"/>
                <w:b/>
                <w:sz w:val="18"/>
                <w:szCs w:val="20"/>
              </w:rPr>
            </w:pPr>
            <w:r>
              <w:rPr>
                <w:rFonts w:ascii="Arial" w:hAnsi="Arial" w:cs="Arial"/>
                <w:b/>
                <w:sz w:val="18"/>
                <w:szCs w:val="20"/>
              </w:rPr>
              <w:t>Total beverage containers</w:t>
            </w:r>
          </w:p>
        </w:tc>
        <w:tc>
          <w:tcPr>
            <w:tcW w:w="1606" w:type="dxa"/>
          </w:tcPr>
          <w:p w14:paraId="3C9DFBCA" w14:textId="77777777" w:rsidR="00030089" w:rsidRPr="008A687B" w:rsidRDefault="00030089" w:rsidP="008547F7">
            <w:pPr>
              <w:pStyle w:val="Header"/>
              <w:spacing w:before="120" w:after="120"/>
              <w:jc w:val="right"/>
              <w:rPr>
                <w:rFonts w:ascii="Arial" w:hAnsi="Arial" w:cs="Arial"/>
                <w:b/>
                <w:sz w:val="18"/>
                <w:szCs w:val="20"/>
              </w:rPr>
            </w:pPr>
            <w:r>
              <w:rPr>
                <w:rFonts w:ascii="Arial" w:hAnsi="Arial" w:cs="Arial"/>
                <w:b/>
                <w:sz w:val="18"/>
                <w:szCs w:val="20"/>
              </w:rPr>
              <w:t>333</w:t>
            </w:r>
          </w:p>
        </w:tc>
        <w:tc>
          <w:tcPr>
            <w:tcW w:w="1607" w:type="dxa"/>
          </w:tcPr>
          <w:p w14:paraId="13D153D8" w14:textId="77777777" w:rsidR="00030089" w:rsidRPr="008A687B" w:rsidRDefault="00030089" w:rsidP="008547F7">
            <w:pPr>
              <w:pStyle w:val="Header"/>
              <w:spacing w:before="120" w:after="120"/>
              <w:jc w:val="right"/>
              <w:rPr>
                <w:rFonts w:ascii="Arial" w:hAnsi="Arial" w:cs="Arial"/>
                <w:b/>
                <w:sz w:val="18"/>
                <w:szCs w:val="20"/>
              </w:rPr>
            </w:pPr>
            <w:r>
              <w:rPr>
                <w:rFonts w:ascii="Arial" w:hAnsi="Arial" w:cs="Arial"/>
                <w:b/>
                <w:sz w:val="18"/>
                <w:szCs w:val="20"/>
              </w:rPr>
              <w:t>290</w:t>
            </w:r>
          </w:p>
        </w:tc>
        <w:tc>
          <w:tcPr>
            <w:tcW w:w="1607" w:type="dxa"/>
          </w:tcPr>
          <w:p w14:paraId="608A48AE" w14:textId="77777777" w:rsidR="00030089" w:rsidRPr="008A687B" w:rsidRDefault="00030089" w:rsidP="008547F7">
            <w:pPr>
              <w:pStyle w:val="Header"/>
              <w:spacing w:before="120" w:after="120"/>
              <w:jc w:val="right"/>
              <w:rPr>
                <w:rFonts w:ascii="Arial" w:hAnsi="Arial" w:cs="Arial"/>
                <w:b/>
                <w:sz w:val="18"/>
                <w:szCs w:val="20"/>
              </w:rPr>
            </w:pPr>
            <w:r>
              <w:rPr>
                <w:rFonts w:ascii="Arial" w:hAnsi="Arial" w:cs="Arial"/>
                <w:b/>
                <w:sz w:val="18"/>
                <w:szCs w:val="20"/>
              </w:rPr>
              <w:t>177</w:t>
            </w:r>
          </w:p>
        </w:tc>
      </w:tr>
    </w:tbl>
    <w:p w14:paraId="5AB6C9EB" w14:textId="77777777" w:rsidR="00030089" w:rsidRPr="009251D2" w:rsidRDefault="00030089" w:rsidP="00030089">
      <w:pPr>
        <w:pStyle w:val="Header"/>
        <w:spacing w:after="120" w:line="360" w:lineRule="auto"/>
        <w:jc w:val="both"/>
        <w:rPr>
          <w:rFonts w:ascii="Arial" w:hAnsi="Arial" w:cs="Arial"/>
          <w:szCs w:val="28"/>
        </w:rPr>
      </w:pPr>
      <w:r>
        <w:rPr>
          <w:rFonts w:ascii="Arial" w:hAnsi="Arial" w:cs="Arial"/>
          <w:b/>
          <w:sz w:val="18"/>
          <w:szCs w:val="20"/>
        </w:rPr>
        <w:br/>
      </w:r>
      <w:r>
        <w:rPr>
          <w:rFonts w:ascii="Arial" w:hAnsi="Arial" w:cs="Arial"/>
          <w:szCs w:val="28"/>
        </w:rPr>
        <w:t>These data show</w:t>
      </w:r>
      <w:r w:rsidRPr="009251D2">
        <w:rPr>
          <w:rFonts w:ascii="Arial" w:hAnsi="Arial" w:cs="Arial"/>
          <w:szCs w:val="28"/>
        </w:rPr>
        <w:t xml:space="preserve"> a pattern of reduced beverage container litter across a variety of sites and materials. In May 2012 there was 39</w:t>
      </w:r>
      <w:r>
        <w:rPr>
          <w:rFonts w:ascii="Arial" w:hAnsi="Arial" w:cs="Arial"/>
          <w:szCs w:val="28"/>
        </w:rPr>
        <w:t xml:space="preserve"> per cent</w:t>
      </w:r>
      <w:r w:rsidRPr="009251D2">
        <w:rPr>
          <w:rFonts w:ascii="Arial" w:hAnsi="Arial" w:cs="Arial"/>
          <w:szCs w:val="28"/>
        </w:rPr>
        <w:t xml:space="preserve"> less beverage container litter than found in November 2011 and 47</w:t>
      </w:r>
      <w:r>
        <w:rPr>
          <w:rFonts w:ascii="Arial" w:hAnsi="Arial" w:cs="Arial"/>
          <w:szCs w:val="28"/>
        </w:rPr>
        <w:t xml:space="preserve"> per cent</w:t>
      </w:r>
      <w:r w:rsidRPr="009251D2">
        <w:rPr>
          <w:rFonts w:ascii="Arial" w:hAnsi="Arial" w:cs="Arial"/>
          <w:szCs w:val="28"/>
        </w:rPr>
        <w:t xml:space="preserve"> less beverage container litter from the May 2011 period. </w:t>
      </w:r>
    </w:p>
    <w:p w14:paraId="316D32E9" w14:textId="77777777" w:rsidR="00030089" w:rsidRPr="004D561F" w:rsidRDefault="00030089" w:rsidP="00030089">
      <w:pPr>
        <w:pStyle w:val="Header"/>
        <w:spacing w:after="120" w:line="360" w:lineRule="auto"/>
        <w:jc w:val="both"/>
        <w:rPr>
          <w:rFonts w:ascii="Arial" w:hAnsi="Arial" w:cs="Arial"/>
          <w:szCs w:val="28"/>
        </w:rPr>
      </w:pPr>
      <w:r>
        <w:rPr>
          <w:rFonts w:ascii="Arial" w:hAnsi="Arial" w:cs="Arial"/>
          <w:szCs w:val="28"/>
        </w:rPr>
        <w:t>T</w:t>
      </w:r>
      <w:r w:rsidRPr="009251D2">
        <w:rPr>
          <w:rFonts w:ascii="Arial" w:hAnsi="Arial" w:cs="Arial"/>
          <w:szCs w:val="28"/>
        </w:rPr>
        <w:t xml:space="preserve">he CDS has had an impact on other items. The KAB </w:t>
      </w:r>
      <w:r w:rsidRPr="009251D2">
        <w:rPr>
          <w:rFonts w:ascii="Arial" w:hAnsi="Arial" w:cs="Arial"/>
          <w:i/>
          <w:szCs w:val="28"/>
        </w:rPr>
        <w:t>Annual Results Tabulations</w:t>
      </w:r>
      <w:r w:rsidRPr="009251D2">
        <w:rPr>
          <w:rFonts w:ascii="Arial" w:hAnsi="Arial" w:cs="Arial"/>
          <w:szCs w:val="28"/>
        </w:rPr>
        <w:t xml:space="preserve"> results show an even greater reduction</w:t>
      </w:r>
      <w:r>
        <w:rPr>
          <w:rFonts w:ascii="Arial" w:hAnsi="Arial" w:cs="Arial"/>
          <w:szCs w:val="28"/>
        </w:rPr>
        <w:t xml:space="preserve"> of 52 percent</w:t>
      </w:r>
      <w:r w:rsidRPr="009251D2">
        <w:rPr>
          <w:rFonts w:ascii="Arial" w:hAnsi="Arial" w:cs="Arial"/>
          <w:szCs w:val="28"/>
        </w:rPr>
        <w:t xml:space="preserve"> in beverage related items (i.e. lids, straws and can holders) from November 2011 to May 2012.</w:t>
      </w:r>
      <w:r w:rsidRPr="00115A1D">
        <w:rPr>
          <w:rFonts w:ascii="Arial" w:hAnsi="Arial" w:cs="Arial"/>
          <w:color w:val="0070C0"/>
          <w:szCs w:val="28"/>
        </w:rPr>
        <w:t xml:space="preserve"> </w:t>
      </w:r>
      <w:r w:rsidRPr="009251D2">
        <w:rPr>
          <w:rFonts w:ascii="Arial" w:hAnsi="Arial" w:cs="Arial"/>
          <w:szCs w:val="28"/>
        </w:rPr>
        <w:t xml:space="preserve">It is also notable that every beverage related item shows consistent improvement. </w:t>
      </w:r>
      <w:r>
        <w:rPr>
          <w:rFonts w:ascii="Arial" w:hAnsi="Arial" w:cs="Arial"/>
          <w:szCs w:val="28"/>
        </w:rPr>
        <w:t>Table 4.19</w:t>
      </w:r>
      <w:r w:rsidRPr="009251D2">
        <w:rPr>
          <w:rFonts w:ascii="Arial" w:hAnsi="Arial" w:cs="Arial"/>
          <w:szCs w:val="28"/>
        </w:rPr>
        <w:t xml:space="preserve"> compares the KAB </w:t>
      </w:r>
      <w:r w:rsidRPr="009251D2">
        <w:rPr>
          <w:rFonts w:ascii="Arial" w:hAnsi="Arial" w:cs="Arial"/>
          <w:i/>
          <w:szCs w:val="28"/>
        </w:rPr>
        <w:t>Annual Results Tabulations</w:t>
      </w:r>
      <w:r w:rsidRPr="009251D2">
        <w:rPr>
          <w:rFonts w:ascii="Arial" w:hAnsi="Arial" w:cs="Arial"/>
          <w:szCs w:val="28"/>
        </w:rPr>
        <w:t xml:space="preserve"> data before and after </w:t>
      </w:r>
      <w:r>
        <w:rPr>
          <w:rFonts w:ascii="Arial" w:hAnsi="Arial" w:cs="Arial"/>
          <w:szCs w:val="28"/>
        </w:rPr>
        <w:t>the introduction of the NT CDS.</w:t>
      </w:r>
    </w:p>
    <w:p w14:paraId="4546D5C2"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39" w:name="_Toc353562510"/>
      <w:r w:rsidR="00740026">
        <w:rPr>
          <w:noProof/>
          <w:color w:val="auto"/>
        </w:rPr>
        <w:t>29</w:t>
      </w:r>
      <w:r w:rsidRPr="00682556">
        <w:rPr>
          <w:noProof/>
          <w:color w:val="auto"/>
        </w:rPr>
        <w:fldChar w:fldCharType="end"/>
      </w:r>
      <w:r w:rsidRPr="00682556">
        <w:rPr>
          <w:noProof/>
          <w:color w:val="auto"/>
        </w:rPr>
        <w:t xml:space="preserve"> Table 4.1</w:t>
      </w:r>
      <w:r>
        <w:rPr>
          <w:noProof/>
          <w:color w:val="auto"/>
        </w:rPr>
        <w:t>9</w:t>
      </w:r>
      <w:r w:rsidRPr="00682556">
        <w:rPr>
          <w:noProof/>
          <w:color w:val="auto"/>
        </w:rPr>
        <w:t>: KAB annual results tabulations 2011-12 data for beverage-related litter</w:t>
      </w:r>
      <w:bookmarkEnd w:id="239"/>
    </w:p>
    <w:tbl>
      <w:tblPr>
        <w:tblStyle w:val="TableGrid"/>
        <w:tblW w:w="0" w:type="auto"/>
        <w:tblInd w:w="108" w:type="dxa"/>
        <w:tblLook w:val="04A0" w:firstRow="1" w:lastRow="0" w:firstColumn="1" w:lastColumn="0" w:noHBand="0" w:noVBand="1"/>
      </w:tblPr>
      <w:tblGrid>
        <w:gridCol w:w="3080"/>
        <w:gridCol w:w="3081"/>
        <w:gridCol w:w="2878"/>
      </w:tblGrid>
      <w:tr w:rsidR="00030089" w14:paraId="5B5B462A" w14:textId="77777777" w:rsidTr="008547F7">
        <w:tc>
          <w:tcPr>
            <w:tcW w:w="3080" w:type="dxa"/>
            <w:shd w:val="pct10" w:color="auto" w:fill="FFFFFF" w:themeFill="background1"/>
          </w:tcPr>
          <w:p w14:paraId="49834765" w14:textId="77777777" w:rsidR="00030089" w:rsidRDefault="00030089" w:rsidP="008547F7">
            <w:pPr>
              <w:pStyle w:val="Header"/>
              <w:spacing w:after="120"/>
              <w:jc w:val="both"/>
              <w:rPr>
                <w:rFonts w:ascii="Arial" w:hAnsi="Arial" w:cs="Arial"/>
                <w:b/>
                <w:sz w:val="18"/>
                <w:szCs w:val="20"/>
              </w:rPr>
            </w:pPr>
            <w:r>
              <w:rPr>
                <w:rFonts w:ascii="Arial" w:hAnsi="Arial" w:cs="Arial"/>
                <w:b/>
                <w:sz w:val="18"/>
                <w:szCs w:val="20"/>
              </w:rPr>
              <w:t>Waste Material</w:t>
            </w:r>
          </w:p>
        </w:tc>
        <w:tc>
          <w:tcPr>
            <w:tcW w:w="3081" w:type="dxa"/>
            <w:shd w:val="pct10" w:color="auto" w:fill="FFFFFF" w:themeFill="background1"/>
          </w:tcPr>
          <w:p w14:paraId="4C56D850" w14:textId="77777777" w:rsidR="00030089" w:rsidRDefault="00030089" w:rsidP="008547F7">
            <w:pPr>
              <w:pStyle w:val="Header"/>
              <w:spacing w:after="120"/>
              <w:jc w:val="right"/>
              <w:rPr>
                <w:rFonts w:ascii="Arial" w:hAnsi="Arial" w:cs="Arial"/>
                <w:b/>
                <w:sz w:val="18"/>
                <w:szCs w:val="20"/>
              </w:rPr>
            </w:pPr>
            <w:r>
              <w:rPr>
                <w:rFonts w:ascii="Arial" w:hAnsi="Arial" w:cs="Arial"/>
                <w:b/>
                <w:sz w:val="18"/>
                <w:szCs w:val="20"/>
              </w:rPr>
              <w:t>November 2011</w:t>
            </w:r>
          </w:p>
        </w:tc>
        <w:tc>
          <w:tcPr>
            <w:tcW w:w="2878" w:type="dxa"/>
            <w:shd w:val="pct10" w:color="auto" w:fill="FFFFFF" w:themeFill="background1"/>
          </w:tcPr>
          <w:p w14:paraId="3AB5611C" w14:textId="77777777" w:rsidR="00030089" w:rsidRDefault="00030089" w:rsidP="008547F7">
            <w:pPr>
              <w:pStyle w:val="Header"/>
              <w:spacing w:after="120"/>
              <w:jc w:val="right"/>
              <w:rPr>
                <w:rFonts w:ascii="Arial" w:hAnsi="Arial" w:cs="Arial"/>
                <w:b/>
                <w:sz w:val="18"/>
                <w:szCs w:val="20"/>
              </w:rPr>
            </w:pPr>
            <w:r>
              <w:rPr>
                <w:rFonts w:ascii="Arial" w:hAnsi="Arial" w:cs="Arial"/>
                <w:b/>
                <w:sz w:val="18"/>
                <w:szCs w:val="20"/>
              </w:rPr>
              <w:t>May 2012</w:t>
            </w:r>
          </w:p>
        </w:tc>
      </w:tr>
      <w:tr w:rsidR="00030089" w:rsidRPr="001A46AA" w14:paraId="5E3B2720" w14:textId="77777777" w:rsidTr="008547F7">
        <w:tc>
          <w:tcPr>
            <w:tcW w:w="3080" w:type="dxa"/>
          </w:tcPr>
          <w:p w14:paraId="579F8EAD" w14:textId="77777777" w:rsidR="00030089" w:rsidRPr="001A46AA" w:rsidRDefault="00030089" w:rsidP="008547F7">
            <w:pPr>
              <w:pStyle w:val="Header"/>
              <w:spacing w:after="120"/>
              <w:jc w:val="both"/>
              <w:rPr>
                <w:rFonts w:ascii="Arial" w:hAnsi="Arial" w:cs="Arial"/>
                <w:sz w:val="18"/>
                <w:szCs w:val="20"/>
              </w:rPr>
            </w:pPr>
            <w:r>
              <w:rPr>
                <w:rFonts w:ascii="Arial" w:hAnsi="Arial" w:cs="Arial"/>
                <w:sz w:val="18"/>
                <w:szCs w:val="20"/>
              </w:rPr>
              <w:t>Metal b</w:t>
            </w:r>
            <w:r w:rsidRPr="001A46AA">
              <w:rPr>
                <w:rFonts w:ascii="Arial" w:hAnsi="Arial" w:cs="Arial"/>
                <w:sz w:val="18"/>
                <w:szCs w:val="20"/>
              </w:rPr>
              <w:t>ottle tops</w:t>
            </w:r>
          </w:p>
        </w:tc>
        <w:tc>
          <w:tcPr>
            <w:tcW w:w="3081" w:type="dxa"/>
          </w:tcPr>
          <w:p w14:paraId="1F315F63" w14:textId="77777777" w:rsidR="00030089" w:rsidRPr="001A46AA" w:rsidRDefault="00030089" w:rsidP="008547F7">
            <w:pPr>
              <w:pStyle w:val="Header"/>
              <w:spacing w:after="120"/>
              <w:jc w:val="right"/>
              <w:rPr>
                <w:rFonts w:ascii="Arial" w:hAnsi="Arial" w:cs="Arial"/>
                <w:sz w:val="18"/>
                <w:szCs w:val="20"/>
              </w:rPr>
            </w:pPr>
            <w:r w:rsidRPr="001A46AA">
              <w:rPr>
                <w:rFonts w:ascii="Arial" w:hAnsi="Arial" w:cs="Arial"/>
                <w:sz w:val="18"/>
                <w:szCs w:val="20"/>
              </w:rPr>
              <w:t>257</w:t>
            </w:r>
          </w:p>
        </w:tc>
        <w:tc>
          <w:tcPr>
            <w:tcW w:w="2878" w:type="dxa"/>
          </w:tcPr>
          <w:p w14:paraId="442518F4" w14:textId="77777777" w:rsidR="00030089" w:rsidRPr="001A46AA" w:rsidRDefault="00030089" w:rsidP="008547F7">
            <w:pPr>
              <w:pStyle w:val="Header"/>
              <w:spacing w:after="120"/>
              <w:jc w:val="right"/>
              <w:rPr>
                <w:rFonts w:ascii="Arial" w:hAnsi="Arial" w:cs="Arial"/>
                <w:sz w:val="18"/>
                <w:szCs w:val="20"/>
              </w:rPr>
            </w:pPr>
            <w:r>
              <w:rPr>
                <w:rFonts w:ascii="Arial" w:hAnsi="Arial" w:cs="Arial"/>
                <w:sz w:val="18"/>
                <w:szCs w:val="20"/>
              </w:rPr>
              <w:t>245</w:t>
            </w:r>
          </w:p>
        </w:tc>
      </w:tr>
      <w:tr w:rsidR="00030089" w:rsidRPr="001A46AA" w14:paraId="094F1AFF" w14:textId="77777777" w:rsidTr="008547F7">
        <w:tc>
          <w:tcPr>
            <w:tcW w:w="3080" w:type="dxa"/>
          </w:tcPr>
          <w:p w14:paraId="1E58D257" w14:textId="77777777" w:rsidR="00030089" w:rsidRPr="001A46AA" w:rsidRDefault="00030089" w:rsidP="008547F7">
            <w:pPr>
              <w:pStyle w:val="Header"/>
              <w:spacing w:after="120"/>
              <w:jc w:val="both"/>
              <w:rPr>
                <w:rFonts w:ascii="Arial" w:hAnsi="Arial" w:cs="Arial"/>
                <w:sz w:val="18"/>
                <w:szCs w:val="20"/>
              </w:rPr>
            </w:pPr>
            <w:r>
              <w:rPr>
                <w:rFonts w:ascii="Arial" w:hAnsi="Arial" w:cs="Arial"/>
                <w:sz w:val="18"/>
                <w:szCs w:val="20"/>
              </w:rPr>
              <w:t>Plastic can holders (6 ring)</w:t>
            </w:r>
          </w:p>
        </w:tc>
        <w:tc>
          <w:tcPr>
            <w:tcW w:w="3081" w:type="dxa"/>
          </w:tcPr>
          <w:p w14:paraId="508A13AB" w14:textId="77777777" w:rsidR="00030089" w:rsidRPr="001A46AA" w:rsidRDefault="00030089" w:rsidP="008547F7">
            <w:pPr>
              <w:pStyle w:val="Header"/>
              <w:spacing w:after="120"/>
              <w:jc w:val="right"/>
              <w:rPr>
                <w:rFonts w:ascii="Arial" w:hAnsi="Arial" w:cs="Arial"/>
                <w:sz w:val="18"/>
                <w:szCs w:val="20"/>
              </w:rPr>
            </w:pPr>
            <w:r>
              <w:rPr>
                <w:rFonts w:ascii="Arial" w:hAnsi="Arial" w:cs="Arial"/>
                <w:sz w:val="18"/>
                <w:szCs w:val="20"/>
              </w:rPr>
              <w:t>2</w:t>
            </w:r>
          </w:p>
        </w:tc>
        <w:tc>
          <w:tcPr>
            <w:tcW w:w="2878" w:type="dxa"/>
          </w:tcPr>
          <w:p w14:paraId="5C216C93" w14:textId="77777777" w:rsidR="00030089" w:rsidRPr="001A46AA" w:rsidRDefault="00030089" w:rsidP="008547F7">
            <w:pPr>
              <w:pStyle w:val="Header"/>
              <w:spacing w:after="120"/>
              <w:jc w:val="right"/>
              <w:rPr>
                <w:rFonts w:ascii="Arial" w:hAnsi="Arial" w:cs="Arial"/>
                <w:sz w:val="18"/>
                <w:szCs w:val="20"/>
              </w:rPr>
            </w:pPr>
            <w:r>
              <w:rPr>
                <w:rFonts w:ascii="Arial" w:hAnsi="Arial" w:cs="Arial"/>
                <w:sz w:val="18"/>
                <w:szCs w:val="20"/>
              </w:rPr>
              <w:t>0</w:t>
            </w:r>
          </w:p>
        </w:tc>
      </w:tr>
      <w:tr w:rsidR="00030089" w:rsidRPr="001A46AA" w14:paraId="5E95E33E" w14:textId="77777777" w:rsidTr="008547F7">
        <w:tc>
          <w:tcPr>
            <w:tcW w:w="3080" w:type="dxa"/>
          </w:tcPr>
          <w:p w14:paraId="3ACB6913" w14:textId="77777777" w:rsidR="00030089" w:rsidRPr="001A46AA" w:rsidRDefault="00030089" w:rsidP="008547F7">
            <w:pPr>
              <w:pStyle w:val="Header"/>
              <w:spacing w:after="120"/>
              <w:jc w:val="both"/>
              <w:rPr>
                <w:rFonts w:ascii="Arial" w:hAnsi="Arial" w:cs="Arial"/>
                <w:sz w:val="18"/>
                <w:szCs w:val="20"/>
              </w:rPr>
            </w:pPr>
            <w:r>
              <w:rPr>
                <w:rFonts w:ascii="Arial" w:hAnsi="Arial" w:cs="Arial"/>
                <w:sz w:val="18"/>
                <w:szCs w:val="20"/>
              </w:rPr>
              <w:t>Plastic bottle tops</w:t>
            </w:r>
          </w:p>
        </w:tc>
        <w:tc>
          <w:tcPr>
            <w:tcW w:w="3081" w:type="dxa"/>
          </w:tcPr>
          <w:p w14:paraId="288ADFD6" w14:textId="77777777" w:rsidR="00030089" w:rsidRPr="001A46AA" w:rsidRDefault="00030089" w:rsidP="008547F7">
            <w:pPr>
              <w:pStyle w:val="Header"/>
              <w:spacing w:after="120"/>
              <w:jc w:val="right"/>
              <w:rPr>
                <w:rFonts w:ascii="Arial" w:hAnsi="Arial" w:cs="Arial"/>
                <w:sz w:val="18"/>
                <w:szCs w:val="20"/>
              </w:rPr>
            </w:pPr>
            <w:r>
              <w:rPr>
                <w:rFonts w:ascii="Arial" w:hAnsi="Arial" w:cs="Arial"/>
                <w:sz w:val="18"/>
                <w:szCs w:val="20"/>
              </w:rPr>
              <w:t>229</w:t>
            </w:r>
          </w:p>
        </w:tc>
        <w:tc>
          <w:tcPr>
            <w:tcW w:w="2878" w:type="dxa"/>
          </w:tcPr>
          <w:p w14:paraId="72B9D7BA" w14:textId="77777777" w:rsidR="00030089" w:rsidRPr="001A46AA" w:rsidRDefault="00030089" w:rsidP="008547F7">
            <w:pPr>
              <w:pStyle w:val="Header"/>
              <w:spacing w:after="120"/>
              <w:jc w:val="right"/>
              <w:rPr>
                <w:rFonts w:ascii="Arial" w:hAnsi="Arial" w:cs="Arial"/>
                <w:sz w:val="18"/>
                <w:szCs w:val="20"/>
              </w:rPr>
            </w:pPr>
            <w:r>
              <w:rPr>
                <w:rFonts w:ascii="Arial" w:hAnsi="Arial" w:cs="Arial"/>
                <w:sz w:val="18"/>
                <w:szCs w:val="20"/>
              </w:rPr>
              <w:t>176</w:t>
            </w:r>
          </w:p>
        </w:tc>
      </w:tr>
      <w:tr w:rsidR="00030089" w:rsidRPr="001A46AA" w14:paraId="5E6FDAAF" w14:textId="77777777" w:rsidTr="008547F7">
        <w:tc>
          <w:tcPr>
            <w:tcW w:w="3080" w:type="dxa"/>
          </w:tcPr>
          <w:p w14:paraId="373BB849" w14:textId="77777777" w:rsidR="00030089" w:rsidRPr="001A46AA" w:rsidRDefault="00030089" w:rsidP="008547F7">
            <w:pPr>
              <w:pStyle w:val="Header"/>
              <w:spacing w:after="120"/>
              <w:jc w:val="both"/>
              <w:rPr>
                <w:rFonts w:ascii="Arial" w:hAnsi="Arial" w:cs="Arial"/>
                <w:sz w:val="18"/>
                <w:szCs w:val="20"/>
              </w:rPr>
            </w:pPr>
            <w:r>
              <w:rPr>
                <w:rFonts w:ascii="Arial" w:hAnsi="Arial" w:cs="Arial"/>
                <w:sz w:val="18"/>
                <w:szCs w:val="20"/>
              </w:rPr>
              <w:t>Straws</w:t>
            </w:r>
          </w:p>
        </w:tc>
        <w:tc>
          <w:tcPr>
            <w:tcW w:w="3081" w:type="dxa"/>
          </w:tcPr>
          <w:p w14:paraId="09199E8A" w14:textId="77777777" w:rsidR="00030089" w:rsidRPr="001A46AA" w:rsidRDefault="00030089" w:rsidP="008547F7">
            <w:pPr>
              <w:pStyle w:val="Header"/>
              <w:spacing w:after="120"/>
              <w:jc w:val="right"/>
              <w:rPr>
                <w:rFonts w:ascii="Arial" w:hAnsi="Arial" w:cs="Arial"/>
                <w:sz w:val="18"/>
                <w:szCs w:val="20"/>
              </w:rPr>
            </w:pPr>
            <w:r>
              <w:rPr>
                <w:rFonts w:ascii="Arial" w:hAnsi="Arial" w:cs="Arial"/>
                <w:sz w:val="18"/>
                <w:szCs w:val="20"/>
              </w:rPr>
              <w:t>133</w:t>
            </w:r>
          </w:p>
        </w:tc>
        <w:tc>
          <w:tcPr>
            <w:tcW w:w="2878" w:type="dxa"/>
          </w:tcPr>
          <w:p w14:paraId="36E3DBB1" w14:textId="77777777" w:rsidR="00030089" w:rsidRPr="001A46AA" w:rsidRDefault="00030089" w:rsidP="008547F7">
            <w:pPr>
              <w:pStyle w:val="Header"/>
              <w:spacing w:after="120"/>
              <w:jc w:val="right"/>
              <w:rPr>
                <w:rFonts w:ascii="Arial" w:hAnsi="Arial" w:cs="Arial"/>
                <w:sz w:val="18"/>
                <w:szCs w:val="20"/>
              </w:rPr>
            </w:pPr>
            <w:r>
              <w:rPr>
                <w:rFonts w:ascii="Arial" w:hAnsi="Arial" w:cs="Arial"/>
                <w:sz w:val="18"/>
                <w:szCs w:val="20"/>
              </w:rPr>
              <w:t>30</w:t>
            </w:r>
          </w:p>
        </w:tc>
      </w:tr>
      <w:tr w:rsidR="00030089" w:rsidRPr="001A46AA" w14:paraId="07E85B5B" w14:textId="77777777" w:rsidTr="008547F7">
        <w:tc>
          <w:tcPr>
            <w:tcW w:w="3080" w:type="dxa"/>
          </w:tcPr>
          <w:p w14:paraId="04254D0F" w14:textId="77777777" w:rsidR="00030089" w:rsidRPr="001A46AA" w:rsidRDefault="00030089" w:rsidP="008547F7">
            <w:pPr>
              <w:pStyle w:val="Header"/>
              <w:spacing w:after="120"/>
              <w:jc w:val="both"/>
              <w:rPr>
                <w:rFonts w:ascii="Arial" w:hAnsi="Arial" w:cs="Arial"/>
                <w:b/>
                <w:sz w:val="18"/>
                <w:szCs w:val="20"/>
              </w:rPr>
            </w:pPr>
            <w:r w:rsidRPr="001A46AA">
              <w:rPr>
                <w:rFonts w:ascii="Arial" w:hAnsi="Arial" w:cs="Arial"/>
                <w:b/>
                <w:sz w:val="18"/>
                <w:szCs w:val="20"/>
              </w:rPr>
              <w:t>TOTAL</w:t>
            </w:r>
          </w:p>
        </w:tc>
        <w:tc>
          <w:tcPr>
            <w:tcW w:w="3081" w:type="dxa"/>
          </w:tcPr>
          <w:p w14:paraId="2609F7FE" w14:textId="77777777" w:rsidR="00030089" w:rsidRPr="001A46AA" w:rsidRDefault="00030089" w:rsidP="008547F7">
            <w:pPr>
              <w:pStyle w:val="Header"/>
              <w:spacing w:after="120"/>
              <w:jc w:val="right"/>
              <w:rPr>
                <w:rFonts w:ascii="Arial" w:hAnsi="Arial" w:cs="Arial"/>
                <w:b/>
                <w:sz w:val="18"/>
                <w:szCs w:val="20"/>
              </w:rPr>
            </w:pPr>
            <w:r>
              <w:rPr>
                <w:rFonts w:ascii="Arial" w:hAnsi="Arial" w:cs="Arial"/>
                <w:b/>
                <w:sz w:val="18"/>
                <w:szCs w:val="20"/>
              </w:rPr>
              <w:t>621</w:t>
            </w:r>
          </w:p>
        </w:tc>
        <w:tc>
          <w:tcPr>
            <w:tcW w:w="2878" w:type="dxa"/>
          </w:tcPr>
          <w:p w14:paraId="677B7FF2" w14:textId="77777777" w:rsidR="00030089" w:rsidRPr="001A46AA" w:rsidRDefault="00030089" w:rsidP="008547F7">
            <w:pPr>
              <w:pStyle w:val="Header"/>
              <w:spacing w:after="120"/>
              <w:jc w:val="right"/>
              <w:rPr>
                <w:rFonts w:ascii="Arial" w:hAnsi="Arial" w:cs="Arial"/>
                <w:b/>
                <w:sz w:val="18"/>
                <w:szCs w:val="20"/>
              </w:rPr>
            </w:pPr>
            <w:r>
              <w:rPr>
                <w:rFonts w:ascii="Arial" w:hAnsi="Arial" w:cs="Arial"/>
                <w:b/>
                <w:sz w:val="18"/>
                <w:szCs w:val="20"/>
              </w:rPr>
              <w:t>451</w:t>
            </w:r>
          </w:p>
        </w:tc>
      </w:tr>
    </w:tbl>
    <w:p w14:paraId="78056FDF" w14:textId="77777777" w:rsidR="00030089" w:rsidRDefault="00030089" w:rsidP="00030089">
      <w:pPr>
        <w:pStyle w:val="Header"/>
        <w:spacing w:after="120"/>
        <w:jc w:val="both"/>
        <w:rPr>
          <w:rFonts w:ascii="Arial" w:hAnsi="Arial" w:cs="Arial"/>
          <w:b/>
          <w:sz w:val="18"/>
          <w:szCs w:val="20"/>
        </w:rPr>
      </w:pPr>
    </w:p>
    <w:p w14:paraId="03A1B899" w14:textId="77777777" w:rsidR="00030089" w:rsidRDefault="00030089" w:rsidP="00030089">
      <w:pPr>
        <w:spacing w:line="360" w:lineRule="auto"/>
        <w:jc w:val="both"/>
        <w:rPr>
          <w:rFonts w:ascii="Arial" w:hAnsi="Arial" w:cs="Arial"/>
          <w:szCs w:val="28"/>
        </w:rPr>
      </w:pPr>
      <w:r w:rsidRPr="000846F7">
        <w:rPr>
          <w:rFonts w:ascii="Arial" w:hAnsi="Arial" w:cs="Arial"/>
          <w:szCs w:val="28"/>
        </w:rPr>
        <w:t xml:space="preserve">Annual levels of litter as represented by the KAB </w:t>
      </w:r>
      <w:r w:rsidRPr="000846F7">
        <w:rPr>
          <w:rFonts w:ascii="Arial" w:hAnsi="Arial" w:cs="Arial"/>
          <w:i/>
          <w:szCs w:val="28"/>
        </w:rPr>
        <w:t>Annual Report</w:t>
      </w:r>
      <w:r w:rsidRPr="000846F7">
        <w:rPr>
          <w:rFonts w:ascii="Arial" w:hAnsi="Arial" w:cs="Arial"/>
          <w:szCs w:val="28"/>
        </w:rPr>
        <w:t xml:space="preserve"> are volatile. As discussed above, cigarette butts skew the figures. </w:t>
      </w:r>
      <w:r>
        <w:rPr>
          <w:rFonts w:ascii="Arial" w:hAnsi="Arial" w:cs="Arial"/>
          <w:szCs w:val="28"/>
        </w:rPr>
        <w:t>Table 4.20</w:t>
      </w:r>
      <w:r w:rsidRPr="000846F7">
        <w:rPr>
          <w:rStyle w:val="FootnoteReference"/>
          <w:rFonts w:ascii="Arial" w:hAnsi="Arial"/>
          <w:szCs w:val="28"/>
        </w:rPr>
        <w:footnoteReference w:id="24"/>
      </w:r>
      <w:r w:rsidRPr="000846F7">
        <w:rPr>
          <w:rFonts w:ascii="Arial" w:hAnsi="Arial" w:cs="Arial"/>
          <w:szCs w:val="28"/>
        </w:rPr>
        <w:t xml:space="preserve"> shows that the total litter count for the NT increased from May 2011 to May 2012, but at a lower rate than the increase in cigarette bu</w:t>
      </w:r>
      <w:r>
        <w:rPr>
          <w:rFonts w:ascii="Arial" w:hAnsi="Arial" w:cs="Arial"/>
          <w:szCs w:val="28"/>
        </w:rPr>
        <w:t>tts found in the litter stream:</w:t>
      </w:r>
    </w:p>
    <w:p w14:paraId="6E337F59" w14:textId="77777777" w:rsidR="00030089" w:rsidRPr="00682556" w:rsidRDefault="00030089" w:rsidP="00030089">
      <w:pPr>
        <w:pStyle w:val="Caption"/>
        <w:keepNext/>
        <w:rPr>
          <w:noProof/>
          <w:color w:val="auto"/>
        </w:rPr>
      </w:pPr>
      <w:r w:rsidRPr="00682556">
        <w:rPr>
          <w:noProof/>
          <w:color w:val="auto"/>
        </w:rPr>
        <w:lastRenderedPageBreak/>
        <w:fldChar w:fldCharType="begin"/>
      </w:r>
      <w:r w:rsidRPr="00682556">
        <w:rPr>
          <w:noProof/>
          <w:color w:val="auto"/>
        </w:rPr>
        <w:instrText xml:space="preserve"> SEQ Figure \* ARABIC </w:instrText>
      </w:r>
      <w:r w:rsidRPr="00682556">
        <w:rPr>
          <w:noProof/>
          <w:color w:val="auto"/>
        </w:rPr>
        <w:fldChar w:fldCharType="separate"/>
      </w:r>
      <w:bookmarkStart w:id="240" w:name="_Toc353562511"/>
      <w:r w:rsidR="00740026">
        <w:rPr>
          <w:noProof/>
          <w:color w:val="auto"/>
        </w:rPr>
        <w:t>30</w:t>
      </w:r>
      <w:r w:rsidRPr="00682556">
        <w:rPr>
          <w:noProof/>
          <w:color w:val="auto"/>
        </w:rPr>
        <w:fldChar w:fldCharType="end"/>
      </w:r>
      <w:r w:rsidRPr="00682556">
        <w:rPr>
          <w:noProof/>
          <w:color w:val="auto"/>
        </w:rPr>
        <w:t xml:space="preserve"> Table 4.</w:t>
      </w:r>
      <w:r>
        <w:rPr>
          <w:noProof/>
          <w:color w:val="auto"/>
        </w:rPr>
        <w:t>20</w:t>
      </w:r>
      <w:r w:rsidRPr="00682556">
        <w:rPr>
          <w:noProof/>
          <w:color w:val="auto"/>
        </w:rPr>
        <w:t>: KA total litter and cigarette butt litter</w:t>
      </w:r>
      <w:bookmarkEnd w:id="240"/>
    </w:p>
    <w:tbl>
      <w:tblPr>
        <w:tblStyle w:val="TableGrid"/>
        <w:tblW w:w="0" w:type="auto"/>
        <w:tblInd w:w="108" w:type="dxa"/>
        <w:tblLook w:val="04A0" w:firstRow="1" w:lastRow="0" w:firstColumn="1" w:lastColumn="0" w:noHBand="0" w:noVBand="1"/>
      </w:tblPr>
      <w:tblGrid>
        <w:gridCol w:w="1776"/>
        <w:gridCol w:w="1200"/>
        <w:gridCol w:w="1560"/>
        <w:gridCol w:w="1275"/>
      </w:tblGrid>
      <w:tr w:rsidR="00030089" w14:paraId="08AA0009" w14:textId="77777777" w:rsidTr="008547F7">
        <w:tc>
          <w:tcPr>
            <w:tcW w:w="1776" w:type="dxa"/>
            <w:shd w:val="pct10" w:color="auto" w:fill="auto"/>
          </w:tcPr>
          <w:p w14:paraId="48A97B42" w14:textId="77777777" w:rsidR="00030089" w:rsidRDefault="00030089" w:rsidP="008547F7">
            <w:pPr>
              <w:pStyle w:val="Header"/>
              <w:spacing w:before="120" w:after="120"/>
              <w:jc w:val="both"/>
              <w:rPr>
                <w:rFonts w:ascii="Arial" w:hAnsi="Arial" w:cs="Arial"/>
                <w:b/>
                <w:sz w:val="18"/>
                <w:szCs w:val="20"/>
              </w:rPr>
            </w:pPr>
          </w:p>
        </w:tc>
        <w:tc>
          <w:tcPr>
            <w:tcW w:w="1200" w:type="dxa"/>
            <w:shd w:val="pct10" w:color="auto" w:fill="auto"/>
          </w:tcPr>
          <w:p w14:paraId="28EA6B78" w14:textId="77777777" w:rsidR="00030089" w:rsidRDefault="00030089" w:rsidP="008547F7">
            <w:pPr>
              <w:pStyle w:val="Header"/>
              <w:spacing w:before="120" w:after="120"/>
              <w:jc w:val="right"/>
              <w:rPr>
                <w:rFonts w:ascii="Arial" w:hAnsi="Arial" w:cs="Arial"/>
                <w:b/>
                <w:sz w:val="18"/>
                <w:szCs w:val="20"/>
              </w:rPr>
            </w:pPr>
            <w:r>
              <w:rPr>
                <w:rFonts w:ascii="Arial" w:hAnsi="Arial" w:cs="Arial"/>
                <w:b/>
                <w:sz w:val="18"/>
                <w:szCs w:val="20"/>
              </w:rPr>
              <w:t>May 2011</w:t>
            </w:r>
          </w:p>
        </w:tc>
        <w:tc>
          <w:tcPr>
            <w:tcW w:w="1560" w:type="dxa"/>
            <w:shd w:val="pct10" w:color="auto" w:fill="auto"/>
          </w:tcPr>
          <w:p w14:paraId="4429A1ED" w14:textId="77777777" w:rsidR="00030089" w:rsidRDefault="00030089" w:rsidP="008547F7">
            <w:pPr>
              <w:pStyle w:val="Header"/>
              <w:spacing w:before="120" w:after="120"/>
              <w:jc w:val="right"/>
              <w:rPr>
                <w:rFonts w:ascii="Arial" w:hAnsi="Arial" w:cs="Arial"/>
                <w:b/>
                <w:sz w:val="18"/>
                <w:szCs w:val="20"/>
              </w:rPr>
            </w:pPr>
            <w:r>
              <w:rPr>
                <w:rFonts w:ascii="Arial" w:hAnsi="Arial" w:cs="Arial"/>
                <w:b/>
                <w:sz w:val="18"/>
                <w:szCs w:val="20"/>
              </w:rPr>
              <w:t>November 2011</w:t>
            </w:r>
          </w:p>
        </w:tc>
        <w:tc>
          <w:tcPr>
            <w:tcW w:w="1275" w:type="dxa"/>
            <w:shd w:val="pct10" w:color="auto" w:fill="auto"/>
          </w:tcPr>
          <w:p w14:paraId="0C35D7F1" w14:textId="77777777" w:rsidR="00030089" w:rsidRDefault="00030089" w:rsidP="008547F7">
            <w:pPr>
              <w:pStyle w:val="Header"/>
              <w:spacing w:before="120" w:after="120"/>
              <w:jc w:val="right"/>
              <w:rPr>
                <w:rFonts w:ascii="Arial" w:hAnsi="Arial" w:cs="Arial"/>
                <w:b/>
                <w:sz w:val="18"/>
                <w:szCs w:val="20"/>
              </w:rPr>
            </w:pPr>
            <w:r>
              <w:rPr>
                <w:rFonts w:ascii="Arial" w:hAnsi="Arial" w:cs="Arial"/>
                <w:b/>
                <w:sz w:val="18"/>
                <w:szCs w:val="20"/>
              </w:rPr>
              <w:t>May 2012</w:t>
            </w:r>
          </w:p>
        </w:tc>
      </w:tr>
      <w:tr w:rsidR="00030089" w14:paraId="626A6381" w14:textId="77777777" w:rsidTr="008547F7">
        <w:tc>
          <w:tcPr>
            <w:tcW w:w="1776" w:type="dxa"/>
          </w:tcPr>
          <w:p w14:paraId="7CD017AE" w14:textId="77777777" w:rsidR="00030089" w:rsidRPr="007D7710" w:rsidRDefault="00030089" w:rsidP="008547F7">
            <w:pPr>
              <w:pStyle w:val="Header"/>
              <w:spacing w:before="120" w:after="120"/>
              <w:jc w:val="both"/>
              <w:rPr>
                <w:rFonts w:ascii="Arial" w:hAnsi="Arial" w:cs="Arial"/>
                <w:sz w:val="18"/>
                <w:szCs w:val="20"/>
              </w:rPr>
            </w:pPr>
            <w:r>
              <w:rPr>
                <w:rFonts w:ascii="Arial" w:hAnsi="Arial" w:cs="Arial"/>
                <w:sz w:val="18"/>
                <w:szCs w:val="20"/>
              </w:rPr>
              <w:t>Total litter</w:t>
            </w:r>
          </w:p>
        </w:tc>
        <w:tc>
          <w:tcPr>
            <w:tcW w:w="1200" w:type="dxa"/>
          </w:tcPr>
          <w:p w14:paraId="56297A2D" w14:textId="77777777" w:rsidR="00030089" w:rsidRPr="007D7710" w:rsidRDefault="00030089" w:rsidP="008547F7">
            <w:pPr>
              <w:pStyle w:val="Header"/>
              <w:spacing w:before="120" w:after="120"/>
              <w:jc w:val="right"/>
              <w:rPr>
                <w:rFonts w:ascii="Arial" w:hAnsi="Arial" w:cs="Arial"/>
                <w:sz w:val="18"/>
                <w:szCs w:val="20"/>
              </w:rPr>
            </w:pPr>
            <w:r w:rsidRPr="007D7710">
              <w:rPr>
                <w:rFonts w:ascii="Arial" w:hAnsi="Arial" w:cs="Arial"/>
                <w:sz w:val="18"/>
                <w:szCs w:val="20"/>
              </w:rPr>
              <w:t>3796</w:t>
            </w:r>
          </w:p>
        </w:tc>
        <w:tc>
          <w:tcPr>
            <w:tcW w:w="1560" w:type="dxa"/>
          </w:tcPr>
          <w:p w14:paraId="1040F5E1" w14:textId="77777777" w:rsidR="00030089" w:rsidRPr="007D7710" w:rsidRDefault="00030089" w:rsidP="008547F7">
            <w:pPr>
              <w:pStyle w:val="Header"/>
              <w:spacing w:before="120" w:after="120"/>
              <w:jc w:val="right"/>
              <w:rPr>
                <w:rFonts w:ascii="Arial" w:hAnsi="Arial" w:cs="Arial"/>
                <w:sz w:val="18"/>
                <w:szCs w:val="20"/>
              </w:rPr>
            </w:pPr>
            <w:r w:rsidRPr="007D7710">
              <w:rPr>
                <w:rFonts w:ascii="Arial" w:hAnsi="Arial" w:cs="Arial"/>
                <w:sz w:val="18"/>
                <w:szCs w:val="20"/>
              </w:rPr>
              <w:t>5322</w:t>
            </w:r>
          </w:p>
        </w:tc>
        <w:tc>
          <w:tcPr>
            <w:tcW w:w="1275" w:type="dxa"/>
          </w:tcPr>
          <w:p w14:paraId="272570F0" w14:textId="77777777" w:rsidR="00030089" w:rsidRPr="007D7710" w:rsidRDefault="00030089" w:rsidP="008547F7">
            <w:pPr>
              <w:pStyle w:val="Header"/>
              <w:spacing w:before="120" w:after="120"/>
              <w:jc w:val="right"/>
              <w:rPr>
                <w:rFonts w:ascii="Arial" w:hAnsi="Arial" w:cs="Arial"/>
                <w:sz w:val="18"/>
                <w:szCs w:val="20"/>
              </w:rPr>
            </w:pPr>
            <w:r w:rsidRPr="007D7710">
              <w:rPr>
                <w:rFonts w:ascii="Arial" w:hAnsi="Arial" w:cs="Arial"/>
                <w:sz w:val="18"/>
                <w:szCs w:val="20"/>
              </w:rPr>
              <w:t>6046</w:t>
            </w:r>
          </w:p>
        </w:tc>
      </w:tr>
      <w:tr w:rsidR="00030089" w14:paraId="3D159359" w14:textId="77777777" w:rsidTr="008547F7">
        <w:tc>
          <w:tcPr>
            <w:tcW w:w="1776" w:type="dxa"/>
          </w:tcPr>
          <w:p w14:paraId="26782E2C" w14:textId="77777777" w:rsidR="00030089" w:rsidRPr="007D7710" w:rsidRDefault="00030089" w:rsidP="008547F7">
            <w:pPr>
              <w:pStyle w:val="Header"/>
              <w:spacing w:before="120" w:after="120"/>
              <w:jc w:val="both"/>
              <w:rPr>
                <w:rFonts w:ascii="Arial" w:hAnsi="Arial" w:cs="Arial"/>
                <w:sz w:val="18"/>
                <w:szCs w:val="20"/>
              </w:rPr>
            </w:pPr>
            <w:r>
              <w:rPr>
                <w:rFonts w:ascii="Arial" w:hAnsi="Arial" w:cs="Arial"/>
                <w:sz w:val="18"/>
                <w:szCs w:val="20"/>
              </w:rPr>
              <w:t>Cigarette butts</w:t>
            </w:r>
          </w:p>
        </w:tc>
        <w:tc>
          <w:tcPr>
            <w:tcW w:w="1200" w:type="dxa"/>
          </w:tcPr>
          <w:p w14:paraId="6B900D72" w14:textId="77777777" w:rsidR="00030089" w:rsidRPr="007D7710" w:rsidRDefault="00030089" w:rsidP="008547F7">
            <w:pPr>
              <w:pStyle w:val="Header"/>
              <w:spacing w:before="120" w:after="120"/>
              <w:jc w:val="right"/>
              <w:rPr>
                <w:rFonts w:ascii="Arial" w:hAnsi="Arial" w:cs="Arial"/>
                <w:sz w:val="18"/>
                <w:szCs w:val="20"/>
              </w:rPr>
            </w:pPr>
            <w:r w:rsidRPr="007D7710">
              <w:rPr>
                <w:rFonts w:ascii="Arial" w:hAnsi="Arial" w:cs="Arial"/>
                <w:sz w:val="18"/>
                <w:szCs w:val="20"/>
              </w:rPr>
              <w:t>1683</w:t>
            </w:r>
          </w:p>
        </w:tc>
        <w:tc>
          <w:tcPr>
            <w:tcW w:w="1560" w:type="dxa"/>
          </w:tcPr>
          <w:p w14:paraId="1060C8DA" w14:textId="77777777" w:rsidR="00030089" w:rsidRPr="007D7710" w:rsidRDefault="00030089" w:rsidP="008547F7">
            <w:pPr>
              <w:pStyle w:val="Header"/>
              <w:spacing w:before="120" w:after="120"/>
              <w:jc w:val="right"/>
              <w:rPr>
                <w:rFonts w:ascii="Arial" w:hAnsi="Arial" w:cs="Arial"/>
                <w:sz w:val="18"/>
                <w:szCs w:val="20"/>
              </w:rPr>
            </w:pPr>
            <w:r w:rsidRPr="007D7710">
              <w:rPr>
                <w:rFonts w:ascii="Arial" w:hAnsi="Arial" w:cs="Arial"/>
                <w:sz w:val="18"/>
                <w:szCs w:val="20"/>
              </w:rPr>
              <w:t>2421</w:t>
            </w:r>
          </w:p>
        </w:tc>
        <w:tc>
          <w:tcPr>
            <w:tcW w:w="1275" w:type="dxa"/>
          </w:tcPr>
          <w:p w14:paraId="6C05FF07" w14:textId="77777777" w:rsidR="00030089" w:rsidRPr="007D7710" w:rsidRDefault="00030089" w:rsidP="008547F7">
            <w:pPr>
              <w:pStyle w:val="Header"/>
              <w:spacing w:before="120" w:after="120"/>
              <w:jc w:val="right"/>
              <w:rPr>
                <w:rFonts w:ascii="Arial" w:hAnsi="Arial" w:cs="Arial"/>
                <w:sz w:val="18"/>
                <w:szCs w:val="20"/>
              </w:rPr>
            </w:pPr>
            <w:r w:rsidRPr="007D7710">
              <w:rPr>
                <w:rFonts w:ascii="Arial" w:hAnsi="Arial" w:cs="Arial"/>
                <w:sz w:val="18"/>
                <w:szCs w:val="20"/>
              </w:rPr>
              <w:t>3400</w:t>
            </w:r>
          </w:p>
        </w:tc>
      </w:tr>
    </w:tbl>
    <w:p w14:paraId="7FC29512" w14:textId="77777777" w:rsidR="00030089" w:rsidRDefault="00030089" w:rsidP="00030089">
      <w:pPr>
        <w:pStyle w:val="Header"/>
        <w:spacing w:before="120" w:after="120" w:line="360" w:lineRule="auto"/>
        <w:jc w:val="both"/>
        <w:rPr>
          <w:rFonts w:ascii="Arial" w:hAnsi="Arial" w:cs="Arial"/>
          <w:szCs w:val="28"/>
        </w:rPr>
      </w:pPr>
    </w:p>
    <w:p w14:paraId="66DDC846" w14:textId="77777777" w:rsidR="00030089" w:rsidRPr="000846F7" w:rsidRDefault="00030089" w:rsidP="00030089">
      <w:pPr>
        <w:pStyle w:val="Header"/>
        <w:spacing w:before="120" w:after="120" w:line="360" w:lineRule="auto"/>
        <w:jc w:val="both"/>
        <w:rPr>
          <w:rFonts w:ascii="Arial" w:hAnsi="Arial" w:cs="Arial"/>
          <w:szCs w:val="28"/>
        </w:rPr>
      </w:pPr>
      <w:r w:rsidRPr="000846F7">
        <w:rPr>
          <w:rFonts w:ascii="Arial" w:hAnsi="Arial" w:cs="Arial"/>
          <w:szCs w:val="28"/>
        </w:rPr>
        <w:t xml:space="preserve">This highlights that while overall litter measured in the </w:t>
      </w:r>
      <w:r>
        <w:rPr>
          <w:rFonts w:ascii="Arial" w:hAnsi="Arial" w:cs="Arial"/>
          <w:szCs w:val="28"/>
        </w:rPr>
        <w:t>NT</w:t>
      </w:r>
      <w:r w:rsidRPr="000846F7">
        <w:rPr>
          <w:rFonts w:ascii="Arial" w:hAnsi="Arial" w:cs="Arial"/>
          <w:szCs w:val="28"/>
        </w:rPr>
        <w:t xml:space="preserve"> increased between the November 2011 to May 2012 study period by an estimated 724 items, all this increase is attributable to the growth in cigarette butt litter. Cigarette butt litter increased by 979 items. The rest of the litter stream actually reduced by 255 items over this time period. </w:t>
      </w:r>
    </w:p>
    <w:p w14:paraId="6559257B" w14:textId="77777777" w:rsidR="00030089" w:rsidRDefault="00030089" w:rsidP="00030089">
      <w:pPr>
        <w:pStyle w:val="Header"/>
        <w:spacing w:before="120" w:after="120" w:line="360" w:lineRule="auto"/>
        <w:jc w:val="both"/>
        <w:rPr>
          <w:rFonts w:ascii="Arial" w:hAnsi="Arial" w:cs="Arial"/>
          <w:szCs w:val="28"/>
        </w:rPr>
      </w:pPr>
      <w:r>
        <w:rPr>
          <w:rFonts w:ascii="Arial" w:hAnsi="Arial" w:cs="Arial"/>
          <w:szCs w:val="28"/>
        </w:rPr>
        <w:t>Table 4.21</w:t>
      </w:r>
      <w:r w:rsidRPr="000846F7">
        <w:rPr>
          <w:rFonts w:ascii="Arial" w:hAnsi="Arial" w:cs="Arial"/>
          <w:szCs w:val="28"/>
        </w:rPr>
        <w:t xml:space="preserve"> demonstrates that between November 2011 </w:t>
      </w:r>
      <w:r>
        <w:rPr>
          <w:rFonts w:ascii="Arial" w:hAnsi="Arial" w:cs="Arial"/>
          <w:szCs w:val="28"/>
        </w:rPr>
        <w:t>and</w:t>
      </w:r>
      <w:r w:rsidRPr="000846F7">
        <w:rPr>
          <w:rFonts w:ascii="Arial" w:hAnsi="Arial" w:cs="Arial"/>
          <w:szCs w:val="28"/>
        </w:rPr>
        <w:t xml:space="preserve"> May 2012 beverage container volume reduced by 90.</w:t>
      </w:r>
      <w:r>
        <w:rPr>
          <w:rFonts w:ascii="Arial" w:hAnsi="Arial" w:cs="Arial"/>
          <w:szCs w:val="28"/>
        </w:rPr>
        <w:t>5</w:t>
      </w:r>
      <w:r w:rsidRPr="000846F7">
        <w:rPr>
          <w:rFonts w:ascii="Arial" w:hAnsi="Arial" w:cs="Arial"/>
          <w:szCs w:val="28"/>
        </w:rPr>
        <w:t xml:space="preserve"> litres, reducing the total litter volume by 15.9</w:t>
      </w:r>
      <w:r>
        <w:rPr>
          <w:rFonts w:ascii="Arial" w:hAnsi="Arial" w:cs="Arial"/>
          <w:szCs w:val="28"/>
        </w:rPr>
        <w:t xml:space="preserve"> per cent</w:t>
      </w:r>
      <w:r w:rsidRPr="000846F7">
        <w:rPr>
          <w:rFonts w:ascii="Arial" w:hAnsi="Arial" w:cs="Arial"/>
          <w:szCs w:val="28"/>
        </w:rPr>
        <w:t>.</w:t>
      </w:r>
    </w:p>
    <w:p w14:paraId="27FFC9C9" w14:textId="77777777" w:rsidR="00030089" w:rsidRDefault="00030089" w:rsidP="00030089">
      <w:pPr>
        <w:pStyle w:val="Header"/>
        <w:spacing w:before="120" w:after="120" w:line="360" w:lineRule="auto"/>
        <w:jc w:val="both"/>
        <w:rPr>
          <w:rFonts w:ascii="Arial" w:hAnsi="Arial" w:cs="Arial"/>
          <w:szCs w:val="28"/>
        </w:rPr>
      </w:pPr>
    </w:p>
    <w:p w14:paraId="1AECDF4A"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41" w:name="_Toc353562512"/>
      <w:r w:rsidR="00740026">
        <w:rPr>
          <w:noProof/>
          <w:color w:val="auto"/>
        </w:rPr>
        <w:t>31</w:t>
      </w:r>
      <w:r w:rsidRPr="00682556">
        <w:rPr>
          <w:noProof/>
          <w:color w:val="auto"/>
        </w:rPr>
        <w:fldChar w:fldCharType="end"/>
      </w:r>
      <w:r w:rsidRPr="00682556">
        <w:rPr>
          <w:noProof/>
          <w:color w:val="auto"/>
        </w:rPr>
        <w:t xml:space="preserve"> Table 4.</w:t>
      </w:r>
      <w:r>
        <w:rPr>
          <w:noProof/>
          <w:color w:val="auto"/>
        </w:rPr>
        <w:t>21</w:t>
      </w:r>
      <w:r w:rsidRPr="00682556">
        <w:rPr>
          <w:noProof/>
          <w:color w:val="auto"/>
        </w:rPr>
        <w:t>: KAB beverage container litter covered by NT CDS volume (in litres)</w:t>
      </w:r>
      <w:bookmarkEnd w:id="241"/>
    </w:p>
    <w:tbl>
      <w:tblPr>
        <w:tblStyle w:val="TableGrid"/>
        <w:tblW w:w="0" w:type="auto"/>
        <w:tblInd w:w="108" w:type="dxa"/>
        <w:tblLook w:val="04A0" w:firstRow="1" w:lastRow="0" w:firstColumn="1" w:lastColumn="0" w:noHBand="0" w:noVBand="1"/>
      </w:tblPr>
      <w:tblGrid>
        <w:gridCol w:w="2977"/>
        <w:gridCol w:w="1559"/>
        <w:gridCol w:w="1276"/>
        <w:gridCol w:w="1276"/>
      </w:tblGrid>
      <w:tr w:rsidR="00030089" w14:paraId="59BDE7D9" w14:textId="77777777" w:rsidTr="008547F7">
        <w:tc>
          <w:tcPr>
            <w:tcW w:w="2977" w:type="dxa"/>
            <w:shd w:val="pct10" w:color="auto" w:fill="auto"/>
          </w:tcPr>
          <w:p w14:paraId="0C3EE75D" w14:textId="77777777" w:rsidR="00030089" w:rsidRDefault="00030089" w:rsidP="008547F7">
            <w:pPr>
              <w:pStyle w:val="Header"/>
              <w:spacing w:before="120" w:after="120"/>
              <w:jc w:val="both"/>
              <w:rPr>
                <w:rFonts w:ascii="Arial" w:hAnsi="Arial" w:cs="Arial"/>
                <w:b/>
                <w:sz w:val="18"/>
                <w:szCs w:val="20"/>
              </w:rPr>
            </w:pPr>
            <w:r>
              <w:rPr>
                <w:rFonts w:ascii="Arial" w:hAnsi="Arial" w:cs="Arial"/>
                <w:b/>
                <w:sz w:val="18"/>
                <w:szCs w:val="20"/>
              </w:rPr>
              <w:t>Material</w:t>
            </w:r>
          </w:p>
        </w:tc>
        <w:tc>
          <w:tcPr>
            <w:tcW w:w="1559" w:type="dxa"/>
            <w:shd w:val="pct10" w:color="auto" w:fill="auto"/>
          </w:tcPr>
          <w:p w14:paraId="643E8737" w14:textId="77777777" w:rsidR="00030089" w:rsidRDefault="00030089" w:rsidP="008547F7">
            <w:pPr>
              <w:pStyle w:val="Header"/>
              <w:spacing w:before="120" w:after="120"/>
              <w:jc w:val="right"/>
              <w:rPr>
                <w:rFonts w:ascii="Arial" w:hAnsi="Arial" w:cs="Arial"/>
                <w:b/>
                <w:sz w:val="18"/>
                <w:szCs w:val="20"/>
              </w:rPr>
            </w:pPr>
            <w:r>
              <w:rPr>
                <w:rFonts w:ascii="Arial" w:hAnsi="Arial" w:cs="Arial"/>
                <w:b/>
                <w:sz w:val="18"/>
                <w:szCs w:val="20"/>
              </w:rPr>
              <w:t>November 2011</w:t>
            </w:r>
          </w:p>
        </w:tc>
        <w:tc>
          <w:tcPr>
            <w:tcW w:w="1276" w:type="dxa"/>
            <w:shd w:val="pct10" w:color="auto" w:fill="auto"/>
          </w:tcPr>
          <w:p w14:paraId="4DD63E2B" w14:textId="77777777" w:rsidR="00030089" w:rsidRDefault="00030089" w:rsidP="008547F7">
            <w:pPr>
              <w:pStyle w:val="Header"/>
              <w:spacing w:before="120" w:after="120"/>
              <w:jc w:val="right"/>
              <w:rPr>
                <w:rFonts w:ascii="Arial" w:hAnsi="Arial" w:cs="Arial"/>
                <w:b/>
                <w:sz w:val="18"/>
                <w:szCs w:val="20"/>
              </w:rPr>
            </w:pPr>
            <w:r>
              <w:rPr>
                <w:rFonts w:ascii="Arial" w:hAnsi="Arial" w:cs="Arial"/>
                <w:b/>
                <w:sz w:val="18"/>
                <w:szCs w:val="20"/>
              </w:rPr>
              <w:t>May 2012</w:t>
            </w:r>
          </w:p>
        </w:tc>
        <w:tc>
          <w:tcPr>
            <w:tcW w:w="1276" w:type="dxa"/>
            <w:shd w:val="pct10" w:color="auto" w:fill="auto"/>
          </w:tcPr>
          <w:p w14:paraId="2F1BD4C2" w14:textId="77777777" w:rsidR="00030089" w:rsidRDefault="00030089" w:rsidP="008547F7">
            <w:pPr>
              <w:pStyle w:val="Header"/>
              <w:spacing w:before="120" w:after="120"/>
              <w:jc w:val="right"/>
              <w:rPr>
                <w:rFonts w:ascii="Arial" w:hAnsi="Arial" w:cs="Arial"/>
                <w:b/>
                <w:sz w:val="18"/>
                <w:szCs w:val="20"/>
              </w:rPr>
            </w:pPr>
            <w:r>
              <w:rPr>
                <w:rFonts w:ascii="Arial" w:hAnsi="Arial" w:cs="Arial"/>
                <w:b/>
                <w:sz w:val="18"/>
                <w:szCs w:val="20"/>
              </w:rPr>
              <w:t>Litter Reduction</w:t>
            </w:r>
          </w:p>
        </w:tc>
      </w:tr>
      <w:tr w:rsidR="00030089" w14:paraId="61996390" w14:textId="77777777" w:rsidTr="008547F7">
        <w:tc>
          <w:tcPr>
            <w:tcW w:w="2977" w:type="dxa"/>
          </w:tcPr>
          <w:p w14:paraId="657453B6" w14:textId="77777777" w:rsidR="00030089" w:rsidRPr="00B02A80" w:rsidRDefault="00030089" w:rsidP="008547F7">
            <w:pPr>
              <w:pStyle w:val="Header"/>
              <w:spacing w:before="120" w:after="120"/>
              <w:jc w:val="both"/>
              <w:rPr>
                <w:rFonts w:ascii="Arial" w:hAnsi="Arial" w:cs="Arial"/>
                <w:sz w:val="18"/>
                <w:szCs w:val="20"/>
              </w:rPr>
            </w:pPr>
            <w:r>
              <w:rPr>
                <w:rFonts w:ascii="Arial" w:hAnsi="Arial" w:cs="Arial"/>
                <w:sz w:val="18"/>
                <w:szCs w:val="20"/>
              </w:rPr>
              <w:t>Glass beverage containers</w:t>
            </w:r>
          </w:p>
        </w:tc>
        <w:tc>
          <w:tcPr>
            <w:tcW w:w="1559" w:type="dxa"/>
          </w:tcPr>
          <w:p w14:paraId="3ABC4BD4" w14:textId="77777777" w:rsidR="00030089" w:rsidRPr="00B02A80" w:rsidRDefault="00030089" w:rsidP="008547F7">
            <w:pPr>
              <w:pStyle w:val="Header"/>
              <w:spacing w:before="120" w:after="120"/>
              <w:jc w:val="right"/>
              <w:rPr>
                <w:rFonts w:ascii="Arial" w:hAnsi="Arial" w:cs="Arial"/>
                <w:sz w:val="18"/>
                <w:szCs w:val="20"/>
              </w:rPr>
            </w:pPr>
            <w:r>
              <w:rPr>
                <w:rFonts w:ascii="Arial" w:hAnsi="Arial" w:cs="Arial"/>
                <w:sz w:val="18"/>
                <w:szCs w:val="20"/>
              </w:rPr>
              <w:t>24.3</w:t>
            </w:r>
          </w:p>
        </w:tc>
        <w:tc>
          <w:tcPr>
            <w:tcW w:w="1276" w:type="dxa"/>
          </w:tcPr>
          <w:p w14:paraId="64B5CE45" w14:textId="77777777" w:rsidR="00030089" w:rsidRPr="00B02A80" w:rsidRDefault="00030089" w:rsidP="008547F7">
            <w:pPr>
              <w:pStyle w:val="Header"/>
              <w:spacing w:before="120" w:after="120"/>
              <w:jc w:val="right"/>
              <w:rPr>
                <w:rFonts w:ascii="Arial" w:hAnsi="Arial" w:cs="Arial"/>
                <w:sz w:val="18"/>
                <w:szCs w:val="20"/>
              </w:rPr>
            </w:pPr>
            <w:r>
              <w:rPr>
                <w:rFonts w:ascii="Arial" w:hAnsi="Arial" w:cs="Arial"/>
                <w:sz w:val="18"/>
                <w:szCs w:val="20"/>
              </w:rPr>
              <w:t>19.1</w:t>
            </w:r>
          </w:p>
        </w:tc>
        <w:tc>
          <w:tcPr>
            <w:tcW w:w="1276" w:type="dxa"/>
          </w:tcPr>
          <w:p w14:paraId="2DB70722" w14:textId="77777777" w:rsidR="00030089" w:rsidRDefault="00030089" w:rsidP="008547F7">
            <w:pPr>
              <w:pStyle w:val="Header"/>
              <w:spacing w:before="120" w:after="120"/>
              <w:jc w:val="right"/>
              <w:rPr>
                <w:rFonts w:ascii="Arial" w:hAnsi="Arial" w:cs="Arial"/>
                <w:sz w:val="18"/>
                <w:szCs w:val="20"/>
              </w:rPr>
            </w:pPr>
            <w:r>
              <w:rPr>
                <w:rFonts w:ascii="Arial" w:hAnsi="Arial" w:cs="Arial"/>
                <w:sz w:val="18"/>
                <w:szCs w:val="20"/>
              </w:rPr>
              <w:t>5.2</w:t>
            </w:r>
          </w:p>
        </w:tc>
      </w:tr>
      <w:tr w:rsidR="00030089" w:rsidRPr="00B02A80" w14:paraId="4015755E" w14:textId="77777777" w:rsidTr="008547F7">
        <w:tc>
          <w:tcPr>
            <w:tcW w:w="2977" w:type="dxa"/>
          </w:tcPr>
          <w:p w14:paraId="548D7EB3" w14:textId="77777777" w:rsidR="00030089" w:rsidRPr="00B02A80" w:rsidRDefault="00030089" w:rsidP="008547F7">
            <w:pPr>
              <w:pStyle w:val="Header"/>
              <w:spacing w:before="120" w:after="120"/>
              <w:jc w:val="both"/>
              <w:rPr>
                <w:rFonts w:ascii="Arial" w:hAnsi="Arial" w:cs="Arial"/>
                <w:sz w:val="18"/>
                <w:szCs w:val="20"/>
              </w:rPr>
            </w:pPr>
            <w:r w:rsidRPr="00B02A80">
              <w:rPr>
                <w:rFonts w:ascii="Arial" w:hAnsi="Arial" w:cs="Arial"/>
                <w:sz w:val="18"/>
                <w:szCs w:val="20"/>
              </w:rPr>
              <w:t>Aluminium beverage containers</w:t>
            </w:r>
          </w:p>
        </w:tc>
        <w:tc>
          <w:tcPr>
            <w:tcW w:w="1559" w:type="dxa"/>
          </w:tcPr>
          <w:p w14:paraId="53428EBD" w14:textId="77777777" w:rsidR="00030089" w:rsidRPr="00B02A80" w:rsidRDefault="00030089" w:rsidP="008547F7">
            <w:pPr>
              <w:pStyle w:val="Header"/>
              <w:spacing w:before="120" w:after="120"/>
              <w:jc w:val="right"/>
              <w:rPr>
                <w:rFonts w:ascii="Arial" w:hAnsi="Arial" w:cs="Arial"/>
                <w:sz w:val="18"/>
                <w:szCs w:val="20"/>
              </w:rPr>
            </w:pPr>
            <w:r>
              <w:rPr>
                <w:rFonts w:ascii="Arial" w:hAnsi="Arial" w:cs="Arial"/>
                <w:sz w:val="18"/>
                <w:szCs w:val="20"/>
              </w:rPr>
              <w:t>45.7</w:t>
            </w:r>
          </w:p>
        </w:tc>
        <w:tc>
          <w:tcPr>
            <w:tcW w:w="1276" w:type="dxa"/>
          </w:tcPr>
          <w:p w14:paraId="3B6AD036" w14:textId="77777777" w:rsidR="00030089" w:rsidRPr="00B02A80" w:rsidRDefault="00030089" w:rsidP="008547F7">
            <w:pPr>
              <w:pStyle w:val="Header"/>
              <w:spacing w:before="120" w:after="120"/>
              <w:jc w:val="right"/>
              <w:rPr>
                <w:rFonts w:ascii="Arial" w:hAnsi="Arial" w:cs="Arial"/>
                <w:sz w:val="18"/>
                <w:szCs w:val="20"/>
              </w:rPr>
            </w:pPr>
            <w:r>
              <w:rPr>
                <w:rFonts w:ascii="Arial" w:hAnsi="Arial" w:cs="Arial"/>
                <w:sz w:val="18"/>
                <w:szCs w:val="20"/>
              </w:rPr>
              <w:t>40.3</w:t>
            </w:r>
          </w:p>
        </w:tc>
        <w:tc>
          <w:tcPr>
            <w:tcW w:w="1276" w:type="dxa"/>
          </w:tcPr>
          <w:p w14:paraId="0BC28282" w14:textId="77777777" w:rsidR="00030089" w:rsidRDefault="00030089" w:rsidP="008547F7">
            <w:pPr>
              <w:pStyle w:val="Header"/>
              <w:spacing w:before="120" w:after="120"/>
              <w:jc w:val="right"/>
              <w:rPr>
                <w:rFonts w:ascii="Arial" w:hAnsi="Arial" w:cs="Arial"/>
                <w:sz w:val="18"/>
                <w:szCs w:val="20"/>
              </w:rPr>
            </w:pPr>
            <w:r>
              <w:rPr>
                <w:rFonts w:ascii="Arial" w:hAnsi="Arial" w:cs="Arial"/>
                <w:sz w:val="18"/>
                <w:szCs w:val="20"/>
              </w:rPr>
              <w:t>5.4</w:t>
            </w:r>
          </w:p>
        </w:tc>
      </w:tr>
      <w:tr w:rsidR="00030089" w:rsidRPr="00B02A80" w14:paraId="13EC3ED6" w14:textId="77777777" w:rsidTr="008547F7">
        <w:tc>
          <w:tcPr>
            <w:tcW w:w="2977" w:type="dxa"/>
          </w:tcPr>
          <w:p w14:paraId="12445D36" w14:textId="77777777" w:rsidR="00030089" w:rsidRPr="00B02A80" w:rsidRDefault="00030089" w:rsidP="008547F7">
            <w:pPr>
              <w:pStyle w:val="Header"/>
              <w:spacing w:before="120" w:after="120"/>
              <w:jc w:val="both"/>
              <w:rPr>
                <w:rFonts w:ascii="Arial" w:hAnsi="Arial" w:cs="Arial"/>
                <w:sz w:val="18"/>
                <w:szCs w:val="20"/>
              </w:rPr>
            </w:pPr>
            <w:r>
              <w:rPr>
                <w:rFonts w:ascii="Arial" w:hAnsi="Arial" w:cs="Arial"/>
                <w:sz w:val="18"/>
                <w:szCs w:val="20"/>
              </w:rPr>
              <w:t>LPB beverage containers</w:t>
            </w:r>
          </w:p>
        </w:tc>
        <w:tc>
          <w:tcPr>
            <w:tcW w:w="1559" w:type="dxa"/>
          </w:tcPr>
          <w:p w14:paraId="63B88DB9" w14:textId="77777777" w:rsidR="00030089" w:rsidRPr="00B02A80" w:rsidRDefault="00030089" w:rsidP="008547F7">
            <w:pPr>
              <w:pStyle w:val="Header"/>
              <w:spacing w:before="120" w:after="120"/>
              <w:jc w:val="right"/>
              <w:rPr>
                <w:rFonts w:ascii="Arial" w:hAnsi="Arial" w:cs="Arial"/>
                <w:sz w:val="18"/>
                <w:szCs w:val="20"/>
              </w:rPr>
            </w:pPr>
            <w:r>
              <w:rPr>
                <w:rFonts w:ascii="Arial" w:hAnsi="Arial" w:cs="Arial"/>
                <w:sz w:val="18"/>
                <w:szCs w:val="20"/>
              </w:rPr>
              <w:t>25.5</w:t>
            </w:r>
          </w:p>
        </w:tc>
        <w:tc>
          <w:tcPr>
            <w:tcW w:w="1276" w:type="dxa"/>
          </w:tcPr>
          <w:p w14:paraId="3A21D962" w14:textId="77777777" w:rsidR="00030089" w:rsidRPr="00B02A80" w:rsidRDefault="00030089" w:rsidP="008547F7">
            <w:pPr>
              <w:pStyle w:val="Header"/>
              <w:spacing w:before="120" w:after="120"/>
              <w:jc w:val="right"/>
              <w:rPr>
                <w:rFonts w:ascii="Arial" w:hAnsi="Arial" w:cs="Arial"/>
                <w:sz w:val="18"/>
                <w:szCs w:val="20"/>
              </w:rPr>
            </w:pPr>
            <w:r>
              <w:rPr>
                <w:rFonts w:ascii="Arial" w:hAnsi="Arial" w:cs="Arial"/>
                <w:sz w:val="18"/>
                <w:szCs w:val="20"/>
              </w:rPr>
              <w:t>20.2</w:t>
            </w:r>
          </w:p>
        </w:tc>
        <w:tc>
          <w:tcPr>
            <w:tcW w:w="1276" w:type="dxa"/>
          </w:tcPr>
          <w:p w14:paraId="3F9D6303" w14:textId="77777777" w:rsidR="00030089" w:rsidRDefault="00030089" w:rsidP="008547F7">
            <w:pPr>
              <w:pStyle w:val="Header"/>
              <w:spacing w:before="120" w:after="120"/>
              <w:jc w:val="right"/>
              <w:rPr>
                <w:rFonts w:ascii="Arial" w:hAnsi="Arial" w:cs="Arial"/>
                <w:sz w:val="18"/>
                <w:szCs w:val="20"/>
              </w:rPr>
            </w:pPr>
            <w:r>
              <w:rPr>
                <w:rFonts w:ascii="Arial" w:hAnsi="Arial" w:cs="Arial"/>
                <w:sz w:val="18"/>
                <w:szCs w:val="20"/>
              </w:rPr>
              <w:t>5.3</w:t>
            </w:r>
          </w:p>
        </w:tc>
      </w:tr>
      <w:tr w:rsidR="00030089" w:rsidRPr="00B02A80" w14:paraId="2F93DAB4" w14:textId="77777777" w:rsidTr="008547F7">
        <w:tc>
          <w:tcPr>
            <w:tcW w:w="2977" w:type="dxa"/>
          </w:tcPr>
          <w:p w14:paraId="69335BED" w14:textId="77777777" w:rsidR="00030089" w:rsidRPr="00B02A80" w:rsidRDefault="00030089" w:rsidP="008547F7">
            <w:pPr>
              <w:pStyle w:val="Header"/>
              <w:spacing w:before="120" w:after="120"/>
              <w:jc w:val="both"/>
              <w:rPr>
                <w:rFonts w:ascii="Arial" w:hAnsi="Arial" w:cs="Arial"/>
                <w:sz w:val="18"/>
                <w:szCs w:val="20"/>
              </w:rPr>
            </w:pPr>
            <w:r>
              <w:rPr>
                <w:rFonts w:ascii="Arial" w:hAnsi="Arial" w:cs="Arial"/>
                <w:sz w:val="18"/>
                <w:szCs w:val="20"/>
              </w:rPr>
              <w:t>Plastic beverage containers</w:t>
            </w:r>
          </w:p>
        </w:tc>
        <w:tc>
          <w:tcPr>
            <w:tcW w:w="1559" w:type="dxa"/>
          </w:tcPr>
          <w:p w14:paraId="725A782C" w14:textId="77777777" w:rsidR="00030089" w:rsidRPr="00B02A80" w:rsidRDefault="00030089" w:rsidP="008547F7">
            <w:pPr>
              <w:pStyle w:val="Header"/>
              <w:spacing w:before="120" w:after="120"/>
              <w:jc w:val="right"/>
              <w:rPr>
                <w:rFonts w:ascii="Arial" w:hAnsi="Arial" w:cs="Arial"/>
                <w:sz w:val="18"/>
                <w:szCs w:val="20"/>
              </w:rPr>
            </w:pPr>
            <w:r>
              <w:rPr>
                <w:rFonts w:ascii="Arial" w:hAnsi="Arial" w:cs="Arial"/>
                <w:sz w:val="18"/>
                <w:szCs w:val="20"/>
              </w:rPr>
              <w:t>99.41</w:t>
            </w:r>
          </w:p>
        </w:tc>
        <w:tc>
          <w:tcPr>
            <w:tcW w:w="1276" w:type="dxa"/>
          </w:tcPr>
          <w:p w14:paraId="13C13177" w14:textId="77777777" w:rsidR="00030089" w:rsidRPr="00B02A80" w:rsidRDefault="00030089" w:rsidP="008547F7">
            <w:pPr>
              <w:pStyle w:val="Header"/>
              <w:spacing w:before="120" w:after="120"/>
              <w:jc w:val="right"/>
              <w:rPr>
                <w:rFonts w:ascii="Arial" w:hAnsi="Arial" w:cs="Arial"/>
                <w:sz w:val="18"/>
                <w:szCs w:val="20"/>
              </w:rPr>
            </w:pPr>
            <w:r>
              <w:rPr>
                <w:rFonts w:ascii="Arial" w:hAnsi="Arial" w:cs="Arial"/>
                <w:sz w:val="18"/>
                <w:szCs w:val="20"/>
              </w:rPr>
              <w:t>24.81</w:t>
            </w:r>
          </w:p>
        </w:tc>
        <w:tc>
          <w:tcPr>
            <w:tcW w:w="1276" w:type="dxa"/>
          </w:tcPr>
          <w:p w14:paraId="759350E8" w14:textId="77777777" w:rsidR="00030089" w:rsidRDefault="00030089" w:rsidP="008547F7">
            <w:pPr>
              <w:pStyle w:val="Header"/>
              <w:spacing w:before="120" w:after="120"/>
              <w:jc w:val="right"/>
              <w:rPr>
                <w:rFonts w:ascii="Arial" w:hAnsi="Arial" w:cs="Arial"/>
                <w:sz w:val="18"/>
                <w:szCs w:val="20"/>
              </w:rPr>
            </w:pPr>
            <w:r>
              <w:rPr>
                <w:rFonts w:ascii="Arial" w:hAnsi="Arial" w:cs="Arial"/>
                <w:sz w:val="18"/>
                <w:szCs w:val="20"/>
              </w:rPr>
              <w:t>74.6</w:t>
            </w:r>
          </w:p>
        </w:tc>
      </w:tr>
      <w:tr w:rsidR="00030089" w:rsidRPr="00F40D69" w14:paraId="5AB26D09" w14:textId="77777777" w:rsidTr="008547F7">
        <w:tc>
          <w:tcPr>
            <w:tcW w:w="2977" w:type="dxa"/>
          </w:tcPr>
          <w:p w14:paraId="5639FFFC" w14:textId="77777777" w:rsidR="00030089" w:rsidRPr="00F40D69" w:rsidRDefault="00030089" w:rsidP="008547F7">
            <w:pPr>
              <w:pStyle w:val="Header"/>
              <w:spacing w:before="120" w:after="120"/>
              <w:jc w:val="both"/>
              <w:rPr>
                <w:rFonts w:ascii="Arial" w:hAnsi="Arial" w:cs="Arial"/>
                <w:b/>
                <w:sz w:val="18"/>
                <w:szCs w:val="20"/>
              </w:rPr>
            </w:pPr>
            <w:r w:rsidRPr="00F40D69">
              <w:rPr>
                <w:rFonts w:ascii="Arial" w:hAnsi="Arial" w:cs="Arial"/>
                <w:b/>
                <w:sz w:val="18"/>
                <w:szCs w:val="20"/>
              </w:rPr>
              <w:t>TOTAL</w:t>
            </w:r>
          </w:p>
        </w:tc>
        <w:tc>
          <w:tcPr>
            <w:tcW w:w="1559" w:type="dxa"/>
          </w:tcPr>
          <w:p w14:paraId="0A1E4329" w14:textId="77777777" w:rsidR="00030089" w:rsidRPr="00F40D69" w:rsidRDefault="00030089" w:rsidP="008547F7">
            <w:pPr>
              <w:pStyle w:val="Header"/>
              <w:spacing w:before="120" w:after="120"/>
              <w:jc w:val="right"/>
              <w:rPr>
                <w:rFonts w:ascii="Arial" w:hAnsi="Arial" w:cs="Arial"/>
                <w:b/>
                <w:sz w:val="18"/>
                <w:szCs w:val="20"/>
              </w:rPr>
            </w:pPr>
            <w:r w:rsidRPr="00F40D69">
              <w:rPr>
                <w:rFonts w:ascii="Arial" w:hAnsi="Arial" w:cs="Arial"/>
                <w:b/>
                <w:sz w:val="18"/>
                <w:szCs w:val="20"/>
              </w:rPr>
              <w:t>194.91</w:t>
            </w:r>
          </w:p>
        </w:tc>
        <w:tc>
          <w:tcPr>
            <w:tcW w:w="1276" w:type="dxa"/>
          </w:tcPr>
          <w:p w14:paraId="460342DA" w14:textId="77777777" w:rsidR="00030089" w:rsidRPr="00F40D69" w:rsidRDefault="00030089" w:rsidP="008547F7">
            <w:pPr>
              <w:pStyle w:val="Header"/>
              <w:spacing w:before="120" w:after="120"/>
              <w:jc w:val="right"/>
              <w:rPr>
                <w:rFonts w:ascii="Arial" w:hAnsi="Arial" w:cs="Arial"/>
                <w:b/>
                <w:sz w:val="18"/>
                <w:szCs w:val="20"/>
              </w:rPr>
            </w:pPr>
            <w:r w:rsidRPr="00F40D69">
              <w:rPr>
                <w:rFonts w:ascii="Arial" w:hAnsi="Arial" w:cs="Arial"/>
                <w:b/>
                <w:sz w:val="18"/>
                <w:szCs w:val="20"/>
              </w:rPr>
              <w:t>104.41</w:t>
            </w:r>
          </w:p>
        </w:tc>
        <w:tc>
          <w:tcPr>
            <w:tcW w:w="1276" w:type="dxa"/>
          </w:tcPr>
          <w:p w14:paraId="06287F90" w14:textId="77777777" w:rsidR="00030089" w:rsidRPr="00F40D69" w:rsidRDefault="00030089" w:rsidP="008547F7">
            <w:pPr>
              <w:pStyle w:val="Header"/>
              <w:spacing w:before="120" w:after="120"/>
              <w:jc w:val="right"/>
              <w:rPr>
                <w:rFonts w:ascii="Arial" w:hAnsi="Arial" w:cs="Arial"/>
                <w:b/>
                <w:sz w:val="18"/>
                <w:szCs w:val="20"/>
              </w:rPr>
            </w:pPr>
            <w:r>
              <w:rPr>
                <w:rFonts w:ascii="Arial" w:hAnsi="Arial" w:cs="Arial"/>
                <w:b/>
                <w:sz w:val="18"/>
                <w:szCs w:val="20"/>
              </w:rPr>
              <w:t>90.5</w:t>
            </w:r>
          </w:p>
        </w:tc>
      </w:tr>
      <w:tr w:rsidR="00030089" w:rsidRPr="00F40D69" w14:paraId="363D0135" w14:textId="77777777" w:rsidTr="008547F7">
        <w:tc>
          <w:tcPr>
            <w:tcW w:w="2977" w:type="dxa"/>
          </w:tcPr>
          <w:p w14:paraId="0A0DD52E" w14:textId="77777777" w:rsidR="00030089" w:rsidRPr="00F40D69" w:rsidRDefault="00030089" w:rsidP="008547F7">
            <w:pPr>
              <w:pStyle w:val="Header"/>
              <w:spacing w:before="120" w:after="120"/>
              <w:jc w:val="both"/>
              <w:rPr>
                <w:rFonts w:ascii="Arial" w:hAnsi="Arial" w:cs="Arial"/>
                <w:b/>
                <w:sz w:val="18"/>
                <w:szCs w:val="20"/>
              </w:rPr>
            </w:pPr>
            <w:r>
              <w:rPr>
                <w:rFonts w:ascii="Arial" w:hAnsi="Arial" w:cs="Arial"/>
                <w:b/>
                <w:sz w:val="18"/>
                <w:szCs w:val="20"/>
              </w:rPr>
              <w:t>TOTAL OF ALL LITTER</w:t>
            </w:r>
          </w:p>
        </w:tc>
        <w:tc>
          <w:tcPr>
            <w:tcW w:w="1559" w:type="dxa"/>
          </w:tcPr>
          <w:p w14:paraId="4FB7F032" w14:textId="77777777" w:rsidR="00030089" w:rsidRPr="00F40D69" w:rsidRDefault="00030089" w:rsidP="008547F7">
            <w:pPr>
              <w:pStyle w:val="Header"/>
              <w:spacing w:before="120" w:after="120"/>
              <w:jc w:val="right"/>
              <w:rPr>
                <w:rFonts w:ascii="Arial" w:hAnsi="Arial" w:cs="Arial"/>
                <w:b/>
                <w:sz w:val="18"/>
                <w:szCs w:val="20"/>
              </w:rPr>
            </w:pPr>
            <w:r>
              <w:rPr>
                <w:rFonts w:ascii="Arial" w:hAnsi="Arial" w:cs="Arial"/>
                <w:b/>
                <w:sz w:val="18"/>
                <w:szCs w:val="20"/>
              </w:rPr>
              <w:t>571.46</w:t>
            </w:r>
          </w:p>
        </w:tc>
        <w:tc>
          <w:tcPr>
            <w:tcW w:w="1276" w:type="dxa"/>
          </w:tcPr>
          <w:p w14:paraId="5E8687A0" w14:textId="77777777" w:rsidR="00030089" w:rsidRPr="00F40D69" w:rsidRDefault="00030089" w:rsidP="008547F7">
            <w:pPr>
              <w:pStyle w:val="Header"/>
              <w:spacing w:before="120" w:after="120"/>
              <w:jc w:val="right"/>
              <w:rPr>
                <w:rFonts w:ascii="Arial" w:hAnsi="Arial" w:cs="Arial"/>
                <w:b/>
                <w:sz w:val="18"/>
                <w:szCs w:val="20"/>
              </w:rPr>
            </w:pPr>
            <w:r>
              <w:rPr>
                <w:rFonts w:ascii="Arial" w:hAnsi="Arial" w:cs="Arial"/>
                <w:b/>
                <w:sz w:val="18"/>
                <w:szCs w:val="20"/>
              </w:rPr>
              <w:t>320.03</w:t>
            </w:r>
          </w:p>
        </w:tc>
        <w:tc>
          <w:tcPr>
            <w:tcW w:w="1276" w:type="dxa"/>
          </w:tcPr>
          <w:p w14:paraId="6A0E00AE" w14:textId="77777777" w:rsidR="00030089" w:rsidRDefault="00030089" w:rsidP="008547F7">
            <w:pPr>
              <w:pStyle w:val="Header"/>
              <w:spacing w:before="120" w:after="120"/>
              <w:jc w:val="right"/>
              <w:rPr>
                <w:rFonts w:ascii="Arial" w:hAnsi="Arial" w:cs="Arial"/>
                <w:b/>
                <w:sz w:val="18"/>
                <w:szCs w:val="20"/>
              </w:rPr>
            </w:pPr>
            <w:r>
              <w:rPr>
                <w:rFonts w:ascii="Arial" w:hAnsi="Arial" w:cs="Arial"/>
                <w:b/>
                <w:sz w:val="18"/>
                <w:szCs w:val="20"/>
              </w:rPr>
              <w:t>251.43</w:t>
            </w:r>
          </w:p>
        </w:tc>
      </w:tr>
    </w:tbl>
    <w:p w14:paraId="5D641A9B" w14:textId="77777777" w:rsidR="00030089" w:rsidRPr="000846F7" w:rsidRDefault="00030089" w:rsidP="00030089">
      <w:pPr>
        <w:pStyle w:val="Header"/>
        <w:ind w:left="360"/>
        <w:rPr>
          <w:rFonts w:ascii="Arial" w:hAnsi="Arial" w:cs="Arial"/>
          <w:sz w:val="18"/>
          <w:szCs w:val="20"/>
        </w:rPr>
      </w:pPr>
    </w:p>
    <w:p w14:paraId="645D89AB" w14:textId="77777777" w:rsidR="00030089" w:rsidRPr="005A25A2" w:rsidRDefault="00030089" w:rsidP="00030089">
      <w:pPr>
        <w:spacing w:line="360" w:lineRule="auto"/>
        <w:jc w:val="both"/>
        <w:rPr>
          <w:rFonts w:ascii="Arial" w:hAnsi="Arial" w:cs="Arial"/>
          <w:szCs w:val="28"/>
        </w:rPr>
      </w:pPr>
      <w:r w:rsidRPr="005A25A2">
        <w:rPr>
          <w:rFonts w:ascii="Arial" w:hAnsi="Arial" w:cs="Arial"/>
          <w:szCs w:val="28"/>
        </w:rPr>
        <w:t>It is reasonable to assume that a reduction of the total litter volume by 15.9</w:t>
      </w:r>
      <w:r>
        <w:rPr>
          <w:rFonts w:ascii="Arial" w:hAnsi="Arial" w:cs="Arial"/>
          <w:szCs w:val="28"/>
        </w:rPr>
        <w:t xml:space="preserve"> per cent</w:t>
      </w:r>
      <w:r w:rsidRPr="005A25A2">
        <w:rPr>
          <w:rFonts w:ascii="Arial" w:hAnsi="Arial" w:cs="Arial"/>
          <w:szCs w:val="28"/>
        </w:rPr>
        <w:t xml:space="preserve"> will result in a commensurate decrease in litter clean up costs.</w:t>
      </w:r>
    </w:p>
    <w:p w14:paraId="73774B65" w14:textId="77777777" w:rsidR="00030089" w:rsidRPr="005A25A2" w:rsidRDefault="00030089" w:rsidP="00030089">
      <w:pPr>
        <w:spacing w:line="360" w:lineRule="auto"/>
        <w:jc w:val="both"/>
        <w:rPr>
          <w:rFonts w:ascii="Arial" w:hAnsi="Arial" w:cs="Arial"/>
          <w:szCs w:val="28"/>
        </w:rPr>
      </w:pPr>
      <w:r w:rsidRPr="005A25A2">
        <w:rPr>
          <w:rFonts w:ascii="Arial" w:hAnsi="Arial" w:cs="Arial"/>
          <w:szCs w:val="28"/>
        </w:rPr>
        <w:t xml:space="preserve">To determine the impact of this reduction one must first establish the current cost of litter clean up in the NT. In the absence of data and the fact that some councils contract out litter clean up, the following estimates of litter clean-up employment are set out in </w:t>
      </w:r>
      <w:r>
        <w:rPr>
          <w:rFonts w:ascii="Arial" w:hAnsi="Arial" w:cs="Arial"/>
          <w:szCs w:val="28"/>
        </w:rPr>
        <w:t>Table 4.22</w:t>
      </w:r>
      <w:r w:rsidRPr="005A25A2">
        <w:rPr>
          <w:rFonts w:ascii="Arial" w:hAnsi="Arial" w:cs="Arial"/>
          <w:szCs w:val="28"/>
        </w:rPr>
        <w:t xml:space="preserve">. </w:t>
      </w:r>
    </w:p>
    <w:p w14:paraId="42945F92" w14:textId="77777777" w:rsidR="00030089" w:rsidRDefault="00030089" w:rsidP="00030089">
      <w:pPr>
        <w:spacing w:line="360" w:lineRule="auto"/>
        <w:jc w:val="both"/>
        <w:rPr>
          <w:rFonts w:ascii="Arial" w:hAnsi="Arial" w:cs="Arial"/>
          <w:szCs w:val="28"/>
        </w:rPr>
      </w:pPr>
      <w:r w:rsidRPr="005A25A2">
        <w:rPr>
          <w:rFonts w:ascii="Arial" w:hAnsi="Arial" w:cs="Arial"/>
          <w:szCs w:val="28"/>
        </w:rPr>
        <w:t xml:space="preserve">Three quarters of the Northern Territory’s population reside in its five regional centres. </w:t>
      </w:r>
      <w:r>
        <w:rPr>
          <w:rFonts w:ascii="Arial" w:hAnsi="Arial" w:cs="Arial"/>
          <w:szCs w:val="28"/>
        </w:rPr>
        <w:t>Table 4.18</w:t>
      </w:r>
      <w:r w:rsidRPr="005A25A2">
        <w:rPr>
          <w:rFonts w:ascii="Arial" w:hAnsi="Arial" w:cs="Arial"/>
          <w:szCs w:val="28"/>
        </w:rPr>
        <w:t xml:space="preserve"> estimates the impact of CDS litter reduction on litter clean-up employment costs.</w:t>
      </w:r>
    </w:p>
    <w:p w14:paraId="512343DF" w14:textId="77777777" w:rsidR="00030089" w:rsidRPr="00682556" w:rsidRDefault="00030089" w:rsidP="00030089">
      <w:pPr>
        <w:pStyle w:val="Caption"/>
        <w:keepNext/>
        <w:rPr>
          <w:noProof/>
          <w:color w:val="auto"/>
        </w:rPr>
      </w:pPr>
      <w:r w:rsidRPr="00682556">
        <w:rPr>
          <w:noProof/>
          <w:color w:val="auto"/>
        </w:rPr>
        <w:lastRenderedPageBreak/>
        <w:t xml:space="preserve"> </w:t>
      </w: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42" w:name="_Toc353562513"/>
      <w:r w:rsidR="00740026">
        <w:rPr>
          <w:noProof/>
          <w:color w:val="auto"/>
        </w:rPr>
        <w:t>32</w:t>
      </w:r>
      <w:r w:rsidRPr="00682556">
        <w:rPr>
          <w:noProof/>
          <w:color w:val="auto"/>
        </w:rPr>
        <w:fldChar w:fldCharType="end"/>
      </w:r>
      <w:r w:rsidRPr="00682556">
        <w:rPr>
          <w:noProof/>
          <w:color w:val="auto"/>
        </w:rPr>
        <w:t xml:space="preserve"> </w:t>
      </w:r>
      <w:bookmarkStart w:id="243" w:name="_Toc351023680"/>
      <w:r w:rsidRPr="00682556">
        <w:rPr>
          <w:noProof/>
          <w:color w:val="auto"/>
        </w:rPr>
        <w:t>Table 4.</w:t>
      </w:r>
      <w:r>
        <w:rPr>
          <w:noProof/>
          <w:color w:val="auto"/>
        </w:rPr>
        <w:t>22</w:t>
      </w:r>
      <w:r w:rsidRPr="00682556">
        <w:rPr>
          <w:noProof/>
          <w:color w:val="auto"/>
        </w:rPr>
        <w:t>: NT CDS impact on litter clean-up employment costs in the NT</w:t>
      </w:r>
      <w:bookmarkEnd w:id="242"/>
      <w:bookmarkEnd w:id="243"/>
    </w:p>
    <w:tbl>
      <w:tblPr>
        <w:tblStyle w:val="TableGrid"/>
        <w:tblW w:w="0" w:type="auto"/>
        <w:tblInd w:w="108" w:type="dxa"/>
        <w:tblLook w:val="04A0" w:firstRow="1" w:lastRow="0" w:firstColumn="1" w:lastColumn="0" w:noHBand="0" w:noVBand="1"/>
      </w:tblPr>
      <w:tblGrid>
        <w:gridCol w:w="2631"/>
        <w:gridCol w:w="1505"/>
        <w:gridCol w:w="1648"/>
        <w:gridCol w:w="1484"/>
        <w:gridCol w:w="1254"/>
      </w:tblGrid>
      <w:tr w:rsidR="00030089" w:rsidRPr="007F59C8" w14:paraId="22EBEF94" w14:textId="77777777" w:rsidTr="008547F7">
        <w:trPr>
          <w:trHeight w:hRule="exact" w:val="1247"/>
        </w:trPr>
        <w:tc>
          <w:tcPr>
            <w:tcW w:w="2631" w:type="dxa"/>
            <w:shd w:val="pct10" w:color="auto" w:fill="auto"/>
          </w:tcPr>
          <w:p w14:paraId="50EFA810" w14:textId="77777777" w:rsidR="00030089" w:rsidRPr="007F59C8" w:rsidRDefault="00030089" w:rsidP="008547F7">
            <w:pPr>
              <w:spacing w:line="360" w:lineRule="auto"/>
              <w:rPr>
                <w:rFonts w:ascii="Arial" w:hAnsi="Arial" w:cs="Arial"/>
                <w:sz w:val="20"/>
                <w:szCs w:val="20"/>
              </w:rPr>
            </w:pPr>
          </w:p>
        </w:tc>
        <w:tc>
          <w:tcPr>
            <w:tcW w:w="1505" w:type="dxa"/>
            <w:shd w:val="pct10" w:color="auto" w:fill="auto"/>
          </w:tcPr>
          <w:p w14:paraId="150F56CA" w14:textId="77777777" w:rsidR="00030089" w:rsidRPr="007F59C8" w:rsidRDefault="00030089" w:rsidP="008547F7">
            <w:pPr>
              <w:spacing w:line="360" w:lineRule="auto"/>
              <w:jc w:val="right"/>
              <w:rPr>
                <w:rFonts w:ascii="Arial" w:hAnsi="Arial" w:cs="Arial"/>
                <w:b/>
                <w:sz w:val="20"/>
                <w:szCs w:val="20"/>
              </w:rPr>
            </w:pPr>
            <w:r w:rsidRPr="007F59C8">
              <w:rPr>
                <w:rFonts w:ascii="Arial" w:hAnsi="Arial" w:cs="Arial"/>
                <w:b/>
                <w:sz w:val="18"/>
                <w:szCs w:val="20"/>
              </w:rPr>
              <w:t>Estimated full time litter clean up jobs</w:t>
            </w:r>
          </w:p>
        </w:tc>
        <w:tc>
          <w:tcPr>
            <w:tcW w:w="1648" w:type="dxa"/>
            <w:shd w:val="pct10" w:color="auto" w:fill="auto"/>
          </w:tcPr>
          <w:p w14:paraId="08814938" w14:textId="77777777" w:rsidR="00030089" w:rsidRPr="007F59C8" w:rsidRDefault="00030089" w:rsidP="008547F7">
            <w:pPr>
              <w:spacing w:line="360" w:lineRule="auto"/>
              <w:jc w:val="right"/>
              <w:rPr>
                <w:rFonts w:ascii="Arial" w:hAnsi="Arial" w:cs="Arial"/>
                <w:b/>
                <w:sz w:val="18"/>
                <w:szCs w:val="20"/>
              </w:rPr>
            </w:pPr>
            <w:r w:rsidRPr="007F59C8">
              <w:rPr>
                <w:rFonts w:ascii="Arial" w:hAnsi="Arial" w:cs="Arial"/>
                <w:b/>
                <w:sz w:val="18"/>
                <w:szCs w:val="20"/>
              </w:rPr>
              <w:t>Salaries at $45,000 per annum</w:t>
            </w:r>
          </w:p>
        </w:tc>
        <w:tc>
          <w:tcPr>
            <w:tcW w:w="1484" w:type="dxa"/>
            <w:shd w:val="pct10" w:color="auto" w:fill="auto"/>
          </w:tcPr>
          <w:p w14:paraId="62E2A7E8" w14:textId="77777777" w:rsidR="00030089" w:rsidRPr="007F59C8" w:rsidRDefault="00030089" w:rsidP="008547F7">
            <w:pPr>
              <w:spacing w:line="360" w:lineRule="auto"/>
              <w:jc w:val="right"/>
              <w:rPr>
                <w:rFonts w:ascii="Arial" w:hAnsi="Arial" w:cs="Arial"/>
                <w:b/>
                <w:sz w:val="18"/>
                <w:szCs w:val="20"/>
              </w:rPr>
            </w:pPr>
            <w:r w:rsidRPr="007F59C8">
              <w:rPr>
                <w:rFonts w:ascii="Arial" w:hAnsi="Arial" w:cs="Arial"/>
                <w:b/>
                <w:sz w:val="18"/>
                <w:szCs w:val="20"/>
              </w:rPr>
              <w:t>Full time NT</w:t>
            </w:r>
            <w:r>
              <w:rPr>
                <w:rFonts w:ascii="Arial" w:hAnsi="Arial" w:cs="Arial"/>
                <w:b/>
                <w:sz w:val="18"/>
                <w:szCs w:val="20"/>
              </w:rPr>
              <w:t xml:space="preserve"> </w:t>
            </w:r>
            <w:r w:rsidRPr="007F59C8">
              <w:rPr>
                <w:rFonts w:ascii="Arial" w:hAnsi="Arial" w:cs="Arial"/>
                <w:b/>
                <w:sz w:val="18"/>
                <w:szCs w:val="20"/>
              </w:rPr>
              <w:t>G</w:t>
            </w:r>
            <w:r>
              <w:rPr>
                <w:rFonts w:ascii="Arial" w:hAnsi="Arial" w:cs="Arial"/>
                <w:b/>
                <w:sz w:val="18"/>
                <w:szCs w:val="20"/>
              </w:rPr>
              <w:t>ov,</w:t>
            </w:r>
            <w:r w:rsidRPr="007F59C8">
              <w:rPr>
                <w:rFonts w:ascii="Arial" w:hAnsi="Arial" w:cs="Arial"/>
                <w:b/>
                <w:sz w:val="18"/>
                <w:szCs w:val="20"/>
              </w:rPr>
              <w:t xml:space="preserve"> NT Litter Act enforcement officers</w:t>
            </w:r>
          </w:p>
        </w:tc>
        <w:tc>
          <w:tcPr>
            <w:tcW w:w="1254" w:type="dxa"/>
            <w:shd w:val="pct10" w:color="auto" w:fill="auto"/>
          </w:tcPr>
          <w:p w14:paraId="2C5062D2" w14:textId="77777777" w:rsidR="00030089" w:rsidRPr="007F59C8" w:rsidRDefault="00030089" w:rsidP="008547F7">
            <w:pPr>
              <w:spacing w:line="360" w:lineRule="auto"/>
              <w:jc w:val="right"/>
              <w:rPr>
                <w:rFonts w:ascii="Arial" w:hAnsi="Arial" w:cs="Arial"/>
                <w:b/>
                <w:sz w:val="18"/>
                <w:szCs w:val="20"/>
              </w:rPr>
            </w:pPr>
            <w:r w:rsidRPr="007F59C8">
              <w:rPr>
                <w:rFonts w:ascii="Arial" w:hAnsi="Arial" w:cs="Arial"/>
                <w:b/>
                <w:sz w:val="18"/>
                <w:szCs w:val="20"/>
              </w:rPr>
              <w:t>Salaries at $90,000 per annum</w:t>
            </w:r>
          </w:p>
        </w:tc>
      </w:tr>
      <w:tr w:rsidR="00030089" w:rsidRPr="007F59C8" w14:paraId="5B976E92" w14:textId="77777777" w:rsidTr="008547F7">
        <w:tc>
          <w:tcPr>
            <w:tcW w:w="2631" w:type="dxa"/>
          </w:tcPr>
          <w:p w14:paraId="5052B9B6" w14:textId="77777777" w:rsidR="00030089" w:rsidRPr="007F59C8" w:rsidRDefault="00030089" w:rsidP="008547F7">
            <w:pPr>
              <w:spacing w:line="360" w:lineRule="auto"/>
              <w:rPr>
                <w:rFonts w:ascii="Arial" w:hAnsi="Arial" w:cs="Arial"/>
                <w:b/>
                <w:sz w:val="20"/>
                <w:szCs w:val="20"/>
              </w:rPr>
            </w:pPr>
            <w:r w:rsidRPr="007F59C8">
              <w:rPr>
                <w:rFonts w:ascii="Arial" w:hAnsi="Arial" w:cs="Arial"/>
                <w:b/>
                <w:sz w:val="18"/>
                <w:szCs w:val="20"/>
              </w:rPr>
              <w:t>Darwin/Palmerston</w:t>
            </w:r>
          </w:p>
        </w:tc>
        <w:tc>
          <w:tcPr>
            <w:tcW w:w="1505" w:type="dxa"/>
            <w:shd w:val="clear" w:color="auto" w:fill="FFFFFF" w:themeFill="background1"/>
          </w:tcPr>
          <w:p w14:paraId="10AB56C2" w14:textId="77777777" w:rsidR="00030089" w:rsidRPr="007F59C8" w:rsidRDefault="00030089" w:rsidP="008547F7">
            <w:pPr>
              <w:spacing w:line="360" w:lineRule="auto"/>
              <w:jc w:val="right"/>
              <w:rPr>
                <w:rFonts w:ascii="Arial" w:hAnsi="Arial" w:cs="Arial"/>
                <w:sz w:val="20"/>
                <w:szCs w:val="20"/>
              </w:rPr>
            </w:pPr>
            <w:r w:rsidRPr="007F59C8">
              <w:rPr>
                <w:rFonts w:ascii="Arial" w:hAnsi="Arial" w:cs="Arial"/>
                <w:sz w:val="18"/>
                <w:szCs w:val="20"/>
              </w:rPr>
              <w:t>4</w:t>
            </w:r>
          </w:p>
        </w:tc>
        <w:tc>
          <w:tcPr>
            <w:tcW w:w="1648" w:type="dxa"/>
            <w:shd w:val="clear" w:color="auto" w:fill="FFFFFF" w:themeFill="background1"/>
          </w:tcPr>
          <w:p w14:paraId="182C0993"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180 000</w:t>
            </w:r>
          </w:p>
        </w:tc>
        <w:tc>
          <w:tcPr>
            <w:tcW w:w="1484" w:type="dxa"/>
            <w:shd w:val="clear" w:color="auto" w:fill="FFFFFF" w:themeFill="background1"/>
          </w:tcPr>
          <w:p w14:paraId="6C780F9C"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4</w:t>
            </w:r>
          </w:p>
        </w:tc>
        <w:tc>
          <w:tcPr>
            <w:tcW w:w="1254" w:type="dxa"/>
            <w:shd w:val="clear" w:color="auto" w:fill="FFFFFF" w:themeFill="background1"/>
          </w:tcPr>
          <w:p w14:paraId="54FBD140"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$360 000</w:t>
            </w:r>
          </w:p>
        </w:tc>
      </w:tr>
      <w:tr w:rsidR="00030089" w:rsidRPr="007F59C8" w14:paraId="15D60A7A" w14:textId="77777777" w:rsidTr="008547F7">
        <w:tc>
          <w:tcPr>
            <w:tcW w:w="2631" w:type="dxa"/>
          </w:tcPr>
          <w:p w14:paraId="5B79CD93" w14:textId="77777777" w:rsidR="00030089" w:rsidRPr="007F59C8" w:rsidRDefault="00030089" w:rsidP="008547F7">
            <w:pPr>
              <w:spacing w:line="360" w:lineRule="auto"/>
              <w:rPr>
                <w:rFonts w:ascii="Arial" w:hAnsi="Arial" w:cs="Arial"/>
                <w:b/>
                <w:sz w:val="20"/>
                <w:szCs w:val="20"/>
              </w:rPr>
            </w:pPr>
            <w:r w:rsidRPr="007F59C8">
              <w:rPr>
                <w:rFonts w:ascii="Arial" w:hAnsi="Arial" w:cs="Arial"/>
                <w:b/>
                <w:sz w:val="18"/>
                <w:szCs w:val="20"/>
              </w:rPr>
              <w:t>Nhulunbuy</w:t>
            </w:r>
          </w:p>
        </w:tc>
        <w:tc>
          <w:tcPr>
            <w:tcW w:w="1505" w:type="dxa"/>
            <w:shd w:val="clear" w:color="auto" w:fill="FFFFFF" w:themeFill="background1"/>
          </w:tcPr>
          <w:p w14:paraId="6AD067E0" w14:textId="77777777" w:rsidR="00030089" w:rsidRPr="007F59C8" w:rsidRDefault="00030089" w:rsidP="008547F7">
            <w:pPr>
              <w:spacing w:line="360" w:lineRule="auto"/>
              <w:jc w:val="right"/>
              <w:rPr>
                <w:rFonts w:ascii="Arial" w:hAnsi="Arial" w:cs="Arial"/>
                <w:sz w:val="20"/>
                <w:szCs w:val="20"/>
              </w:rPr>
            </w:pPr>
            <w:r w:rsidRPr="007F59C8">
              <w:rPr>
                <w:rFonts w:ascii="Arial" w:hAnsi="Arial" w:cs="Arial"/>
                <w:sz w:val="18"/>
                <w:szCs w:val="20"/>
              </w:rPr>
              <w:t>.5</w:t>
            </w:r>
          </w:p>
        </w:tc>
        <w:tc>
          <w:tcPr>
            <w:tcW w:w="1648" w:type="dxa"/>
            <w:shd w:val="clear" w:color="auto" w:fill="FFFFFF" w:themeFill="background1"/>
          </w:tcPr>
          <w:p w14:paraId="582DF6A8"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22 500</w:t>
            </w:r>
          </w:p>
        </w:tc>
        <w:tc>
          <w:tcPr>
            <w:tcW w:w="1484" w:type="dxa"/>
            <w:shd w:val="clear" w:color="auto" w:fill="FFFFFF" w:themeFill="background1"/>
          </w:tcPr>
          <w:p w14:paraId="765C75A7"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.5</w:t>
            </w:r>
          </w:p>
        </w:tc>
        <w:tc>
          <w:tcPr>
            <w:tcW w:w="1254" w:type="dxa"/>
            <w:shd w:val="clear" w:color="auto" w:fill="FFFFFF" w:themeFill="background1"/>
          </w:tcPr>
          <w:p w14:paraId="541A73B7"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$45 000</w:t>
            </w:r>
          </w:p>
        </w:tc>
      </w:tr>
      <w:tr w:rsidR="00030089" w:rsidRPr="007F59C8" w14:paraId="37126F63" w14:textId="77777777" w:rsidTr="008547F7">
        <w:tc>
          <w:tcPr>
            <w:tcW w:w="2631" w:type="dxa"/>
          </w:tcPr>
          <w:p w14:paraId="4F5C9960" w14:textId="77777777" w:rsidR="00030089" w:rsidRPr="007F59C8" w:rsidRDefault="00030089" w:rsidP="008547F7">
            <w:pPr>
              <w:spacing w:line="360" w:lineRule="auto"/>
              <w:rPr>
                <w:rFonts w:ascii="Arial" w:hAnsi="Arial" w:cs="Arial"/>
                <w:b/>
                <w:sz w:val="20"/>
                <w:szCs w:val="20"/>
              </w:rPr>
            </w:pPr>
            <w:r w:rsidRPr="007F59C8">
              <w:rPr>
                <w:rFonts w:ascii="Arial" w:hAnsi="Arial" w:cs="Arial"/>
                <w:b/>
                <w:sz w:val="18"/>
                <w:szCs w:val="20"/>
              </w:rPr>
              <w:t>Katherine</w:t>
            </w:r>
          </w:p>
        </w:tc>
        <w:tc>
          <w:tcPr>
            <w:tcW w:w="1505" w:type="dxa"/>
            <w:shd w:val="clear" w:color="auto" w:fill="FFFFFF" w:themeFill="background1"/>
          </w:tcPr>
          <w:p w14:paraId="2E74D46A" w14:textId="77777777" w:rsidR="00030089" w:rsidRPr="007F59C8" w:rsidRDefault="00030089" w:rsidP="008547F7">
            <w:pPr>
              <w:spacing w:line="360" w:lineRule="auto"/>
              <w:jc w:val="right"/>
              <w:rPr>
                <w:rFonts w:ascii="Arial" w:hAnsi="Arial" w:cs="Arial"/>
                <w:sz w:val="20"/>
                <w:szCs w:val="20"/>
              </w:rPr>
            </w:pPr>
            <w:r w:rsidRPr="007F59C8">
              <w:rPr>
                <w:rFonts w:ascii="Arial" w:hAnsi="Arial" w:cs="Arial"/>
                <w:sz w:val="18"/>
                <w:szCs w:val="20"/>
              </w:rPr>
              <w:t>1</w:t>
            </w:r>
          </w:p>
        </w:tc>
        <w:tc>
          <w:tcPr>
            <w:tcW w:w="1648" w:type="dxa"/>
            <w:shd w:val="clear" w:color="auto" w:fill="FFFFFF" w:themeFill="background1"/>
          </w:tcPr>
          <w:p w14:paraId="5305A67F"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45 000</w:t>
            </w:r>
          </w:p>
        </w:tc>
        <w:tc>
          <w:tcPr>
            <w:tcW w:w="1484" w:type="dxa"/>
            <w:shd w:val="clear" w:color="auto" w:fill="FFFFFF" w:themeFill="background1"/>
          </w:tcPr>
          <w:p w14:paraId="1AD134A0"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1</w:t>
            </w:r>
          </w:p>
        </w:tc>
        <w:tc>
          <w:tcPr>
            <w:tcW w:w="1254" w:type="dxa"/>
            <w:shd w:val="clear" w:color="auto" w:fill="FFFFFF" w:themeFill="background1"/>
          </w:tcPr>
          <w:p w14:paraId="66DC9379"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$90 000</w:t>
            </w:r>
          </w:p>
        </w:tc>
      </w:tr>
      <w:tr w:rsidR="00030089" w:rsidRPr="007F59C8" w14:paraId="268167FD" w14:textId="77777777" w:rsidTr="008547F7">
        <w:tc>
          <w:tcPr>
            <w:tcW w:w="2631" w:type="dxa"/>
          </w:tcPr>
          <w:p w14:paraId="5947E80E" w14:textId="77777777" w:rsidR="00030089" w:rsidRPr="007F59C8" w:rsidRDefault="00030089" w:rsidP="008547F7">
            <w:pPr>
              <w:spacing w:line="360" w:lineRule="auto"/>
              <w:rPr>
                <w:rFonts w:ascii="Arial" w:hAnsi="Arial" w:cs="Arial"/>
                <w:b/>
                <w:sz w:val="20"/>
                <w:szCs w:val="20"/>
              </w:rPr>
            </w:pPr>
            <w:r w:rsidRPr="007F59C8">
              <w:rPr>
                <w:rFonts w:ascii="Arial" w:hAnsi="Arial" w:cs="Arial"/>
                <w:b/>
                <w:sz w:val="18"/>
                <w:szCs w:val="20"/>
              </w:rPr>
              <w:t>Tennant Creek</w:t>
            </w:r>
          </w:p>
        </w:tc>
        <w:tc>
          <w:tcPr>
            <w:tcW w:w="1505" w:type="dxa"/>
            <w:shd w:val="clear" w:color="auto" w:fill="FFFFFF" w:themeFill="background1"/>
          </w:tcPr>
          <w:p w14:paraId="369E38AE" w14:textId="77777777" w:rsidR="00030089" w:rsidRPr="007F59C8" w:rsidRDefault="00030089" w:rsidP="008547F7">
            <w:pPr>
              <w:spacing w:line="360" w:lineRule="auto"/>
              <w:jc w:val="right"/>
              <w:rPr>
                <w:rFonts w:ascii="Arial" w:hAnsi="Arial" w:cs="Arial"/>
                <w:sz w:val="20"/>
                <w:szCs w:val="20"/>
              </w:rPr>
            </w:pPr>
            <w:r w:rsidRPr="007F59C8">
              <w:rPr>
                <w:rFonts w:ascii="Arial" w:hAnsi="Arial" w:cs="Arial"/>
                <w:sz w:val="18"/>
                <w:szCs w:val="20"/>
              </w:rPr>
              <w:t>.5</w:t>
            </w:r>
          </w:p>
        </w:tc>
        <w:tc>
          <w:tcPr>
            <w:tcW w:w="1648" w:type="dxa"/>
            <w:shd w:val="clear" w:color="auto" w:fill="FFFFFF" w:themeFill="background1"/>
          </w:tcPr>
          <w:p w14:paraId="6EF12BA6"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22 500</w:t>
            </w:r>
          </w:p>
        </w:tc>
        <w:tc>
          <w:tcPr>
            <w:tcW w:w="1484" w:type="dxa"/>
            <w:shd w:val="clear" w:color="auto" w:fill="FFFFFF" w:themeFill="background1"/>
          </w:tcPr>
          <w:p w14:paraId="3524613D"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.5</w:t>
            </w:r>
          </w:p>
        </w:tc>
        <w:tc>
          <w:tcPr>
            <w:tcW w:w="1254" w:type="dxa"/>
            <w:shd w:val="clear" w:color="auto" w:fill="FFFFFF" w:themeFill="background1"/>
          </w:tcPr>
          <w:p w14:paraId="4FB32438"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$45 000</w:t>
            </w:r>
          </w:p>
        </w:tc>
      </w:tr>
      <w:tr w:rsidR="00030089" w:rsidRPr="007F59C8" w14:paraId="103BABC9" w14:textId="77777777" w:rsidTr="008547F7">
        <w:tc>
          <w:tcPr>
            <w:tcW w:w="2631" w:type="dxa"/>
          </w:tcPr>
          <w:p w14:paraId="4D7F211D" w14:textId="77777777" w:rsidR="00030089" w:rsidRPr="007F59C8" w:rsidRDefault="00030089" w:rsidP="008547F7">
            <w:pPr>
              <w:spacing w:line="360" w:lineRule="auto"/>
              <w:rPr>
                <w:rFonts w:ascii="Arial" w:hAnsi="Arial" w:cs="Arial"/>
                <w:b/>
                <w:sz w:val="20"/>
                <w:szCs w:val="20"/>
              </w:rPr>
            </w:pPr>
            <w:r w:rsidRPr="007F59C8">
              <w:rPr>
                <w:rFonts w:ascii="Arial" w:hAnsi="Arial" w:cs="Arial"/>
                <w:b/>
                <w:sz w:val="18"/>
                <w:szCs w:val="20"/>
              </w:rPr>
              <w:t>Alice Springs</w:t>
            </w:r>
          </w:p>
        </w:tc>
        <w:tc>
          <w:tcPr>
            <w:tcW w:w="1505" w:type="dxa"/>
            <w:shd w:val="clear" w:color="auto" w:fill="FFFFFF" w:themeFill="background1"/>
          </w:tcPr>
          <w:p w14:paraId="212624F6" w14:textId="77777777" w:rsidR="00030089" w:rsidRPr="007F59C8" w:rsidRDefault="00030089" w:rsidP="008547F7">
            <w:pPr>
              <w:spacing w:line="360" w:lineRule="auto"/>
              <w:jc w:val="right"/>
              <w:rPr>
                <w:rFonts w:ascii="Arial" w:hAnsi="Arial" w:cs="Arial"/>
                <w:sz w:val="20"/>
                <w:szCs w:val="20"/>
              </w:rPr>
            </w:pPr>
            <w:r w:rsidRPr="007F59C8">
              <w:rPr>
                <w:rFonts w:ascii="Arial" w:hAnsi="Arial" w:cs="Arial"/>
                <w:sz w:val="18"/>
                <w:szCs w:val="20"/>
              </w:rPr>
              <w:t>2</w:t>
            </w:r>
          </w:p>
        </w:tc>
        <w:tc>
          <w:tcPr>
            <w:tcW w:w="1648" w:type="dxa"/>
            <w:shd w:val="clear" w:color="auto" w:fill="FFFFFF" w:themeFill="background1"/>
          </w:tcPr>
          <w:p w14:paraId="4F64B986"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90 000</w:t>
            </w:r>
          </w:p>
        </w:tc>
        <w:tc>
          <w:tcPr>
            <w:tcW w:w="1484" w:type="dxa"/>
            <w:shd w:val="clear" w:color="auto" w:fill="FFFFFF" w:themeFill="background1"/>
          </w:tcPr>
          <w:p w14:paraId="662E2072"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2</w:t>
            </w:r>
          </w:p>
        </w:tc>
        <w:tc>
          <w:tcPr>
            <w:tcW w:w="1254" w:type="dxa"/>
            <w:shd w:val="clear" w:color="auto" w:fill="FFFFFF" w:themeFill="background1"/>
          </w:tcPr>
          <w:p w14:paraId="129F9C4B"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$180 000</w:t>
            </w:r>
          </w:p>
        </w:tc>
      </w:tr>
      <w:tr w:rsidR="00030089" w:rsidRPr="007F59C8" w14:paraId="2C63855C" w14:textId="77777777" w:rsidTr="008547F7">
        <w:tc>
          <w:tcPr>
            <w:tcW w:w="2631" w:type="dxa"/>
          </w:tcPr>
          <w:p w14:paraId="5C39FCE2" w14:textId="77777777" w:rsidR="00030089" w:rsidRPr="007F59C8" w:rsidRDefault="00030089" w:rsidP="008547F7">
            <w:pPr>
              <w:spacing w:line="360" w:lineRule="auto"/>
              <w:rPr>
                <w:rFonts w:ascii="Arial" w:hAnsi="Arial" w:cs="Arial"/>
                <w:b/>
                <w:sz w:val="20"/>
                <w:szCs w:val="20"/>
              </w:rPr>
            </w:pPr>
            <w:r w:rsidRPr="007F59C8">
              <w:rPr>
                <w:rFonts w:ascii="Arial" w:hAnsi="Arial" w:cs="Arial"/>
                <w:b/>
                <w:sz w:val="18"/>
                <w:szCs w:val="20"/>
              </w:rPr>
              <w:t>Total</w:t>
            </w:r>
          </w:p>
        </w:tc>
        <w:tc>
          <w:tcPr>
            <w:tcW w:w="1505" w:type="dxa"/>
            <w:shd w:val="clear" w:color="auto" w:fill="FFFFFF" w:themeFill="background1"/>
          </w:tcPr>
          <w:p w14:paraId="37A75327" w14:textId="77777777" w:rsidR="00030089" w:rsidRPr="007F59C8" w:rsidRDefault="00030089" w:rsidP="008547F7">
            <w:pPr>
              <w:spacing w:line="360" w:lineRule="auto"/>
              <w:jc w:val="right"/>
              <w:rPr>
                <w:rFonts w:ascii="Arial" w:hAnsi="Arial" w:cs="Arial"/>
                <w:sz w:val="20"/>
                <w:szCs w:val="20"/>
              </w:rPr>
            </w:pPr>
            <w:r w:rsidRPr="007F59C8">
              <w:rPr>
                <w:rFonts w:ascii="Arial" w:hAnsi="Arial" w:cs="Arial"/>
                <w:sz w:val="18"/>
                <w:szCs w:val="20"/>
              </w:rPr>
              <w:t>8</w:t>
            </w:r>
          </w:p>
        </w:tc>
        <w:tc>
          <w:tcPr>
            <w:tcW w:w="1648" w:type="dxa"/>
            <w:shd w:val="clear" w:color="auto" w:fill="FFFFFF" w:themeFill="background1"/>
          </w:tcPr>
          <w:p w14:paraId="292DCBF9"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$360 000</w:t>
            </w:r>
          </w:p>
        </w:tc>
        <w:tc>
          <w:tcPr>
            <w:tcW w:w="1484" w:type="dxa"/>
            <w:shd w:val="clear" w:color="auto" w:fill="FFFFFF" w:themeFill="background1"/>
          </w:tcPr>
          <w:p w14:paraId="5CF6C9E6"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8</w:t>
            </w:r>
          </w:p>
        </w:tc>
        <w:tc>
          <w:tcPr>
            <w:tcW w:w="1254" w:type="dxa"/>
            <w:shd w:val="clear" w:color="auto" w:fill="FFFFFF" w:themeFill="background1"/>
          </w:tcPr>
          <w:p w14:paraId="02AC7079" w14:textId="77777777" w:rsidR="00030089" w:rsidRPr="007F59C8" w:rsidRDefault="00030089" w:rsidP="008547F7">
            <w:pPr>
              <w:spacing w:line="360" w:lineRule="auto"/>
              <w:jc w:val="right"/>
              <w:rPr>
                <w:rFonts w:ascii="Arial" w:hAnsi="Arial" w:cs="Arial"/>
                <w:sz w:val="18"/>
                <w:szCs w:val="20"/>
              </w:rPr>
            </w:pPr>
            <w:r w:rsidRPr="007F59C8">
              <w:rPr>
                <w:rFonts w:ascii="Arial" w:hAnsi="Arial" w:cs="Arial"/>
                <w:sz w:val="18"/>
                <w:szCs w:val="20"/>
              </w:rPr>
              <w:t>$720 000</w:t>
            </w:r>
          </w:p>
        </w:tc>
      </w:tr>
      <w:tr w:rsidR="00030089" w:rsidRPr="007F59C8" w14:paraId="72C9795F" w14:textId="77777777" w:rsidTr="008547F7">
        <w:tc>
          <w:tcPr>
            <w:tcW w:w="2631" w:type="dxa"/>
          </w:tcPr>
          <w:p w14:paraId="00FFE522" w14:textId="77777777" w:rsidR="00030089" w:rsidRPr="00274F1D" w:rsidRDefault="00030089" w:rsidP="008547F7">
            <w:pPr>
              <w:spacing w:line="360" w:lineRule="auto"/>
              <w:rPr>
                <w:rFonts w:ascii="Arial" w:hAnsi="Arial" w:cs="Arial"/>
                <w:b/>
                <w:sz w:val="18"/>
                <w:szCs w:val="20"/>
              </w:rPr>
            </w:pPr>
            <w:r w:rsidRPr="007F59C8">
              <w:rPr>
                <w:rFonts w:ascii="Arial" w:hAnsi="Arial" w:cs="Arial"/>
                <w:b/>
                <w:sz w:val="18"/>
                <w:szCs w:val="20"/>
              </w:rPr>
              <w:t>Total savings per annum</w:t>
            </w:r>
            <w:r>
              <w:rPr>
                <w:rStyle w:val="FootnoteReference"/>
                <w:rFonts w:ascii="Arial" w:hAnsi="Arial"/>
                <w:b/>
                <w:sz w:val="18"/>
                <w:szCs w:val="20"/>
              </w:rPr>
              <w:footnoteReference w:id="25"/>
            </w:r>
          </w:p>
        </w:tc>
        <w:tc>
          <w:tcPr>
            <w:tcW w:w="1505" w:type="dxa"/>
            <w:shd w:val="clear" w:color="auto" w:fill="FFFFFF" w:themeFill="background1"/>
          </w:tcPr>
          <w:p w14:paraId="7405F123" w14:textId="77777777" w:rsidR="00030089" w:rsidRPr="007F59C8" w:rsidRDefault="00030089" w:rsidP="008547F7">
            <w:pPr>
              <w:spacing w:line="360" w:lineRule="auto"/>
              <w:jc w:val="right"/>
              <w:rPr>
                <w:rFonts w:ascii="Arial" w:hAnsi="Arial" w:cs="Arial"/>
                <w:sz w:val="20"/>
                <w:szCs w:val="20"/>
              </w:rPr>
            </w:pPr>
            <w:r w:rsidRPr="007F59C8">
              <w:rPr>
                <w:rFonts w:ascii="Arial" w:hAnsi="Arial" w:cs="Arial"/>
                <w:sz w:val="18"/>
                <w:szCs w:val="20"/>
              </w:rPr>
              <w:t>1.2</w:t>
            </w:r>
            <w:r>
              <w:rPr>
                <w:rFonts w:ascii="Arial" w:hAnsi="Arial" w:cs="Arial"/>
                <w:sz w:val="18"/>
                <w:szCs w:val="20"/>
              </w:rPr>
              <w:t>72</w:t>
            </w:r>
          </w:p>
        </w:tc>
        <w:tc>
          <w:tcPr>
            <w:tcW w:w="1648" w:type="dxa"/>
            <w:shd w:val="clear" w:color="auto" w:fill="FFFFFF" w:themeFill="background1"/>
          </w:tcPr>
          <w:p w14:paraId="2300B6DE" w14:textId="77777777" w:rsidR="00030089" w:rsidRPr="00B02A80" w:rsidRDefault="00030089" w:rsidP="008547F7">
            <w:pPr>
              <w:spacing w:line="360" w:lineRule="auto"/>
              <w:jc w:val="right"/>
              <w:rPr>
                <w:rFonts w:ascii="Arial" w:hAnsi="Arial" w:cs="Arial"/>
                <w:sz w:val="18"/>
                <w:szCs w:val="20"/>
              </w:rPr>
            </w:pPr>
            <w:r w:rsidRPr="00B02A80">
              <w:rPr>
                <w:rFonts w:ascii="Arial" w:hAnsi="Arial" w:cs="Arial"/>
                <w:sz w:val="18"/>
                <w:szCs w:val="20"/>
              </w:rPr>
              <w:t>$57 240</w:t>
            </w:r>
          </w:p>
        </w:tc>
        <w:tc>
          <w:tcPr>
            <w:tcW w:w="1484" w:type="dxa"/>
            <w:shd w:val="clear" w:color="auto" w:fill="FFFFFF" w:themeFill="background1"/>
          </w:tcPr>
          <w:p w14:paraId="6D7417EC" w14:textId="77777777" w:rsidR="00030089" w:rsidRPr="00B02A80" w:rsidRDefault="00030089" w:rsidP="008547F7">
            <w:pPr>
              <w:spacing w:line="360" w:lineRule="auto"/>
              <w:jc w:val="right"/>
              <w:rPr>
                <w:rFonts w:ascii="Arial" w:hAnsi="Arial" w:cs="Arial"/>
                <w:sz w:val="18"/>
                <w:szCs w:val="20"/>
              </w:rPr>
            </w:pPr>
            <w:r w:rsidRPr="00B02A80">
              <w:rPr>
                <w:rFonts w:ascii="Arial" w:hAnsi="Arial" w:cs="Arial"/>
                <w:sz w:val="18"/>
                <w:szCs w:val="20"/>
              </w:rPr>
              <w:t>1.2</w:t>
            </w:r>
            <w:r>
              <w:rPr>
                <w:rFonts w:ascii="Arial" w:hAnsi="Arial" w:cs="Arial"/>
                <w:sz w:val="18"/>
                <w:szCs w:val="20"/>
              </w:rPr>
              <w:t>72</w:t>
            </w:r>
          </w:p>
        </w:tc>
        <w:tc>
          <w:tcPr>
            <w:tcW w:w="1254" w:type="dxa"/>
            <w:shd w:val="clear" w:color="auto" w:fill="FFFFFF" w:themeFill="background1"/>
          </w:tcPr>
          <w:p w14:paraId="19C69832" w14:textId="77777777" w:rsidR="00030089" w:rsidRPr="00B02A80" w:rsidRDefault="00030089" w:rsidP="008547F7">
            <w:pPr>
              <w:spacing w:line="360" w:lineRule="auto"/>
              <w:jc w:val="right"/>
              <w:rPr>
                <w:rFonts w:ascii="Arial" w:hAnsi="Arial" w:cs="Arial"/>
                <w:sz w:val="18"/>
                <w:szCs w:val="20"/>
              </w:rPr>
            </w:pPr>
            <w:r w:rsidRPr="00B02A80">
              <w:rPr>
                <w:rFonts w:ascii="Arial" w:hAnsi="Arial" w:cs="Arial"/>
                <w:sz w:val="18"/>
                <w:szCs w:val="20"/>
              </w:rPr>
              <w:t>$114 480</w:t>
            </w:r>
          </w:p>
        </w:tc>
      </w:tr>
      <w:tr w:rsidR="00030089" w:rsidRPr="007F59C8" w14:paraId="656A3662" w14:textId="77777777" w:rsidTr="008547F7">
        <w:tc>
          <w:tcPr>
            <w:tcW w:w="2631" w:type="dxa"/>
          </w:tcPr>
          <w:p w14:paraId="36422F18" w14:textId="77777777" w:rsidR="00030089" w:rsidRPr="007F59C8" w:rsidRDefault="00030089" w:rsidP="008547F7">
            <w:pPr>
              <w:spacing w:line="360" w:lineRule="auto"/>
              <w:rPr>
                <w:rFonts w:ascii="Arial" w:hAnsi="Arial" w:cs="Arial"/>
                <w:b/>
                <w:sz w:val="20"/>
                <w:szCs w:val="20"/>
              </w:rPr>
            </w:pPr>
            <w:r w:rsidRPr="007F59C8">
              <w:rPr>
                <w:rFonts w:ascii="Arial" w:hAnsi="Arial" w:cs="Arial"/>
                <w:b/>
                <w:sz w:val="20"/>
                <w:szCs w:val="20"/>
              </w:rPr>
              <w:t>TOTAL</w:t>
            </w:r>
            <w:r>
              <w:rPr>
                <w:rFonts w:ascii="Arial" w:hAnsi="Arial" w:cs="Arial"/>
                <w:b/>
                <w:sz w:val="20"/>
                <w:szCs w:val="20"/>
              </w:rPr>
              <w:t xml:space="preserve"> SALARY COSTS</w:t>
            </w:r>
          </w:p>
        </w:tc>
        <w:tc>
          <w:tcPr>
            <w:tcW w:w="5891" w:type="dxa"/>
            <w:gridSpan w:val="4"/>
          </w:tcPr>
          <w:p w14:paraId="24156FAE" w14:textId="77777777" w:rsidR="00030089" w:rsidRPr="007F59C8" w:rsidRDefault="00030089" w:rsidP="008547F7">
            <w:pPr>
              <w:spacing w:line="360" w:lineRule="auto"/>
              <w:jc w:val="right"/>
              <w:rPr>
                <w:rFonts w:ascii="Arial" w:hAnsi="Arial" w:cs="Arial"/>
                <w:b/>
                <w:sz w:val="18"/>
                <w:szCs w:val="20"/>
              </w:rPr>
            </w:pPr>
            <w:r w:rsidRPr="007F59C8">
              <w:rPr>
                <w:rFonts w:ascii="Arial" w:hAnsi="Arial" w:cs="Arial"/>
                <w:b/>
                <w:sz w:val="18"/>
                <w:szCs w:val="20"/>
              </w:rPr>
              <w:t>$171 720</w:t>
            </w:r>
          </w:p>
        </w:tc>
      </w:tr>
    </w:tbl>
    <w:p w14:paraId="36B53514" w14:textId="77777777" w:rsidR="00030089" w:rsidRPr="007F59C8" w:rsidRDefault="00030089" w:rsidP="00030089">
      <w:pPr>
        <w:spacing w:line="360" w:lineRule="auto"/>
        <w:rPr>
          <w:rFonts w:ascii="Arial" w:hAnsi="Arial" w:cs="Arial"/>
          <w:szCs w:val="28"/>
        </w:rPr>
      </w:pPr>
    </w:p>
    <w:p w14:paraId="60C2142F" w14:textId="77777777" w:rsidR="00030089" w:rsidRPr="007D3997" w:rsidRDefault="00030089" w:rsidP="00030089">
      <w:pPr>
        <w:spacing w:line="360" w:lineRule="auto"/>
        <w:jc w:val="both"/>
        <w:rPr>
          <w:rFonts w:ascii="Arial" w:hAnsi="Arial" w:cs="Arial"/>
          <w:szCs w:val="28"/>
        </w:rPr>
      </w:pPr>
      <w:r>
        <w:rPr>
          <w:rFonts w:ascii="Arial" w:hAnsi="Arial" w:cs="Arial"/>
          <w:szCs w:val="28"/>
        </w:rPr>
        <w:t>Lightweight plastic bags</w:t>
      </w:r>
      <w:r w:rsidRPr="007D3997">
        <w:rPr>
          <w:rFonts w:ascii="Arial" w:hAnsi="Arial" w:cs="Arial"/>
          <w:szCs w:val="28"/>
        </w:rPr>
        <w:t xml:space="preserve"> have now been almost removed from the litter stream with no subsequent rise in heavy duty carry bags. This would increase the litter reduction rate beyond the 15.9</w:t>
      </w:r>
      <w:r>
        <w:rPr>
          <w:rFonts w:ascii="Arial" w:hAnsi="Arial" w:cs="Arial"/>
          <w:szCs w:val="28"/>
        </w:rPr>
        <w:t xml:space="preserve"> per cent</w:t>
      </w:r>
      <w:r w:rsidRPr="007D3997">
        <w:rPr>
          <w:rFonts w:ascii="Arial" w:hAnsi="Arial" w:cs="Arial"/>
          <w:szCs w:val="28"/>
        </w:rPr>
        <w:t xml:space="preserve"> reduction resulting from the NT CDS.</w:t>
      </w:r>
    </w:p>
    <w:p w14:paraId="108D39B3" w14:textId="77777777" w:rsidR="00030089" w:rsidRPr="002421C2" w:rsidRDefault="00030089" w:rsidP="00030089">
      <w:pPr>
        <w:spacing w:line="360" w:lineRule="auto"/>
        <w:jc w:val="both"/>
        <w:rPr>
          <w:rFonts w:ascii="Arial" w:hAnsi="Arial" w:cs="Arial"/>
          <w:color w:val="0070C0"/>
          <w:szCs w:val="24"/>
        </w:rPr>
      </w:pPr>
      <w:r>
        <w:rPr>
          <w:rFonts w:ascii="Arial" w:hAnsi="Arial" w:cs="Arial"/>
          <w:szCs w:val="28"/>
        </w:rPr>
        <w:t>C</w:t>
      </w:r>
      <w:r w:rsidRPr="007F59C8">
        <w:rPr>
          <w:rFonts w:ascii="Arial" w:hAnsi="Arial" w:cs="Arial"/>
          <w:szCs w:val="28"/>
        </w:rPr>
        <w:t>ost reductions to litter clean-up costs during the first 12 months of the NT CDS’s operation are estimated to be $171</w:t>
      </w:r>
      <w:r>
        <w:rPr>
          <w:rFonts w:ascii="Arial" w:hAnsi="Arial" w:cs="Arial"/>
          <w:szCs w:val="28"/>
        </w:rPr>
        <w:t xml:space="preserve"> </w:t>
      </w:r>
      <w:r w:rsidRPr="002421C2">
        <w:rPr>
          <w:rFonts w:ascii="Arial" w:hAnsi="Arial" w:cs="Arial"/>
          <w:szCs w:val="28"/>
        </w:rPr>
        <w:t>720.</w:t>
      </w:r>
    </w:p>
    <w:p w14:paraId="14EB4DB7" w14:textId="77777777" w:rsidR="00030089" w:rsidRDefault="00030089" w:rsidP="00030089">
      <w:pPr>
        <w:spacing w:line="360" w:lineRule="auto"/>
        <w:jc w:val="both"/>
        <w:rPr>
          <w:rFonts w:ascii="Arial" w:hAnsi="Arial" w:cs="Arial"/>
          <w:szCs w:val="28"/>
        </w:rPr>
      </w:pPr>
      <w:r w:rsidRPr="002421C2">
        <w:rPr>
          <w:rFonts w:ascii="Arial" w:hAnsi="Arial" w:cs="Arial"/>
          <w:b/>
          <w:szCs w:val="28"/>
        </w:rPr>
        <w:t xml:space="preserve">Environmental Benefit of Recycling </w:t>
      </w:r>
      <w:r w:rsidRPr="002421C2">
        <w:rPr>
          <w:rFonts w:ascii="Arial" w:hAnsi="Arial" w:cs="Arial"/>
          <w:szCs w:val="28"/>
        </w:rPr>
        <w:t>As noted in Table 4.10 an additional 2</w:t>
      </w:r>
      <w:r>
        <w:rPr>
          <w:rFonts w:ascii="Arial" w:hAnsi="Arial" w:cs="Arial"/>
          <w:szCs w:val="28"/>
        </w:rPr>
        <w:t xml:space="preserve"> 472</w:t>
      </w:r>
      <w:r w:rsidRPr="002421C2">
        <w:rPr>
          <w:rFonts w:ascii="Arial" w:hAnsi="Arial" w:cs="Arial"/>
          <w:szCs w:val="28"/>
        </w:rPr>
        <w:t xml:space="preserve"> tonnes of beverage containers were diverted from landfill in the first year of the</w:t>
      </w:r>
      <w:r w:rsidRPr="00B740E0">
        <w:rPr>
          <w:rFonts w:ascii="Arial" w:hAnsi="Arial" w:cs="Arial"/>
          <w:szCs w:val="28"/>
        </w:rPr>
        <w:t xml:space="preserve"> NT CDS’s operation. </w:t>
      </w:r>
      <w:r>
        <w:rPr>
          <w:rFonts w:ascii="Arial" w:hAnsi="Arial" w:cs="Arial"/>
          <w:szCs w:val="28"/>
        </w:rPr>
        <w:t>Table 4.23</w:t>
      </w:r>
      <w:r w:rsidRPr="00B740E0">
        <w:rPr>
          <w:rFonts w:ascii="Arial" w:hAnsi="Arial" w:cs="Arial"/>
          <w:szCs w:val="28"/>
        </w:rPr>
        <w:t xml:space="preserve"> incorporates estimates of the environmental benefits of recycling </w:t>
      </w:r>
      <w:r>
        <w:rPr>
          <w:rFonts w:ascii="Arial" w:hAnsi="Arial" w:cs="Arial"/>
          <w:szCs w:val="28"/>
        </w:rPr>
        <w:t>various materials (in terms of dollars</w:t>
      </w:r>
      <w:r w:rsidRPr="00B740E0">
        <w:rPr>
          <w:rFonts w:ascii="Arial" w:hAnsi="Arial" w:cs="Arial"/>
          <w:szCs w:val="28"/>
        </w:rPr>
        <w:t xml:space="preserve"> per tonne)</w:t>
      </w:r>
      <w:r w:rsidRPr="00B740E0">
        <w:rPr>
          <w:rStyle w:val="FootnoteReference"/>
          <w:rFonts w:ascii="Arial" w:hAnsi="Arial"/>
          <w:szCs w:val="28"/>
        </w:rPr>
        <w:footnoteReference w:id="26"/>
      </w:r>
      <w:r w:rsidRPr="00B740E0">
        <w:rPr>
          <w:rFonts w:ascii="Arial" w:hAnsi="Arial" w:cs="Arial"/>
          <w:szCs w:val="28"/>
        </w:rPr>
        <w:t xml:space="preserve">. </w:t>
      </w:r>
      <w:r>
        <w:rPr>
          <w:rFonts w:ascii="Arial" w:hAnsi="Arial" w:cs="Arial"/>
          <w:szCs w:val="28"/>
        </w:rPr>
        <w:t>T</w:t>
      </w:r>
      <w:r w:rsidRPr="00B740E0">
        <w:rPr>
          <w:rFonts w:ascii="Arial" w:hAnsi="Arial" w:cs="Arial"/>
          <w:szCs w:val="28"/>
        </w:rPr>
        <w:t>hese estimates are both conservative and likely to be further under</w:t>
      </w:r>
      <w:r>
        <w:rPr>
          <w:rFonts w:ascii="Arial" w:hAnsi="Arial" w:cs="Arial"/>
          <w:szCs w:val="28"/>
        </w:rPr>
        <w:t xml:space="preserve"> </w:t>
      </w:r>
      <w:r w:rsidRPr="00B740E0">
        <w:rPr>
          <w:rFonts w:ascii="Arial" w:hAnsi="Arial" w:cs="Arial"/>
          <w:szCs w:val="28"/>
        </w:rPr>
        <w:t xml:space="preserve">priced given they were produced in 2001. The data includes greenhouse gas output, embodied energy, embodied water and waste benefits from recycling as opposed to the use of virgin materials. The environmental benefit value of LPB is not included. </w:t>
      </w:r>
      <w:r>
        <w:rPr>
          <w:rFonts w:ascii="Arial" w:hAnsi="Arial" w:cs="Arial"/>
          <w:szCs w:val="28"/>
        </w:rPr>
        <w:t>Table 4.19</w:t>
      </w:r>
      <w:r w:rsidRPr="00B740E0">
        <w:rPr>
          <w:rFonts w:ascii="Arial" w:hAnsi="Arial" w:cs="Arial"/>
          <w:szCs w:val="28"/>
        </w:rPr>
        <w:t xml:space="preserve">’s estimates for PET and HDPE redemption by the NT CDS have been calculated on the basis of the proportions for these of the scheme’s operation as cited in the NT CDS </w:t>
      </w:r>
      <w:r>
        <w:rPr>
          <w:rFonts w:ascii="Arial" w:hAnsi="Arial" w:cs="Arial"/>
          <w:szCs w:val="28"/>
        </w:rPr>
        <w:t>Quarterly Reports</w:t>
      </w:r>
      <w:r w:rsidRPr="00B740E0">
        <w:rPr>
          <w:rStyle w:val="FootnoteReference"/>
          <w:rFonts w:ascii="Arial" w:hAnsi="Arial"/>
          <w:szCs w:val="28"/>
        </w:rPr>
        <w:footnoteReference w:id="27"/>
      </w:r>
      <w:r w:rsidRPr="00B740E0">
        <w:rPr>
          <w:rFonts w:ascii="Arial" w:hAnsi="Arial" w:cs="Arial"/>
          <w:szCs w:val="28"/>
        </w:rPr>
        <w:t>.</w:t>
      </w:r>
      <w:r>
        <w:rPr>
          <w:rFonts w:ascii="Arial" w:hAnsi="Arial" w:cs="Arial"/>
          <w:szCs w:val="28"/>
        </w:rPr>
        <w:t xml:space="preserve"> In summary, Table 4.19 reflects the environmental benefits that were accrued in the first 12 months of the NT CDS’s operation, with an estimated value of some </w:t>
      </w:r>
      <w:r w:rsidRPr="00A67D8F">
        <w:rPr>
          <w:rFonts w:ascii="Arial" w:hAnsi="Arial" w:cs="Arial"/>
          <w:szCs w:val="28"/>
        </w:rPr>
        <w:t>$</w:t>
      </w:r>
      <w:r w:rsidRPr="000729A4">
        <w:rPr>
          <w:rFonts w:ascii="Arial" w:hAnsi="Arial" w:cs="Arial"/>
          <w:szCs w:val="28"/>
        </w:rPr>
        <w:t xml:space="preserve">1 </w:t>
      </w:r>
      <w:r>
        <w:rPr>
          <w:rFonts w:ascii="Arial" w:hAnsi="Arial" w:cs="Arial"/>
          <w:szCs w:val="28"/>
        </w:rPr>
        <w:t>562 319.</w:t>
      </w:r>
    </w:p>
    <w:p w14:paraId="2211161C" w14:textId="77777777" w:rsidR="00030089" w:rsidRPr="00682556" w:rsidRDefault="00030089" w:rsidP="00030089">
      <w:pPr>
        <w:pStyle w:val="Caption"/>
        <w:keepNext/>
        <w:rPr>
          <w:noProof/>
          <w:color w:val="auto"/>
        </w:rPr>
      </w:pPr>
      <w:r w:rsidRPr="00682556">
        <w:rPr>
          <w:noProof/>
          <w:color w:val="auto"/>
        </w:rPr>
        <w:lastRenderedPageBreak/>
        <w:fldChar w:fldCharType="begin"/>
      </w:r>
      <w:r w:rsidRPr="00682556">
        <w:rPr>
          <w:noProof/>
          <w:color w:val="auto"/>
        </w:rPr>
        <w:instrText xml:space="preserve"> SEQ Figure \* ARABIC </w:instrText>
      </w:r>
      <w:r w:rsidRPr="00682556">
        <w:rPr>
          <w:noProof/>
          <w:color w:val="auto"/>
        </w:rPr>
        <w:fldChar w:fldCharType="separate"/>
      </w:r>
      <w:bookmarkStart w:id="244" w:name="_Toc353562514"/>
      <w:r w:rsidR="00740026">
        <w:rPr>
          <w:noProof/>
          <w:color w:val="auto"/>
        </w:rPr>
        <w:t>33</w:t>
      </w:r>
      <w:r w:rsidRPr="00682556">
        <w:rPr>
          <w:noProof/>
          <w:color w:val="auto"/>
        </w:rPr>
        <w:fldChar w:fldCharType="end"/>
      </w:r>
      <w:r w:rsidRPr="00682556">
        <w:rPr>
          <w:noProof/>
          <w:color w:val="auto"/>
        </w:rPr>
        <w:t xml:space="preserve"> Table 4.</w:t>
      </w:r>
      <w:r>
        <w:rPr>
          <w:noProof/>
          <w:color w:val="auto"/>
        </w:rPr>
        <w:t>23</w:t>
      </w:r>
      <w:r w:rsidRPr="00682556">
        <w:rPr>
          <w:noProof/>
          <w:color w:val="auto"/>
        </w:rPr>
        <w:t>: Environmental benefit of recycling increase generated by the NT CDS</w:t>
      </w:r>
      <w:bookmarkEnd w:id="244"/>
    </w:p>
    <w:tbl>
      <w:tblPr>
        <w:tblStyle w:val="TableGrid"/>
        <w:tblW w:w="8647" w:type="dxa"/>
        <w:tblInd w:w="108" w:type="dxa"/>
        <w:tblLayout w:type="fixed"/>
        <w:tblLook w:val="04A0" w:firstRow="1" w:lastRow="0" w:firstColumn="1" w:lastColumn="0" w:noHBand="0" w:noVBand="1"/>
      </w:tblPr>
      <w:tblGrid>
        <w:gridCol w:w="1441"/>
        <w:gridCol w:w="1441"/>
        <w:gridCol w:w="1441"/>
        <w:gridCol w:w="1441"/>
        <w:gridCol w:w="1441"/>
        <w:gridCol w:w="1442"/>
      </w:tblGrid>
      <w:tr w:rsidR="00030089" w:rsidRPr="00B740E0" w14:paraId="05896265" w14:textId="77777777" w:rsidTr="008547F7">
        <w:trPr>
          <w:trHeight w:hRule="exact" w:val="1191"/>
        </w:trPr>
        <w:tc>
          <w:tcPr>
            <w:tcW w:w="1441" w:type="dxa"/>
            <w:shd w:val="pct10" w:color="auto" w:fill="auto"/>
          </w:tcPr>
          <w:p w14:paraId="048A0598" w14:textId="77777777" w:rsidR="00030089" w:rsidRPr="00B740E0" w:rsidRDefault="00030089" w:rsidP="008547F7">
            <w:pPr>
              <w:spacing w:line="360" w:lineRule="auto"/>
              <w:rPr>
                <w:rFonts w:ascii="Arial" w:hAnsi="Arial" w:cs="Arial"/>
                <w:b/>
                <w:sz w:val="20"/>
                <w:szCs w:val="20"/>
              </w:rPr>
            </w:pPr>
            <w:r w:rsidRPr="00B740E0">
              <w:rPr>
                <w:rFonts w:ascii="Arial" w:hAnsi="Arial" w:cs="Arial"/>
                <w:b/>
                <w:sz w:val="18"/>
                <w:szCs w:val="20"/>
              </w:rPr>
              <w:t>Material</w:t>
            </w:r>
          </w:p>
        </w:tc>
        <w:tc>
          <w:tcPr>
            <w:tcW w:w="1441" w:type="dxa"/>
            <w:shd w:val="pct10" w:color="auto" w:fill="auto"/>
          </w:tcPr>
          <w:p w14:paraId="3E054E64" w14:textId="77777777" w:rsidR="00030089" w:rsidRPr="00B740E0" w:rsidRDefault="00030089" w:rsidP="008547F7">
            <w:pPr>
              <w:spacing w:line="360" w:lineRule="auto"/>
              <w:jc w:val="right"/>
              <w:rPr>
                <w:rFonts w:ascii="Arial" w:hAnsi="Arial" w:cs="Arial"/>
                <w:b/>
                <w:sz w:val="20"/>
                <w:szCs w:val="20"/>
              </w:rPr>
            </w:pPr>
            <w:r w:rsidRPr="00B740E0">
              <w:rPr>
                <w:rFonts w:ascii="Arial" w:hAnsi="Arial" w:cs="Arial"/>
                <w:b/>
                <w:sz w:val="18"/>
                <w:szCs w:val="20"/>
              </w:rPr>
              <w:t>Recycled material impact ($/tonne)</w:t>
            </w:r>
          </w:p>
        </w:tc>
        <w:tc>
          <w:tcPr>
            <w:tcW w:w="1441" w:type="dxa"/>
            <w:shd w:val="pct10" w:color="auto" w:fill="auto"/>
          </w:tcPr>
          <w:p w14:paraId="6C9D38AE" w14:textId="77777777" w:rsidR="00030089" w:rsidRPr="00B740E0" w:rsidRDefault="00030089" w:rsidP="008547F7">
            <w:pPr>
              <w:spacing w:line="360" w:lineRule="auto"/>
              <w:jc w:val="right"/>
              <w:rPr>
                <w:rFonts w:ascii="Arial" w:hAnsi="Arial" w:cs="Arial"/>
                <w:b/>
                <w:sz w:val="20"/>
                <w:szCs w:val="20"/>
              </w:rPr>
            </w:pPr>
            <w:r w:rsidRPr="00B740E0">
              <w:rPr>
                <w:rFonts w:ascii="Arial" w:hAnsi="Arial" w:cs="Arial"/>
                <w:b/>
                <w:sz w:val="18"/>
                <w:szCs w:val="20"/>
              </w:rPr>
              <w:t>Virgin material impact ($/tonne)</w:t>
            </w:r>
          </w:p>
        </w:tc>
        <w:tc>
          <w:tcPr>
            <w:tcW w:w="1441" w:type="dxa"/>
            <w:shd w:val="pct10" w:color="auto" w:fill="auto"/>
          </w:tcPr>
          <w:p w14:paraId="669449B2" w14:textId="77777777" w:rsidR="00030089" w:rsidRPr="00B740E0" w:rsidRDefault="00030089" w:rsidP="008547F7">
            <w:pPr>
              <w:spacing w:line="360" w:lineRule="auto"/>
              <w:jc w:val="right"/>
              <w:rPr>
                <w:rFonts w:ascii="Arial" w:hAnsi="Arial" w:cs="Arial"/>
                <w:b/>
                <w:sz w:val="20"/>
                <w:szCs w:val="20"/>
              </w:rPr>
            </w:pPr>
            <w:r w:rsidRPr="00B740E0">
              <w:rPr>
                <w:rFonts w:ascii="Arial" w:hAnsi="Arial" w:cs="Arial"/>
                <w:b/>
                <w:sz w:val="18"/>
                <w:szCs w:val="20"/>
              </w:rPr>
              <w:t>Recycling benefit ($/tonne)</w:t>
            </w:r>
          </w:p>
        </w:tc>
        <w:tc>
          <w:tcPr>
            <w:tcW w:w="1441" w:type="dxa"/>
            <w:shd w:val="pct10" w:color="auto" w:fill="auto"/>
          </w:tcPr>
          <w:p w14:paraId="61DC0D73" w14:textId="77777777" w:rsidR="00030089" w:rsidRPr="00B740E0" w:rsidRDefault="00030089" w:rsidP="008547F7">
            <w:pPr>
              <w:spacing w:line="360" w:lineRule="auto"/>
              <w:jc w:val="right"/>
              <w:rPr>
                <w:rFonts w:ascii="Arial" w:hAnsi="Arial" w:cs="Arial"/>
                <w:b/>
                <w:sz w:val="20"/>
                <w:szCs w:val="20"/>
              </w:rPr>
            </w:pPr>
            <w:r w:rsidRPr="00B740E0">
              <w:rPr>
                <w:rFonts w:ascii="Arial" w:hAnsi="Arial" w:cs="Arial"/>
                <w:b/>
                <w:sz w:val="18"/>
                <w:szCs w:val="20"/>
              </w:rPr>
              <w:t xml:space="preserve">NT CDS recycling increase at a </w:t>
            </w:r>
            <w:r>
              <w:rPr>
                <w:rFonts w:ascii="Arial" w:hAnsi="Arial" w:cs="Arial"/>
                <w:b/>
                <w:sz w:val="18"/>
                <w:szCs w:val="20"/>
              </w:rPr>
              <w:t>33.8</w:t>
            </w:r>
            <w:r w:rsidRPr="00B740E0">
              <w:rPr>
                <w:rFonts w:ascii="Arial" w:hAnsi="Arial" w:cs="Arial"/>
                <w:b/>
                <w:sz w:val="18"/>
                <w:szCs w:val="20"/>
              </w:rPr>
              <w:t xml:space="preserve">% </w:t>
            </w:r>
            <w:r>
              <w:rPr>
                <w:rFonts w:ascii="Arial" w:hAnsi="Arial" w:cs="Arial"/>
                <w:b/>
                <w:sz w:val="18"/>
                <w:szCs w:val="20"/>
              </w:rPr>
              <w:t>return</w:t>
            </w:r>
            <w:r w:rsidRPr="00B740E0">
              <w:rPr>
                <w:rFonts w:ascii="Arial" w:hAnsi="Arial" w:cs="Arial"/>
                <w:b/>
                <w:sz w:val="18"/>
                <w:szCs w:val="20"/>
              </w:rPr>
              <w:t xml:space="preserve"> rate (tonnes)</w:t>
            </w:r>
          </w:p>
        </w:tc>
        <w:tc>
          <w:tcPr>
            <w:tcW w:w="1442" w:type="dxa"/>
            <w:shd w:val="pct10" w:color="auto" w:fill="auto"/>
          </w:tcPr>
          <w:p w14:paraId="51FCE22C" w14:textId="77777777" w:rsidR="00030089" w:rsidRPr="00B740E0" w:rsidRDefault="00030089" w:rsidP="008547F7">
            <w:pPr>
              <w:spacing w:line="360" w:lineRule="auto"/>
              <w:jc w:val="right"/>
              <w:rPr>
                <w:rFonts w:ascii="Arial" w:hAnsi="Arial" w:cs="Arial"/>
                <w:b/>
                <w:sz w:val="18"/>
                <w:szCs w:val="20"/>
              </w:rPr>
            </w:pPr>
            <w:r w:rsidRPr="00B740E0">
              <w:rPr>
                <w:rFonts w:ascii="Arial" w:hAnsi="Arial" w:cs="Arial"/>
                <w:b/>
                <w:sz w:val="18"/>
                <w:szCs w:val="20"/>
              </w:rPr>
              <w:t>Recycling benefit</w:t>
            </w:r>
            <w:r>
              <w:rPr>
                <w:rFonts w:ascii="Arial" w:hAnsi="Arial" w:cs="Arial"/>
                <w:b/>
                <w:sz w:val="18"/>
                <w:szCs w:val="20"/>
              </w:rPr>
              <w:t xml:space="preserve"> </w:t>
            </w:r>
            <w:r w:rsidRPr="00B740E0">
              <w:rPr>
                <w:rFonts w:ascii="Arial" w:hAnsi="Arial" w:cs="Arial"/>
                <w:b/>
                <w:sz w:val="18"/>
                <w:szCs w:val="20"/>
              </w:rPr>
              <w:t xml:space="preserve">value at a </w:t>
            </w:r>
            <w:r>
              <w:rPr>
                <w:rFonts w:ascii="Arial" w:hAnsi="Arial" w:cs="Arial"/>
                <w:b/>
                <w:sz w:val="18"/>
                <w:szCs w:val="20"/>
              </w:rPr>
              <w:t>33.8</w:t>
            </w:r>
            <w:r w:rsidRPr="00B740E0">
              <w:rPr>
                <w:rFonts w:ascii="Arial" w:hAnsi="Arial" w:cs="Arial"/>
                <w:b/>
                <w:sz w:val="18"/>
                <w:szCs w:val="20"/>
              </w:rPr>
              <w:t xml:space="preserve">% </w:t>
            </w:r>
            <w:r>
              <w:rPr>
                <w:rFonts w:ascii="Arial" w:hAnsi="Arial" w:cs="Arial"/>
                <w:b/>
                <w:sz w:val="18"/>
                <w:szCs w:val="20"/>
              </w:rPr>
              <w:t>return</w:t>
            </w:r>
            <w:r w:rsidRPr="00B740E0">
              <w:rPr>
                <w:rFonts w:ascii="Arial" w:hAnsi="Arial" w:cs="Arial"/>
                <w:b/>
                <w:sz w:val="18"/>
                <w:szCs w:val="20"/>
              </w:rPr>
              <w:t xml:space="preserve"> rate ($)</w:t>
            </w:r>
          </w:p>
          <w:p w14:paraId="6D7D9350" w14:textId="77777777" w:rsidR="00030089" w:rsidRPr="00B740E0" w:rsidRDefault="00030089" w:rsidP="008547F7">
            <w:pPr>
              <w:spacing w:line="360" w:lineRule="auto"/>
              <w:jc w:val="right"/>
              <w:rPr>
                <w:rFonts w:ascii="Arial" w:hAnsi="Arial" w:cs="Arial"/>
                <w:b/>
                <w:sz w:val="20"/>
                <w:szCs w:val="20"/>
              </w:rPr>
            </w:pPr>
          </w:p>
        </w:tc>
      </w:tr>
      <w:tr w:rsidR="00030089" w:rsidRPr="00B740E0" w14:paraId="5A22AE28" w14:textId="77777777" w:rsidTr="008547F7">
        <w:tc>
          <w:tcPr>
            <w:tcW w:w="1441" w:type="dxa"/>
            <w:shd w:val="clear" w:color="auto" w:fill="auto"/>
          </w:tcPr>
          <w:p w14:paraId="0290799D" w14:textId="77777777" w:rsidR="00030089" w:rsidRPr="00B740E0" w:rsidRDefault="00030089" w:rsidP="008547F7">
            <w:pPr>
              <w:rPr>
                <w:rFonts w:ascii="Arial" w:hAnsi="Arial" w:cs="Arial"/>
                <w:b/>
                <w:sz w:val="20"/>
                <w:szCs w:val="20"/>
              </w:rPr>
            </w:pPr>
            <w:r>
              <w:rPr>
                <w:rFonts w:ascii="Arial" w:hAnsi="Arial" w:cs="Arial"/>
                <w:b/>
                <w:sz w:val="18"/>
                <w:szCs w:val="20"/>
              </w:rPr>
              <w:t>G</w:t>
            </w:r>
            <w:r w:rsidRPr="00B740E0">
              <w:rPr>
                <w:rFonts w:ascii="Arial" w:hAnsi="Arial" w:cs="Arial"/>
                <w:b/>
                <w:sz w:val="18"/>
                <w:szCs w:val="20"/>
              </w:rPr>
              <w:t>lass</w:t>
            </w:r>
          </w:p>
        </w:tc>
        <w:tc>
          <w:tcPr>
            <w:tcW w:w="1441" w:type="dxa"/>
          </w:tcPr>
          <w:p w14:paraId="7B9622FF" w14:textId="77777777" w:rsidR="00030089" w:rsidRPr="00B740E0" w:rsidRDefault="00030089" w:rsidP="008547F7">
            <w:pPr>
              <w:jc w:val="right"/>
              <w:rPr>
                <w:rFonts w:ascii="Arial" w:hAnsi="Arial" w:cs="Arial"/>
                <w:sz w:val="20"/>
                <w:szCs w:val="20"/>
              </w:rPr>
            </w:pPr>
            <w:r w:rsidRPr="00B740E0">
              <w:rPr>
                <w:rFonts w:ascii="Arial" w:hAnsi="Arial" w:cs="Arial"/>
                <w:sz w:val="18"/>
                <w:szCs w:val="20"/>
              </w:rPr>
              <w:t>84</w:t>
            </w:r>
          </w:p>
        </w:tc>
        <w:tc>
          <w:tcPr>
            <w:tcW w:w="1441" w:type="dxa"/>
          </w:tcPr>
          <w:p w14:paraId="49C97BDC" w14:textId="77777777" w:rsidR="00030089" w:rsidRPr="00B740E0" w:rsidRDefault="00030089" w:rsidP="008547F7">
            <w:pPr>
              <w:jc w:val="right"/>
              <w:rPr>
                <w:rFonts w:ascii="Arial" w:hAnsi="Arial" w:cs="Arial"/>
                <w:sz w:val="20"/>
                <w:szCs w:val="20"/>
              </w:rPr>
            </w:pPr>
            <w:r w:rsidRPr="00B740E0">
              <w:rPr>
                <w:rFonts w:ascii="Arial" w:hAnsi="Arial" w:cs="Arial"/>
                <w:sz w:val="18"/>
                <w:szCs w:val="20"/>
              </w:rPr>
              <w:t>248</w:t>
            </w:r>
          </w:p>
        </w:tc>
        <w:tc>
          <w:tcPr>
            <w:tcW w:w="1441" w:type="dxa"/>
          </w:tcPr>
          <w:p w14:paraId="51A194FE" w14:textId="77777777" w:rsidR="00030089" w:rsidRPr="00B740E0" w:rsidRDefault="00030089" w:rsidP="008547F7">
            <w:pPr>
              <w:jc w:val="right"/>
              <w:rPr>
                <w:rFonts w:ascii="Arial" w:hAnsi="Arial" w:cs="Arial"/>
                <w:sz w:val="20"/>
                <w:szCs w:val="20"/>
              </w:rPr>
            </w:pPr>
            <w:r w:rsidRPr="00B740E0">
              <w:rPr>
                <w:rFonts w:ascii="Arial" w:hAnsi="Arial" w:cs="Arial"/>
                <w:sz w:val="18"/>
                <w:szCs w:val="20"/>
              </w:rPr>
              <w:t>163</w:t>
            </w:r>
          </w:p>
        </w:tc>
        <w:tc>
          <w:tcPr>
            <w:tcW w:w="1441" w:type="dxa"/>
            <w:shd w:val="clear" w:color="auto" w:fill="FFFFFF" w:themeFill="background1"/>
          </w:tcPr>
          <w:p w14:paraId="3EDDA798" w14:textId="77777777" w:rsidR="00030089" w:rsidRPr="00B740E0" w:rsidRDefault="00030089" w:rsidP="008547F7">
            <w:pPr>
              <w:jc w:val="right"/>
              <w:rPr>
                <w:rFonts w:ascii="Arial" w:hAnsi="Arial" w:cs="Arial"/>
                <w:sz w:val="20"/>
                <w:szCs w:val="20"/>
              </w:rPr>
            </w:pPr>
            <w:r>
              <w:rPr>
                <w:rFonts w:ascii="Arial" w:eastAsia="Times New Roman" w:hAnsi="Arial" w:cs="Arial"/>
                <w:sz w:val="18"/>
                <w:szCs w:val="20"/>
              </w:rPr>
              <w:t>1 857</w:t>
            </w:r>
          </w:p>
        </w:tc>
        <w:tc>
          <w:tcPr>
            <w:tcW w:w="1442" w:type="dxa"/>
            <w:shd w:val="clear" w:color="auto" w:fill="FFFFFF" w:themeFill="background1"/>
          </w:tcPr>
          <w:p w14:paraId="58734B75" w14:textId="77777777" w:rsidR="00030089" w:rsidRPr="00C26C5E" w:rsidRDefault="00030089" w:rsidP="008547F7">
            <w:pPr>
              <w:jc w:val="right"/>
              <w:rPr>
                <w:rFonts w:ascii="Arial" w:hAnsi="Arial" w:cs="Arial"/>
                <w:sz w:val="18"/>
                <w:szCs w:val="20"/>
              </w:rPr>
            </w:pPr>
            <w:r>
              <w:rPr>
                <w:rFonts w:ascii="Arial" w:hAnsi="Arial" w:cs="Arial"/>
                <w:sz w:val="18"/>
                <w:szCs w:val="20"/>
              </w:rPr>
              <w:t>302 691</w:t>
            </w:r>
          </w:p>
        </w:tc>
      </w:tr>
      <w:tr w:rsidR="00030089" w:rsidRPr="00B740E0" w14:paraId="479CCD92" w14:textId="77777777" w:rsidTr="008547F7">
        <w:tc>
          <w:tcPr>
            <w:tcW w:w="1441" w:type="dxa"/>
            <w:shd w:val="clear" w:color="auto" w:fill="auto"/>
          </w:tcPr>
          <w:p w14:paraId="7F800886" w14:textId="77777777" w:rsidR="00030089" w:rsidRDefault="00030089" w:rsidP="008547F7">
            <w:pPr>
              <w:rPr>
                <w:rFonts w:ascii="Arial" w:hAnsi="Arial" w:cs="Arial"/>
                <w:b/>
                <w:sz w:val="18"/>
                <w:szCs w:val="20"/>
              </w:rPr>
            </w:pPr>
            <w:r>
              <w:rPr>
                <w:rFonts w:ascii="Arial" w:hAnsi="Arial" w:cs="Arial"/>
                <w:b/>
                <w:sz w:val="18"/>
                <w:szCs w:val="20"/>
              </w:rPr>
              <w:t>PET</w:t>
            </w:r>
          </w:p>
        </w:tc>
        <w:tc>
          <w:tcPr>
            <w:tcW w:w="1441" w:type="dxa"/>
          </w:tcPr>
          <w:p w14:paraId="6DD3EE45" w14:textId="77777777" w:rsidR="00030089" w:rsidRPr="00B740E0" w:rsidRDefault="00030089" w:rsidP="008547F7">
            <w:pPr>
              <w:jc w:val="right"/>
              <w:rPr>
                <w:rFonts w:ascii="Arial" w:hAnsi="Arial" w:cs="Arial"/>
                <w:sz w:val="18"/>
                <w:szCs w:val="20"/>
              </w:rPr>
            </w:pPr>
            <w:r>
              <w:rPr>
                <w:rFonts w:ascii="Arial" w:hAnsi="Arial" w:cs="Arial"/>
                <w:sz w:val="18"/>
                <w:szCs w:val="20"/>
              </w:rPr>
              <w:t>300</w:t>
            </w:r>
          </w:p>
        </w:tc>
        <w:tc>
          <w:tcPr>
            <w:tcW w:w="1441" w:type="dxa"/>
          </w:tcPr>
          <w:p w14:paraId="7668B4FD" w14:textId="77777777" w:rsidR="00030089" w:rsidRPr="00B740E0" w:rsidRDefault="00030089" w:rsidP="008547F7">
            <w:pPr>
              <w:jc w:val="right"/>
              <w:rPr>
                <w:rFonts w:ascii="Arial" w:hAnsi="Arial" w:cs="Arial"/>
                <w:sz w:val="18"/>
                <w:szCs w:val="20"/>
              </w:rPr>
            </w:pPr>
            <w:r>
              <w:rPr>
                <w:rFonts w:ascii="Arial" w:hAnsi="Arial" w:cs="Arial"/>
                <w:sz w:val="18"/>
                <w:szCs w:val="20"/>
              </w:rPr>
              <w:t>2096</w:t>
            </w:r>
          </w:p>
        </w:tc>
        <w:tc>
          <w:tcPr>
            <w:tcW w:w="1441" w:type="dxa"/>
          </w:tcPr>
          <w:p w14:paraId="29F44BB7" w14:textId="77777777" w:rsidR="00030089" w:rsidRPr="00B740E0" w:rsidRDefault="00030089" w:rsidP="008547F7">
            <w:pPr>
              <w:jc w:val="right"/>
              <w:rPr>
                <w:rFonts w:ascii="Arial" w:hAnsi="Arial" w:cs="Arial"/>
                <w:sz w:val="18"/>
                <w:szCs w:val="20"/>
              </w:rPr>
            </w:pPr>
            <w:r>
              <w:rPr>
                <w:rFonts w:ascii="Arial" w:hAnsi="Arial" w:cs="Arial"/>
                <w:sz w:val="18"/>
                <w:szCs w:val="20"/>
              </w:rPr>
              <w:t>1796</w:t>
            </w:r>
          </w:p>
        </w:tc>
        <w:tc>
          <w:tcPr>
            <w:tcW w:w="1441" w:type="dxa"/>
            <w:shd w:val="clear" w:color="auto" w:fill="FFFFFF" w:themeFill="background1"/>
          </w:tcPr>
          <w:p w14:paraId="1C09846C" w14:textId="77777777" w:rsidR="00030089" w:rsidRDefault="00030089" w:rsidP="008547F7">
            <w:pPr>
              <w:jc w:val="right"/>
              <w:rPr>
                <w:rFonts w:ascii="Arial" w:eastAsia="Times New Roman" w:hAnsi="Arial" w:cs="Arial"/>
                <w:sz w:val="18"/>
                <w:szCs w:val="20"/>
              </w:rPr>
            </w:pPr>
            <w:r>
              <w:rPr>
                <w:rFonts w:ascii="Arial" w:eastAsia="Times New Roman" w:hAnsi="Arial" w:cs="Arial"/>
                <w:sz w:val="18"/>
                <w:szCs w:val="20"/>
              </w:rPr>
              <w:t>197</w:t>
            </w:r>
          </w:p>
        </w:tc>
        <w:tc>
          <w:tcPr>
            <w:tcW w:w="1442" w:type="dxa"/>
            <w:shd w:val="clear" w:color="auto" w:fill="FFFFFF" w:themeFill="background1"/>
          </w:tcPr>
          <w:p w14:paraId="3429EE04" w14:textId="77777777" w:rsidR="00030089" w:rsidRDefault="00030089" w:rsidP="008547F7">
            <w:pPr>
              <w:jc w:val="right"/>
              <w:rPr>
                <w:rFonts w:ascii="Arial" w:hAnsi="Arial" w:cs="Arial"/>
                <w:sz w:val="18"/>
                <w:szCs w:val="20"/>
              </w:rPr>
            </w:pPr>
            <w:r>
              <w:rPr>
                <w:rFonts w:ascii="Arial" w:hAnsi="Arial" w:cs="Arial"/>
                <w:sz w:val="18"/>
                <w:szCs w:val="20"/>
              </w:rPr>
              <w:t>353 812</w:t>
            </w:r>
          </w:p>
        </w:tc>
      </w:tr>
      <w:tr w:rsidR="00030089" w:rsidRPr="00B740E0" w14:paraId="51A58802" w14:textId="77777777" w:rsidTr="008547F7">
        <w:tc>
          <w:tcPr>
            <w:tcW w:w="1441" w:type="dxa"/>
            <w:shd w:val="clear" w:color="auto" w:fill="auto"/>
          </w:tcPr>
          <w:p w14:paraId="658723C4" w14:textId="77777777" w:rsidR="00030089" w:rsidRDefault="00030089" w:rsidP="008547F7">
            <w:pPr>
              <w:rPr>
                <w:rFonts w:ascii="Arial" w:hAnsi="Arial" w:cs="Arial"/>
                <w:b/>
                <w:sz w:val="18"/>
                <w:szCs w:val="20"/>
              </w:rPr>
            </w:pPr>
            <w:r>
              <w:rPr>
                <w:rFonts w:ascii="Arial" w:hAnsi="Arial" w:cs="Arial"/>
                <w:b/>
                <w:sz w:val="18"/>
                <w:szCs w:val="20"/>
              </w:rPr>
              <w:t>HDPE</w:t>
            </w:r>
          </w:p>
        </w:tc>
        <w:tc>
          <w:tcPr>
            <w:tcW w:w="1441" w:type="dxa"/>
          </w:tcPr>
          <w:p w14:paraId="0C740C38" w14:textId="77777777" w:rsidR="00030089" w:rsidRPr="00B740E0" w:rsidRDefault="00030089" w:rsidP="008547F7">
            <w:pPr>
              <w:jc w:val="right"/>
              <w:rPr>
                <w:rFonts w:ascii="Arial" w:hAnsi="Arial" w:cs="Arial"/>
                <w:sz w:val="18"/>
                <w:szCs w:val="20"/>
              </w:rPr>
            </w:pPr>
            <w:r>
              <w:rPr>
                <w:rFonts w:ascii="Arial" w:hAnsi="Arial" w:cs="Arial"/>
                <w:sz w:val="18"/>
                <w:szCs w:val="20"/>
              </w:rPr>
              <w:t>333</w:t>
            </w:r>
          </w:p>
        </w:tc>
        <w:tc>
          <w:tcPr>
            <w:tcW w:w="1441" w:type="dxa"/>
          </w:tcPr>
          <w:p w14:paraId="5B05770A" w14:textId="77777777" w:rsidR="00030089" w:rsidRPr="00B740E0" w:rsidRDefault="00030089" w:rsidP="008547F7">
            <w:pPr>
              <w:jc w:val="right"/>
              <w:rPr>
                <w:rFonts w:ascii="Arial" w:hAnsi="Arial" w:cs="Arial"/>
                <w:sz w:val="18"/>
                <w:szCs w:val="20"/>
              </w:rPr>
            </w:pPr>
            <w:r>
              <w:rPr>
                <w:rFonts w:ascii="Arial" w:hAnsi="Arial" w:cs="Arial"/>
                <w:sz w:val="18"/>
                <w:szCs w:val="20"/>
              </w:rPr>
              <w:t>413</w:t>
            </w:r>
          </w:p>
        </w:tc>
        <w:tc>
          <w:tcPr>
            <w:tcW w:w="1441" w:type="dxa"/>
          </w:tcPr>
          <w:p w14:paraId="7BB4AB66" w14:textId="77777777" w:rsidR="00030089" w:rsidRPr="00B740E0" w:rsidRDefault="00030089" w:rsidP="008547F7">
            <w:pPr>
              <w:jc w:val="right"/>
              <w:rPr>
                <w:rFonts w:ascii="Arial" w:hAnsi="Arial" w:cs="Arial"/>
                <w:sz w:val="18"/>
                <w:szCs w:val="20"/>
              </w:rPr>
            </w:pPr>
            <w:r>
              <w:rPr>
                <w:rFonts w:ascii="Arial" w:hAnsi="Arial" w:cs="Arial"/>
                <w:sz w:val="18"/>
                <w:szCs w:val="20"/>
              </w:rPr>
              <w:t>80</w:t>
            </w:r>
          </w:p>
        </w:tc>
        <w:tc>
          <w:tcPr>
            <w:tcW w:w="1441" w:type="dxa"/>
            <w:shd w:val="clear" w:color="auto" w:fill="FFFFFF" w:themeFill="background1"/>
          </w:tcPr>
          <w:p w14:paraId="5D20500E" w14:textId="77777777" w:rsidR="00030089" w:rsidRDefault="00030089" w:rsidP="008547F7">
            <w:pPr>
              <w:jc w:val="right"/>
              <w:rPr>
                <w:rFonts w:ascii="Arial" w:eastAsia="Times New Roman" w:hAnsi="Arial" w:cs="Arial"/>
                <w:sz w:val="18"/>
                <w:szCs w:val="20"/>
              </w:rPr>
            </w:pPr>
            <w:r>
              <w:rPr>
                <w:rFonts w:ascii="Arial" w:eastAsia="Times New Roman" w:hAnsi="Arial" w:cs="Arial"/>
                <w:sz w:val="18"/>
                <w:szCs w:val="20"/>
              </w:rPr>
              <w:t>34</w:t>
            </w:r>
          </w:p>
        </w:tc>
        <w:tc>
          <w:tcPr>
            <w:tcW w:w="1442" w:type="dxa"/>
            <w:shd w:val="clear" w:color="auto" w:fill="FFFFFF" w:themeFill="background1"/>
          </w:tcPr>
          <w:p w14:paraId="3BAC076C" w14:textId="77777777" w:rsidR="00030089" w:rsidRDefault="00030089" w:rsidP="008547F7">
            <w:pPr>
              <w:jc w:val="right"/>
              <w:rPr>
                <w:rFonts w:ascii="Arial" w:hAnsi="Arial" w:cs="Arial"/>
                <w:sz w:val="18"/>
                <w:szCs w:val="20"/>
              </w:rPr>
            </w:pPr>
            <w:r>
              <w:rPr>
                <w:rFonts w:ascii="Arial" w:hAnsi="Arial" w:cs="Arial"/>
                <w:sz w:val="18"/>
                <w:szCs w:val="20"/>
              </w:rPr>
              <w:t>2 720</w:t>
            </w:r>
          </w:p>
        </w:tc>
      </w:tr>
      <w:tr w:rsidR="00030089" w:rsidRPr="00B740E0" w14:paraId="04DB6F59" w14:textId="77777777" w:rsidTr="008547F7">
        <w:tc>
          <w:tcPr>
            <w:tcW w:w="1441" w:type="dxa"/>
            <w:shd w:val="clear" w:color="auto" w:fill="auto"/>
          </w:tcPr>
          <w:p w14:paraId="565FA365" w14:textId="77777777" w:rsidR="00030089" w:rsidRPr="00B740E0" w:rsidRDefault="00030089" w:rsidP="008547F7">
            <w:pPr>
              <w:rPr>
                <w:rFonts w:ascii="Arial" w:hAnsi="Arial" w:cs="Arial"/>
                <w:b/>
                <w:sz w:val="20"/>
                <w:szCs w:val="20"/>
              </w:rPr>
            </w:pPr>
            <w:r>
              <w:rPr>
                <w:rFonts w:ascii="Arial" w:hAnsi="Arial" w:cs="Arial"/>
                <w:b/>
                <w:sz w:val="18"/>
                <w:szCs w:val="20"/>
              </w:rPr>
              <w:t>A</w:t>
            </w:r>
            <w:r w:rsidRPr="00B740E0">
              <w:rPr>
                <w:rFonts w:ascii="Arial" w:hAnsi="Arial" w:cs="Arial"/>
                <w:b/>
                <w:sz w:val="18"/>
                <w:szCs w:val="20"/>
              </w:rPr>
              <w:t>luminium</w:t>
            </w:r>
          </w:p>
        </w:tc>
        <w:tc>
          <w:tcPr>
            <w:tcW w:w="1441" w:type="dxa"/>
          </w:tcPr>
          <w:p w14:paraId="2E0C3E65" w14:textId="77777777" w:rsidR="00030089" w:rsidRPr="00B740E0" w:rsidRDefault="00030089" w:rsidP="008547F7">
            <w:pPr>
              <w:jc w:val="right"/>
              <w:rPr>
                <w:rFonts w:ascii="Arial" w:hAnsi="Arial" w:cs="Arial"/>
                <w:sz w:val="20"/>
                <w:szCs w:val="20"/>
              </w:rPr>
            </w:pPr>
            <w:r w:rsidRPr="00B740E0">
              <w:rPr>
                <w:rFonts w:ascii="Arial" w:hAnsi="Arial" w:cs="Arial"/>
                <w:sz w:val="18"/>
                <w:szCs w:val="20"/>
              </w:rPr>
              <w:t>163</w:t>
            </w:r>
          </w:p>
        </w:tc>
        <w:tc>
          <w:tcPr>
            <w:tcW w:w="1441" w:type="dxa"/>
          </w:tcPr>
          <w:p w14:paraId="26C28754" w14:textId="77777777" w:rsidR="00030089" w:rsidRPr="00B740E0" w:rsidRDefault="00030089" w:rsidP="008547F7">
            <w:pPr>
              <w:jc w:val="right"/>
              <w:rPr>
                <w:rFonts w:ascii="Arial" w:hAnsi="Arial" w:cs="Arial"/>
                <w:sz w:val="20"/>
                <w:szCs w:val="20"/>
              </w:rPr>
            </w:pPr>
            <w:r w:rsidRPr="00B740E0">
              <w:rPr>
                <w:rFonts w:ascii="Arial" w:hAnsi="Arial" w:cs="Arial"/>
                <w:sz w:val="18"/>
                <w:szCs w:val="20"/>
              </w:rPr>
              <w:t>3214</w:t>
            </w:r>
          </w:p>
        </w:tc>
        <w:tc>
          <w:tcPr>
            <w:tcW w:w="1441" w:type="dxa"/>
          </w:tcPr>
          <w:p w14:paraId="0FCE64CE" w14:textId="77777777" w:rsidR="00030089" w:rsidRPr="00B740E0" w:rsidRDefault="00030089" w:rsidP="008547F7">
            <w:pPr>
              <w:jc w:val="right"/>
              <w:rPr>
                <w:rFonts w:ascii="Arial" w:hAnsi="Arial" w:cs="Arial"/>
                <w:sz w:val="20"/>
                <w:szCs w:val="20"/>
              </w:rPr>
            </w:pPr>
            <w:r w:rsidRPr="00B740E0">
              <w:rPr>
                <w:rFonts w:ascii="Arial" w:hAnsi="Arial" w:cs="Arial"/>
                <w:sz w:val="18"/>
                <w:szCs w:val="20"/>
              </w:rPr>
              <w:t>3051</w:t>
            </w:r>
          </w:p>
        </w:tc>
        <w:tc>
          <w:tcPr>
            <w:tcW w:w="1441" w:type="dxa"/>
            <w:shd w:val="clear" w:color="auto" w:fill="FFFFFF" w:themeFill="background1"/>
          </w:tcPr>
          <w:p w14:paraId="7BFDEAA7" w14:textId="77777777" w:rsidR="00030089" w:rsidRPr="00B740E0" w:rsidRDefault="00030089" w:rsidP="008547F7">
            <w:pPr>
              <w:jc w:val="right"/>
              <w:rPr>
                <w:rFonts w:ascii="Arial" w:hAnsi="Arial" w:cs="Arial"/>
                <w:sz w:val="20"/>
                <w:szCs w:val="20"/>
              </w:rPr>
            </w:pPr>
            <w:r>
              <w:rPr>
                <w:rFonts w:ascii="Arial" w:eastAsia="Times New Roman" w:hAnsi="Arial" w:cs="Arial"/>
                <w:sz w:val="18"/>
                <w:szCs w:val="20"/>
              </w:rPr>
              <w:t xml:space="preserve"> 296</w:t>
            </w:r>
          </w:p>
        </w:tc>
        <w:tc>
          <w:tcPr>
            <w:tcW w:w="1442" w:type="dxa"/>
            <w:shd w:val="clear" w:color="auto" w:fill="FFFFFF" w:themeFill="background1"/>
          </w:tcPr>
          <w:p w14:paraId="5720153B" w14:textId="77777777" w:rsidR="00030089" w:rsidRPr="00B740E0" w:rsidRDefault="00030089" w:rsidP="008547F7">
            <w:pPr>
              <w:jc w:val="right"/>
              <w:rPr>
                <w:rFonts w:ascii="Arial" w:hAnsi="Arial" w:cs="Arial"/>
                <w:sz w:val="20"/>
                <w:szCs w:val="20"/>
              </w:rPr>
            </w:pPr>
            <w:r>
              <w:rPr>
                <w:rFonts w:ascii="Arial" w:hAnsi="Arial" w:cs="Arial"/>
                <w:sz w:val="18"/>
                <w:szCs w:val="20"/>
              </w:rPr>
              <w:t>903 096</w:t>
            </w:r>
          </w:p>
        </w:tc>
      </w:tr>
      <w:tr w:rsidR="00030089" w:rsidRPr="00B740E0" w14:paraId="1500C4E3" w14:textId="77777777" w:rsidTr="008547F7">
        <w:tc>
          <w:tcPr>
            <w:tcW w:w="1441" w:type="dxa"/>
            <w:shd w:val="clear" w:color="auto" w:fill="auto"/>
          </w:tcPr>
          <w:p w14:paraId="714B66EC" w14:textId="77777777" w:rsidR="00030089" w:rsidRPr="00B740E0" w:rsidRDefault="00030089" w:rsidP="008547F7">
            <w:pPr>
              <w:rPr>
                <w:rFonts w:ascii="Arial" w:hAnsi="Arial" w:cs="Arial"/>
                <w:b/>
                <w:sz w:val="20"/>
                <w:szCs w:val="20"/>
              </w:rPr>
            </w:pPr>
            <w:r>
              <w:rPr>
                <w:rFonts w:ascii="Arial" w:hAnsi="Arial" w:cs="Arial"/>
                <w:b/>
                <w:sz w:val="18"/>
                <w:szCs w:val="20"/>
              </w:rPr>
              <w:t>LPB</w:t>
            </w:r>
          </w:p>
        </w:tc>
        <w:tc>
          <w:tcPr>
            <w:tcW w:w="1441" w:type="dxa"/>
          </w:tcPr>
          <w:p w14:paraId="74B85169" w14:textId="77777777" w:rsidR="00030089" w:rsidRPr="00B740E0" w:rsidRDefault="00030089" w:rsidP="008547F7">
            <w:pPr>
              <w:jc w:val="right"/>
              <w:rPr>
                <w:rFonts w:ascii="Arial" w:hAnsi="Arial" w:cs="Arial"/>
                <w:sz w:val="20"/>
                <w:szCs w:val="20"/>
              </w:rPr>
            </w:pPr>
            <w:r w:rsidRPr="00B740E0">
              <w:rPr>
                <w:rFonts w:ascii="Arial" w:hAnsi="Arial" w:cs="Arial"/>
                <w:sz w:val="18"/>
                <w:szCs w:val="20"/>
              </w:rPr>
              <w:t>unknown</w:t>
            </w:r>
          </w:p>
        </w:tc>
        <w:tc>
          <w:tcPr>
            <w:tcW w:w="1441" w:type="dxa"/>
          </w:tcPr>
          <w:p w14:paraId="5E1815B7" w14:textId="77777777" w:rsidR="00030089" w:rsidRPr="00B740E0" w:rsidRDefault="00030089" w:rsidP="008547F7">
            <w:pPr>
              <w:jc w:val="right"/>
              <w:rPr>
                <w:rFonts w:ascii="Arial" w:hAnsi="Arial" w:cs="Arial"/>
                <w:sz w:val="20"/>
                <w:szCs w:val="20"/>
              </w:rPr>
            </w:pPr>
            <w:r w:rsidRPr="00B740E0">
              <w:rPr>
                <w:rFonts w:ascii="Arial" w:hAnsi="Arial" w:cs="Arial"/>
                <w:sz w:val="18"/>
                <w:szCs w:val="20"/>
              </w:rPr>
              <w:t>unknown</w:t>
            </w:r>
          </w:p>
        </w:tc>
        <w:tc>
          <w:tcPr>
            <w:tcW w:w="1441" w:type="dxa"/>
          </w:tcPr>
          <w:p w14:paraId="5D05EEF6" w14:textId="77777777" w:rsidR="00030089" w:rsidRPr="00B740E0" w:rsidRDefault="00030089" w:rsidP="008547F7">
            <w:pPr>
              <w:jc w:val="right"/>
              <w:rPr>
                <w:rFonts w:ascii="Arial" w:hAnsi="Arial" w:cs="Arial"/>
                <w:sz w:val="20"/>
                <w:szCs w:val="20"/>
              </w:rPr>
            </w:pPr>
            <w:r w:rsidRPr="00B740E0">
              <w:rPr>
                <w:rFonts w:ascii="Arial" w:hAnsi="Arial" w:cs="Arial"/>
                <w:sz w:val="18"/>
                <w:szCs w:val="20"/>
              </w:rPr>
              <w:t>unknown</w:t>
            </w:r>
          </w:p>
        </w:tc>
        <w:tc>
          <w:tcPr>
            <w:tcW w:w="1441" w:type="dxa"/>
            <w:shd w:val="clear" w:color="auto" w:fill="FFFFFF" w:themeFill="background1"/>
          </w:tcPr>
          <w:p w14:paraId="47AD3945" w14:textId="77777777" w:rsidR="00030089" w:rsidRPr="00B740E0" w:rsidRDefault="00030089" w:rsidP="008547F7">
            <w:pPr>
              <w:jc w:val="right"/>
              <w:rPr>
                <w:rFonts w:ascii="Arial" w:hAnsi="Arial" w:cs="Arial"/>
                <w:sz w:val="20"/>
                <w:szCs w:val="20"/>
              </w:rPr>
            </w:pPr>
            <w:r>
              <w:rPr>
                <w:rFonts w:ascii="Arial" w:hAnsi="Arial" w:cs="Arial"/>
                <w:sz w:val="18"/>
                <w:szCs w:val="20"/>
              </w:rPr>
              <w:t xml:space="preserve"> 84</w:t>
            </w:r>
          </w:p>
        </w:tc>
        <w:tc>
          <w:tcPr>
            <w:tcW w:w="1442" w:type="dxa"/>
            <w:shd w:val="clear" w:color="auto" w:fill="FFFFFF" w:themeFill="background1"/>
          </w:tcPr>
          <w:p w14:paraId="5B7AE71A" w14:textId="77777777" w:rsidR="00030089" w:rsidRPr="00B740E0" w:rsidRDefault="00030089" w:rsidP="008547F7">
            <w:pPr>
              <w:jc w:val="right"/>
              <w:rPr>
                <w:rFonts w:ascii="Arial" w:hAnsi="Arial" w:cs="Arial"/>
                <w:sz w:val="20"/>
                <w:szCs w:val="20"/>
              </w:rPr>
            </w:pPr>
            <w:r w:rsidRPr="00B740E0">
              <w:rPr>
                <w:rFonts w:ascii="Arial" w:hAnsi="Arial" w:cs="Arial"/>
                <w:sz w:val="18"/>
                <w:szCs w:val="20"/>
              </w:rPr>
              <w:t>Unknown</w:t>
            </w:r>
          </w:p>
        </w:tc>
      </w:tr>
      <w:tr w:rsidR="00030089" w:rsidRPr="00B740E0" w14:paraId="33C783A3" w14:textId="77777777" w:rsidTr="008547F7">
        <w:tc>
          <w:tcPr>
            <w:tcW w:w="1441" w:type="dxa"/>
            <w:shd w:val="clear" w:color="auto" w:fill="auto"/>
          </w:tcPr>
          <w:p w14:paraId="598DF648" w14:textId="77777777" w:rsidR="00030089" w:rsidRPr="00B740E0" w:rsidRDefault="00030089" w:rsidP="008547F7">
            <w:pPr>
              <w:rPr>
                <w:rFonts w:ascii="Arial" w:hAnsi="Arial" w:cs="Arial"/>
                <w:b/>
                <w:sz w:val="18"/>
                <w:szCs w:val="20"/>
              </w:rPr>
            </w:pPr>
            <w:r>
              <w:rPr>
                <w:rFonts w:ascii="Arial" w:hAnsi="Arial" w:cs="Arial"/>
                <w:b/>
                <w:sz w:val="18"/>
                <w:szCs w:val="20"/>
              </w:rPr>
              <w:t>Other</w:t>
            </w:r>
          </w:p>
        </w:tc>
        <w:tc>
          <w:tcPr>
            <w:tcW w:w="1441" w:type="dxa"/>
          </w:tcPr>
          <w:p w14:paraId="362DFC60" w14:textId="77777777" w:rsidR="00030089" w:rsidRPr="00B740E0" w:rsidRDefault="00030089" w:rsidP="008547F7">
            <w:pPr>
              <w:jc w:val="right"/>
              <w:rPr>
                <w:rFonts w:ascii="Arial" w:hAnsi="Arial" w:cs="Arial"/>
                <w:sz w:val="18"/>
                <w:szCs w:val="20"/>
              </w:rPr>
            </w:pPr>
          </w:p>
        </w:tc>
        <w:tc>
          <w:tcPr>
            <w:tcW w:w="1441" w:type="dxa"/>
          </w:tcPr>
          <w:p w14:paraId="1D37CF03" w14:textId="77777777" w:rsidR="00030089" w:rsidRPr="00B740E0" w:rsidRDefault="00030089" w:rsidP="008547F7">
            <w:pPr>
              <w:jc w:val="right"/>
              <w:rPr>
                <w:rFonts w:ascii="Arial" w:hAnsi="Arial" w:cs="Arial"/>
                <w:sz w:val="18"/>
                <w:szCs w:val="20"/>
              </w:rPr>
            </w:pPr>
          </w:p>
        </w:tc>
        <w:tc>
          <w:tcPr>
            <w:tcW w:w="1441" w:type="dxa"/>
          </w:tcPr>
          <w:p w14:paraId="010D5B4B" w14:textId="77777777" w:rsidR="00030089" w:rsidRPr="00B740E0" w:rsidRDefault="00030089" w:rsidP="008547F7">
            <w:pPr>
              <w:jc w:val="right"/>
              <w:rPr>
                <w:rFonts w:ascii="Arial" w:hAnsi="Arial" w:cs="Arial"/>
                <w:sz w:val="18"/>
                <w:szCs w:val="20"/>
              </w:rPr>
            </w:pPr>
          </w:p>
        </w:tc>
        <w:tc>
          <w:tcPr>
            <w:tcW w:w="1441" w:type="dxa"/>
            <w:shd w:val="clear" w:color="auto" w:fill="FFFFFF" w:themeFill="background1"/>
          </w:tcPr>
          <w:p w14:paraId="7873FE5F" w14:textId="77777777" w:rsidR="00030089" w:rsidRPr="00B740E0" w:rsidDel="00C26C5E" w:rsidRDefault="00030089" w:rsidP="008547F7">
            <w:pPr>
              <w:jc w:val="right"/>
              <w:rPr>
                <w:rFonts w:ascii="Arial" w:hAnsi="Arial" w:cs="Arial"/>
                <w:sz w:val="18"/>
                <w:szCs w:val="20"/>
              </w:rPr>
            </w:pPr>
            <w:r>
              <w:rPr>
                <w:rFonts w:ascii="Arial" w:hAnsi="Arial" w:cs="Arial"/>
                <w:sz w:val="18"/>
                <w:szCs w:val="20"/>
              </w:rPr>
              <w:t>4</w:t>
            </w:r>
          </w:p>
        </w:tc>
        <w:tc>
          <w:tcPr>
            <w:tcW w:w="1442" w:type="dxa"/>
            <w:shd w:val="clear" w:color="auto" w:fill="FFFFFF" w:themeFill="background1"/>
          </w:tcPr>
          <w:p w14:paraId="14F27036" w14:textId="77777777" w:rsidR="00030089" w:rsidRPr="00B740E0" w:rsidRDefault="00030089" w:rsidP="008547F7">
            <w:pPr>
              <w:jc w:val="right"/>
              <w:rPr>
                <w:rFonts w:ascii="Arial" w:hAnsi="Arial" w:cs="Arial"/>
                <w:sz w:val="18"/>
                <w:szCs w:val="20"/>
              </w:rPr>
            </w:pPr>
          </w:p>
        </w:tc>
      </w:tr>
      <w:tr w:rsidR="00030089" w:rsidRPr="00B740E0" w14:paraId="7944AF9B" w14:textId="77777777" w:rsidTr="008547F7">
        <w:tc>
          <w:tcPr>
            <w:tcW w:w="1441" w:type="dxa"/>
            <w:shd w:val="clear" w:color="auto" w:fill="auto"/>
          </w:tcPr>
          <w:p w14:paraId="0811CAA7" w14:textId="77777777" w:rsidR="00030089" w:rsidRPr="00B740E0" w:rsidRDefault="00030089" w:rsidP="008547F7">
            <w:pPr>
              <w:rPr>
                <w:rFonts w:ascii="Arial" w:hAnsi="Arial" w:cs="Arial"/>
                <w:b/>
                <w:sz w:val="20"/>
                <w:szCs w:val="20"/>
              </w:rPr>
            </w:pPr>
            <w:r w:rsidRPr="00B740E0">
              <w:rPr>
                <w:rFonts w:ascii="Arial" w:hAnsi="Arial" w:cs="Arial"/>
                <w:b/>
                <w:sz w:val="18"/>
                <w:szCs w:val="20"/>
              </w:rPr>
              <w:t>TOTAL</w:t>
            </w:r>
          </w:p>
        </w:tc>
        <w:tc>
          <w:tcPr>
            <w:tcW w:w="1441" w:type="dxa"/>
          </w:tcPr>
          <w:p w14:paraId="2D981241" w14:textId="77777777" w:rsidR="00030089" w:rsidRPr="00B740E0" w:rsidRDefault="00030089" w:rsidP="008547F7">
            <w:pPr>
              <w:jc w:val="right"/>
              <w:rPr>
                <w:rFonts w:ascii="Arial" w:hAnsi="Arial" w:cs="Arial"/>
                <w:sz w:val="20"/>
                <w:szCs w:val="20"/>
              </w:rPr>
            </w:pPr>
          </w:p>
        </w:tc>
        <w:tc>
          <w:tcPr>
            <w:tcW w:w="1441" w:type="dxa"/>
          </w:tcPr>
          <w:p w14:paraId="3E011A2F" w14:textId="77777777" w:rsidR="00030089" w:rsidRPr="00B740E0" w:rsidRDefault="00030089" w:rsidP="008547F7">
            <w:pPr>
              <w:jc w:val="right"/>
              <w:rPr>
                <w:rFonts w:ascii="Arial" w:hAnsi="Arial" w:cs="Arial"/>
                <w:sz w:val="20"/>
                <w:szCs w:val="20"/>
              </w:rPr>
            </w:pPr>
          </w:p>
        </w:tc>
        <w:tc>
          <w:tcPr>
            <w:tcW w:w="1441" w:type="dxa"/>
          </w:tcPr>
          <w:p w14:paraId="4B565D5B" w14:textId="77777777" w:rsidR="00030089" w:rsidRPr="00B740E0" w:rsidRDefault="00030089" w:rsidP="008547F7">
            <w:pPr>
              <w:jc w:val="right"/>
              <w:rPr>
                <w:rFonts w:ascii="Arial" w:hAnsi="Arial" w:cs="Arial"/>
                <w:sz w:val="20"/>
                <w:szCs w:val="20"/>
              </w:rPr>
            </w:pPr>
          </w:p>
        </w:tc>
        <w:tc>
          <w:tcPr>
            <w:tcW w:w="1441" w:type="dxa"/>
            <w:shd w:val="clear" w:color="auto" w:fill="FFFFFF" w:themeFill="background1"/>
          </w:tcPr>
          <w:p w14:paraId="4B48558F" w14:textId="77777777" w:rsidR="00030089" w:rsidRPr="00C26C5E" w:rsidRDefault="00030089" w:rsidP="008547F7">
            <w:pPr>
              <w:jc w:val="right"/>
              <w:rPr>
                <w:rFonts w:ascii="Arial" w:hAnsi="Arial" w:cs="Arial"/>
                <w:sz w:val="18"/>
                <w:szCs w:val="20"/>
              </w:rPr>
            </w:pPr>
            <w:r>
              <w:rPr>
                <w:rFonts w:ascii="Arial" w:hAnsi="Arial" w:cs="Arial"/>
                <w:sz w:val="18"/>
                <w:szCs w:val="20"/>
              </w:rPr>
              <w:t xml:space="preserve"> 2 472</w:t>
            </w:r>
          </w:p>
        </w:tc>
        <w:tc>
          <w:tcPr>
            <w:tcW w:w="1442" w:type="dxa"/>
            <w:shd w:val="clear" w:color="auto" w:fill="FFFFFF" w:themeFill="background1"/>
          </w:tcPr>
          <w:p w14:paraId="31071F33" w14:textId="77777777" w:rsidR="00030089" w:rsidRPr="00B740E0" w:rsidRDefault="00030089" w:rsidP="008547F7">
            <w:pPr>
              <w:jc w:val="right"/>
              <w:rPr>
                <w:rFonts w:ascii="Arial" w:hAnsi="Arial" w:cs="Arial"/>
                <w:b/>
                <w:sz w:val="20"/>
                <w:szCs w:val="20"/>
              </w:rPr>
            </w:pPr>
            <w:r w:rsidRPr="00B740E0">
              <w:rPr>
                <w:rFonts w:ascii="Arial" w:hAnsi="Arial" w:cs="Arial"/>
                <w:b/>
                <w:sz w:val="18"/>
                <w:szCs w:val="20"/>
              </w:rPr>
              <w:t>$</w:t>
            </w:r>
            <w:r>
              <w:rPr>
                <w:rFonts w:ascii="Arial" w:hAnsi="Arial" w:cs="Arial"/>
                <w:b/>
                <w:sz w:val="18"/>
                <w:szCs w:val="20"/>
              </w:rPr>
              <w:t>1 562 319</w:t>
            </w:r>
          </w:p>
        </w:tc>
      </w:tr>
    </w:tbl>
    <w:p w14:paraId="5B11C378" w14:textId="77777777" w:rsidR="00030089" w:rsidRDefault="00030089" w:rsidP="00030089">
      <w:pPr>
        <w:autoSpaceDE w:val="0"/>
        <w:autoSpaceDN w:val="0"/>
        <w:adjustRightInd w:val="0"/>
        <w:spacing w:line="360" w:lineRule="auto"/>
        <w:rPr>
          <w:rFonts w:ascii="Arial" w:hAnsi="Arial" w:cs="Arial"/>
          <w:b/>
          <w:szCs w:val="28"/>
        </w:rPr>
      </w:pPr>
    </w:p>
    <w:p w14:paraId="5384BDAA" w14:textId="77777777" w:rsidR="00030089" w:rsidRDefault="00030089" w:rsidP="00030089">
      <w:pPr>
        <w:pStyle w:val="Default"/>
      </w:pPr>
      <w:r>
        <w:rPr>
          <w:b/>
          <w:szCs w:val="22"/>
        </w:rPr>
        <w:t xml:space="preserve">Avoided kerbside costs </w:t>
      </w:r>
      <w:r w:rsidRPr="00E76604">
        <w:t xml:space="preserve">CDS operating costs are offset to a certain extent by avoided cost of collection, transport and recycling as a result of beverage containers being diverted away from existing recycling systems. </w:t>
      </w:r>
    </w:p>
    <w:p w14:paraId="266D1241" w14:textId="77777777" w:rsidR="00030089" w:rsidRDefault="00030089" w:rsidP="00030089">
      <w:pPr>
        <w:pStyle w:val="Default"/>
      </w:pPr>
      <w:r w:rsidRPr="00C67089">
        <w:t xml:space="preserve">NEPC data </w:t>
      </w:r>
      <w:r>
        <w:t>shows</w:t>
      </w:r>
      <w:r w:rsidRPr="00C67089">
        <w:t xml:space="preserve"> 39</w:t>
      </w:r>
      <w:r>
        <w:t xml:space="preserve"> </w:t>
      </w:r>
      <w:r w:rsidRPr="00C67089">
        <w:t>339 residences of Darwin and Palmerston are charged an average of $106.73 per annum per residence for the cost of kerbside. The actual cost to the council is estimated to be $82 per residence</w:t>
      </w:r>
      <w:r w:rsidRPr="00C67089">
        <w:rPr>
          <w:rStyle w:val="FootnoteReference"/>
        </w:rPr>
        <w:footnoteReference w:id="28"/>
      </w:r>
      <w:r>
        <w:t>.</w:t>
      </w:r>
      <w:r w:rsidRPr="00C67089">
        <w:t xml:space="preserve"> This makes the combined cost incurred by the Darwin and Palmerston city councils to operate kerbside services to be </w:t>
      </w:r>
      <w:r>
        <w:t xml:space="preserve">approximately </w:t>
      </w:r>
      <w:r w:rsidRPr="00C67089">
        <w:t>$3</w:t>
      </w:r>
      <w:r>
        <w:t xml:space="preserve"> </w:t>
      </w:r>
      <w:r w:rsidRPr="00C67089">
        <w:t>225</w:t>
      </w:r>
      <w:r>
        <w:t xml:space="preserve"> </w:t>
      </w:r>
      <w:r w:rsidRPr="00C67089">
        <w:t xml:space="preserve">798 annually. </w:t>
      </w:r>
    </w:p>
    <w:p w14:paraId="416205E1" w14:textId="77777777" w:rsidR="00030089" w:rsidRPr="00FE611A" w:rsidRDefault="00030089" w:rsidP="00030089">
      <w:pPr>
        <w:spacing w:line="360" w:lineRule="auto"/>
        <w:jc w:val="both"/>
        <w:rPr>
          <w:rFonts w:cs="Arial"/>
          <w:color w:val="0070C0"/>
          <w:szCs w:val="28"/>
        </w:rPr>
      </w:pPr>
      <w:r>
        <w:rPr>
          <w:rFonts w:ascii="Arial" w:hAnsi="Arial" w:cs="Arial"/>
          <w:szCs w:val="24"/>
        </w:rPr>
        <w:t>As Table 4.24</w:t>
      </w:r>
      <w:r w:rsidRPr="00C67089">
        <w:rPr>
          <w:rFonts w:ascii="Arial" w:hAnsi="Arial" w:cs="Arial"/>
          <w:szCs w:val="24"/>
        </w:rPr>
        <w:t xml:space="preserve"> indicates</w:t>
      </w:r>
      <w:r>
        <w:rPr>
          <w:rFonts w:ascii="Arial" w:hAnsi="Arial" w:cs="Arial"/>
          <w:szCs w:val="24"/>
        </w:rPr>
        <w:t>,</w:t>
      </w:r>
      <w:r w:rsidRPr="00C67089">
        <w:rPr>
          <w:rFonts w:ascii="Arial" w:hAnsi="Arial" w:cs="Arial"/>
          <w:szCs w:val="24"/>
        </w:rPr>
        <w:t xml:space="preserve"> prior to the implementation of the NT CDS, beverage containers made up approximately 27</w:t>
      </w:r>
      <w:r>
        <w:rPr>
          <w:rFonts w:ascii="Arial" w:hAnsi="Arial" w:cs="Arial"/>
          <w:szCs w:val="24"/>
        </w:rPr>
        <w:t xml:space="preserve"> per cent</w:t>
      </w:r>
      <w:r w:rsidRPr="00C67089">
        <w:rPr>
          <w:rFonts w:ascii="Arial" w:hAnsi="Arial" w:cs="Arial"/>
          <w:szCs w:val="24"/>
        </w:rPr>
        <w:t xml:space="preserve"> of material collected annually by kerbside in the NT.</w:t>
      </w:r>
      <w:r>
        <w:rPr>
          <w:rFonts w:ascii="Arial" w:hAnsi="Arial" w:cs="Arial"/>
          <w:szCs w:val="24"/>
        </w:rPr>
        <w:t xml:space="preserve"> </w:t>
      </w:r>
      <w:r w:rsidRPr="0021337C">
        <w:rPr>
          <w:rFonts w:ascii="Arial" w:hAnsi="Arial" w:cs="Arial"/>
          <w:szCs w:val="24"/>
        </w:rPr>
        <w:t xml:space="preserve">A </w:t>
      </w:r>
      <w:r>
        <w:rPr>
          <w:rFonts w:ascii="Arial" w:hAnsi="Arial" w:cs="Arial"/>
          <w:szCs w:val="24"/>
        </w:rPr>
        <w:t>commensurate 27 per cent</w:t>
      </w:r>
      <w:r w:rsidRPr="0021337C">
        <w:rPr>
          <w:rFonts w:ascii="Arial" w:hAnsi="Arial" w:cs="Arial"/>
          <w:szCs w:val="24"/>
        </w:rPr>
        <w:t xml:space="preserve"> reduction in </w:t>
      </w:r>
      <w:r w:rsidRPr="00FE611A">
        <w:rPr>
          <w:rFonts w:ascii="Arial" w:hAnsi="Arial" w:cs="Arial"/>
          <w:szCs w:val="24"/>
        </w:rPr>
        <w:t xml:space="preserve">the combined cost incurred by the Darwin and Palmerston city councils to operate kerbside services </w:t>
      </w:r>
      <w:r w:rsidRPr="0021337C">
        <w:rPr>
          <w:rFonts w:ascii="Arial" w:hAnsi="Arial" w:cs="Arial"/>
          <w:szCs w:val="24"/>
        </w:rPr>
        <w:t xml:space="preserve">amounts to </w:t>
      </w:r>
      <w:r w:rsidRPr="009D3C05">
        <w:rPr>
          <w:rFonts w:ascii="Arial" w:hAnsi="Arial" w:cs="Arial"/>
          <w:szCs w:val="24"/>
        </w:rPr>
        <w:t>$870</w:t>
      </w:r>
      <w:r>
        <w:rPr>
          <w:rFonts w:ascii="Arial" w:hAnsi="Arial" w:cs="Arial"/>
          <w:szCs w:val="24"/>
        </w:rPr>
        <w:t xml:space="preserve"> </w:t>
      </w:r>
      <w:r w:rsidRPr="009D3C05">
        <w:rPr>
          <w:rFonts w:ascii="Arial" w:hAnsi="Arial" w:cs="Arial"/>
          <w:szCs w:val="24"/>
        </w:rPr>
        <w:t>965 per annum.</w:t>
      </w:r>
    </w:p>
    <w:p w14:paraId="68886067" w14:textId="77777777" w:rsidR="00030089" w:rsidRDefault="00030089" w:rsidP="00030089">
      <w:pPr>
        <w:spacing w:line="360" w:lineRule="auto"/>
        <w:jc w:val="both"/>
        <w:rPr>
          <w:rFonts w:ascii="Arial" w:hAnsi="Arial" w:cs="Arial"/>
          <w:szCs w:val="24"/>
        </w:rPr>
      </w:pPr>
      <w:r w:rsidRPr="0021337C">
        <w:rPr>
          <w:rFonts w:ascii="Arial" w:hAnsi="Arial" w:cs="Arial"/>
          <w:szCs w:val="24"/>
        </w:rPr>
        <w:t xml:space="preserve">While a significant proportion of beverage containers will be directed away from kerbside recycling, </w:t>
      </w:r>
      <w:r>
        <w:rPr>
          <w:rFonts w:ascii="Arial" w:hAnsi="Arial" w:cs="Arial"/>
          <w:szCs w:val="24"/>
        </w:rPr>
        <w:t>those that remain can then enter the CDS by the operators of kerbside services,  ‘subsidising’ the cost of their collection.</w:t>
      </w:r>
      <w:r w:rsidRPr="0021337C">
        <w:rPr>
          <w:rFonts w:ascii="Arial" w:hAnsi="Arial" w:cs="Arial"/>
          <w:szCs w:val="24"/>
        </w:rPr>
        <w:t xml:space="preserve"> In this way it is anticipated that the two systems will successfully operate in tandem.</w:t>
      </w:r>
    </w:p>
    <w:p w14:paraId="6BECD2E5" w14:textId="77777777" w:rsidR="00F702E2" w:rsidRPr="004D561F" w:rsidRDefault="00F702E2" w:rsidP="00030089">
      <w:pPr>
        <w:spacing w:line="360" w:lineRule="auto"/>
        <w:jc w:val="both"/>
        <w:rPr>
          <w:rFonts w:ascii="Arial" w:hAnsi="Arial" w:cs="Arial"/>
          <w:szCs w:val="24"/>
        </w:rPr>
      </w:pPr>
    </w:p>
    <w:p w14:paraId="2439F799" w14:textId="77777777" w:rsidR="00F702E2" w:rsidRDefault="00F702E2">
      <w:r>
        <w:br w:type="page"/>
      </w:r>
    </w:p>
    <w:tbl>
      <w:tblPr>
        <w:tblpPr w:leftFromText="181" w:rightFromText="181" w:bottomFromText="200" w:vertAnchor="text" w:horzAnchor="margin" w:tblpX="216" w:tblpY="446"/>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977"/>
        <w:gridCol w:w="2977"/>
      </w:tblGrid>
      <w:tr w:rsidR="00030089" w:rsidRPr="009D3C05" w14:paraId="139DEFD4" w14:textId="77777777" w:rsidTr="008547F7">
        <w:trPr>
          <w:trHeight w:val="300"/>
          <w:tblHeader/>
        </w:trPr>
        <w:tc>
          <w:tcPr>
            <w:tcW w:w="2977" w:type="dxa"/>
            <w:tcBorders>
              <w:top w:val="single" w:sz="4" w:space="0" w:color="auto"/>
              <w:left w:val="single" w:sz="4" w:space="0" w:color="auto"/>
              <w:bottom w:val="single" w:sz="4" w:space="0" w:color="auto"/>
              <w:right w:val="single" w:sz="4" w:space="0" w:color="auto"/>
            </w:tcBorders>
            <w:shd w:val="pct10" w:color="auto" w:fill="FFFFFF" w:themeFill="background1"/>
            <w:noWrap/>
            <w:hideMark/>
          </w:tcPr>
          <w:p w14:paraId="52E73D30" w14:textId="3FE08ACF" w:rsidR="00030089" w:rsidRPr="009D3C05" w:rsidRDefault="00030089" w:rsidP="008547F7">
            <w:pPr>
              <w:rPr>
                <w:rFonts w:ascii="Arial" w:eastAsia="Times New Roman" w:hAnsi="Arial" w:cs="Arial"/>
                <w:b/>
                <w:sz w:val="20"/>
                <w:szCs w:val="20"/>
              </w:rPr>
            </w:pPr>
            <w:r w:rsidRPr="009D3C05">
              <w:rPr>
                <w:rFonts w:ascii="Arial" w:eastAsia="Times New Roman" w:hAnsi="Arial" w:cs="Arial"/>
                <w:b/>
                <w:sz w:val="18"/>
                <w:szCs w:val="20"/>
              </w:rPr>
              <w:lastRenderedPageBreak/>
              <w:t>Materials</w:t>
            </w:r>
          </w:p>
        </w:tc>
        <w:tc>
          <w:tcPr>
            <w:tcW w:w="2977" w:type="dxa"/>
            <w:tcBorders>
              <w:top w:val="single" w:sz="4" w:space="0" w:color="auto"/>
              <w:left w:val="single" w:sz="4" w:space="0" w:color="auto"/>
              <w:bottom w:val="single" w:sz="4" w:space="0" w:color="auto"/>
              <w:right w:val="single" w:sz="4" w:space="0" w:color="auto"/>
            </w:tcBorders>
            <w:shd w:val="pct10" w:color="auto" w:fill="FFFFFF" w:themeFill="background1"/>
            <w:noWrap/>
            <w:hideMark/>
          </w:tcPr>
          <w:p w14:paraId="0C233840" w14:textId="77777777" w:rsidR="00030089" w:rsidRPr="009D3C05" w:rsidRDefault="00030089" w:rsidP="008547F7">
            <w:pPr>
              <w:jc w:val="right"/>
              <w:rPr>
                <w:rFonts w:ascii="Arial" w:eastAsia="Times New Roman" w:hAnsi="Arial" w:cs="Arial"/>
                <w:b/>
                <w:sz w:val="20"/>
                <w:szCs w:val="20"/>
              </w:rPr>
            </w:pPr>
            <w:r w:rsidRPr="009D3C05">
              <w:rPr>
                <w:rFonts w:ascii="Arial" w:eastAsia="Times New Roman" w:hAnsi="Arial" w:cs="Arial"/>
                <w:b/>
                <w:sz w:val="18"/>
                <w:szCs w:val="20"/>
              </w:rPr>
              <w:t>Kerbside Recycling pre</w:t>
            </w:r>
            <w:r>
              <w:rPr>
                <w:rFonts w:ascii="Arial" w:eastAsia="Times New Roman" w:hAnsi="Arial" w:cs="Arial"/>
                <w:b/>
                <w:sz w:val="18"/>
                <w:szCs w:val="20"/>
              </w:rPr>
              <w:t xml:space="preserve"> NT</w:t>
            </w:r>
            <w:r w:rsidRPr="009D3C05">
              <w:rPr>
                <w:rFonts w:ascii="Arial" w:eastAsia="Times New Roman" w:hAnsi="Arial" w:cs="Arial"/>
                <w:b/>
                <w:sz w:val="18"/>
                <w:szCs w:val="20"/>
              </w:rPr>
              <w:t xml:space="preserve"> CDS</w:t>
            </w:r>
            <w:r w:rsidRPr="009D3C05">
              <w:rPr>
                <w:rStyle w:val="FootnoteReference"/>
                <w:rFonts w:ascii="Arial" w:eastAsia="Times New Roman" w:hAnsi="Arial" w:cs="Arial"/>
                <w:b/>
                <w:sz w:val="18"/>
                <w:szCs w:val="20"/>
              </w:rPr>
              <w:footnoteReference w:id="29"/>
            </w:r>
            <w:r w:rsidRPr="009D3C05">
              <w:rPr>
                <w:rFonts w:ascii="Arial" w:eastAsia="Times New Roman" w:hAnsi="Arial" w:cs="Arial"/>
                <w:b/>
                <w:sz w:val="18"/>
                <w:szCs w:val="20"/>
              </w:rPr>
              <w:t>, (tonnes)</w:t>
            </w:r>
          </w:p>
        </w:tc>
        <w:tc>
          <w:tcPr>
            <w:tcW w:w="2977" w:type="dxa"/>
            <w:tcBorders>
              <w:top w:val="single" w:sz="4" w:space="0" w:color="auto"/>
              <w:left w:val="single" w:sz="4" w:space="0" w:color="auto"/>
              <w:bottom w:val="single" w:sz="4" w:space="0" w:color="auto"/>
              <w:right w:val="single" w:sz="4" w:space="0" w:color="auto"/>
            </w:tcBorders>
            <w:shd w:val="pct10" w:color="auto" w:fill="FFFFFF" w:themeFill="background1"/>
            <w:hideMark/>
          </w:tcPr>
          <w:p w14:paraId="3E31B29C" w14:textId="77777777" w:rsidR="00030089" w:rsidRPr="009D3C05" w:rsidRDefault="00030089" w:rsidP="008547F7">
            <w:pPr>
              <w:jc w:val="right"/>
              <w:rPr>
                <w:rFonts w:ascii="Arial" w:eastAsia="Times New Roman" w:hAnsi="Arial" w:cs="Arial"/>
                <w:b/>
                <w:sz w:val="20"/>
                <w:szCs w:val="20"/>
              </w:rPr>
            </w:pPr>
            <w:r w:rsidRPr="009D3C05">
              <w:rPr>
                <w:rFonts w:ascii="Arial" w:eastAsia="Times New Roman" w:hAnsi="Arial" w:cs="Arial"/>
                <w:b/>
                <w:sz w:val="18"/>
                <w:szCs w:val="20"/>
              </w:rPr>
              <w:t xml:space="preserve">Estimated CDS </w:t>
            </w:r>
            <w:r>
              <w:rPr>
                <w:rFonts w:ascii="Arial" w:eastAsia="Times New Roman" w:hAnsi="Arial" w:cs="Arial"/>
                <w:b/>
                <w:sz w:val="18"/>
                <w:szCs w:val="20"/>
              </w:rPr>
              <w:t>m</w:t>
            </w:r>
            <w:r w:rsidRPr="009D3C05">
              <w:rPr>
                <w:rFonts w:ascii="Arial" w:eastAsia="Times New Roman" w:hAnsi="Arial" w:cs="Arial"/>
                <w:b/>
                <w:sz w:val="18"/>
                <w:szCs w:val="20"/>
              </w:rPr>
              <w:t>aterial proportion of kerbside (tonnes)</w:t>
            </w:r>
          </w:p>
        </w:tc>
      </w:tr>
      <w:tr w:rsidR="00030089" w:rsidRPr="009D3C05" w14:paraId="2DEB9B5E" w14:textId="77777777" w:rsidTr="008547F7">
        <w:trPr>
          <w:trHeight w:val="300"/>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2D0653BC" w14:textId="77777777" w:rsidR="00030089" w:rsidRPr="009D3C05" w:rsidRDefault="00030089" w:rsidP="008547F7">
            <w:pPr>
              <w:rPr>
                <w:rFonts w:ascii="Arial" w:eastAsia="Times New Roman" w:hAnsi="Arial" w:cs="Arial"/>
                <w:b/>
                <w:sz w:val="20"/>
                <w:szCs w:val="20"/>
              </w:rPr>
            </w:pPr>
            <w:r w:rsidRPr="009D3C05">
              <w:rPr>
                <w:rFonts w:ascii="Arial" w:eastAsia="Times New Roman" w:hAnsi="Arial" w:cs="Arial"/>
                <w:b/>
                <w:sz w:val="18"/>
                <w:szCs w:val="20"/>
              </w:rPr>
              <w:t>Paper etc</w:t>
            </w:r>
          </w:p>
        </w:tc>
        <w:tc>
          <w:tcPr>
            <w:tcW w:w="2977" w:type="dxa"/>
            <w:tcBorders>
              <w:top w:val="single" w:sz="4" w:space="0" w:color="auto"/>
              <w:left w:val="single" w:sz="4" w:space="0" w:color="auto"/>
              <w:bottom w:val="single" w:sz="4" w:space="0" w:color="auto"/>
              <w:right w:val="single" w:sz="4" w:space="0" w:color="auto"/>
            </w:tcBorders>
            <w:noWrap/>
            <w:hideMark/>
          </w:tcPr>
          <w:p w14:paraId="66C72438" w14:textId="77777777" w:rsidR="00030089" w:rsidRPr="009D3C05" w:rsidRDefault="00030089" w:rsidP="008547F7">
            <w:pPr>
              <w:ind w:left="360"/>
              <w:jc w:val="right"/>
              <w:rPr>
                <w:rFonts w:ascii="Arial" w:eastAsia="Times New Roman" w:hAnsi="Arial" w:cs="Arial"/>
                <w:sz w:val="20"/>
                <w:szCs w:val="20"/>
              </w:rPr>
            </w:pPr>
            <w:r w:rsidRPr="009D3C05">
              <w:rPr>
                <w:rFonts w:ascii="Arial" w:eastAsia="Times New Roman" w:hAnsi="Arial" w:cs="Arial"/>
                <w:sz w:val="18"/>
                <w:szCs w:val="20"/>
              </w:rPr>
              <w:t>3</w:t>
            </w:r>
            <w:r>
              <w:rPr>
                <w:rFonts w:ascii="Arial" w:eastAsia="Times New Roman" w:hAnsi="Arial" w:cs="Arial"/>
                <w:sz w:val="18"/>
                <w:szCs w:val="20"/>
              </w:rPr>
              <w:t xml:space="preserve"> </w:t>
            </w:r>
            <w:r w:rsidRPr="009D3C05">
              <w:rPr>
                <w:rFonts w:ascii="Arial" w:eastAsia="Times New Roman" w:hAnsi="Arial" w:cs="Arial"/>
                <w:sz w:val="18"/>
                <w:szCs w:val="20"/>
              </w:rPr>
              <w:t>376</w:t>
            </w:r>
          </w:p>
        </w:tc>
        <w:tc>
          <w:tcPr>
            <w:tcW w:w="2977" w:type="dxa"/>
            <w:tcBorders>
              <w:top w:val="single" w:sz="4" w:space="0" w:color="auto"/>
              <w:left w:val="single" w:sz="4" w:space="0" w:color="auto"/>
              <w:bottom w:val="single" w:sz="4" w:space="0" w:color="auto"/>
              <w:right w:val="single" w:sz="4" w:space="0" w:color="auto"/>
            </w:tcBorders>
            <w:hideMark/>
          </w:tcPr>
          <w:p w14:paraId="00C558C8" w14:textId="77777777" w:rsidR="00030089" w:rsidRPr="009D3C05" w:rsidRDefault="00030089" w:rsidP="008547F7">
            <w:pPr>
              <w:ind w:left="360"/>
              <w:jc w:val="right"/>
              <w:rPr>
                <w:rFonts w:ascii="Arial" w:eastAsia="Times New Roman" w:hAnsi="Arial" w:cs="Arial"/>
                <w:sz w:val="20"/>
                <w:szCs w:val="20"/>
              </w:rPr>
            </w:pPr>
            <w:r w:rsidRPr="009D3C05">
              <w:rPr>
                <w:rFonts w:ascii="Arial" w:eastAsia="Times New Roman" w:hAnsi="Arial" w:cs="Arial"/>
                <w:sz w:val="18"/>
                <w:szCs w:val="20"/>
              </w:rPr>
              <w:t>0</w:t>
            </w:r>
          </w:p>
        </w:tc>
      </w:tr>
      <w:tr w:rsidR="00030089" w:rsidRPr="009D3C05" w14:paraId="49B67C6F" w14:textId="77777777" w:rsidTr="008547F7">
        <w:trPr>
          <w:trHeight w:val="300"/>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42B42D28" w14:textId="77777777" w:rsidR="00030089" w:rsidRPr="009D3C05" w:rsidRDefault="00030089" w:rsidP="008547F7">
            <w:pPr>
              <w:rPr>
                <w:rFonts w:ascii="Arial" w:eastAsia="Times New Roman" w:hAnsi="Arial" w:cs="Arial"/>
                <w:b/>
                <w:sz w:val="20"/>
                <w:szCs w:val="20"/>
              </w:rPr>
            </w:pPr>
            <w:r w:rsidRPr="009D3C05">
              <w:rPr>
                <w:rFonts w:ascii="Arial" w:eastAsia="Times New Roman" w:hAnsi="Arial" w:cs="Arial"/>
                <w:b/>
                <w:sz w:val="18"/>
                <w:szCs w:val="20"/>
              </w:rPr>
              <w:t>Glass</w:t>
            </w:r>
          </w:p>
        </w:tc>
        <w:tc>
          <w:tcPr>
            <w:tcW w:w="2977" w:type="dxa"/>
            <w:tcBorders>
              <w:top w:val="single" w:sz="4" w:space="0" w:color="auto"/>
              <w:left w:val="single" w:sz="4" w:space="0" w:color="auto"/>
              <w:bottom w:val="single" w:sz="4" w:space="0" w:color="auto"/>
              <w:right w:val="single" w:sz="4" w:space="0" w:color="auto"/>
            </w:tcBorders>
            <w:noWrap/>
            <w:hideMark/>
          </w:tcPr>
          <w:p w14:paraId="15352BDE" w14:textId="77777777" w:rsidR="00030089" w:rsidRPr="009D3C05" w:rsidRDefault="00030089" w:rsidP="008547F7">
            <w:pPr>
              <w:ind w:left="360"/>
              <w:jc w:val="right"/>
              <w:rPr>
                <w:rFonts w:ascii="Arial" w:eastAsia="Times New Roman" w:hAnsi="Arial" w:cs="Arial"/>
                <w:sz w:val="20"/>
                <w:szCs w:val="20"/>
              </w:rPr>
            </w:pPr>
            <w:r w:rsidRPr="009D3C05">
              <w:rPr>
                <w:rFonts w:ascii="Arial" w:eastAsia="Times New Roman" w:hAnsi="Arial" w:cs="Arial"/>
                <w:sz w:val="18"/>
                <w:szCs w:val="20"/>
              </w:rPr>
              <w:t>1</w:t>
            </w:r>
            <w:r>
              <w:rPr>
                <w:rFonts w:ascii="Arial" w:eastAsia="Times New Roman" w:hAnsi="Arial" w:cs="Arial"/>
                <w:sz w:val="18"/>
                <w:szCs w:val="20"/>
              </w:rPr>
              <w:t xml:space="preserve"> </w:t>
            </w:r>
            <w:r w:rsidRPr="009D3C05">
              <w:rPr>
                <w:rFonts w:ascii="Arial" w:eastAsia="Times New Roman" w:hAnsi="Arial" w:cs="Arial"/>
                <w:sz w:val="18"/>
                <w:szCs w:val="20"/>
              </w:rPr>
              <w:t>574</w:t>
            </w:r>
          </w:p>
        </w:tc>
        <w:tc>
          <w:tcPr>
            <w:tcW w:w="2977" w:type="dxa"/>
            <w:tcBorders>
              <w:top w:val="single" w:sz="4" w:space="0" w:color="auto"/>
              <w:left w:val="single" w:sz="4" w:space="0" w:color="auto"/>
              <w:bottom w:val="single" w:sz="4" w:space="0" w:color="auto"/>
              <w:right w:val="single" w:sz="4" w:space="0" w:color="auto"/>
            </w:tcBorders>
            <w:hideMark/>
          </w:tcPr>
          <w:p w14:paraId="33E094BA" w14:textId="77777777" w:rsidR="00030089" w:rsidRPr="009D3C05" w:rsidRDefault="00030089" w:rsidP="008547F7">
            <w:pPr>
              <w:ind w:left="360"/>
              <w:jc w:val="right"/>
              <w:rPr>
                <w:rFonts w:ascii="Arial" w:eastAsia="Times New Roman" w:hAnsi="Arial" w:cs="Arial"/>
                <w:sz w:val="20"/>
                <w:szCs w:val="20"/>
              </w:rPr>
            </w:pPr>
            <w:r w:rsidRPr="009D3C05">
              <w:rPr>
                <w:rFonts w:ascii="Arial" w:eastAsia="Times New Roman" w:hAnsi="Arial" w:cs="Arial"/>
                <w:sz w:val="18"/>
                <w:szCs w:val="20"/>
              </w:rPr>
              <w:t>1</w:t>
            </w:r>
            <w:r>
              <w:rPr>
                <w:rFonts w:ascii="Arial" w:eastAsia="Times New Roman" w:hAnsi="Arial" w:cs="Arial"/>
                <w:sz w:val="18"/>
                <w:szCs w:val="20"/>
              </w:rPr>
              <w:t xml:space="preserve"> </w:t>
            </w:r>
            <w:r w:rsidRPr="009D3C05">
              <w:rPr>
                <w:rFonts w:ascii="Arial" w:eastAsia="Times New Roman" w:hAnsi="Arial" w:cs="Arial"/>
                <w:sz w:val="18"/>
                <w:szCs w:val="20"/>
              </w:rPr>
              <w:t>244</w:t>
            </w:r>
          </w:p>
        </w:tc>
      </w:tr>
      <w:tr w:rsidR="00030089" w:rsidRPr="009D3C05" w14:paraId="1E3B00B3" w14:textId="77777777" w:rsidTr="008547F7">
        <w:trPr>
          <w:trHeight w:val="300"/>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78D0987F" w14:textId="77777777" w:rsidR="00030089" w:rsidRPr="009D3C05" w:rsidRDefault="00030089" w:rsidP="008547F7">
            <w:pPr>
              <w:rPr>
                <w:rFonts w:ascii="Arial" w:eastAsia="Times New Roman" w:hAnsi="Arial" w:cs="Arial"/>
                <w:b/>
                <w:sz w:val="20"/>
                <w:szCs w:val="20"/>
              </w:rPr>
            </w:pPr>
            <w:r w:rsidRPr="009D3C05">
              <w:rPr>
                <w:rFonts w:ascii="Arial" w:eastAsia="Times New Roman" w:hAnsi="Arial" w:cs="Arial"/>
                <w:b/>
                <w:sz w:val="18"/>
                <w:szCs w:val="20"/>
              </w:rPr>
              <w:t>Plastic</w:t>
            </w:r>
          </w:p>
        </w:tc>
        <w:tc>
          <w:tcPr>
            <w:tcW w:w="2977" w:type="dxa"/>
            <w:tcBorders>
              <w:top w:val="single" w:sz="4" w:space="0" w:color="auto"/>
              <w:left w:val="single" w:sz="4" w:space="0" w:color="auto"/>
              <w:bottom w:val="single" w:sz="4" w:space="0" w:color="auto"/>
              <w:right w:val="single" w:sz="4" w:space="0" w:color="auto"/>
            </w:tcBorders>
            <w:noWrap/>
            <w:hideMark/>
          </w:tcPr>
          <w:p w14:paraId="757728BC" w14:textId="77777777" w:rsidR="00030089" w:rsidRPr="009D3C05" w:rsidRDefault="00030089" w:rsidP="008547F7">
            <w:pPr>
              <w:ind w:left="360"/>
              <w:jc w:val="right"/>
              <w:rPr>
                <w:rFonts w:ascii="Arial" w:eastAsia="Times New Roman" w:hAnsi="Arial" w:cs="Arial"/>
                <w:sz w:val="20"/>
                <w:szCs w:val="20"/>
              </w:rPr>
            </w:pPr>
            <w:r w:rsidRPr="009D3C05">
              <w:rPr>
                <w:rFonts w:ascii="Arial" w:eastAsia="Times New Roman" w:hAnsi="Arial" w:cs="Arial"/>
                <w:sz w:val="18"/>
                <w:szCs w:val="20"/>
              </w:rPr>
              <w:t>248</w:t>
            </w:r>
          </w:p>
        </w:tc>
        <w:tc>
          <w:tcPr>
            <w:tcW w:w="2977" w:type="dxa"/>
            <w:tcBorders>
              <w:top w:val="single" w:sz="4" w:space="0" w:color="auto"/>
              <w:left w:val="single" w:sz="4" w:space="0" w:color="auto"/>
              <w:bottom w:val="single" w:sz="4" w:space="0" w:color="auto"/>
              <w:right w:val="single" w:sz="4" w:space="0" w:color="auto"/>
            </w:tcBorders>
            <w:hideMark/>
          </w:tcPr>
          <w:p w14:paraId="7762A403" w14:textId="77777777" w:rsidR="00030089" w:rsidRPr="009D3C05" w:rsidRDefault="00030089" w:rsidP="008547F7">
            <w:pPr>
              <w:ind w:left="360"/>
              <w:jc w:val="right"/>
              <w:rPr>
                <w:rFonts w:ascii="Arial" w:eastAsia="Times New Roman" w:hAnsi="Arial" w:cs="Arial"/>
                <w:sz w:val="20"/>
                <w:szCs w:val="20"/>
              </w:rPr>
            </w:pPr>
            <w:r w:rsidRPr="009D3C05">
              <w:rPr>
                <w:rFonts w:ascii="Arial" w:eastAsia="Times New Roman" w:hAnsi="Arial" w:cs="Arial"/>
                <w:sz w:val="18"/>
                <w:szCs w:val="20"/>
              </w:rPr>
              <w:t>74</w:t>
            </w:r>
          </w:p>
        </w:tc>
      </w:tr>
      <w:tr w:rsidR="00030089" w:rsidRPr="009D3C05" w14:paraId="6156B7A8" w14:textId="77777777" w:rsidTr="008547F7">
        <w:trPr>
          <w:trHeight w:val="300"/>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5896A55F" w14:textId="77777777" w:rsidR="00030089" w:rsidRPr="009D3C05" w:rsidRDefault="00030089" w:rsidP="008547F7">
            <w:pPr>
              <w:rPr>
                <w:rFonts w:ascii="Arial" w:eastAsia="Times New Roman" w:hAnsi="Arial" w:cs="Arial"/>
                <w:b/>
                <w:sz w:val="20"/>
                <w:szCs w:val="20"/>
              </w:rPr>
            </w:pPr>
            <w:r w:rsidRPr="009D3C05">
              <w:rPr>
                <w:rFonts w:ascii="Arial" w:eastAsia="Times New Roman" w:hAnsi="Arial" w:cs="Arial"/>
                <w:b/>
                <w:sz w:val="18"/>
                <w:szCs w:val="20"/>
              </w:rPr>
              <w:t>Aluminium</w:t>
            </w:r>
          </w:p>
        </w:tc>
        <w:tc>
          <w:tcPr>
            <w:tcW w:w="2977" w:type="dxa"/>
            <w:tcBorders>
              <w:top w:val="single" w:sz="4" w:space="0" w:color="auto"/>
              <w:left w:val="single" w:sz="4" w:space="0" w:color="auto"/>
              <w:bottom w:val="single" w:sz="4" w:space="0" w:color="auto"/>
              <w:right w:val="single" w:sz="4" w:space="0" w:color="auto"/>
            </w:tcBorders>
            <w:noWrap/>
            <w:hideMark/>
          </w:tcPr>
          <w:p w14:paraId="26531F41" w14:textId="77777777" w:rsidR="00030089" w:rsidRPr="009D3C05" w:rsidRDefault="00030089" w:rsidP="008547F7">
            <w:pPr>
              <w:ind w:left="360"/>
              <w:jc w:val="right"/>
              <w:rPr>
                <w:rFonts w:ascii="Arial" w:eastAsia="Times New Roman" w:hAnsi="Arial" w:cs="Arial"/>
                <w:sz w:val="20"/>
                <w:szCs w:val="20"/>
              </w:rPr>
            </w:pPr>
            <w:r w:rsidRPr="009D3C05">
              <w:rPr>
                <w:rFonts w:ascii="Arial" w:eastAsia="Times New Roman" w:hAnsi="Arial" w:cs="Arial"/>
                <w:sz w:val="18"/>
                <w:szCs w:val="20"/>
              </w:rPr>
              <w:t>107</w:t>
            </w:r>
          </w:p>
        </w:tc>
        <w:tc>
          <w:tcPr>
            <w:tcW w:w="2977" w:type="dxa"/>
            <w:tcBorders>
              <w:top w:val="single" w:sz="4" w:space="0" w:color="auto"/>
              <w:left w:val="single" w:sz="4" w:space="0" w:color="auto"/>
              <w:bottom w:val="single" w:sz="4" w:space="0" w:color="auto"/>
              <w:right w:val="single" w:sz="4" w:space="0" w:color="auto"/>
            </w:tcBorders>
            <w:hideMark/>
          </w:tcPr>
          <w:p w14:paraId="5DE2D01C" w14:textId="77777777" w:rsidR="00030089" w:rsidRPr="009D3C05" w:rsidRDefault="00030089" w:rsidP="008547F7">
            <w:pPr>
              <w:ind w:left="360"/>
              <w:jc w:val="right"/>
              <w:rPr>
                <w:rFonts w:ascii="Arial" w:eastAsia="Times New Roman" w:hAnsi="Arial" w:cs="Arial"/>
                <w:sz w:val="20"/>
                <w:szCs w:val="20"/>
              </w:rPr>
            </w:pPr>
            <w:r w:rsidRPr="009D3C05">
              <w:rPr>
                <w:rFonts w:ascii="Arial" w:eastAsia="Times New Roman" w:hAnsi="Arial" w:cs="Arial"/>
                <w:sz w:val="18"/>
                <w:szCs w:val="20"/>
              </w:rPr>
              <w:t>107</w:t>
            </w:r>
          </w:p>
        </w:tc>
      </w:tr>
      <w:tr w:rsidR="00030089" w:rsidRPr="009D3C05" w14:paraId="4885514E" w14:textId="77777777" w:rsidTr="008547F7">
        <w:trPr>
          <w:trHeight w:val="300"/>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56D0A10A" w14:textId="77777777" w:rsidR="00030089" w:rsidRPr="009D3C05" w:rsidRDefault="00030089" w:rsidP="008547F7">
            <w:pPr>
              <w:rPr>
                <w:rFonts w:ascii="Arial" w:eastAsia="Times New Roman" w:hAnsi="Arial" w:cs="Arial"/>
                <w:b/>
                <w:sz w:val="20"/>
                <w:szCs w:val="20"/>
              </w:rPr>
            </w:pPr>
            <w:r w:rsidRPr="009D3C05">
              <w:rPr>
                <w:rFonts w:ascii="Arial" w:eastAsia="Times New Roman" w:hAnsi="Arial" w:cs="Arial"/>
                <w:b/>
                <w:sz w:val="18"/>
                <w:szCs w:val="20"/>
              </w:rPr>
              <w:t>LPB</w:t>
            </w:r>
          </w:p>
        </w:tc>
        <w:tc>
          <w:tcPr>
            <w:tcW w:w="2977" w:type="dxa"/>
            <w:tcBorders>
              <w:top w:val="single" w:sz="4" w:space="0" w:color="auto"/>
              <w:left w:val="single" w:sz="4" w:space="0" w:color="auto"/>
              <w:bottom w:val="single" w:sz="4" w:space="0" w:color="auto"/>
              <w:right w:val="single" w:sz="4" w:space="0" w:color="auto"/>
            </w:tcBorders>
            <w:noWrap/>
            <w:hideMark/>
          </w:tcPr>
          <w:p w14:paraId="1CBEE3E3" w14:textId="77777777" w:rsidR="00030089" w:rsidRPr="009D3C05" w:rsidRDefault="00030089" w:rsidP="008547F7">
            <w:pPr>
              <w:ind w:left="360"/>
              <w:jc w:val="right"/>
              <w:rPr>
                <w:rFonts w:ascii="Arial" w:eastAsia="Times New Roman" w:hAnsi="Arial" w:cs="Arial"/>
                <w:sz w:val="20"/>
                <w:szCs w:val="20"/>
              </w:rPr>
            </w:pPr>
            <w:r w:rsidRPr="009D3C05">
              <w:rPr>
                <w:rFonts w:ascii="Arial" w:eastAsia="Times New Roman" w:hAnsi="Arial" w:cs="Arial"/>
                <w:sz w:val="18"/>
                <w:szCs w:val="20"/>
              </w:rPr>
              <w:t>0</w:t>
            </w:r>
          </w:p>
        </w:tc>
        <w:tc>
          <w:tcPr>
            <w:tcW w:w="2977" w:type="dxa"/>
            <w:tcBorders>
              <w:top w:val="single" w:sz="4" w:space="0" w:color="auto"/>
              <w:left w:val="single" w:sz="4" w:space="0" w:color="auto"/>
              <w:bottom w:val="single" w:sz="4" w:space="0" w:color="auto"/>
              <w:right w:val="single" w:sz="4" w:space="0" w:color="auto"/>
            </w:tcBorders>
            <w:hideMark/>
          </w:tcPr>
          <w:p w14:paraId="62393A7A" w14:textId="77777777" w:rsidR="00030089" w:rsidRPr="009D3C05" w:rsidRDefault="00030089" w:rsidP="008547F7">
            <w:pPr>
              <w:ind w:left="360"/>
              <w:jc w:val="right"/>
              <w:rPr>
                <w:rFonts w:ascii="Arial" w:eastAsia="Times New Roman" w:hAnsi="Arial" w:cs="Arial"/>
                <w:sz w:val="20"/>
                <w:szCs w:val="20"/>
              </w:rPr>
            </w:pPr>
            <w:r w:rsidRPr="009D3C05">
              <w:rPr>
                <w:rFonts w:ascii="Arial" w:eastAsia="Times New Roman" w:hAnsi="Arial" w:cs="Arial"/>
                <w:sz w:val="18"/>
                <w:szCs w:val="20"/>
              </w:rPr>
              <w:t>0</w:t>
            </w:r>
          </w:p>
        </w:tc>
      </w:tr>
      <w:tr w:rsidR="00030089" w:rsidRPr="009D3C05" w14:paraId="7117A5B5" w14:textId="77777777" w:rsidTr="008547F7">
        <w:trPr>
          <w:trHeight w:val="261"/>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3D8D0842" w14:textId="77777777" w:rsidR="00030089" w:rsidRPr="009D3C05" w:rsidRDefault="00030089" w:rsidP="008547F7">
            <w:pPr>
              <w:rPr>
                <w:rFonts w:ascii="Arial" w:eastAsia="Times New Roman" w:hAnsi="Arial" w:cs="Arial"/>
                <w:b/>
                <w:sz w:val="20"/>
                <w:szCs w:val="20"/>
              </w:rPr>
            </w:pPr>
            <w:r w:rsidRPr="009D3C05">
              <w:rPr>
                <w:rFonts w:ascii="Arial" w:eastAsia="Times New Roman" w:hAnsi="Arial" w:cs="Arial"/>
                <w:b/>
                <w:sz w:val="18"/>
                <w:szCs w:val="20"/>
              </w:rPr>
              <w:t>TOTAL</w:t>
            </w:r>
          </w:p>
        </w:tc>
        <w:tc>
          <w:tcPr>
            <w:tcW w:w="2977" w:type="dxa"/>
            <w:tcBorders>
              <w:top w:val="single" w:sz="4" w:space="0" w:color="auto"/>
              <w:left w:val="single" w:sz="4" w:space="0" w:color="auto"/>
              <w:bottom w:val="single" w:sz="4" w:space="0" w:color="auto"/>
              <w:right w:val="single" w:sz="4" w:space="0" w:color="auto"/>
            </w:tcBorders>
            <w:noWrap/>
            <w:hideMark/>
          </w:tcPr>
          <w:p w14:paraId="6682AD88" w14:textId="77777777" w:rsidR="00030089" w:rsidRPr="009D3C05" w:rsidRDefault="00030089" w:rsidP="008547F7">
            <w:pPr>
              <w:ind w:left="360"/>
              <w:jc w:val="right"/>
              <w:rPr>
                <w:rFonts w:ascii="Arial" w:eastAsia="Times New Roman" w:hAnsi="Arial" w:cs="Arial"/>
                <w:b/>
                <w:sz w:val="20"/>
                <w:szCs w:val="20"/>
              </w:rPr>
            </w:pPr>
            <w:r w:rsidRPr="009D3C05">
              <w:rPr>
                <w:rFonts w:ascii="Arial" w:eastAsia="Times New Roman" w:hAnsi="Arial" w:cs="Arial"/>
                <w:b/>
                <w:sz w:val="18"/>
                <w:szCs w:val="20"/>
              </w:rPr>
              <w:t>5</w:t>
            </w:r>
            <w:r>
              <w:rPr>
                <w:rFonts w:ascii="Arial" w:eastAsia="Times New Roman" w:hAnsi="Arial" w:cs="Arial"/>
                <w:b/>
                <w:sz w:val="18"/>
                <w:szCs w:val="20"/>
              </w:rPr>
              <w:t xml:space="preserve"> 305</w:t>
            </w:r>
          </w:p>
        </w:tc>
        <w:tc>
          <w:tcPr>
            <w:tcW w:w="2977" w:type="dxa"/>
            <w:tcBorders>
              <w:top w:val="single" w:sz="4" w:space="0" w:color="auto"/>
              <w:left w:val="single" w:sz="4" w:space="0" w:color="auto"/>
              <w:bottom w:val="single" w:sz="4" w:space="0" w:color="auto"/>
              <w:right w:val="single" w:sz="4" w:space="0" w:color="auto"/>
            </w:tcBorders>
            <w:hideMark/>
          </w:tcPr>
          <w:p w14:paraId="3E482747" w14:textId="77777777" w:rsidR="00030089" w:rsidRPr="009D3C05" w:rsidRDefault="00030089" w:rsidP="008547F7">
            <w:pPr>
              <w:ind w:left="360"/>
              <w:jc w:val="right"/>
              <w:rPr>
                <w:rFonts w:ascii="Arial" w:eastAsia="Times New Roman" w:hAnsi="Arial" w:cs="Arial"/>
                <w:b/>
                <w:sz w:val="20"/>
                <w:szCs w:val="20"/>
              </w:rPr>
            </w:pPr>
            <w:r w:rsidRPr="009D3C05">
              <w:rPr>
                <w:rFonts w:ascii="Arial" w:eastAsia="Times New Roman" w:hAnsi="Arial" w:cs="Arial"/>
                <w:b/>
                <w:sz w:val="18"/>
                <w:szCs w:val="20"/>
              </w:rPr>
              <w:fldChar w:fldCharType="begin"/>
            </w:r>
            <w:r w:rsidRPr="009D3C05">
              <w:rPr>
                <w:rFonts w:ascii="Arial" w:eastAsia="Times New Roman" w:hAnsi="Arial" w:cs="Arial"/>
                <w:b/>
                <w:sz w:val="18"/>
                <w:szCs w:val="20"/>
              </w:rPr>
              <w:instrText xml:space="preserve"> =SUM(ABOVE) </w:instrText>
            </w:r>
            <w:r w:rsidRPr="009D3C05">
              <w:rPr>
                <w:rFonts w:ascii="Arial" w:eastAsia="Times New Roman" w:hAnsi="Arial" w:cs="Arial"/>
                <w:b/>
                <w:sz w:val="18"/>
                <w:szCs w:val="20"/>
              </w:rPr>
              <w:fldChar w:fldCharType="separate"/>
            </w:r>
            <w:r w:rsidRPr="009D3C05">
              <w:rPr>
                <w:rFonts w:ascii="Arial" w:eastAsia="Times New Roman" w:hAnsi="Arial" w:cs="Arial"/>
                <w:b/>
                <w:noProof/>
                <w:sz w:val="18"/>
                <w:szCs w:val="20"/>
              </w:rPr>
              <w:t>1</w:t>
            </w:r>
            <w:r>
              <w:rPr>
                <w:rFonts w:ascii="Arial" w:eastAsia="Times New Roman" w:hAnsi="Arial" w:cs="Arial"/>
                <w:b/>
                <w:noProof/>
                <w:sz w:val="18"/>
                <w:szCs w:val="20"/>
              </w:rPr>
              <w:t xml:space="preserve"> </w:t>
            </w:r>
            <w:r w:rsidRPr="009D3C05">
              <w:rPr>
                <w:rFonts w:ascii="Arial" w:eastAsia="Times New Roman" w:hAnsi="Arial" w:cs="Arial"/>
                <w:b/>
                <w:noProof/>
                <w:sz w:val="18"/>
                <w:szCs w:val="20"/>
              </w:rPr>
              <w:t>4</w:t>
            </w:r>
            <w:r w:rsidRPr="009D3C05">
              <w:rPr>
                <w:rFonts w:ascii="Arial" w:eastAsia="Times New Roman" w:hAnsi="Arial" w:cs="Arial"/>
                <w:b/>
                <w:sz w:val="18"/>
                <w:szCs w:val="20"/>
              </w:rPr>
              <w:fldChar w:fldCharType="end"/>
            </w:r>
            <w:r>
              <w:rPr>
                <w:rFonts w:ascii="Arial" w:eastAsia="Times New Roman" w:hAnsi="Arial" w:cs="Arial"/>
                <w:b/>
                <w:sz w:val="18"/>
                <w:szCs w:val="20"/>
              </w:rPr>
              <w:t>25</w:t>
            </w:r>
          </w:p>
        </w:tc>
      </w:tr>
      <w:tr w:rsidR="00030089" w:rsidRPr="009D3C05" w14:paraId="7A83C374" w14:textId="77777777" w:rsidTr="008547F7">
        <w:trPr>
          <w:trHeight w:val="261"/>
        </w:trPr>
        <w:tc>
          <w:tcPr>
            <w:tcW w:w="2977" w:type="dxa"/>
            <w:tcBorders>
              <w:top w:val="single" w:sz="4" w:space="0" w:color="auto"/>
              <w:left w:val="single" w:sz="4" w:space="0" w:color="auto"/>
              <w:bottom w:val="single" w:sz="4" w:space="0" w:color="auto"/>
              <w:right w:val="single" w:sz="4" w:space="0" w:color="auto"/>
            </w:tcBorders>
            <w:noWrap/>
            <w:vAlign w:val="center"/>
          </w:tcPr>
          <w:p w14:paraId="333D0591" w14:textId="77777777" w:rsidR="00030089" w:rsidRPr="009D3C05" w:rsidRDefault="00030089" w:rsidP="008547F7">
            <w:pPr>
              <w:rPr>
                <w:rFonts w:ascii="Arial" w:eastAsia="Times New Roman" w:hAnsi="Arial" w:cs="Arial"/>
                <w:b/>
                <w:sz w:val="18"/>
                <w:szCs w:val="20"/>
              </w:rPr>
            </w:pPr>
            <w:r>
              <w:rPr>
                <w:rFonts w:ascii="Arial" w:eastAsia="Times New Roman" w:hAnsi="Arial" w:cs="Arial"/>
                <w:b/>
                <w:sz w:val="18"/>
                <w:szCs w:val="20"/>
              </w:rPr>
              <w:t>CDS material proportion of kerbside</w:t>
            </w:r>
          </w:p>
        </w:tc>
        <w:tc>
          <w:tcPr>
            <w:tcW w:w="2977" w:type="dxa"/>
            <w:tcBorders>
              <w:top w:val="single" w:sz="4" w:space="0" w:color="auto"/>
              <w:left w:val="single" w:sz="4" w:space="0" w:color="auto"/>
              <w:bottom w:val="single" w:sz="4" w:space="0" w:color="auto"/>
              <w:right w:val="single" w:sz="4" w:space="0" w:color="auto"/>
            </w:tcBorders>
            <w:noWrap/>
          </w:tcPr>
          <w:p w14:paraId="470B6C68" w14:textId="77777777" w:rsidR="00030089" w:rsidRPr="009D3C05" w:rsidRDefault="00030089" w:rsidP="008547F7">
            <w:pPr>
              <w:ind w:left="360"/>
              <w:jc w:val="right"/>
              <w:rPr>
                <w:rFonts w:ascii="Arial" w:eastAsia="Times New Roman" w:hAnsi="Arial" w:cs="Arial"/>
                <w:b/>
                <w:sz w:val="18"/>
                <w:szCs w:val="20"/>
              </w:rPr>
            </w:pPr>
          </w:p>
        </w:tc>
        <w:tc>
          <w:tcPr>
            <w:tcW w:w="2977" w:type="dxa"/>
            <w:tcBorders>
              <w:top w:val="single" w:sz="4" w:space="0" w:color="auto"/>
              <w:left w:val="single" w:sz="4" w:space="0" w:color="auto"/>
              <w:bottom w:val="single" w:sz="4" w:space="0" w:color="auto"/>
              <w:right w:val="single" w:sz="4" w:space="0" w:color="auto"/>
            </w:tcBorders>
          </w:tcPr>
          <w:p w14:paraId="1C4ABEBB" w14:textId="77777777" w:rsidR="00030089" w:rsidRPr="009D3C05" w:rsidRDefault="00030089" w:rsidP="008547F7">
            <w:pPr>
              <w:ind w:left="360"/>
              <w:jc w:val="right"/>
              <w:rPr>
                <w:rFonts w:ascii="Arial" w:eastAsia="Times New Roman" w:hAnsi="Arial" w:cs="Arial"/>
                <w:b/>
                <w:sz w:val="18"/>
                <w:szCs w:val="20"/>
              </w:rPr>
            </w:pPr>
            <w:r>
              <w:rPr>
                <w:rFonts w:ascii="Arial" w:eastAsia="Times New Roman" w:hAnsi="Arial" w:cs="Arial"/>
                <w:b/>
                <w:sz w:val="18"/>
                <w:szCs w:val="20"/>
              </w:rPr>
              <w:t>27%</w:t>
            </w:r>
          </w:p>
        </w:tc>
      </w:tr>
    </w:tbl>
    <w:p w14:paraId="2BEE29D6" w14:textId="77777777" w:rsidR="00030089" w:rsidRPr="00682556" w:rsidRDefault="00030089" w:rsidP="00030089">
      <w:pPr>
        <w:pStyle w:val="Caption"/>
        <w:keepNext/>
        <w:rPr>
          <w:noProof/>
          <w:color w:val="auto"/>
        </w:rPr>
      </w:pPr>
      <w:bookmarkStart w:id="245" w:name="_Toc351023671"/>
      <w:r w:rsidRPr="00682556">
        <w:rPr>
          <w:noProof/>
          <w:color w:val="auto"/>
        </w:rPr>
        <w:t xml:space="preserve"> </w:t>
      </w: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46" w:name="_Toc353562515"/>
      <w:r w:rsidR="00740026">
        <w:rPr>
          <w:noProof/>
          <w:color w:val="auto"/>
        </w:rPr>
        <w:t>34</w:t>
      </w:r>
      <w:r w:rsidRPr="00682556">
        <w:rPr>
          <w:noProof/>
          <w:color w:val="auto"/>
        </w:rPr>
        <w:fldChar w:fldCharType="end"/>
      </w:r>
      <w:r w:rsidRPr="00682556">
        <w:rPr>
          <w:noProof/>
          <w:color w:val="auto"/>
        </w:rPr>
        <w:t xml:space="preserve">  Table 4.</w:t>
      </w:r>
      <w:r>
        <w:rPr>
          <w:noProof/>
          <w:color w:val="auto"/>
        </w:rPr>
        <w:t>24</w:t>
      </w:r>
      <w:r w:rsidRPr="00682556">
        <w:rPr>
          <w:noProof/>
          <w:color w:val="auto"/>
        </w:rPr>
        <w:t>: CDS proportion of NT kerbside collection</w:t>
      </w:r>
      <w:bookmarkEnd w:id="245"/>
      <w:bookmarkEnd w:id="246"/>
    </w:p>
    <w:p w14:paraId="5EDC7E99" w14:textId="77777777" w:rsidR="00F702E2" w:rsidRDefault="00F702E2" w:rsidP="00030089">
      <w:pPr>
        <w:pStyle w:val="Default"/>
      </w:pPr>
    </w:p>
    <w:p w14:paraId="4BF1A180" w14:textId="77777777" w:rsidR="00F702E2" w:rsidRDefault="00F702E2" w:rsidP="00030089">
      <w:pPr>
        <w:pStyle w:val="Default"/>
      </w:pPr>
    </w:p>
    <w:p w14:paraId="0FCD9740" w14:textId="77777777" w:rsidR="00F702E2" w:rsidRDefault="00F702E2" w:rsidP="00030089">
      <w:pPr>
        <w:pStyle w:val="Default"/>
      </w:pPr>
    </w:p>
    <w:p w14:paraId="5D302D5E" w14:textId="77777777" w:rsidR="00F702E2" w:rsidRDefault="00F702E2" w:rsidP="00030089">
      <w:pPr>
        <w:pStyle w:val="Default"/>
      </w:pPr>
    </w:p>
    <w:p w14:paraId="1C49550E" w14:textId="77777777" w:rsidR="00F702E2" w:rsidRDefault="00F702E2" w:rsidP="00030089">
      <w:pPr>
        <w:pStyle w:val="Default"/>
      </w:pPr>
    </w:p>
    <w:p w14:paraId="4450AEC3" w14:textId="77777777" w:rsidR="00F702E2" w:rsidRDefault="00F702E2" w:rsidP="00030089">
      <w:pPr>
        <w:pStyle w:val="Default"/>
      </w:pPr>
    </w:p>
    <w:p w14:paraId="664D3CEA" w14:textId="77777777" w:rsidR="00F702E2" w:rsidRDefault="00F702E2" w:rsidP="00030089">
      <w:pPr>
        <w:pStyle w:val="Default"/>
      </w:pPr>
    </w:p>
    <w:p w14:paraId="6AC7B169" w14:textId="77777777" w:rsidR="00030089" w:rsidRPr="00F702E2" w:rsidRDefault="00030089" w:rsidP="00030089">
      <w:pPr>
        <w:pStyle w:val="Default"/>
        <w:rPr>
          <w:sz w:val="24"/>
          <w:szCs w:val="24"/>
        </w:rPr>
      </w:pPr>
      <w:r w:rsidRPr="00F702E2">
        <w:rPr>
          <w:sz w:val="24"/>
          <w:szCs w:val="24"/>
        </w:rPr>
        <w:t>It should be noted that this estimate is significantly less than the national Packaging Impacts CRIS estimate for national savings to kerbside costs adjusted commensurate with NT population (approximately $27 million for the NT over 25 years). The estimate used reflects the under developed nature of kerbside in the NT.</w:t>
      </w:r>
    </w:p>
    <w:p w14:paraId="09EDEB9B" w14:textId="77777777" w:rsidR="00030089" w:rsidRPr="00F702E2" w:rsidRDefault="00030089" w:rsidP="00030089">
      <w:pPr>
        <w:pStyle w:val="Pa7"/>
        <w:spacing w:line="360" w:lineRule="auto"/>
        <w:rPr>
          <w:sz w:val="24"/>
          <w:szCs w:val="24"/>
        </w:rPr>
      </w:pPr>
      <w:r w:rsidRPr="00F702E2">
        <w:rPr>
          <w:sz w:val="24"/>
          <w:szCs w:val="24"/>
        </w:rPr>
        <w:t>Any displacement of kerbside with CDS redemption will result in significantly greater recycling efficiencies. Table 4.25</w:t>
      </w:r>
      <w:r w:rsidRPr="00F702E2">
        <w:rPr>
          <w:rStyle w:val="FootnoteReference"/>
          <w:sz w:val="24"/>
          <w:szCs w:val="24"/>
        </w:rPr>
        <w:footnoteReference w:id="30"/>
      </w:r>
      <w:r w:rsidRPr="00F702E2">
        <w:rPr>
          <w:sz w:val="24"/>
          <w:szCs w:val="24"/>
        </w:rPr>
        <w:t xml:space="preserve"> shows how kerbside contamination results in a significant proportion of kerbside waste recovery not being recycled. </w:t>
      </w:r>
    </w:p>
    <w:p w14:paraId="0774405A"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47" w:name="_Toc353562516"/>
      <w:r w:rsidR="00740026">
        <w:rPr>
          <w:noProof/>
          <w:color w:val="auto"/>
        </w:rPr>
        <w:t>35</w:t>
      </w:r>
      <w:r w:rsidRPr="00682556">
        <w:rPr>
          <w:noProof/>
          <w:color w:val="auto"/>
        </w:rPr>
        <w:fldChar w:fldCharType="end"/>
      </w:r>
      <w:r w:rsidRPr="00682556">
        <w:rPr>
          <w:noProof/>
          <w:color w:val="auto"/>
        </w:rPr>
        <w:t xml:space="preserve"> Table 4.</w:t>
      </w:r>
      <w:r>
        <w:rPr>
          <w:noProof/>
          <w:color w:val="auto"/>
        </w:rPr>
        <w:t>25</w:t>
      </w:r>
      <w:r w:rsidRPr="00682556">
        <w:rPr>
          <w:noProof/>
          <w:color w:val="auto"/>
        </w:rPr>
        <w:t>: Beverage container consumption, recovery and recycling</w:t>
      </w:r>
      <w:bookmarkEnd w:id="247"/>
      <w:r w:rsidRPr="00682556">
        <w:rPr>
          <w:noProof/>
          <w:color w:val="auto"/>
        </w:rPr>
        <w:t xml:space="preserve"> </w:t>
      </w:r>
    </w:p>
    <w:tbl>
      <w:tblPr>
        <w:tblStyle w:val="TableGrid"/>
        <w:tblW w:w="0" w:type="auto"/>
        <w:tblInd w:w="108" w:type="dxa"/>
        <w:tblLayout w:type="fixed"/>
        <w:tblLook w:val="04A0" w:firstRow="1" w:lastRow="0" w:firstColumn="1" w:lastColumn="0" w:noHBand="0" w:noVBand="1"/>
      </w:tblPr>
      <w:tblGrid>
        <w:gridCol w:w="1843"/>
        <w:gridCol w:w="1417"/>
        <w:gridCol w:w="1418"/>
        <w:gridCol w:w="1417"/>
        <w:gridCol w:w="1418"/>
        <w:gridCol w:w="1418"/>
      </w:tblGrid>
      <w:tr w:rsidR="00030089" w14:paraId="43825FBC" w14:textId="77777777" w:rsidTr="008547F7">
        <w:tc>
          <w:tcPr>
            <w:tcW w:w="1843" w:type="dxa"/>
            <w:shd w:val="pct10" w:color="auto" w:fill="FFFFFF" w:themeFill="background1"/>
          </w:tcPr>
          <w:p w14:paraId="11D5622A" w14:textId="77777777" w:rsidR="00030089" w:rsidRDefault="00030089" w:rsidP="008547F7">
            <w:pPr>
              <w:autoSpaceDE w:val="0"/>
              <w:autoSpaceDN w:val="0"/>
              <w:adjustRightInd w:val="0"/>
              <w:spacing w:line="360" w:lineRule="auto"/>
              <w:rPr>
                <w:rFonts w:ascii="Arial" w:hAnsi="Arial" w:cs="Arial"/>
                <w:b/>
                <w:sz w:val="18"/>
                <w:szCs w:val="20"/>
              </w:rPr>
            </w:pPr>
          </w:p>
        </w:tc>
        <w:tc>
          <w:tcPr>
            <w:tcW w:w="1417" w:type="dxa"/>
            <w:shd w:val="pct10" w:color="auto" w:fill="FFFFFF" w:themeFill="background1"/>
          </w:tcPr>
          <w:p w14:paraId="422391D7" w14:textId="77777777" w:rsidR="00030089" w:rsidRDefault="00030089" w:rsidP="008547F7">
            <w:pPr>
              <w:autoSpaceDE w:val="0"/>
              <w:autoSpaceDN w:val="0"/>
              <w:adjustRightInd w:val="0"/>
              <w:spacing w:line="360" w:lineRule="auto"/>
              <w:jc w:val="right"/>
              <w:rPr>
                <w:rFonts w:ascii="Arial" w:hAnsi="Arial" w:cs="Arial"/>
                <w:b/>
                <w:sz w:val="18"/>
                <w:szCs w:val="20"/>
              </w:rPr>
            </w:pPr>
            <w:r>
              <w:rPr>
                <w:rFonts w:ascii="Arial" w:hAnsi="Arial" w:cs="Arial"/>
                <w:b/>
                <w:sz w:val="18"/>
                <w:szCs w:val="20"/>
              </w:rPr>
              <w:t>Consumption (tonnes)</w:t>
            </w:r>
          </w:p>
        </w:tc>
        <w:tc>
          <w:tcPr>
            <w:tcW w:w="1418" w:type="dxa"/>
            <w:shd w:val="pct10" w:color="auto" w:fill="FFFFFF" w:themeFill="background1"/>
          </w:tcPr>
          <w:p w14:paraId="699EC1DD" w14:textId="77777777" w:rsidR="00030089" w:rsidRDefault="00030089" w:rsidP="008547F7">
            <w:pPr>
              <w:autoSpaceDE w:val="0"/>
              <w:autoSpaceDN w:val="0"/>
              <w:adjustRightInd w:val="0"/>
              <w:spacing w:line="360" w:lineRule="auto"/>
              <w:jc w:val="right"/>
              <w:rPr>
                <w:rFonts w:ascii="Arial" w:hAnsi="Arial" w:cs="Arial"/>
                <w:b/>
                <w:sz w:val="18"/>
                <w:szCs w:val="20"/>
              </w:rPr>
            </w:pPr>
            <w:r>
              <w:rPr>
                <w:rFonts w:ascii="Arial" w:hAnsi="Arial" w:cs="Arial"/>
                <w:b/>
                <w:sz w:val="18"/>
                <w:szCs w:val="20"/>
              </w:rPr>
              <w:t>Recover (tonnes)</w:t>
            </w:r>
          </w:p>
        </w:tc>
        <w:tc>
          <w:tcPr>
            <w:tcW w:w="1417" w:type="dxa"/>
            <w:shd w:val="pct10" w:color="auto" w:fill="FFFFFF" w:themeFill="background1"/>
          </w:tcPr>
          <w:p w14:paraId="0A80368C" w14:textId="77777777" w:rsidR="00030089" w:rsidRDefault="00030089" w:rsidP="008547F7">
            <w:pPr>
              <w:autoSpaceDE w:val="0"/>
              <w:autoSpaceDN w:val="0"/>
              <w:adjustRightInd w:val="0"/>
              <w:spacing w:line="360" w:lineRule="auto"/>
              <w:jc w:val="right"/>
              <w:rPr>
                <w:rFonts w:ascii="Arial" w:hAnsi="Arial" w:cs="Arial"/>
                <w:b/>
                <w:sz w:val="18"/>
                <w:szCs w:val="20"/>
              </w:rPr>
            </w:pPr>
            <w:r>
              <w:rPr>
                <w:rFonts w:ascii="Arial" w:hAnsi="Arial" w:cs="Arial"/>
                <w:b/>
                <w:sz w:val="18"/>
                <w:szCs w:val="20"/>
              </w:rPr>
              <w:t>Recovery (%)</w:t>
            </w:r>
          </w:p>
        </w:tc>
        <w:tc>
          <w:tcPr>
            <w:tcW w:w="1418" w:type="dxa"/>
            <w:shd w:val="pct10" w:color="auto" w:fill="FFFFFF" w:themeFill="background1"/>
          </w:tcPr>
          <w:p w14:paraId="73B9449D" w14:textId="77777777" w:rsidR="00030089" w:rsidRDefault="00030089" w:rsidP="008547F7">
            <w:pPr>
              <w:autoSpaceDE w:val="0"/>
              <w:autoSpaceDN w:val="0"/>
              <w:adjustRightInd w:val="0"/>
              <w:spacing w:line="360" w:lineRule="auto"/>
              <w:jc w:val="right"/>
              <w:rPr>
                <w:rFonts w:ascii="Arial" w:hAnsi="Arial" w:cs="Arial"/>
                <w:b/>
                <w:sz w:val="18"/>
                <w:szCs w:val="20"/>
              </w:rPr>
            </w:pPr>
            <w:r>
              <w:rPr>
                <w:rFonts w:ascii="Arial" w:hAnsi="Arial" w:cs="Arial"/>
                <w:b/>
                <w:sz w:val="18"/>
                <w:szCs w:val="20"/>
              </w:rPr>
              <w:t>Recyclate (tonnes)</w:t>
            </w:r>
          </w:p>
        </w:tc>
        <w:tc>
          <w:tcPr>
            <w:tcW w:w="1418" w:type="dxa"/>
            <w:shd w:val="pct10" w:color="auto" w:fill="FFFFFF" w:themeFill="background1"/>
          </w:tcPr>
          <w:p w14:paraId="258A3E3D" w14:textId="77777777" w:rsidR="00030089" w:rsidRDefault="00030089" w:rsidP="008547F7">
            <w:pPr>
              <w:autoSpaceDE w:val="0"/>
              <w:autoSpaceDN w:val="0"/>
              <w:adjustRightInd w:val="0"/>
              <w:spacing w:line="360" w:lineRule="auto"/>
              <w:jc w:val="right"/>
              <w:rPr>
                <w:rFonts w:ascii="Arial" w:hAnsi="Arial" w:cs="Arial"/>
                <w:b/>
                <w:sz w:val="18"/>
                <w:szCs w:val="20"/>
              </w:rPr>
            </w:pPr>
            <w:r>
              <w:rPr>
                <w:rFonts w:ascii="Arial" w:hAnsi="Arial" w:cs="Arial"/>
                <w:b/>
                <w:sz w:val="18"/>
                <w:szCs w:val="20"/>
              </w:rPr>
              <w:t>Recycling (%)</w:t>
            </w:r>
          </w:p>
        </w:tc>
      </w:tr>
      <w:tr w:rsidR="00030089" w14:paraId="475EE9FE" w14:textId="77777777" w:rsidTr="008547F7">
        <w:tc>
          <w:tcPr>
            <w:tcW w:w="1843" w:type="dxa"/>
          </w:tcPr>
          <w:p w14:paraId="7B9F8443" w14:textId="77777777" w:rsidR="00030089" w:rsidRPr="00014429" w:rsidRDefault="00030089" w:rsidP="008547F7">
            <w:pPr>
              <w:autoSpaceDE w:val="0"/>
              <w:autoSpaceDN w:val="0"/>
              <w:adjustRightInd w:val="0"/>
              <w:spacing w:line="360" w:lineRule="auto"/>
              <w:rPr>
                <w:rFonts w:ascii="Arial" w:hAnsi="Arial" w:cs="Arial"/>
                <w:sz w:val="18"/>
                <w:szCs w:val="20"/>
              </w:rPr>
            </w:pPr>
            <w:r>
              <w:rPr>
                <w:rFonts w:ascii="Arial" w:hAnsi="Arial" w:cs="Arial"/>
                <w:sz w:val="18"/>
                <w:szCs w:val="20"/>
              </w:rPr>
              <w:t>At-home</w:t>
            </w:r>
          </w:p>
        </w:tc>
        <w:tc>
          <w:tcPr>
            <w:tcW w:w="1417" w:type="dxa"/>
          </w:tcPr>
          <w:p w14:paraId="31A1FDCB" w14:textId="77777777" w:rsidR="00030089" w:rsidRPr="00130D41" w:rsidRDefault="00030089" w:rsidP="008547F7">
            <w:pPr>
              <w:autoSpaceDE w:val="0"/>
              <w:autoSpaceDN w:val="0"/>
              <w:adjustRightInd w:val="0"/>
              <w:spacing w:line="360" w:lineRule="auto"/>
              <w:jc w:val="right"/>
              <w:rPr>
                <w:rFonts w:ascii="Arial" w:hAnsi="Arial" w:cs="Arial"/>
                <w:sz w:val="18"/>
                <w:szCs w:val="20"/>
              </w:rPr>
            </w:pPr>
            <w:r>
              <w:rPr>
                <w:rFonts w:ascii="Arial" w:hAnsi="Arial" w:cs="Arial"/>
                <w:sz w:val="18"/>
                <w:szCs w:val="20"/>
              </w:rPr>
              <w:t>674 469</w:t>
            </w:r>
          </w:p>
        </w:tc>
        <w:tc>
          <w:tcPr>
            <w:tcW w:w="1418" w:type="dxa"/>
          </w:tcPr>
          <w:p w14:paraId="2E922D8A" w14:textId="77777777" w:rsidR="00030089" w:rsidRPr="00130D41" w:rsidRDefault="00030089" w:rsidP="008547F7">
            <w:pPr>
              <w:autoSpaceDE w:val="0"/>
              <w:autoSpaceDN w:val="0"/>
              <w:adjustRightInd w:val="0"/>
              <w:spacing w:line="360" w:lineRule="auto"/>
              <w:jc w:val="right"/>
              <w:rPr>
                <w:rFonts w:ascii="Arial" w:hAnsi="Arial" w:cs="Arial"/>
                <w:sz w:val="18"/>
                <w:szCs w:val="20"/>
              </w:rPr>
            </w:pPr>
            <w:r w:rsidRPr="00130D41">
              <w:rPr>
                <w:rFonts w:ascii="Arial" w:hAnsi="Arial" w:cs="Arial"/>
                <w:sz w:val="18"/>
                <w:szCs w:val="20"/>
              </w:rPr>
              <w:t>515 457</w:t>
            </w:r>
          </w:p>
        </w:tc>
        <w:tc>
          <w:tcPr>
            <w:tcW w:w="1417" w:type="dxa"/>
          </w:tcPr>
          <w:p w14:paraId="38E9C3FA" w14:textId="77777777" w:rsidR="00030089" w:rsidRPr="00130D41" w:rsidRDefault="00030089" w:rsidP="008547F7">
            <w:pPr>
              <w:autoSpaceDE w:val="0"/>
              <w:autoSpaceDN w:val="0"/>
              <w:adjustRightInd w:val="0"/>
              <w:spacing w:line="360" w:lineRule="auto"/>
              <w:jc w:val="right"/>
              <w:rPr>
                <w:rFonts w:ascii="Arial" w:hAnsi="Arial" w:cs="Arial"/>
                <w:sz w:val="18"/>
                <w:szCs w:val="20"/>
              </w:rPr>
            </w:pPr>
            <w:r w:rsidRPr="00130D41">
              <w:rPr>
                <w:rFonts w:ascii="Arial" w:hAnsi="Arial" w:cs="Arial"/>
                <w:sz w:val="18"/>
                <w:szCs w:val="20"/>
              </w:rPr>
              <w:t>7</w:t>
            </w:r>
            <w:r>
              <w:rPr>
                <w:rFonts w:ascii="Arial" w:hAnsi="Arial" w:cs="Arial"/>
                <w:sz w:val="18"/>
                <w:szCs w:val="20"/>
              </w:rPr>
              <w:t>6.4%</w:t>
            </w:r>
          </w:p>
        </w:tc>
        <w:tc>
          <w:tcPr>
            <w:tcW w:w="1418" w:type="dxa"/>
          </w:tcPr>
          <w:p w14:paraId="7B10142D" w14:textId="77777777" w:rsidR="00030089" w:rsidRPr="00130D41" w:rsidRDefault="00030089" w:rsidP="008547F7">
            <w:pPr>
              <w:autoSpaceDE w:val="0"/>
              <w:autoSpaceDN w:val="0"/>
              <w:adjustRightInd w:val="0"/>
              <w:spacing w:line="360" w:lineRule="auto"/>
              <w:jc w:val="right"/>
              <w:rPr>
                <w:rFonts w:ascii="Arial" w:hAnsi="Arial" w:cs="Arial"/>
                <w:sz w:val="18"/>
                <w:szCs w:val="20"/>
              </w:rPr>
            </w:pPr>
            <w:r>
              <w:rPr>
                <w:rFonts w:ascii="Arial" w:hAnsi="Arial" w:cs="Arial"/>
                <w:sz w:val="18"/>
                <w:szCs w:val="20"/>
              </w:rPr>
              <w:t>392 173</w:t>
            </w:r>
          </w:p>
        </w:tc>
        <w:tc>
          <w:tcPr>
            <w:tcW w:w="1418" w:type="dxa"/>
          </w:tcPr>
          <w:p w14:paraId="32E2F1B1" w14:textId="77777777" w:rsidR="00030089" w:rsidRPr="00130D41" w:rsidRDefault="00030089" w:rsidP="008547F7">
            <w:pPr>
              <w:autoSpaceDE w:val="0"/>
              <w:autoSpaceDN w:val="0"/>
              <w:adjustRightInd w:val="0"/>
              <w:spacing w:line="360" w:lineRule="auto"/>
              <w:jc w:val="right"/>
              <w:rPr>
                <w:rFonts w:ascii="Arial" w:hAnsi="Arial" w:cs="Arial"/>
                <w:sz w:val="18"/>
                <w:szCs w:val="20"/>
              </w:rPr>
            </w:pPr>
            <w:r>
              <w:rPr>
                <w:rFonts w:ascii="Arial" w:hAnsi="Arial" w:cs="Arial"/>
                <w:sz w:val="18"/>
                <w:szCs w:val="20"/>
              </w:rPr>
              <w:t>58.1%</w:t>
            </w:r>
          </w:p>
        </w:tc>
      </w:tr>
      <w:tr w:rsidR="00030089" w14:paraId="739BC87A" w14:textId="77777777" w:rsidTr="008547F7">
        <w:tc>
          <w:tcPr>
            <w:tcW w:w="1843" w:type="dxa"/>
          </w:tcPr>
          <w:p w14:paraId="1F43952F" w14:textId="77777777" w:rsidR="00030089" w:rsidRPr="00014429" w:rsidRDefault="00030089" w:rsidP="008547F7">
            <w:pPr>
              <w:autoSpaceDE w:val="0"/>
              <w:autoSpaceDN w:val="0"/>
              <w:adjustRightInd w:val="0"/>
              <w:spacing w:line="360" w:lineRule="auto"/>
              <w:rPr>
                <w:rFonts w:ascii="Arial" w:hAnsi="Arial" w:cs="Arial"/>
                <w:sz w:val="18"/>
                <w:szCs w:val="20"/>
              </w:rPr>
            </w:pPr>
            <w:r>
              <w:rPr>
                <w:rFonts w:ascii="Arial" w:hAnsi="Arial" w:cs="Arial"/>
                <w:sz w:val="18"/>
                <w:szCs w:val="20"/>
              </w:rPr>
              <w:t>Away-from-home</w:t>
            </w:r>
          </w:p>
        </w:tc>
        <w:tc>
          <w:tcPr>
            <w:tcW w:w="1417" w:type="dxa"/>
          </w:tcPr>
          <w:p w14:paraId="7EBEF2BA" w14:textId="77777777" w:rsidR="00030089" w:rsidRPr="00130D41" w:rsidRDefault="00030089" w:rsidP="008547F7">
            <w:pPr>
              <w:autoSpaceDE w:val="0"/>
              <w:autoSpaceDN w:val="0"/>
              <w:adjustRightInd w:val="0"/>
              <w:spacing w:line="360" w:lineRule="auto"/>
              <w:jc w:val="right"/>
              <w:rPr>
                <w:rFonts w:ascii="Arial" w:hAnsi="Arial" w:cs="Arial"/>
                <w:sz w:val="18"/>
                <w:szCs w:val="20"/>
              </w:rPr>
            </w:pPr>
            <w:r>
              <w:rPr>
                <w:rFonts w:ascii="Arial" w:hAnsi="Arial" w:cs="Arial"/>
                <w:sz w:val="18"/>
                <w:szCs w:val="20"/>
              </w:rPr>
              <w:t>248 326</w:t>
            </w:r>
          </w:p>
        </w:tc>
        <w:tc>
          <w:tcPr>
            <w:tcW w:w="1418" w:type="dxa"/>
          </w:tcPr>
          <w:p w14:paraId="7E72D4C9" w14:textId="77777777" w:rsidR="00030089" w:rsidRPr="00130D41" w:rsidRDefault="00030089" w:rsidP="008547F7">
            <w:pPr>
              <w:autoSpaceDE w:val="0"/>
              <w:autoSpaceDN w:val="0"/>
              <w:adjustRightInd w:val="0"/>
              <w:spacing w:line="360" w:lineRule="auto"/>
              <w:jc w:val="right"/>
              <w:rPr>
                <w:rFonts w:ascii="Arial" w:hAnsi="Arial" w:cs="Arial"/>
                <w:sz w:val="18"/>
                <w:szCs w:val="20"/>
              </w:rPr>
            </w:pPr>
            <w:r>
              <w:rPr>
                <w:rFonts w:ascii="Arial" w:hAnsi="Arial" w:cs="Arial"/>
                <w:sz w:val="18"/>
                <w:szCs w:val="20"/>
              </w:rPr>
              <w:t>54 365</w:t>
            </w:r>
          </w:p>
        </w:tc>
        <w:tc>
          <w:tcPr>
            <w:tcW w:w="1417" w:type="dxa"/>
          </w:tcPr>
          <w:p w14:paraId="165A0F98" w14:textId="77777777" w:rsidR="00030089" w:rsidRPr="00130D41" w:rsidRDefault="00030089" w:rsidP="008547F7">
            <w:pPr>
              <w:autoSpaceDE w:val="0"/>
              <w:autoSpaceDN w:val="0"/>
              <w:adjustRightInd w:val="0"/>
              <w:spacing w:line="360" w:lineRule="auto"/>
              <w:jc w:val="right"/>
              <w:rPr>
                <w:rFonts w:ascii="Arial" w:hAnsi="Arial" w:cs="Arial"/>
                <w:sz w:val="18"/>
                <w:szCs w:val="20"/>
              </w:rPr>
            </w:pPr>
            <w:r>
              <w:rPr>
                <w:rFonts w:ascii="Arial" w:hAnsi="Arial" w:cs="Arial"/>
                <w:sz w:val="18"/>
                <w:szCs w:val="20"/>
              </w:rPr>
              <w:t>21.9%</w:t>
            </w:r>
          </w:p>
        </w:tc>
        <w:tc>
          <w:tcPr>
            <w:tcW w:w="1418" w:type="dxa"/>
          </w:tcPr>
          <w:p w14:paraId="1814F557" w14:textId="77777777" w:rsidR="00030089" w:rsidRPr="00130D41" w:rsidRDefault="00030089" w:rsidP="008547F7">
            <w:pPr>
              <w:autoSpaceDE w:val="0"/>
              <w:autoSpaceDN w:val="0"/>
              <w:adjustRightInd w:val="0"/>
              <w:spacing w:line="360" w:lineRule="auto"/>
              <w:jc w:val="right"/>
              <w:rPr>
                <w:rFonts w:ascii="Arial" w:hAnsi="Arial" w:cs="Arial"/>
                <w:sz w:val="18"/>
                <w:szCs w:val="20"/>
              </w:rPr>
            </w:pPr>
            <w:r>
              <w:rPr>
                <w:rFonts w:ascii="Arial" w:hAnsi="Arial" w:cs="Arial"/>
                <w:sz w:val="18"/>
                <w:szCs w:val="20"/>
              </w:rPr>
              <w:t xml:space="preserve">44 121 </w:t>
            </w:r>
          </w:p>
        </w:tc>
        <w:tc>
          <w:tcPr>
            <w:tcW w:w="1418" w:type="dxa"/>
          </w:tcPr>
          <w:p w14:paraId="7714CA24" w14:textId="77777777" w:rsidR="00030089" w:rsidRPr="00130D41" w:rsidRDefault="00030089" w:rsidP="008547F7">
            <w:pPr>
              <w:autoSpaceDE w:val="0"/>
              <w:autoSpaceDN w:val="0"/>
              <w:adjustRightInd w:val="0"/>
              <w:spacing w:line="360" w:lineRule="auto"/>
              <w:jc w:val="right"/>
              <w:rPr>
                <w:rFonts w:ascii="Arial" w:hAnsi="Arial" w:cs="Arial"/>
                <w:sz w:val="18"/>
                <w:szCs w:val="20"/>
              </w:rPr>
            </w:pPr>
            <w:r>
              <w:rPr>
                <w:rFonts w:ascii="Arial" w:hAnsi="Arial" w:cs="Arial"/>
                <w:sz w:val="18"/>
                <w:szCs w:val="20"/>
              </w:rPr>
              <w:t>17.8%</w:t>
            </w:r>
          </w:p>
        </w:tc>
      </w:tr>
    </w:tbl>
    <w:p w14:paraId="3A66E4D6" w14:textId="77777777" w:rsidR="00030089" w:rsidRPr="00957795" w:rsidRDefault="00030089" w:rsidP="00030089">
      <w:pPr>
        <w:autoSpaceDE w:val="0"/>
        <w:autoSpaceDN w:val="0"/>
        <w:adjustRightInd w:val="0"/>
        <w:spacing w:line="360" w:lineRule="auto"/>
        <w:rPr>
          <w:rFonts w:ascii="Arial" w:hAnsi="Arial" w:cs="Arial"/>
          <w:sz w:val="18"/>
          <w:szCs w:val="20"/>
        </w:rPr>
      </w:pPr>
      <w:r w:rsidRPr="00957795">
        <w:rPr>
          <w:rFonts w:ascii="Arial" w:hAnsi="Arial" w:cs="Arial"/>
          <w:bCs/>
          <w:sz w:val="16"/>
          <w:szCs w:val="16"/>
        </w:rPr>
        <w:t>(Note: estimates based on 2005/06 and 2006/07 data)</w:t>
      </w:r>
    </w:p>
    <w:p w14:paraId="1865AA9B" w14:textId="77777777" w:rsidR="00030089" w:rsidRDefault="00030089" w:rsidP="00030089">
      <w:pPr>
        <w:spacing w:line="360" w:lineRule="auto"/>
        <w:rPr>
          <w:rFonts w:ascii="Arial" w:hAnsi="Arial" w:cs="Arial"/>
          <w:szCs w:val="28"/>
        </w:rPr>
      </w:pPr>
      <w:r>
        <w:rPr>
          <w:rFonts w:ascii="Arial" w:hAnsi="Arial" w:cs="Arial"/>
          <w:szCs w:val="28"/>
        </w:rPr>
        <w:t>T</w:t>
      </w:r>
      <w:r w:rsidRPr="009D3C05">
        <w:rPr>
          <w:rFonts w:ascii="Arial" w:hAnsi="Arial" w:cs="Arial"/>
          <w:szCs w:val="28"/>
        </w:rPr>
        <w:t>he average participation rate among residents of Darwin and Palmerston in kerbside is 80</w:t>
      </w:r>
      <w:r>
        <w:rPr>
          <w:rFonts w:ascii="Arial" w:hAnsi="Arial" w:cs="Arial"/>
          <w:szCs w:val="28"/>
        </w:rPr>
        <w:t xml:space="preserve"> per cent</w:t>
      </w:r>
      <w:r w:rsidRPr="009D3C05">
        <w:rPr>
          <w:rStyle w:val="FootnoteReference"/>
          <w:rFonts w:ascii="Arial" w:hAnsi="Arial"/>
          <w:szCs w:val="28"/>
        </w:rPr>
        <w:footnoteReference w:id="31"/>
      </w:r>
      <w:r>
        <w:rPr>
          <w:rFonts w:ascii="Arial" w:hAnsi="Arial" w:cs="Arial"/>
          <w:szCs w:val="28"/>
        </w:rPr>
        <w:t>.</w:t>
      </w:r>
    </w:p>
    <w:p w14:paraId="0F4EAD04" w14:textId="77777777" w:rsidR="00030089" w:rsidRDefault="00030089" w:rsidP="00030089">
      <w:pPr>
        <w:spacing w:line="360" w:lineRule="auto"/>
        <w:rPr>
          <w:rFonts w:ascii="Arial" w:hAnsi="Arial" w:cs="Arial"/>
          <w:szCs w:val="28"/>
        </w:rPr>
      </w:pPr>
    </w:p>
    <w:p w14:paraId="5850287A" w14:textId="4417C8C1" w:rsidR="00F702E2" w:rsidRDefault="00F702E2">
      <w:pPr>
        <w:rPr>
          <w:rFonts w:ascii="Arial" w:hAnsi="Arial" w:cs="Arial"/>
          <w:szCs w:val="28"/>
        </w:rPr>
      </w:pPr>
      <w:r>
        <w:rPr>
          <w:rFonts w:ascii="Arial" w:hAnsi="Arial" w:cs="Arial"/>
          <w:szCs w:val="28"/>
        </w:rPr>
        <w:br w:type="page"/>
      </w:r>
    </w:p>
    <w:p w14:paraId="162DA8BD" w14:textId="77777777" w:rsidR="00030089" w:rsidRDefault="00030089" w:rsidP="00030089">
      <w:pPr>
        <w:pStyle w:val="ListParagraph"/>
        <w:numPr>
          <w:ilvl w:val="2"/>
          <w:numId w:val="3"/>
        </w:numPr>
        <w:spacing w:after="200" w:line="360" w:lineRule="auto"/>
        <w:ind w:left="709" w:hanging="709"/>
        <w:contextualSpacing w:val="0"/>
        <w:outlineLvl w:val="2"/>
        <w:rPr>
          <w:rFonts w:ascii="Arial" w:hAnsi="Arial" w:cs="Arial"/>
          <w:b/>
          <w:szCs w:val="28"/>
        </w:rPr>
      </w:pPr>
      <w:bookmarkStart w:id="248" w:name="_Toc352070865"/>
      <w:bookmarkStart w:id="249" w:name="_Toc352071044"/>
      <w:bookmarkStart w:id="250" w:name="_Toc352070866"/>
      <w:bookmarkStart w:id="251" w:name="_Toc352071045"/>
      <w:bookmarkStart w:id="252" w:name="_Toc352070867"/>
      <w:bookmarkStart w:id="253" w:name="_Toc352071046"/>
      <w:bookmarkStart w:id="254" w:name="_Toc352070868"/>
      <w:bookmarkStart w:id="255" w:name="_Toc352071047"/>
      <w:bookmarkStart w:id="256" w:name="_Toc352070869"/>
      <w:bookmarkStart w:id="257" w:name="_Toc352071048"/>
      <w:bookmarkStart w:id="258" w:name="_Toc352070870"/>
      <w:bookmarkStart w:id="259" w:name="_Toc352071049"/>
      <w:bookmarkStart w:id="260" w:name="_Toc325459247"/>
      <w:bookmarkStart w:id="261" w:name="_Toc325531795"/>
      <w:bookmarkStart w:id="262" w:name="_Toc325531844"/>
      <w:bookmarkStart w:id="263" w:name="_Toc346008387"/>
      <w:bookmarkStart w:id="264" w:name="_Toc325459248"/>
      <w:bookmarkStart w:id="265" w:name="_Toc325531796"/>
      <w:bookmarkStart w:id="266" w:name="_Toc325531845"/>
      <w:bookmarkStart w:id="267" w:name="_Toc346008388"/>
      <w:bookmarkEnd w:id="228"/>
      <w:bookmarkEnd w:id="248"/>
      <w:bookmarkEnd w:id="249"/>
      <w:bookmarkEnd w:id="250"/>
      <w:bookmarkEnd w:id="251"/>
      <w:bookmarkEnd w:id="252"/>
      <w:bookmarkEnd w:id="253"/>
      <w:bookmarkEnd w:id="254"/>
      <w:bookmarkEnd w:id="255"/>
      <w:bookmarkEnd w:id="256"/>
      <w:bookmarkEnd w:id="257"/>
      <w:bookmarkEnd w:id="258"/>
      <w:bookmarkEnd w:id="259"/>
      <w:r>
        <w:rPr>
          <w:rFonts w:ascii="Arial" w:hAnsi="Arial" w:cs="Arial"/>
          <w:b/>
          <w:szCs w:val="28"/>
        </w:rPr>
        <w:lastRenderedPageBreak/>
        <w:t xml:space="preserve"> </w:t>
      </w:r>
      <w:bookmarkStart w:id="268" w:name="_Toc353562556"/>
      <w:r w:rsidRPr="006F0D70">
        <w:rPr>
          <w:rFonts w:ascii="Arial" w:hAnsi="Arial" w:cs="Arial"/>
          <w:b/>
          <w:szCs w:val="28"/>
        </w:rPr>
        <w:t xml:space="preserve">Option One – </w:t>
      </w:r>
      <w:bookmarkEnd w:id="260"/>
      <w:bookmarkEnd w:id="261"/>
      <w:bookmarkEnd w:id="262"/>
      <w:bookmarkEnd w:id="263"/>
      <w:r>
        <w:rPr>
          <w:rFonts w:ascii="Arial" w:hAnsi="Arial" w:cs="Arial"/>
          <w:b/>
          <w:szCs w:val="28"/>
        </w:rPr>
        <w:t xml:space="preserve">the </w:t>
      </w:r>
      <w:r w:rsidRPr="006F0D70">
        <w:rPr>
          <w:rFonts w:ascii="Arial" w:hAnsi="Arial" w:cs="Arial"/>
          <w:b/>
          <w:szCs w:val="28"/>
        </w:rPr>
        <w:t>Status Quo</w:t>
      </w:r>
      <w:bookmarkEnd w:id="268"/>
    </w:p>
    <w:p w14:paraId="70AF1B05" w14:textId="77777777" w:rsidR="00030089" w:rsidRPr="000729A4" w:rsidRDefault="00030089" w:rsidP="00030089">
      <w:pPr>
        <w:spacing w:line="360" w:lineRule="auto"/>
        <w:rPr>
          <w:rFonts w:ascii="Arial" w:hAnsi="Arial" w:cs="Arial"/>
          <w:szCs w:val="28"/>
        </w:rPr>
      </w:pPr>
      <w:r>
        <w:rPr>
          <w:rFonts w:ascii="Arial" w:hAnsi="Arial" w:cs="Arial"/>
          <w:bCs/>
          <w:color w:val="000000"/>
          <w:szCs w:val="28"/>
        </w:rPr>
        <w:t>Option</w:t>
      </w:r>
      <w:r>
        <w:rPr>
          <w:rFonts w:ascii="Arial" w:hAnsi="Arial" w:cs="Arial"/>
          <w:szCs w:val="28"/>
        </w:rPr>
        <w:t xml:space="preserve"> One </w:t>
      </w:r>
      <w:r w:rsidRPr="000729A4">
        <w:rPr>
          <w:rFonts w:ascii="Arial" w:hAnsi="Arial" w:cs="Arial"/>
          <w:szCs w:val="28"/>
        </w:rPr>
        <w:t>projects the NT CDS’s achievements in its first 12 months over a 25 year analysis period. Option 1 incorporates the uncertainty surrounding the future of the NT CDS that results from a legal challenge to the scheme by</w:t>
      </w:r>
      <w:r>
        <w:rPr>
          <w:rFonts w:ascii="Arial" w:hAnsi="Arial" w:cs="Arial"/>
          <w:szCs w:val="28"/>
        </w:rPr>
        <w:t xml:space="preserve"> members of</w:t>
      </w:r>
      <w:r w:rsidRPr="000729A4">
        <w:rPr>
          <w:rFonts w:ascii="Arial" w:hAnsi="Arial" w:cs="Arial"/>
          <w:szCs w:val="28"/>
        </w:rPr>
        <w:t xml:space="preserve"> the beverage industry and</w:t>
      </w:r>
      <w:r>
        <w:rPr>
          <w:rFonts w:ascii="Arial" w:hAnsi="Arial" w:cs="Arial"/>
          <w:szCs w:val="28"/>
        </w:rPr>
        <w:t xml:space="preserve"> an </w:t>
      </w:r>
      <w:r w:rsidRPr="000729A4">
        <w:rPr>
          <w:rFonts w:ascii="Arial" w:hAnsi="Arial" w:cs="Arial"/>
          <w:szCs w:val="28"/>
        </w:rPr>
        <w:t xml:space="preserve">appeal process. </w:t>
      </w:r>
    </w:p>
    <w:p w14:paraId="08AC9025" w14:textId="77777777" w:rsidR="00030089" w:rsidRDefault="00030089" w:rsidP="00030089">
      <w:pPr>
        <w:spacing w:line="360" w:lineRule="auto"/>
        <w:rPr>
          <w:rFonts w:ascii="Arial" w:hAnsi="Arial" w:cs="Arial"/>
          <w:szCs w:val="28"/>
        </w:rPr>
      </w:pPr>
      <w:r>
        <w:rPr>
          <w:rFonts w:ascii="Arial" w:hAnsi="Arial" w:cs="Arial"/>
          <w:szCs w:val="28"/>
        </w:rPr>
        <w:t>Table 4.26 projects the market costs and benefits of the NT CDS’s operation to date, as set out in Table 4.9 above</w:t>
      </w:r>
      <w:r w:rsidRPr="00D378FE">
        <w:rPr>
          <w:rFonts w:ascii="Arial" w:hAnsi="Arial" w:cs="Arial"/>
          <w:szCs w:val="28"/>
        </w:rPr>
        <w:t>, over</w:t>
      </w:r>
      <w:r>
        <w:rPr>
          <w:rFonts w:ascii="Arial" w:hAnsi="Arial" w:cs="Arial"/>
          <w:szCs w:val="28"/>
        </w:rPr>
        <w:t xml:space="preserve"> a 25 year period with an increasing return rate. </w:t>
      </w:r>
    </w:p>
    <w:p w14:paraId="4EC2BD29"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69" w:name="_Toc353562517"/>
      <w:r w:rsidR="00740026">
        <w:rPr>
          <w:noProof/>
          <w:color w:val="auto"/>
        </w:rPr>
        <w:t>36</w:t>
      </w:r>
      <w:r w:rsidRPr="00682556">
        <w:rPr>
          <w:noProof/>
          <w:color w:val="auto"/>
        </w:rPr>
        <w:fldChar w:fldCharType="end"/>
      </w:r>
      <w:r w:rsidRPr="00682556">
        <w:rPr>
          <w:noProof/>
          <w:color w:val="auto"/>
        </w:rPr>
        <w:t xml:space="preserve"> Table 4.2</w:t>
      </w:r>
      <w:r>
        <w:rPr>
          <w:noProof/>
          <w:color w:val="auto"/>
        </w:rPr>
        <w:t>6</w:t>
      </w:r>
      <w:r w:rsidRPr="00682556">
        <w:rPr>
          <w:noProof/>
          <w:color w:val="auto"/>
        </w:rPr>
        <w:t>: Cost benefit results for NT CDS after 25 years (discounted)</w:t>
      </w:r>
      <w:bookmarkEnd w:id="269"/>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551"/>
      </w:tblGrid>
      <w:tr w:rsidR="00030089" w:rsidRPr="003D324F" w14:paraId="5687F43B" w14:textId="77777777" w:rsidTr="008547F7">
        <w:trPr>
          <w:tblHeader/>
        </w:trPr>
        <w:tc>
          <w:tcPr>
            <w:tcW w:w="5387" w:type="dxa"/>
            <w:shd w:val="pct10" w:color="auto" w:fill="FFFFFF" w:themeFill="background1"/>
          </w:tcPr>
          <w:p w14:paraId="1FDFA1BE" w14:textId="77777777" w:rsidR="00030089" w:rsidRPr="001505FD" w:rsidRDefault="00030089" w:rsidP="008547F7">
            <w:pPr>
              <w:pStyle w:val="NoSpacing"/>
              <w:spacing w:before="60" w:line="360" w:lineRule="auto"/>
              <w:rPr>
                <w:rFonts w:ascii="Arial" w:hAnsi="Arial" w:cs="Arial"/>
                <w:b/>
                <w:sz w:val="18"/>
                <w:szCs w:val="18"/>
              </w:rPr>
            </w:pPr>
            <w:r w:rsidRPr="001505FD">
              <w:rPr>
                <w:rFonts w:ascii="Arial" w:hAnsi="Arial" w:cs="Arial"/>
                <w:b/>
                <w:sz w:val="18"/>
                <w:szCs w:val="18"/>
              </w:rPr>
              <w:t>Description of Costs / Benefits</w:t>
            </w:r>
          </w:p>
        </w:tc>
        <w:tc>
          <w:tcPr>
            <w:tcW w:w="2551" w:type="dxa"/>
            <w:shd w:val="pct10" w:color="auto" w:fill="FFFFFF" w:themeFill="background1"/>
          </w:tcPr>
          <w:p w14:paraId="614CB350" w14:textId="77777777" w:rsidR="00030089" w:rsidRPr="001505FD" w:rsidRDefault="00030089" w:rsidP="008547F7">
            <w:pPr>
              <w:pStyle w:val="NoSpacing"/>
              <w:spacing w:before="60" w:line="360" w:lineRule="auto"/>
              <w:jc w:val="right"/>
              <w:rPr>
                <w:rFonts w:ascii="Arial" w:hAnsi="Arial" w:cs="Arial"/>
                <w:b/>
                <w:sz w:val="18"/>
                <w:szCs w:val="18"/>
              </w:rPr>
            </w:pPr>
            <w:r w:rsidRPr="001505FD">
              <w:rPr>
                <w:rFonts w:ascii="Arial" w:hAnsi="Arial" w:cs="Arial"/>
                <w:b/>
                <w:sz w:val="18"/>
                <w:szCs w:val="18"/>
              </w:rPr>
              <w:t>Value</w:t>
            </w:r>
          </w:p>
        </w:tc>
      </w:tr>
      <w:tr w:rsidR="00030089" w:rsidRPr="00977FD1" w14:paraId="3C6B6589" w14:textId="77777777" w:rsidTr="008547F7">
        <w:trPr>
          <w:trHeight w:val="438"/>
        </w:trPr>
        <w:tc>
          <w:tcPr>
            <w:tcW w:w="5387" w:type="dxa"/>
          </w:tcPr>
          <w:p w14:paraId="38B1520D" w14:textId="77777777" w:rsidR="00030089" w:rsidRPr="00977FD1" w:rsidRDefault="00030089" w:rsidP="008547F7">
            <w:pPr>
              <w:pStyle w:val="NoSpacing"/>
              <w:spacing w:before="60" w:line="360" w:lineRule="auto"/>
              <w:rPr>
                <w:rFonts w:ascii="Arial" w:hAnsi="Arial" w:cs="Arial"/>
                <w:b/>
                <w:sz w:val="18"/>
                <w:szCs w:val="18"/>
              </w:rPr>
            </w:pPr>
            <w:r w:rsidRPr="00977FD1">
              <w:rPr>
                <w:rFonts w:ascii="Arial" w:hAnsi="Arial" w:cs="Arial"/>
                <w:b/>
                <w:sz w:val="18"/>
                <w:szCs w:val="18"/>
              </w:rPr>
              <w:t>Costs</w:t>
            </w:r>
          </w:p>
        </w:tc>
        <w:tc>
          <w:tcPr>
            <w:tcW w:w="2551" w:type="dxa"/>
          </w:tcPr>
          <w:p w14:paraId="05A595AB" w14:textId="77777777" w:rsidR="00030089" w:rsidRPr="00977FD1" w:rsidRDefault="00030089" w:rsidP="008547F7">
            <w:pPr>
              <w:jc w:val="right"/>
              <w:rPr>
                <w:rFonts w:ascii="Arial" w:hAnsi="Arial" w:cs="Arial"/>
                <w:bCs/>
                <w:color w:val="000000"/>
                <w:sz w:val="18"/>
                <w:szCs w:val="18"/>
              </w:rPr>
            </w:pPr>
          </w:p>
        </w:tc>
      </w:tr>
      <w:tr w:rsidR="00030089" w:rsidRPr="00977FD1" w14:paraId="268E11D6" w14:textId="77777777" w:rsidTr="008547F7">
        <w:trPr>
          <w:trHeight w:val="438"/>
        </w:trPr>
        <w:tc>
          <w:tcPr>
            <w:tcW w:w="5387" w:type="dxa"/>
          </w:tcPr>
          <w:p w14:paraId="7F231D3F" w14:textId="77777777" w:rsidR="00030089" w:rsidRPr="00977FD1" w:rsidRDefault="00030089" w:rsidP="008547F7">
            <w:pPr>
              <w:pStyle w:val="NoSpacing"/>
              <w:spacing w:before="60" w:line="360" w:lineRule="auto"/>
              <w:rPr>
                <w:rFonts w:ascii="Arial" w:hAnsi="Arial" w:cs="Arial"/>
                <w:sz w:val="18"/>
                <w:szCs w:val="18"/>
              </w:rPr>
            </w:pPr>
            <w:r w:rsidRPr="00977FD1">
              <w:rPr>
                <w:rFonts w:ascii="Arial" w:hAnsi="Arial" w:cs="Arial"/>
                <w:sz w:val="18"/>
                <w:szCs w:val="18"/>
              </w:rPr>
              <w:t>Scheme design and implementation</w:t>
            </w:r>
          </w:p>
        </w:tc>
        <w:tc>
          <w:tcPr>
            <w:tcW w:w="2551" w:type="dxa"/>
          </w:tcPr>
          <w:p w14:paraId="0125E9FC" w14:textId="77777777" w:rsidR="00030089" w:rsidRPr="00AF3CDD" w:rsidRDefault="00030089" w:rsidP="008547F7">
            <w:pPr>
              <w:jc w:val="right"/>
              <w:rPr>
                <w:rFonts w:ascii="Arial" w:hAnsi="Arial" w:cs="Arial"/>
                <w:sz w:val="16"/>
                <w:szCs w:val="16"/>
              </w:rPr>
            </w:pPr>
            <w:r w:rsidRPr="00792CEC">
              <w:rPr>
                <w:rFonts w:ascii="Arial" w:hAnsi="Arial" w:cs="Arial"/>
                <w:bCs/>
                <w:color w:val="000000"/>
                <w:sz w:val="16"/>
                <w:szCs w:val="16"/>
              </w:rPr>
              <w:t>$1 823 297</w:t>
            </w:r>
          </w:p>
        </w:tc>
      </w:tr>
      <w:tr w:rsidR="00030089" w:rsidRPr="00977FD1" w14:paraId="3EF9184A" w14:textId="77777777" w:rsidTr="008547F7">
        <w:trPr>
          <w:trHeight w:val="438"/>
        </w:trPr>
        <w:tc>
          <w:tcPr>
            <w:tcW w:w="5387" w:type="dxa"/>
          </w:tcPr>
          <w:p w14:paraId="334EF571" w14:textId="77777777" w:rsidR="00030089" w:rsidRPr="00977FD1" w:rsidRDefault="00030089" w:rsidP="008547F7">
            <w:pPr>
              <w:pStyle w:val="NoSpacing"/>
              <w:spacing w:before="60" w:line="360" w:lineRule="auto"/>
              <w:rPr>
                <w:rFonts w:ascii="Arial" w:hAnsi="Arial" w:cs="Arial"/>
                <w:sz w:val="18"/>
                <w:szCs w:val="18"/>
              </w:rPr>
            </w:pPr>
            <w:r w:rsidRPr="00977FD1">
              <w:rPr>
                <w:rFonts w:ascii="Arial" w:hAnsi="Arial" w:cs="Arial"/>
                <w:sz w:val="18"/>
                <w:szCs w:val="18"/>
              </w:rPr>
              <w:t>Scheme operation and compliance</w:t>
            </w:r>
          </w:p>
        </w:tc>
        <w:tc>
          <w:tcPr>
            <w:tcW w:w="2551" w:type="dxa"/>
          </w:tcPr>
          <w:p w14:paraId="772AC5F4" w14:textId="77777777" w:rsidR="00030089" w:rsidRPr="00AF3CDD" w:rsidRDefault="00030089" w:rsidP="008547F7">
            <w:pPr>
              <w:jc w:val="right"/>
              <w:rPr>
                <w:rFonts w:ascii="Arial" w:hAnsi="Arial" w:cs="Arial"/>
                <w:sz w:val="16"/>
                <w:szCs w:val="16"/>
              </w:rPr>
            </w:pPr>
            <w:r w:rsidRPr="00792CEC">
              <w:rPr>
                <w:rFonts w:ascii="Arial" w:hAnsi="Arial" w:cs="Arial"/>
                <w:bCs/>
                <w:color w:val="000000"/>
                <w:sz w:val="16"/>
                <w:szCs w:val="16"/>
              </w:rPr>
              <w:t>$13 568 795</w:t>
            </w:r>
          </w:p>
        </w:tc>
      </w:tr>
      <w:tr w:rsidR="00030089" w:rsidRPr="00977FD1" w14:paraId="0B24E7EA" w14:textId="77777777" w:rsidTr="008547F7">
        <w:trPr>
          <w:trHeight w:val="438"/>
        </w:trPr>
        <w:tc>
          <w:tcPr>
            <w:tcW w:w="5387" w:type="dxa"/>
          </w:tcPr>
          <w:p w14:paraId="7525ADAA" w14:textId="77777777" w:rsidR="00030089" w:rsidRPr="00977FD1" w:rsidRDefault="00030089" w:rsidP="008547F7">
            <w:pPr>
              <w:pStyle w:val="NoSpacing"/>
              <w:spacing w:before="60" w:line="360" w:lineRule="auto"/>
              <w:rPr>
                <w:rFonts w:ascii="Arial" w:hAnsi="Arial" w:cs="Arial"/>
                <w:sz w:val="18"/>
                <w:szCs w:val="18"/>
              </w:rPr>
            </w:pPr>
            <w:r w:rsidRPr="00977FD1">
              <w:rPr>
                <w:rFonts w:ascii="Arial" w:hAnsi="Arial" w:cs="Arial"/>
                <w:sz w:val="18"/>
                <w:szCs w:val="18"/>
              </w:rPr>
              <w:t>Household participation costs</w:t>
            </w:r>
          </w:p>
        </w:tc>
        <w:tc>
          <w:tcPr>
            <w:tcW w:w="2551" w:type="dxa"/>
          </w:tcPr>
          <w:p w14:paraId="41844A58" w14:textId="77777777" w:rsidR="00030089" w:rsidRDefault="00030089" w:rsidP="008547F7">
            <w:pPr>
              <w:jc w:val="right"/>
              <w:rPr>
                <w:rFonts w:ascii="Arial" w:hAnsi="Arial" w:cs="Arial"/>
                <w:sz w:val="16"/>
                <w:szCs w:val="16"/>
              </w:rPr>
            </w:pPr>
            <w:r w:rsidRPr="00792CEC">
              <w:rPr>
                <w:rFonts w:ascii="Arial" w:hAnsi="Arial" w:cs="Arial"/>
                <w:bCs/>
                <w:color w:val="000000"/>
                <w:sz w:val="16"/>
                <w:szCs w:val="16"/>
              </w:rPr>
              <w:t>$1 393 100</w:t>
            </w:r>
          </w:p>
        </w:tc>
      </w:tr>
      <w:tr w:rsidR="00030089" w:rsidRPr="00977FD1" w14:paraId="4A3C4419" w14:textId="77777777" w:rsidTr="008547F7">
        <w:trPr>
          <w:trHeight w:val="438"/>
        </w:trPr>
        <w:tc>
          <w:tcPr>
            <w:tcW w:w="5387" w:type="dxa"/>
          </w:tcPr>
          <w:p w14:paraId="21E1BC99" w14:textId="77777777" w:rsidR="00030089" w:rsidRPr="00977FD1" w:rsidRDefault="00030089" w:rsidP="008547F7">
            <w:pPr>
              <w:pStyle w:val="NoSpacing"/>
              <w:spacing w:before="60" w:line="360" w:lineRule="auto"/>
              <w:rPr>
                <w:rFonts w:ascii="Arial" w:hAnsi="Arial" w:cs="Arial"/>
                <w:sz w:val="18"/>
                <w:szCs w:val="18"/>
              </w:rPr>
            </w:pPr>
            <w:r w:rsidRPr="00977FD1">
              <w:rPr>
                <w:rFonts w:ascii="Arial" w:hAnsi="Arial" w:cs="Arial"/>
                <w:sz w:val="18"/>
                <w:szCs w:val="18"/>
              </w:rPr>
              <w:t>Business participation costs</w:t>
            </w:r>
          </w:p>
        </w:tc>
        <w:tc>
          <w:tcPr>
            <w:tcW w:w="2551" w:type="dxa"/>
          </w:tcPr>
          <w:p w14:paraId="6C0D0316" w14:textId="77777777" w:rsidR="00030089" w:rsidRPr="00AF3CDD" w:rsidRDefault="00030089" w:rsidP="008547F7">
            <w:pPr>
              <w:jc w:val="right"/>
              <w:rPr>
                <w:rFonts w:ascii="Arial" w:hAnsi="Arial" w:cs="Arial"/>
                <w:sz w:val="16"/>
                <w:szCs w:val="16"/>
              </w:rPr>
            </w:pPr>
            <w:r w:rsidRPr="00792CEC">
              <w:rPr>
                <w:rFonts w:ascii="Arial" w:hAnsi="Arial" w:cs="Arial"/>
                <w:bCs/>
                <w:color w:val="000000"/>
                <w:sz w:val="16"/>
                <w:szCs w:val="16"/>
              </w:rPr>
              <w:t>$405</w:t>
            </w:r>
            <w:r>
              <w:rPr>
                <w:rFonts w:ascii="Arial" w:hAnsi="Arial" w:cs="Arial"/>
                <w:bCs/>
                <w:color w:val="000000"/>
                <w:sz w:val="16"/>
                <w:szCs w:val="16"/>
              </w:rPr>
              <w:t xml:space="preserve"> </w:t>
            </w:r>
            <w:r w:rsidRPr="00792CEC">
              <w:rPr>
                <w:rFonts w:ascii="Arial" w:hAnsi="Arial" w:cs="Arial"/>
                <w:bCs/>
                <w:color w:val="000000"/>
                <w:sz w:val="16"/>
                <w:szCs w:val="16"/>
              </w:rPr>
              <w:t>177</w:t>
            </w:r>
          </w:p>
        </w:tc>
      </w:tr>
      <w:tr w:rsidR="00030089" w:rsidRPr="00977FD1" w14:paraId="385A376E" w14:textId="77777777" w:rsidTr="008547F7">
        <w:trPr>
          <w:trHeight w:val="438"/>
        </w:trPr>
        <w:tc>
          <w:tcPr>
            <w:tcW w:w="5387" w:type="dxa"/>
          </w:tcPr>
          <w:p w14:paraId="050D5C83" w14:textId="77777777" w:rsidR="00030089" w:rsidRPr="00977FD1" w:rsidRDefault="00030089" w:rsidP="008547F7">
            <w:pPr>
              <w:pStyle w:val="NoSpacing"/>
              <w:spacing w:before="60" w:line="360" w:lineRule="auto"/>
              <w:rPr>
                <w:rFonts w:ascii="Arial" w:hAnsi="Arial" w:cs="Arial"/>
                <w:sz w:val="18"/>
                <w:szCs w:val="18"/>
              </w:rPr>
            </w:pPr>
            <w:r w:rsidRPr="00977FD1">
              <w:rPr>
                <w:rFonts w:ascii="Arial" w:hAnsi="Arial" w:cs="Arial"/>
                <w:sz w:val="18"/>
                <w:szCs w:val="18"/>
              </w:rPr>
              <w:t>Litigation</w:t>
            </w:r>
          </w:p>
        </w:tc>
        <w:tc>
          <w:tcPr>
            <w:tcW w:w="2551" w:type="dxa"/>
          </w:tcPr>
          <w:p w14:paraId="6CA2B081" w14:textId="77777777" w:rsidR="00030089" w:rsidRPr="00977FD1" w:rsidDel="007029BC" w:rsidRDefault="00030089" w:rsidP="008547F7">
            <w:pPr>
              <w:jc w:val="right"/>
              <w:rPr>
                <w:rFonts w:ascii="Arial" w:hAnsi="Arial" w:cs="Arial"/>
                <w:bCs/>
                <w:color w:val="000000"/>
                <w:sz w:val="18"/>
                <w:szCs w:val="18"/>
              </w:rPr>
            </w:pPr>
            <w:r w:rsidRPr="00977FD1">
              <w:rPr>
                <w:rFonts w:ascii="Arial" w:hAnsi="Arial" w:cs="Arial"/>
                <w:sz w:val="18"/>
                <w:szCs w:val="18"/>
              </w:rPr>
              <w:t>$93 458</w:t>
            </w:r>
          </w:p>
        </w:tc>
      </w:tr>
      <w:tr w:rsidR="00030089" w:rsidRPr="00977FD1" w14:paraId="0363BBA0" w14:textId="77777777" w:rsidTr="008547F7">
        <w:trPr>
          <w:trHeight w:val="438"/>
        </w:trPr>
        <w:tc>
          <w:tcPr>
            <w:tcW w:w="5387" w:type="dxa"/>
          </w:tcPr>
          <w:p w14:paraId="780D4675" w14:textId="77777777" w:rsidR="00030089" w:rsidRPr="00977FD1" w:rsidRDefault="00030089" w:rsidP="008547F7">
            <w:pPr>
              <w:pStyle w:val="NoSpacing"/>
              <w:spacing w:before="60" w:line="360" w:lineRule="auto"/>
              <w:rPr>
                <w:rFonts w:ascii="Arial" w:hAnsi="Arial" w:cs="Arial"/>
                <w:b/>
                <w:sz w:val="18"/>
                <w:szCs w:val="18"/>
              </w:rPr>
            </w:pPr>
            <w:r w:rsidRPr="00977FD1">
              <w:rPr>
                <w:rFonts w:ascii="Arial" w:hAnsi="Arial" w:cs="Arial"/>
                <w:b/>
                <w:sz w:val="18"/>
                <w:szCs w:val="18"/>
              </w:rPr>
              <w:t xml:space="preserve">TOTAL </w:t>
            </w:r>
          </w:p>
        </w:tc>
        <w:tc>
          <w:tcPr>
            <w:tcW w:w="2551" w:type="dxa"/>
          </w:tcPr>
          <w:p w14:paraId="3054EBFE" w14:textId="77777777" w:rsidR="00030089" w:rsidRPr="00AF3CDD" w:rsidRDefault="00030089" w:rsidP="008547F7">
            <w:pPr>
              <w:jc w:val="right"/>
              <w:rPr>
                <w:rFonts w:ascii="Arial" w:hAnsi="Arial" w:cs="Arial"/>
                <w:b/>
                <w:color w:val="000000"/>
                <w:sz w:val="16"/>
                <w:szCs w:val="16"/>
              </w:rPr>
            </w:pPr>
            <w:r w:rsidRPr="00792CEC">
              <w:rPr>
                <w:rFonts w:ascii="Arial" w:hAnsi="Arial" w:cs="Arial"/>
                <w:b/>
                <w:color w:val="000000"/>
                <w:sz w:val="16"/>
                <w:szCs w:val="16"/>
              </w:rPr>
              <w:t>$17 283 828</w:t>
            </w:r>
          </w:p>
          <w:p w14:paraId="44EE41EB" w14:textId="77777777" w:rsidR="00030089" w:rsidRPr="00AF3CDD" w:rsidRDefault="00030089" w:rsidP="008547F7">
            <w:pPr>
              <w:jc w:val="right"/>
              <w:rPr>
                <w:rFonts w:ascii="Arial" w:hAnsi="Arial" w:cs="Arial"/>
                <w:b/>
                <w:bCs/>
                <w:color w:val="000000"/>
                <w:sz w:val="16"/>
                <w:szCs w:val="16"/>
              </w:rPr>
            </w:pPr>
          </w:p>
        </w:tc>
      </w:tr>
      <w:tr w:rsidR="00030089" w:rsidRPr="00977FD1" w14:paraId="3A3C3DB4" w14:textId="77777777" w:rsidTr="008547F7">
        <w:trPr>
          <w:trHeight w:val="438"/>
        </w:trPr>
        <w:tc>
          <w:tcPr>
            <w:tcW w:w="7938" w:type="dxa"/>
            <w:gridSpan w:val="2"/>
            <w:shd w:val="clear" w:color="auto" w:fill="FFFFFF" w:themeFill="background1"/>
          </w:tcPr>
          <w:p w14:paraId="2421A824" w14:textId="77777777" w:rsidR="00030089" w:rsidRPr="00AF3CDD" w:rsidRDefault="00030089" w:rsidP="008547F7">
            <w:pPr>
              <w:pStyle w:val="NoSpacing"/>
              <w:spacing w:before="60" w:line="360" w:lineRule="auto"/>
              <w:rPr>
                <w:rFonts w:ascii="Arial" w:hAnsi="Arial" w:cs="Arial"/>
                <w:b/>
                <w:sz w:val="16"/>
                <w:szCs w:val="16"/>
              </w:rPr>
            </w:pPr>
            <w:r w:rsidRPr="00792CEC">
              <w:rPr>
                <w:rFonts w:ascii="Arial" w:hAnsi="Arial" w:cs="Arial"/>
                <w:b/>
                <w:sz w:val="16"/>
                <w:szCs w:val="16"/>
              </w:rPr>
              <w:t>Market Benefits</w:t>
            </w:r>
          </w:p>
        </w:tc>
      </w:tr>
      <w:tr w:rsidR="00030089" w:rsidRPr="00977FD1" w14:paraId="72C8AD3F" w14:textId="77777777" w:rsidTr="008547F7">
        <w:trPr>
          <w:trHeight w:val="438"/>
        </w:trPr>
        <w:tc>
          <w:tcPr>
            <w:tcW w:w="5387" w:type="dxa"/>
          </w:tcPr>
          <w:p w14:paraId="3417E6F3" w14:textId="77777777" w:rsidR="00030089" w:rsidRPr="00977FD1" w:rsidRDefault="00030089" w:rsidP="008547F7">
            <w:pPr>
              <w:rPr>
                <w:rFonts w:ascii="Arial" w:eastAsiaTheme="majorEastAsia" w:hAnsi="Arial" w:cs="Arial"/>
                <w:b/>
                <w:bCs/>
                <w:sz w:val="18"/>
                <w:szCs w:val="18"/>
              </w:rPr>
            </w:pPr>
            <w:r>
              <w:rPr>
                <w:rFonts w:ascii="Arial" w:hAnsi="Arial" w:cs="Arial"/>
                <w:sz w:val="18"/>
                <w:szCs w:val="18"/>
              </w:rPr>
              <w:t>Avoided kerbside costs</w:t>
            </w:r>
          </w:p>
        </w:tc>
        <w:tc>
          <w:tcPr>
            <w:tcW w:w="2551" w:type="dxa"/>
          </w:tcPr>
          <w:p w14:paraId="1403D9D6" w14:textId="77777777" w:rsidR="00030089" w:rsidRPr="00AF3CDD" w:rsidRDefault="00030089" w:rsidP="008547F7">
            <w:pPr>
              <w:jc w:val="right"/>
              <w:rPr>
                <w:rFonts w:ascii="Arial" w:hAnsi="Arial" w:cs="Arial"/>
                <w:sz w:val="16"/>
                <w:szCs w:val="16"/>
              </w:rPr>
            </w:pPr>
            <w:r w:rsidRPr="00792CEC">
              <w:rPr>
                <w:rFonts w:ascii="Arial" w:hAnsi="Arial" w:cs="Arial"/>
                <w:b/>
                <w:bCs/>
                <w:color w:val="000000"/>
                <w:sz w:val="16"/>
                <w:szCs w:val="16"/>
              </w:rPr>
              <w:t>$6</w:t>
            </w:r>
            <w:r>
              <w:rPr>
                <w:rFonts w:ascii="Arial" w:hAnsi="Arial" w:cs="Arial"/>
                <w:b/>
                <w:bCs/>
                <w:color w:val="000000"/>
                <w:sz w:val="16"/>
                <w:szCs w:val="16"/>
              </w:rPr>
              <w:t xml:space="preserve"> </w:t>
            </w:r>
            <w:r w:rsidRPr="00792CEC">
              <w:rPr>
                <w:rFonts w:ascii="Arial" w:hAnsi="Arial" w:cs="Arial"/>
                <w:b/>
                <w:bCs/>
                <w:color w:val="000000"/>
                <w:sz w:val="16"/>
                <w:szCs w:val="16"/>
              </w:rPr>
              <w:t>299</w:t>
            </w:r>
            <w:r>
              <w:rPr>
                <w:rFonts w:ascii="Arial" w:hAnsi="Arial" w:cs="Arial"/>
                <w:b/>
                <w:bCs/>
                <w:color w:val="000000"/>
                <w:sz w:val="16"/>
                <w:szCs w:val="16"/>
              </w:rPr>
              <w:t xml:space="preserve"> </w:t>
            </w:r>
            <w:r w:rsidRPr="00792CEC">
              <w:rPr>
                <w:rFonts w:ascii="Arial" w:hAnsi="Arial" w:cs="Arial"/>
                <w:b/>
                <w:bCs/>
                <w:color w:val="000000"/>
                <w:sz w:val="16"/>
                <w:szCs w:val="16"/>
              </w:rPr>
              <w:t>800</w:t>
            </w:r>
          </w:p>
        </w:tc>
      </w:tr>
      <w:tr w:rsidR="00030089" w:rsidRPr="00977FD1" w14:paraId="4E739232" w14:textId="77777777" w:rsidTr="008547F7">
        <w:trPr>
          <w:trHeight w:val="438"/>
        </w:trPr>
        <w:tc>
          <w:tcPr>
            <w:tcW w:w="5387" w:type="dxa"/>
          </w:tcPr>
          <w:p w14:paraId="17AB472B" w14:textId="77777777" w:rsidR="00030089" w:rsidRPr="00977FD1" w:rsidRDefault="00030089" w:rsidP="008547F7">
            <w:pPr>
              <w:rPr>
                <w:rFonts w:ascii="Arial" w:eastAsiaTheme="majorEastAsia" w:hAnsi="Arial" w:cs="Arial"/>
                <w:b/>
                <w:bCs/>
                <w:sz w:val="18"/>
                <w:szCs w:val="18"/>
              </w:rPr>
            </w:pPr>
            <w:r w:rsidRPr="00977FD1">
              <w:rPr>
                <w:rFonts w:ascii="Arial" w:hAnsi="Arial" w:cs="Arial"/>
                <w:sz w:val="18"/>
                <w:szCs w:val="18"/>
              </w:rPr>
              <w:t>Market value of resources</w:t>
            </w:r>
          </w:p>
        </w:tc>
        <w:tc>
          <w:tcPr>
            <w:tcW w:w="2551" w:type="dxa"/>
          </w:tcPr>
          <w:p w14:paraId="20D60B13" w14:textId="77777777" w:rsidR="00030089" w:rsidRPr="00AF3CDD" w:rsidRDefault="00030089" w:rsidP="008547F7">
            <w:pPr>
              <w:jc w:val="right"/>
              <w:rPr>
                <w:rFonts w:ascii="Arial" w:hAnsi="Arial" w:cs="Arial"/>
                <w:bCs/>
                <w:color w:val="000000"/>
                <w:sz w:val="16"/>
                <w:szCs w:val="16"/>
              </w:rPr>
            </w:pPr>
            <w:r w:rsidRPr="00792CEC">
              <w:rPr>
                <w:rFonts w:ascii="Arial" w:hAnsi="Arial" w:cs="Arial"/>
                <w:b/>
                <w:bCs/>
                <w:color w:val="000000"/>
                <w:sz w:val="16"/>
                <w:szCs w:val="16"/>
              </w:rPr>
              <w:t>$2</w:t>
            </w:r>
            <w:r>
              <w:rPr>
                <w:rFonts w:ascii="Arial" w:hAnsi="Arial" w:cs="Arial"/>
                <w:b/>
                <w:bCs/>
                <w:color w:val="000000"/>
                <w:sz w:val="16"/>
                <w:szCs w:val="16"/>
              </w:rPr>
              <w:t xml:space="preserve"> </w:t>
            </w:r>
            <w:r w:rsidRPr="00792CEC">
              <w:rPr>
                <w:rFonts w:ascii="Arial" w:hAnsi="Arial" w:cs="Arial"/>
                <w:b/>
                <w:bCs/>
                <w:color w:val="000000"/>
                <w:sz w:val="16"/>
                <w:szCs w:val="16"/>
              </w:rPr>
              <w:t>057</w:t>
            </w:r>
            <w:r>
              <w:rPr>
                <w:rFonts w:ascii="Arial" w:hAnsi="Arial" w:cs="Arial"/>
                <w:b/>
                <w:bCs/>
                <w:color w:val="000000"/>
                <w:sz w:val="16"/>
                <w:szCs w:val="16"/>
              </w:rPr>
              <w:t xml:space="preserve"> </w:t>
            </w:r>
            <w:r w:rsidRPr="00792CEC">
              <w:rPr>
                <w:rFonts w:ascii="Arial" w:hAnsi="Arial" w:cs="Arial"/>
                <w:b/>
                <w:bCs/>
                <w:color w:val="000000"/>
                <w:sz w:val="16"/>
                <w:szCs w:val="16"/>
              </w:rPr>
              <w:t>246</w:t>
            </w:r>
          </w:p>
        </w:tc>
      </w:tr>
      <w:tr w:rsidR="00030089" w:rsidRPr="00977FD1" w14:paraId="3C663EF2" w14:textId="77777777" w:rsidTr="008547F7">
        <w:trPr>
          <w:trHeight w:val="438"/>
        </w:trPr>
        <w:tc>
          <w:tcPr>
            <w:tcW w:w="5387" w:type="dxa"/>
          </w:tcPr>
          <w:p w14:paraId="42BC6E24" w14:textId="77777777" w:rsidR="00030089" w:rsidRPr="00977FD1" w:rsidRDefault="00030089" w:rsidP="008547F7">
            <w:pPr>
              <w:rPr>
                <w:rFonts w:ascii="Arial" w:eastAsiaTheme="majorEastAsia" w:hAnsi="Arial" w:cs="Arial"/>
                <w:b/>
                <w:bCs/>
                <w:sz w:val="18"/>
                <w:szCs w:val="18"/>
              </w:rPr>
            </w:pPr>
            <w:r w:rsidRPr="00977FD1">
              <w:rPr>
                <w:rFonts w:ascii="Arial" w:hAnsi="Arial" w:cs="Arial"/>
                <w:sz w:val="18"/>
                <w:szCs w:val="18"/>
              </w:rPr>
              <w:t>Avoided regulatory Costs</w:t>
            </w:r>
          </w:p>
        </w:tc>
        <w:tc>
          <w:tcPr>
            <w:tcW w:w="2551" w:type="dxa"/>
          </w:tcPr>
          <w:p w14:paraId="51DA3D15" w14:textId="77777777" w:rsidR="00030089" w:rsidRPr="00977FD1" w:rsidRDefault="00030089" w:rsidP="008547F7">
            <w:pPr>
              <w:jc w:val="right"/>
              <w:rPr>
                <w:rFonts w:ascii="Arial" w:hAnsi="Arial" w:cs="Arial"/>
                <w:sz w:val="18"/>
                <w:szCs w:val="18"/>
              </w:rPr>
            </w:pPr>
          </w:p>
        </w:tc>
      </w:tr>
      <w:tr w:rsidR="00030089" w:rsidRPr="00977FD1" w14:paraId="2C1FC2C6" w14:textId="77777777" w:rsidTr="008547F7">
        <w:trPr>
          <w:trHeight w:val="438"/>
        </w:trPr>
        <w:tc>
          <w:tcPr>
            <w:tcW w:w="5387" w:type="dxa"/>
          </w:tcPr>
          <w:p w14:paraId="3989AE78" w14:textId="77777777" w:rsidR="00030089" w:rsidRPr="00977FD1" w:rsidRDefault="00030089" w:rsidP="008547F7">
            <w:pPr>
              <w:rPr>
                <w:rFonts w:ascii="Arial" w:eastAsiaTheme="majorEastAsia" w:hAnsi="Arial" w:cs="Arial"/>
                <w:b/>
                <w:bCs/>
                <w:sz w:val="18"/>
                <w:szCs w:val="18"/>
              </w:rPr>
            </w:pPr>
            <w:r w:rsidRPr="00977FD1">
              <w:rPr>
                <w:rFonts w:ascii="Arial" w:hAnsi="Arial" w:cs="Arial"/>
                <w:sz w:val="18"/>
                <w:szCs w:val="18"/>
              </w:rPr>
              <w:t>Avoided landfill operating costs</w:t>
            </w:r>
          </w:p>
        </w:tc>
        <w:tc>
          <w:tcPr>
            <w:tcW w:w="2551" w:type="dxa"/>
          </w:tcPr>
          <w:p w14:paraId="71F7024A" w14:textId="77777777" w:rsidR="00030089" w:rsidRPr="00AF3CDD" w:rsidRDefault="00030089" w:rsidP="008547F7">
            <w:pPr>
              <w:jc w:val="right"/>
              <w:rPr>
                <w:rFonts w:ascii="Arial" w:hAnsi="Arial" w:cs="Arial"/>
                <w:bCs/>
                <w:color w:val="000000"/>
                <w:sz w:val="16"/>
                <w:szCs w:val="16"/>
              </w:rPr>
            </w:pPr>
            <w:r w:rsidRPr="00792CEC">
              <w:rPr>
                <w:rFonts w:ascii="Arial" w:hAnsi="Arial" w:cs="Arial"/>
                <w:bCs/>
                <w:color w:val="000000"/>
                <w:sz w:val="16"/>
                <w:szCs w:val="16"/>
              </w:rPr>
              <w:t>$1</w:t>
            </w:r>
            <w:r>
              <w:rPr>
                <w:rFonts w:ascii="Arial" w:hAnsi="Arial" w:cs="Arial"/>
                <w:bCs/>
                <w:color w:val="000000"/>
                <w:sz w:val="16"/>
                <w:szCs w:val="16"/>
              </w:rPr>
              <w:t xml:space="preserve"> </w:t>
            </w:r>
            <w:r w:rsidRPr="00792CEC">
              <w:rPr>
                <w:rFonts w:ascii="Arial" w:hAnsi="Arial" w:cs="Arial"/>
                <w:bCs/>
                <w:color w:val="000000"/>
                <w:sz w:val="16"/>
                <w:szCs w:val="16"/>
              </w:rPr>
              <w:t>323</w:t>
            </w:r>
            <w:r>
              <w:rPr>
                <w:rFonts w:ascii="Arial" w:hAnsi="Arial" w:cs="Arial"/>
                <w:bCs/>
                <w:color w:val="000000"/>
                <w:sz w:val="16"/>
                <w:szCs w:val="16"/>
              </w:rPr>
              <w:t xml:space="preserve"> </w:t>
            </w:r>
            <w:r w:rsidRPr="00792CEC">
              <w:rPr>
                <w:rFonts w:ascii="Arial" w:hAnsi="Arial" w:cs="Arial"/>
                <w:bCs/>
                <w:color w:val="000000"/>
                <w:sz w:val="16"/>
                <w:szCs w:val="16"/>
              </w:rPr>
              <w:t>214</w:t>
            </w:r>
          </w:p>
        </w:tc>
      </w:tr>
      <w:tr w:rsidR="00030089" w:rsidRPr="00977FD1" w14:paraId="7557AA4C" w14:textId="77777777" w:rsidTr="008547F7">
        <w:trPr>
          <w:trHeight w:val="438"/>
        </w:trPr>
        <w:tc>
          <w:tcPr>
            <w:tcW w:w="5387" w:type="dxa"/>
          </w:tcPr>
          <w:p w14:paraId="5980035D" w14:textId="77777777" w:rsidR="00030089" w:rsidRPr="00977FD1" w:rsidRDefault="00030089" w:rsidP="008547F7">
            <w:pPr>
              <w:rPr>
                <w:rFonts w:ascii="Arial" w:eastAsiaTheme="majorEastAsia" w:hAnsi="Arial" w:cs="Arial"/>
                <w:b/>
                <w:bCs/>
                <w:sz w:val="18"/>
                <w:szCs w:val="18"/>
              </w:rPr>
            </w:pPr>
            <w:r w:rsidRPr="00977FD1">
              <w:rPr>
                <w:rFonts w:ascii="Arial" w:hAnsi="Arial" w:cs="Arial"/>
                <w:sz w:val="18"/>
                <w:szCs w:val="18"/>
              </w:rPr>
              <w:t>Avoided litter clean up</w:t>
            </w:r>
          </w:p>
        </w:tc>
        <w:tc>
          <w:tcPr>
            <w:tcW w:w="2551" w:type="dxa"/>
          </w:tcPr>
          <w:p w14:paraId="1F0DF408" w14:textId="77777777" w:rsidR="00030089" w:rsidRPr="00AF3CDD" w:rsidRDefault="00030089" w:rsidP="008547F7">
            <w:pPr>
              <w:jc w:val="right"/>
              <w:rPr>
                <w:rFonts w:ascii="Arial" w:hAnsi="Arial" w:cs="Arial"/>
                <w:bCs/>
                <w:color w:val="000000"/>
                <w:sz w:val="16"/>
                <w:szCs w:val="16"/>
              </w:rPr>
            </w:pPr>
            <w:r w:rsidRPr="00792CEC">
              <w:rPr>
                <w:rFonts w:ascii="Arial" w:hAnsi="Arial" w:cs="Arial"/>
                <w:bCs/>
                <w:color w:val="000000"/>
                <w:sz w:val="16"/>
                <w:szCs w:val="16"/>
              </w:rPr>
              <w:t>$1</w:t>
            </w:r>
            <w:r>
              <w:rPr>
                <w:rFonts w:ascii="Arial" w:hAnsi="Arial" w:cs="Arial"/>
                <w:bCs/>
                <w:color w:val="000000"/>
                <w:sz w:val="16"/>
                <w:szCs w:val="16"/>
              </w:rPr>
              <w:t xml:space="preserve"> </w:t>
            </w:r>
            <w:r w:rsidRPr="00792CEC">
              <w:rPr>
                <w:rFonts w:ascii="Arial" w:hAnsi="Arial" w:cs="Arial"/>
                <w:bCs/>
                <w:color w:val="000000"/>
                <w:sz w:val="16"/>
                <w:szCs w:val="16"/>
              </w:rPr>
              <w:t>242</w:t>
            </w:r>
            <w:r>
              <w:rPr>
                <w:rFonts w:ascii="Arial" w:hAnsi="Arial" w:cs="Arial"/>
                <w:bCs/>
                <w:color w:val="000000"/>
                <w:sz w:val="16"/>
                <w:szCs w:val="16"/>
              </w:rPr>
              <w:t xml:space="preserve"> </w:t>
            </w:r>
            <w:r w:rsidRPr="00792CEC">
              <w:rPr>
                <w:rFonts w:ascii="Arial" w:hAnsi="Arial" w:cs="Arial"/>
                <w:bCs/>
                <w:color w:val="000000"/>
                <w:sz w:val="16"/>
                <w:szCs w:val="16"/>
              </w:rPr>
              <w:t>072</w:t>
            </w:r>
          </w:p>
        </w:tc>
      </w:tr>
      <w:tr w:rsidR="00030089" w:rsidRPr="00977FD1" w14:paraId="28C2F5E5" w14:textId="77777777" w:rsidTr="008547F7">
        <w:trPr>
          <w:trHeight w:val="438"/>
        </w:trPr>
        <w:tc>
          <w:tcPr>
            <w:tcW w:w="5387" w:type="dxa"/>
          </w:tcPr>
          <w:p w14:paraId="3F2D2C2E" w14:textId="77777777" w:rsidR="00030089" w:rsidRPr="00977FD1" w:rsidRDefault="00030089" w:rsidP="008547F7">
            <w:pPr>
              <w:rPr>
                <w:rFonts w:ascii="Arial" w:eastAsiaTheme="majorEastAsia" w:hAnsi="Arial" w:cs="Arial"/>
                <w:b/>
                <w:bCs/>
                <w:sz w:val="18"/>
                <w:szCs w:val="18"/>
              </w:rPr>
            </w:pPr>
            <w:r w:rsidRPr="00977FD1">
              <w:rPr>
                <w:rFonts w:ascii="Arial" w:hAnsi="Arial" w:cs="Arial"/>
                <w:sz w:val="18"/>
                <w:szCs w:val="18"/>
              </w:rPr>
              <w:t>Avoided landfill externalities</w:t>
            </w:r>
          </w:p>
        </w:tc>
        <w:tc>
          <w:tcPr>
            <w:tcW w:w="2551" w:type="dxa"/>
          </w:tcPr>
          <w:p w14:paraId="4304C33E" w14:textId="77777777" w:rsidR="00030089" w:rsidRPr="00AF3CDD" w:rsidRDefault="00030089" w:rsidP="008547F7">
            <w:pPr>
              <w:jc w:val="right"/>
              <w:rPr>
                <w:rFonts w:ascii="Arial" w:hAnsi="Arial" w:cs="Arial"/>
                <w:sz w:val="16"/>
                <w:szCs w:val="16"/>
              </w:rPr>
            </w:pPr>
          </w:p>
        </w:tc>
      </w:tr>
      <w:tr w:rsidR="00030089" w:rsidRPr="00977FD1" w14:paraId="0F40ED9E" w14:textId="77777777" w:rsidTr="008547F7">
        <w:trPr>
          <w:trHeight w:val="438"/>
        </w:trPr>
        <w:tc>
          <w:tcPr>
            <w:tcW w:w="5387" w:type="dxa"/>
          </w:tcPr>
          <w:p w14:paraId="5A6019E6" w14:textId="77777777" w:rsidR="00030089" w:rsidRPr="00977FD1" w:rsidRDefault="00030089" w:rsidP="008547F7">
            <w:pPr>
              <w:rPr>
                <w:rFonts w:ascii="Arial" w:eastAsiaTheme="majorEastAsia" w:hAnsi="Arial" w:cs="Arial"/>
                <w:b/>
                <w:bCs/>
                <w:sz w:val="18"/>
                <w:szCs w:val="18"/>
              </w:rPr>
            </w:pPr>
            <w:r w:rsidRPr="00977FD1">
              <w:rPr>
                <w:rFonts w:ascii="Arial" w:hAnsi="Arial" w:cs="Arial"/>
                <w:sz w:val="18"/>
                <w:szCs w:val="18"/>
              </w:rPr>
              <w:t>Environmental benefits</w:t>
            </w:r>
          </w:p>
        </w:tc>
        <w:tc>
          <w:tcPr>
            <w:tcW w:w="2551" w:type="dxa"/>
          </w:tcPr>
          <w:p w14:paraId="33CE5FE0" w14:textId="77777777" w:rsidR="00030089" w:rsidRPr="00AF3CDD" w:rsidRDefault="00030089" w:rsidP="008547F7">
            <w:pPr>
              <w:jc w:val="right"/>
              <w:rPr>
                <w:rFonts w:ascii="Arial" w:hAnsi="Arial" w:cs="Arial"/>
                <w:sz w:val="16"/>
                <w:szCs w:val="16"/>
              </w:rPr>
            </w:pPr>
            <w:r w:rsidRPr="00792CEC">
              <w:rPr>
                <w:rFonts w:ascii="Arial" w:hAnsi="Arial" w:cs="Arial"/>
                <w:bCs/>
                <w:color w:val="000000"/>
                <w:sz w:val="16"/>
                <w:szCs w:val="16"/>
              </w:rPr>
              <w:t>$11</w:t>
            </w:r>
            <w:r>
              <w:rPr>
                <w:rFonts w:ascii="Arial" w:hAnsi="Arial" w:cs="Arial"/>
                <w:bCs/>
                <w:color w:val="000000"/>
                <w:sz w:val="16"/>
                <w:szCs w:val="16"/>
              </w:rPr>
              <w:t xml:space="preserve"> </w:t>
            </w:r>
            <w:r w:rsidRPr="00792CEC">
              <w:rPr>
                <w:rFonts w:ascii="Arial" w:hAnsi="Arial" w:cs="Arial"/>
                <w:bCs/>
                <w:color w:val="000000"/>
                <w:sz w:val="16"/>
                <w:szCs w:val="16"/>
              </w:rPr>
              <w:t>300</w:t>
            </w:r>
            <w:r>
              <w:rPr>
                <w:rFonts w:ascii="Arial" w:hAnsi="Arial" w:cs="Arial"/>
                <w:bCs/>
                <w:color w:val="000000"/>
                <w:sz w:val="16"/>
                <w:szCs w:val="16"/>
              </w:rPr>
              <w:t xml:space="preserve"> </w:t>
            </w:r>
            <w:r w:rsidRPr="00792CEC">
              <w:rPr>
                <w:rFonts w:ascii="Arial" w:hAnsi="Arial" w:cs="Arial"/>
                <w:bCs/>
                <w:color w:val="000000"/>
                <w:sz w:val="16"/>
                <w:szCs w:val="16"/>
              </w:rPr>
              <w:t>451</w:t>
            </w:r>
          </w:p>
        </w:tc>
      </w:tr>
      <w:tr w:rsidR="00030089" w:rsidRPr="00977FD1" w14:paraId="2D7F590E" w14:textId="77777777" w:rsidTr="008547F7">
        <w:trPr>
          <w:trHeight w:val="438"/>
        </w:trPr>
        <w:tc>
          <w:tcPr>
            <w:tcW w:w="5387" w:type="dxa"/>
            <w:shd w:val="clear" w:color="auto" w:fill="FFFFFF" w:themeFill="background1"/>
          </w:tcPr>
          <w:p w14:paraId="48E886B0" w14:textId="77777777" w:rsidR="00030089" w:rsidRPr="00977FD1" w:rsidRDefault="00030089" w:rsidP="008547F7">
            <w:pPr>
              <w:pStyle w:val="NoSpacing"/>
              <w:spacing w:before="60" w:line="360" w:lineRule="auto"/>
              <w:jc w:val="both"/>
              <w:rPr>
                <w:rFonts w:ascii="Arial" w:hAnsi="Arial" w:cs="Arial"/>
                <w:b/>
                <w:sz w:val="18"/>
                <w:szCs w:val="18"/>
              </w:rPr>
            </w:pPr>
            <w:r w:rsidRPr="00977FD1">
              <w:rPr>
                <w:rFonts w:ascii="Arial" w:hAnsi="Arial" w:cs="Arial"/>
                <w:b/>
                <w:sz w:val="18"/>
                <w:szCs w:val="18"/>
              </w:rPr>
              <w:t xml:space="preserve">TOTAL </w:t>
            </w:r>
          </w:p>
        </w:tc>
        <w:tc>
          <w:tcPr>
            <w:tcW w:w="2551" w:type="dxa"/>
            <w:shd w:val="clear" w:color="auto" w:fill="FFFFFF" w:themeFill="background1"/>
          </w:tcPr>
          <w:p w14:paraId="1B83E1EF" w14:textId="77777777" w:rsidR="00030089" w:rsidRDefault="00030089" w:rsidP="008547F7">
            <w:pPr>
              <w:jc w:val="right"/>
              <w:rPr>
                <w:rFonts w:ascii="Arial" w:hAnsi="Arial" w:cs="Arial"/>
                <w:b/>
                <w:bCs/>
                <w:color w:val="000000"/>
                <w:sz w:val="16"/>
                <w:szCs w:val="16"/>
              </w:rPr>
            </w:pPr>
            <w:r w:rsidRPr="00792CEC">
              <w:rPr>
                <w:rFonts w:ascii="Arial" w:hAnsi="Arial" w:cs="Arial"/>
                <w:color w:val="000000"/>
                <w:sz w:val="16"/>
                <w:szCs w:val="16"/>
              </w:rPr>
              <w:t>$22</w:t>
            </w:r>
            <w:r>
              <w:rPr>
                <w:rFonts w:ascii="Arial" w:hAnsi="Arial" w:cs="Arial"/>
                <w:color w:val="000000"/>
                <w:sz w:val="16"/>
                <w:szCs w:val="16"/>
              </w:rPr>
              <w:t xml:space="preserve"> </w:t>
            </w:r>
            <w:r w:rsidRPr="00792CEC">
              <w:rPr>
                <w:rFonts w:ascii="Arial" w:hAnsi="Arial" w:cs="Arial"/>
                <w:color w:val="000000"/>
                <w:sz w:val="16"/>
                <w:szCs w:val="16"/>
              </w:rPr>
              <w:t>222</w:t>
            </w:r>
            <w:r>
              <w:rPr>
                <w:rFonts w:ascii="Arial" w:hAnsi="Arial" w:cs="Arial"/>
                <w:color w:val="000000"/>
                <w:sz w:val="16"/>
                <w:szCs w:val="16"/>
              </w:rPr>
              <w:t xml:space="preserve"> </w:t>
            </w:r>
            <w:r w:rsidRPr="00792CEC">
              <w:rPr>
                <w:rFonts w:ascii="Arial" w:hAnsi="Arial" w:cs="Arial"/>
                <w:color w:val="000000"/>
                <w:sz w:val="16"/>
                <w:szCs w:val="16"/>
              </w:rPr>
              <w:t>782</w:t>
            </w:r>
          </w:p>
        </w:tc>
      </w:tr>
      <w:tr w:rsidR="00030089" w:rsidRPr="00977FD1" w14:paraId="28A3FA62" w14:textId="77777777" w:rsidTr="008547F7">
        <w:trPr>
          <w:trHeight w:val="438"/>
        </w:trPr>
        <w:tc>
          <w:tcPr>
            <w:tcW w:w="5387" w:type="dxa"/>
            <w:shd w:val="clear" w:color="auto" w:fill="FFFFFF" w:themeFill="background1"/>
          </w:tcPr>
          <w:p w14:paraId="09882FA7" w14:textId="77777777" w:rsidR="00030089" w:rsidRPr="00977FD1" w:rsidRDefault="00030089" w:rsidP="008547F7">
            <w:pPr>
              <w:pStyle w:val="NoSpacing"/>
              <w:spacing w:before="60" w:line="360" w:lineRule="auto"/>
              <w:rPr>
                <w:rFonts w:ascii="Arial" w:hAnsi="Arial" w:cs="Arial"/>
                <w:b/>
                <w:sz w:val="18"/>
                <w:szCs w:val="18"/>
              </w:rPr>
            </w:pPr>
            <w:r w:rsidRPr="00977FD1">
              <w:rPr>
                <w:rFonts w:ascii="Arial" w:hAnsi="Arial" w:cs="Arial"/>
                <w:b/>
                <w:sz w:val="18"/>
                <w:szCs w:val="18"/>
              </w:rPr>
              <w:t xml:space="preserve">Net Present Value </w:t>
            </w:r>
          </w:p>
        </w:tc>
        <w:tc>
          <w:tcPr>
            <w:tcW w:w="2551" w:type="dxa"/>
            <w:shd w:val="clear" w:color="auto" w:fill="FFFFFF" w:themeFill="background1"/>
          </w:tcPr>
          <w:p w14:paraId="4898CAAC" w14:textId="77777777" w:rsidR="00030089" w:rsidRDefault="00030089" w:rsidP="008547F7">
            <w:pPr>
              <w:jc w:val="right"/>
              <w:rPr>
                <w:rFonts w:ascii="Arial" w:hAnsi="Arial" w:cs="Arial"/>
                <w:b/>
                <w:sz w:val="16"/>
                <w:szCs w:val="16"/>
              </w:rPr>
            </w:pPr>
            <w:r w:rsidRPr="00792CEC">
              <w:rPr>
                <w:rFonts w:ascii="Arial" w:hAnsi="Arial" w:cs="Arial"/>
                <w:b/>
                <w:bCs/>
                <w:color w:val="000000"/>
                <w:sz w:val="16"/>
                <w:szCs w:val="16"/>
              </w:rPr>
              <w:t>$4</w:t>
            </w:r>
            <w:r>
              <w:rPr>
                <w:rFonts w:ascii="Arial" w:hAnsi="Arial" w:cs="Arial"/>
                <w:b/>
                <w:bCs/>
                <w:color w:val="000000"/>
                <w:sz w:val="16"/>
                <w:szCs w:val="16"/>
              </w:rPr>
              <w:t xml:space="preserve"> </w:t>
            </w:r>
            <w:r w:rsidRPr="00792CEC">
              <w:rPr>
                <w:rFonts w:ascii="Arial" w:hAnsi="Arial" w:cs="Arial"/>
                <w:b/>
                <w:bCs/>
                <w:color w:val="000000"/>
                <w:sz w:val="16"/>
                <w:szCs w:val="16"/>
              </w:rPr>
              <w:t>938</w:t>
            </w:r>
            <w:r>
              <w:rPr>
                <w:rFonts w:ascii="Arial" w:hAnsi="Arial" w:cs="Arial"/>
                <w:b/>
                <w:bCs/>
                <w:color w:val="000000"/>
                <w:sz w:val="16"/>
                <w:szCs w:val="16"/>
              </w:rPr>
              <w:t xml:space="preserve"> </w:t>
            </w:r>
            <w:r w:rsidRPr="00792CEC">
              <w:rPr>
                <w:rFonts w:ascii="Arial" w:hAnsi="Arial" w:cs="Arial"/>
                <w:b/>
                <w:bCs/>
                <w:color w:val="000000"/>
                <w:sz w:val="16"/>
                <w:szCs w:val="16"/>
              </w:rPr>
              <w:t>955</w:t>
            </w:r>
          </w:p>
        </w:tc>
      </w:tr>
    </w:tbl>
    <w:p w14:paraId="35C94989" w14:textId="0991C47C" w:rsidR="00F702E2" w:rsidRDefault="00F702E2" w:rsidP="00030089">
      <w:pPr>
        <w:spacing w:line="360" w:lineRule="auto"/>
        <w:jc w:val="both"/>
        <w:rPr>
          <w:rFonts w:ascii="Arial" w:hAnsi="Arial" w:cs="Arial"/>
          <w:sz w:val="18"/>
          <w:szCs w:val="18"/>
        </w:rPr>
      </w:pPr>
    </w:p>
    <w:p w14:paraId="382B6C30" w14:textId="77777777" w:rsidR="00F702E2" w:rsidRDefault="00F702E2">
      <w:pPr>
        <w:rPr>
          <w:rFonts w:ascii="Arial" w:hAnsi="Arial" w:cs="Arial"/>
          <w:sz w:val="18"/>
          <w:szCs w:val="18"/>
        </w:rPr>
      </w:pPr>
      <w:r>
        <w:rPr>
          <w:rFonts w:ascii="Arial" w:hAnsi="Arial" w:cs="Arial"/>
          <w:sz w:val="18"/>
          <w:szCs w:val="18"/>
        </w:rPr>
        <w:br w:type="page"/>
      </w:r>
    </w:p>
    <w:p w14:paraId="0616CEA3" w14:textId="77777777" w:rsidR="00030089" w:rsidRDefault="00030089" w:rsidP="00030089">
      <w:pPr>
        <w:pStyle w:val="ListParagraph"/>
        <w:keepNext/>
        <w:numPr>
          <w:ilvl w:val="2"/>
          <w:numId w:val="3"/>
        </w:numPr>
        <w:spacing w:after="200" w:line="360" w:lineRule="auto"/>
        <w:ind w:left="709" w:hanging="709"/>
        <w:contextualSpacing w:val="0"/>
        <w:outlineLvl w:val="2"/>
        <w:rPr>
          <w:rFonts w:ascii="Arial" w:hAnsi="Arial" w:cs="Arial"/>
          <w:b/>
          <w:color w:val="0070C0"/>
          <w:szCs w:val="28"/>
        </w:rPr>
      </w:pPr>
      <w:bookmarkStart w:id="270" w:name="_Toc353562557"/>
      <w:r w:rsidRPr="00D565B5">
        <w:rPr>
          <w:rFonts w:ascii="Arial" w:hAnsi="Arial" w:cs="Arial"/>
          <w:b/>
          <w:szCs w:val="28"/>
        </w:rPr>
        <w:lastRenderedPageBreak/>
        <w:t>Option Two – National Packaging Recovery Scheme</w:t>
      </w:r>
      <w:bookmarkEnd w:id="264"/>
      <w:bookmarkEnd w:id="265"/>
      <w:bookmarkEnd w:id="266"/>
      <w:bookmarkEnd w:id="267"/>
      <w:bookmarkEnd w:id="270"/>
      <w:r w:rsidRPr="00FE611A">
        <w:rPr>
          <w:rFonts w:ascii="Arial" w:hAnsi="Arial" w:cs="Arial"/>
          <w:b/>
          <w:color w:val="0070C0"/>
          <w:szCs w:val="28"/>
        </w:rPr>
        <w:t xml:space="preserve"> </w:t>
      </w:r>
    </w:p>
    <w:p w14:paraId="3401E9BB" w14:textId="77777777" w:rsidR="00030089" w:rsidRDefault="00030089" w:rsidP="00030089">
      <w:pPr>
        <w:spacing w:line="360" w:lineRule="auto"/>
        <w:jc w:val="both"/>
        <w:rPr>
          <w:rFonts w:ascii="Arial" w:hAnsi="Arial" w:cs="Arial"/>
        </w:rPr>
      </w:pPr>
      <w:r>
        <w:rPr>
          <w:rFonts w:ascii="Arial" w:hAnsi="Arial" w:cs="Arial"/>
        </w:rPr>
        <w:t>Option Two</w:t>
      </w:r>
      <w:r w:rsidRPr="000729A4">
        <w:rPr>
          <w:rFonts w:ascii="Arial" w:hAnsi="Arial" w:cs="Arial"/>
        </w:rPr>
        <w:t xml:space="preserve"> c</w:t>
      </w:r>
      <w:r>
        <w:rPr>
          <w:rFonts w:ascii="Arial" w:hAnsi="Arial" w:cs="Arial"/>
        </w:rPr>
        <w:t>onstitutes a nationally harmonis</w:t>
      </w:r>
      <w:r w:rsidRPr="000729A4">
        <w:rPr>
          <w:rFonts w:ascii="Arial" w:hAnsi="Arial" w:cs="Arial"/>
        </w:rPr>
        <w:t>ed approach. It links directly to the national process</w:t>
      </w:r>
      <w:r>
        <w:rPr>
          <w:rFonts w:ascii="Arial" w:hAnsi="Arial" w:cs="Arial"/>
        </w:rPr>
        <w:t xml:space="preserve"> currently being undertaken to investigate </w:t>
      </w:r>
      <w:r w:rsidRPr="000729A4">
        <w:rPr>
          <w:rFonts w:ascii="Arial" w:hAnsi="Arial" w:cs="Arial"/>
        </w:rPr>
        <w:t>options for regulating the impacts of packaging, including an option of a national container deposit scheme</w:t>
      </w:r>
      <w:r>
        <w:rPr>
          <w:rFonts w:ascii="Arial" w:hAnsi="Arial" w:cs="Arial"/>
        </w:rPr>
        <w:t>.</w:t>
      </w:r>
      <w:r w:rsidRPr="000729A4">
        <w:rPr>
          <w:rFonts w:ascii="Arial" w:hAnsi="Arial" w:cs="Arial"/>
        </w:rPr>
        <w:t xml:space="preserve"> This process is set out in the national Packaging Impacts CRIS</w:t>
      </w:r>
      <w:r w:rsidRPr="00BC6019">
        <w:rPr>
          <w:rStyle w:val="FootnoteReference"/>
          <w:rFonts w:ascii="Arial" w:hAnsi="Arial" w:cs="Arial"/>
        </w:rPr>
        <w:footnoteReference w:customMarkFollows="1" w:id="32"/>
        <w:t>[1]</w:t>
      </w:r>
      <w:r>
        <w:rPr>
          <w:rFonts w:ascii="Arial" w:hAnsi="Arial" w:cs="Arial"/>
        </w:rPr>
        <w:t>. Option Two</w:t>
      </w:r>
      <w:r w:rsidRPr="000729A4">
        <w:rPr>
          <w:rFonts w:ascii="Arial" w:hAnsi="Arial" w:cs="Arial"/>
        </w:rPr>
        <w:t xml:space="preserve"> sets out the costs and the benefits that result for the NT from a CDS option analysed in the Packaging Impacts</w:t>
      </w:r>
      <w:r>
        <w:rPr>
          <w:rFonts w:ascii="Arial" w:hAnsi="Arial" w:cs="Arial"/>
        </w:rPr>
        <w:t xml:space="preserve"> Consultation Regulation Impact Statement (Packaging Impacts</w:t>
      </w:r>
      <w:r w:rsidRPr="000729A4">
        <w:rPr>
          <w:rFonts w:ascii="Arial" w:hAnsi="Arial" w:cs="Arial"/>
        </w:rPr>
        <w:t xml:space="preserve"> CRIS</w:t>
      </w:r>
      <w:r>
        <w:rPr>
          <w:rFonts w:ascii="Arial" w:hAnsi="Arial" w:cs="Arial"/>
        </w:rPr>
        <w:t>)</w:t>
      </w:r>
      <w:r w:rsidRPr="000729A4">
        <w:rPr>
          <w:rFonts w:ascii="Arial" w:hAnsi="Arial" w:cs="Arial"/>
        </w:rPr>
        <w:t xml:space="preserve">. </w:t>
      </w:r>
    </w:p>
    <w:p w14:paraId="1BF95BC4" w14:textId="77777777" w:rsidR="00030089" w:rsidRPr="00F702E2" w:rsidRDefault="00030089" w:rsidP="00030089">
      <w:pPr>
        <w:pStyle w:val="Default"/>
        <w:rPr>
          <w:b/>
          <w:sz w:val="24"/>
          <w:szCs w:val="24"/>
        </w:rPr>
      </w:pPr>
      <w:r w:rsidRPr="00F702E2">
        <w:rPr>
          <w:b/>
          <w:sz w:val="24"/>
          <w:szCs w:val="24"/>
        </w:rPr>
        <w:t>The Packaging Impacts CRIS</w:t>
      </w:r>
    </w:p>
    <w:p w14:paraId="484221FA" w14:textId="77777777" w:rsidR="00030089" w:rsidRPr="00F702E2" w:rsidRDefault="00030089" w:rsidP="00030089">
      <w:pPr>
        <w:pStyle w:val="Default"/>
        <w:rPr>
          <w:sz w:val="24"/>
          <w:szCs w:val="24"/>
        </w:rPr>
      </w:pPr>
      <w:r w:rsidRPr="00F702E2">
        <w:rPr>
          <w:sz w:val="24"/>
          <w:szCs w:val="24"/>
        </w:rPr>
        <w:t xml:space="preserve">The Packaging Impacts CRIS explored a number of measures that have the potential to increase packaging resource recovery rates and decrease packaging litter. The objectives were to: </w:t>
      </w:r>
    </w:p>
    <w:p w14:paraId="2C1E615E" w14:textId="77777777" w:rsidR="00030089" w:rsidRPr="00F702E2" w:rsidRDefault="00030089" w:rsidP="00030089">
      <w:pPr>
        <w:pStyle w:val="Default"/>
        <w:numPr>
          <w:ilvl w:val="0"/>
          <w:numId w:val="19"/>
        </w:numPr>
        <w:rPr>
          <w:sz w:val="24"/>
          <w:szCs w:val="24"/>
        </w:rPr>
      </w:pPr>
      <w:r w:rsidRPr="00F702E2">
        <w:rPr>
          <w:sz w:val="24"/>
          <w:szCs w:val="24"/>
        </w:rPr>
        <w:t xml:space="preserve">reduce packaging waste and increase packaging resource recovery; </w:t>
      </w:r>
    </w:p>
    <w:p w14:paraId="248A1C0E" w14:textId="77777777" w:rsidR="00030089" w:rsidRPr="00F702E2" w:rsidRDefault="00030089" w:rsidP="00030089">
      <w:pPr>
        <w:pStyle w:val="Default"/>
        <w:numPr>
          <w:ilvl w:val="0"/>
          <w:numId w:val="19"/>
        </w:numPr>
        <w:rPr>
          <w:sz w:val="24"/>
          <w:szCs w:val="24"/>
        </w:rPr>
      </w:pPr>
      <w:r w:rsidRPr="00F702E2">
        <w:rPr>
          <w:sz w:val="24"/>
          <w:szCs w:val="24"/>
        </w:rPr>
        <w:t xml:space="preserve">reduce the need to landfill recyclable packaging materials; </w:t>
      </w:r>
    </w:p>
    <w:p w14:paraId="616314CF" w14:textId="77777777" w:rsidR="00030089" w:rsidRPr="00F702E2" w:rsidRDefault="00030089" w:rsidP="00030089">
      <w:pPr>
        <w:pStyle w:val="Default"/>
        <w:numPr>
          <w:ilvl w:val="0"/>
          <w:numId w:val="19"/>
        </w:numPr>
        <w:rPr>
          <w:sz w:val="24"/>
          <w:szCs w:val="24"/>
        </w:rPr>
      </w:pPr>
      <w:r w:rsidRPr="00F702E2">
        <w:rPr>
          <w:sz w:val="24"/>
          <w:szCs w:val="24"/>
        </w:rPr>
        <w:t xml:space="preserve">reduce the negative amenity, health and environmental impacts of packaging waste and litter in line with community expectations; and </w:t>
      </w:r>
    </w:p>
    <w:p w14:paraId="31222D3B" w14:textId="77777777" w:rsidR="00030089" w:rsidRPr="00F702E2" w:rsidRDefault="00030089" w:rsidP="00030089">
      <w:pPr>
        <w:pStyle w:val="Default"/>
        <w:numPr>
          <w:ilvl w:val="0"/>
          <w:numId w:val="19"/>
        </w:numPr>
        <w:rPr>
          <w:sz w:val="24"/>
          <w:szCs w:val="24"/>
        </w:rPr>
      </w:pPr>
      <w:r w:rsidRPr="00F702E2">
        <w:rPr>
          <w:sz w:val="24"/>
          <w:szCs w:val="24"/>
        </w:rPr>
        <w:t xml:space="preserve">promote a consistent national approach to regulating packaging. </w:t>
      </w:r>
    </w:p>
    <w:p w14:paraId="072DF6B8" w14:textId="77777777" w:rsidR="00030089" w:rsidRPr="00F702E2" w:rsidRDefault="00030089" w:rsidP="00030089">
      <w:pPr>
        <w:pStyle w:val="Default"/>
        <w:rPr>
          <w:sz w:val="24"/>
          <w:szCs w:val="24"/>
        </w:rPr>
      </w:pPr>
      <w:r w:rsidRPr="00F702E2">
        <w:rPr>
          <w:sz w:val="24"/>
          <w:szCs w:val="24"/>
        </w:rPr>
        <w:t xml:space="preserve">Options considered were: </w:t>
      </w:r>
    </w:p>
    <w:p w14:paraId="095EB2DC" w14:textId="77777777" w:rsidR="00030089" w:rsidRPr="00F702E2" w:rsidRDefault="00030089" w:rsidP="00030089">
      <w:pPr>
        <w:pStyle w:val="Default"/>
        <w:numPr>
          <w:ilvl w:val="0"/>
          <w:numId w:val="20"/>
        </w:numPr>
        <w:rPr>
          <w:sz w:val="24"/>
          <w:szCs w:val="24"/>
        </w:rPr>
      </w:pPr>
      <w:r w:rsidRPr="00F702E2">
        <w:rPr>
          <w:sz w:val="24"/>
          <w:szCs w:val="24"/>
        </w:rPr>
        <w:t xml:space="preserve">Option 1: National Waste Packaging Strategy </w:t>
      </w:r>
    </w:p>
    <w:p w14:paraId="11005660" w14:textId="77777777" w:rsidR="00030089" w:rsidRPr="00F702E2" w:rsidRDefault="00030089" w:rsidP="00030089">
      <w:pPr>
        <w:pStyle w:val="Default"/>
        <w:numPr>
          <w:ilvl w:val="0"/>
          <w:numId w:val="20"/>
        </w:numPr>
        <w:rPr>
          <w:sz w:val="24"/>
          <w:szCs w:val="24"/>
        </w:rPr>
      </w:pPr>
      <w:r w:rsidRPr="00F702E2">
        <w:rPr>
          <w:sz w:val="24"/>
          <w:szCs w:val="24"/>
        </w:rPr>
        <w:t>Option 2: Co-regulatory Packaging Stewardship, with three specific sub-options:</w:t>
      </w:r>
    </w:p>
    <w:p w14:paraId="54FE5A0B" w14:textId="77777777" w:rsidR="00030089" w:rsidRPr="00F702E2" w:rsidRDefault="00030089" w:rsidP="00030089">
      <w:pPr>
        <w:pStyle w:val="Default"/>
        <w:numPr>
          <w:ilvl w:val="1"/>
          <w:numId w:val="35"/>
        </w:numPr>
        <w:rPr>
          <w:sz w:val="24"/>
          <w:szCs w:val="24"/>
        </w:rPr>
      </w:pPr>
      <w:r w:rsidRPr="00F702E2">
        <w:rPr>
          <w:sz w:val="24"/>
          <w:szCs w:val="24"/>
        </w:rPr>
        <w:t xml:space="preserve">2 (a): the Australian Packaging Covenant replaced by co-regulation under the </w:t>
      </w:r>
      <w:r w:rsidRPr="00F702E2">
        <w:rPr>
          <w:i/>
          <w:iCs/>
          <w:sz w:val="24"/>
          <w:szCs w:val="24"/>
        </w:rPr>
        <w:t>Product Stewardship Act 2011</w:t>
      </w:r>
    </w:p>
    <w:p w14:paraId="3CD1488A" w14:textId="77777777" w:rsidR="00030089" w:rsidRPr="00F702E2" w:rsidRDefault="00030089" w:rsidP="00030089">
      <w:pPr>
        <w:pStyle w:val="Default"/>
        <w:numPr>
          <w:ilvl w:val="1"/>
          <w:numId w:val="35"/>
        </w:numPr>
        <w:rPr>
          <w:sz w:val="24"/>
          <w:szCs w:val="24"/>
        </w:rPr>
      </w:pPr>
      <w:r w:rsidRPr="00F702E2">
        <w:rPr>
          <w:sz w:val="24"/>
          <w:szCs w:val="24"/>
        </w:rPr>
        <w:t xml:space="preserve">2 (b): Industry Packaging Stewardship </w:t>
      </w:r>
    </w:p>
    <w:p w14:paraId="43D8A93A" w14:textId="77777777" w:rsidR="00030089" w:rsidRDefault="00030089" w:rsidP="00030089">
      <w:pPr>
        <w:pStyle w:val="Default"/>
        <w:numPr>
          <w:ilvl w:val="1"/>
          <w:numId w:val="35"/>
        </w:numPr>
        <w:rPr>
          <w:sz w:val="24"/>
          <w:szCs w:val="24"/>
        </w:rPr>
      </w:pPr>
      <w:r w:rsidRPr="00F702E2">
        <w:rPr>
          <w:sz w:val="24"/>
          <w:szCs w:val="24"/>
        </w:rPr>
        <w:t xml:space="preserve">2 (c): </w:t>
      </w:r>
      <w:r w:rsidRPr="00F702E2">
        <w:rPr>
          <w:iCs/>
          <w:sz w:val="24"/>
          <w:szCs w:val="24"/>
        </w:rPr>
        <w:t>Extended</w:t>
      </w:r>
      <w:r w:rsidRPr="00F702E2">
        <w:rPr>
          <w:sz w:val="24"/>
          <w:szCs w:val="24"/>
        </w:rPr>
        <w:t xml:space="preserve"> Packaging Stewardship </w:t>
      </w:r>
    </w:p>
    <w:p w14:paraId="3D561559" w14:textId="77777777" w:rsidR="00F702E2" w:rsidRPr="00F702E2" w:rsidRDefault="00F702E2" w:rsidP="00F702E2">
      <w:pPr>
        <w:pStyle w:val="Default"/>
        <w:ind w:left="1440"/>
        <w:rPr>
          <w:sz w:val="24"/>
          <w:szCs w:val="24"/>
        </w:rPr>
      </w:pPr>
    </w:p>
    <w:p w14:paraId="69E100C4" w14:textId="77777777" w:rsidR="00030089" w:rsidRPr="00F702E2" w:rsidRDefault="00030089" w:rsidP="00030089">
      <w:pPr>
        <w:pStyle w:val="Default"/>
        <w:numPr>
          <w:ilvl w:val="0"/>
          <w:numId w:val="20"/>
        </w:numPr>
        <w:rPr>
          <w:sz w:val="24"/>
          <w:szCs w:val="24"/>
        </w:rPr>
      </w:pPr>
      <w:r w:rsidRPr="00F702E2">
        <w:rPr>
          <w:sz w:val="24"/>
          <w:szCs w:val="24"/>
        </w:rPr>
        <w:lastRenderedPageBreak/>
        <w:t xml:space="preserve">Option 3: Mandatory Advance Disposal Fee </w:t>
      </w:r>
    </w:p>
    <w:p w14:paraId="77E75237" w14:textId="77777777" w:rsidR="00030089" w:rsidRPr="00F702E2" w:rsidRDefault="00030089" w:rsidP="00030089">
      <w:pPr>
        <w:pStyle w:val="Default"/>
        <w:numPr>
          <w:ilvl w:val="0"/>
          <w:numId w:val="20"/>
        </w:numPr>
        <w:rPr>
          <w:sz w:val="24"/>
          <w:szCs w:val="24"/>
        </w:rPr>
      </w:pPr>
      <w:r w:rsidRPr="00F702E2">
        <w:rPr>
          <w:sz w:val="24"/>
          <w:szCs w:val="24"/>
        </w:rPr>
        <w:t xml:space="preserve">Option 4: Mandatory Container Deposit Scheme, with two specific sub-options: </w:t>
      </w:r>
    </w:p>
    <w:p w14:paraId="004A0138" w14:textId="77777777" w:rsidR="00030089" w:rsidRPr="00F702E2" w:rsidRDefault="00030089" w:rsidP="00030089">
      <w:pPr>
        <w:pStyle w:val="Default"/>
        <w:numPr>
          <w:ilvl w:val="1"/>
          <w:numId w:val="35"/>
        </w:numPr>
        <w:rPr>
          <w:sz w:val="24"/>
          <w:szCs w:val="24"/>
        </w:rPr>
      </w:pPr>
      <w:r w:rsidRPr="00F702E2">
        <w:rPr>
          <w:sz w:val="24"/>
          <w:szCs w:val="24"/>
        </w:rPr>
        <w:t xml:space="preserve">4 (a): Boomerang Alliance CDS </w:t>
      </w:r>
    </w:p>
    <w:p w14:paraId="321D70C6" w14:textId="77777777" w:rsidR="00030089" w:rsidRPr="00F702E2" w:rsidRDefault="00030089" w:rsidP="00030089">
      <w:pPr>
        <w:pStyle w:val="Default"/>
        <w:numPr>
          <w:ilvl w:val="1"/>
          <w:numId w:val="35"/>
        </w:numPr>
        <w:rPr>
          <w:sz w:val="24"/>
          <w:szCs w:val="24"/>
        </w:rPr>
      </w:pPr>
      <w:r w:rsidRPr="00F702E2">
        <w:rPr>
          <w:sz w:val="24"/>
          <w:szCs w:val="24"/>
        </w:rPr>
        <w:t xml:space="preserve">4 (b): Hybrid CDS </w:t>
      </w:r>
    </w:p>
    <w:p w14:paraId="2E7C34F3" w14:textId="77777777" w:rsidR="00030089" w:rsidRPr="00F702E2" w:rsidRDefault="00030089" w:rsidP="00030089">
      <w:pPr>
        <w:pStyle w:val="Default"/>
        <w:rPr>
          <w:sz w:val="24"/>
          <w:szCs w:val="24"/>
        </w:rPr>
      </w:pPr>
      <w:r w:rsidRPr="00F702E2">
        <w:rPr>
          <w:sz w:val="24"/>
          <w:szCs w:val="24"/>
        </w:rPr>
        <w:t>The key results of the Packaging Impacts CRIS’s</w:t>
      </w:r>
      <w:r w:rsidRPr="00F702E2">
        <w:rPr>
          <w:b/>
          <w:sz w:val="24"/>
          <w:szCs w:val="24"/>
        </w:rPr>
        <w:t xml:space="preserve"> </w:t>
      </w:r>
      <w:r w:rsidRPr="00F702E2">
        <w:rPr>
          <w:sz w:val="24"/>
          <w:szCs w:val="24"/>
        </w:rPr>
        <w:t>cost benefit analysis are displayed in Table 4.27 to Table 4.29</w:t>
      </w:r>
      <w:r w:rsidRPr="00F702E2">
        <w:rPr>
          <w:rStyle w:val="FootnoteReference"/>
          <w:sz w:val="24"/>
          <w:szCs w:val="24"/>
        </w:rPr>
        <w:footnoteReference w:id="33"/>
      </w:r>
      <w:r w:rsidRPr="00F702E2">
        <w:rPr>
          <w:sz w:val="24"/>
          <w:szCs w:val="24"/>
        </w:rPr>
        <w:t>.</w:t>
      </w:r>
      <w:r w:rsidRPr="00F702E2">
        <w:rPr>
          <w:rStyle w:val="FootnoteReference"/>
          <w:sz w:val="24"/>
          <w:szCs w:val="24"/>
        </w:rPr>
        <w:footnoteReference w:id="34"/>
      </w:r>
      <w:r w:rsidRPr="00F702E2">
        <w:rPr>
          <w:sz w:val="24"/>
          <w:szCs w:val="24"/>
        </w:rPr>
        <w:t>. A summary of key assumptions and estimates are shown in Figure 4.2</w:t>
      </w:r>
      <w:r w:rsidRPr="00F702E2">
        <w:rPr>
          <w:rStyle w:val="FootnoteReference"/>
          <w:sz w:val="24"/>
          <w:szCs w:val="24"/>
        </w:rPr>
        <w:footnoteReference w:id="35"/>
      </w:r>
      <w:r w:rsidRPr="00F702E2">
        <w:rPr>
          <w:sz w:val="24"/>
          <w:szCs w:val="24"/>
        </w:rPr>
        <w:t>, and a summary of key factors driving the results are shown in Table 4.30</w:t>
      </w:r>
      <w:r w:rsidRPr="00F702E2">
        <w:rPr>
          <w:rStyle w:val="FootnoteReference"/>
          <w:sz w:val="24"/>
          <w:szCs w:val="24"/>
        </w:rPr>
        <w:footnoteReference w:id="36"/>
      </w:r>
      <w:r w:rsidRPr="00F702E2">
        <w:rPr>
          <w:sz w:val="24"/>
          <w:szCs w:val="24"/>
        </w:rPr>
        <w:t>.</w:t>
      </w:r>
    </w:p>
    <w:p w14:paraId="6E08080B" w14:textId="77777777" w:rsidR="00030089" w:rsidRPr="00F702E2" w:rsidRDefault="00030089" w:rsidP="00030089">
      <w:pPr>
        <w:pStyle w:val="Default"/>
        <w:rPr>
          <w:sz w:val="24"/>
          <w:szCs w:val="24"/>
        </w:rPr>
      </w:pPr>
      <w:r w:rsidRPr="00F702E2">
        <w:rPr>
          <w:sz w:val="24"/>
          <w:szCs w:val="24"/>
        </w:rPr>
        <w:t xml:space="preserve">Results show that: </w:t>
      </w:r>
    </w:p>
    <w:p w14:paraId="45298FEC" w14:textId="77777777" w:rsidR="00030089" w:rsidRPr="00F702E2" w:rsidRDefault="00030089" w:rsidP="00030089">
      <w:pPr>
        <w:pStyle w:val="Default"/>
        <w:numPr>
          <w:ilvl w:val="0"/>
          <w:numId w:val="21"/>
        </w:numPr>
        <w:rPr>
          <w:sz w:val="24"/>
          <w:szCs w:val="24"/>
        </w:rPr>
      </w:pPr>
      <w:r w:rsidRPr="00F702E2">
        <w:rPr>
          <w:sz w:val="24"/>
          <w:szCs w:val="24"/>
        </w:rPr>
        <w:t xml:space="preserve">all options result in an overall increase in recycling by 2035; </w:t>
      </w:r>
    </w:p>
    <w:p w14:paraId="66832939" w14:textId="77777777" w:rsidR="00030089" w:rsidRPr="00F702E2" w:rsidRDefault="00030089" w:rsidP="00030089">
      <w:pPr>
        <w:pStyle w:val="Default"/>
        <w:numPr>
          <w:ilvl w:val="0"/>
          <w:numId w:val="21"/>
        </w:numPr>
        <w:rPr>
          <w:sz w:val="24"/>
          <w:szCs w:val="24"/>
        </w:rPr>
      </w:pPr>
      <w:r w:rsidRPr="00F702E2">
        <w:rPr>
          <w:sz w:val="24"/>
          <w:szCs w:val="24"/>
        </w:rPr>
        <w:t xml:space="preserve">Option 2(a) is the only option that has a positive Net Present Value (NPV); </w:t>
      </w:r>
    </w:p>
    <w:p w14:paraId="50D15D67" w14:textId="77777777" w:rsidR="00030089" w:rsidRPr="00F702E2" w:rsidRDefault="00030089" w:rsidP="00030089">
      <w:pPr>
        <w:pStyle w:val="Default"/>
        <w:numPr>
          <w:ilvl w:val="0"/>
          <w:numId w:val="21"/>
        </w:numPr>
        <w:rPr>
          <w:sz w:val="24"/>
          <w:szCs w:val="24"/>
        </w:rPr>
      </w:pPr>
      <w:r w:rsidRPr="00F702E2">
        <w:rPr>
          <w:sz w:val="24"/>
          <w:szCs w:val="24"/>
        </w:rPr>
        <w:t xml:space="preserve">all other options were assessed in the cost benefit analysis as having negative NPVs and benefit costs ratios (BCR) lower than one. This suggests that for these options, the market costs are greater than the benefits; </w:t>
      </w:r>
    </w:p>
    <w:p w14:paraId="0AF90F43" w14:textId="77777777" w:rsidR="00030089" w:rsidRPr="00F702E2" w:rsidRDefault="00030089" w:rsidP="00030089">
      <w:pPr>
        <w:pStyle w:val="Default"/>
        <w:numPr>
          <w:ilvl w:val="0"/>
          <w:numId w:val="21"/>
        </w:numPr>
        <w:rPr>
          <w:sz w:val="24"/>
          <w:szCs w:val="24"/>
        </w:rPr>
      </w:pPr>
      <w:r w:rsidRPr="00F702E2">
        <w:rPr>
          <w:sz w:val="24"/>
          <w:szCs w:val="24"/>
        </w:rPr>
        <w:t xml:space="preserve">Options 1 and 2 (b) involved relatively low costs and benefits and result in small net costs to the economy, whereas Options 2(c) and 3 involve higher costs and benefits and result in larger net costs; and </w:t>
      </w:r>
    </w:p>
    <w:p w14:paraId="0FCB44D3" w14:textId="77777777" w:rsidR="00030089" w:rsidRPr="00F702E2" w:rsidRDefault="00030089" w:rsidP="00030089">
      <w:pPr>
        <w:pStyle w:val="Default"/>
        <w:numPr>
          <w:ilvl w:val="0"/>
          <w:numId w:val="21"/>
        </w:numPr>
        <w:rPr>
          <w:sz w:val="24"/>
          <w:szCs w:val="24"/>
        </w:rPr>
      </w:pPr>
      <w:r w:rsidRPr="00F702E2">
        <w:rPr>
          <w:sz w:val="24"/>
          <w:szCs w:val="24"/>
        </w:rPr>
        <w:t xml:space="preserve">Options 4(a) and 4(b) were the highest cost options. While these options have high resource recovery benefits, due to a price premium from materials collected through a CDS, these benefits are lower than the overall higher costs. </w:t>
      </w:r>
    </w:p>
    <w:p w14:paraId="35365488" w14:textId="77777777" w:rsidR="00F702E2" w:rsidRDefault="00F702E2">
      <w:pPr>
        <w:rPr>
          <w:rFonts w:asciiTheme="minorHAnsi" w:eastAsiaTheme="minorEastAsia" w:hAnsiTheme="minorHAnsi"/>
          <w:b/>
          <w:bCs/>
          <w:noProof/>
          <w:sz w:val="18"/>
          <w:szCs w:val="18"/>
          <w:lang w:eastAsia="en-AU"/>
        </w:rPr>
      </w:pPr>
      <w:r>
        <w:rPr>
          <w:noProof/>
        </w:rPr>
        <w:br w:type="page"/>
      </w:r>
    </w:p>
    <w:p w14:paraId="041C1112" w14:textId="2A7DBFDD" w:rsidR="00030089" w:rsidRPr="00682556" w:rsidRDefault="00030089" w:rsidP="00030089">
      <w:pPr>
        <w:pStyle w:val="Caption"/>
        <w:keepNext/>
        <w:rPr>
          <w:noProof/>
          <w:color w:val="auto"/>
        </w:rPr>
      </w:pPr>
      <w:r w:rsidRPr="00682556">
        <w:rPr>
          <w:noProof/>
          <w:color w:val="auto"/>
        </w:rPr>
        <w:lastRenderedPageBreak/>
        <w:fldChar w:fldCharType="begin"/>
      </w:r>
      <w:r w:rsidRPr="00682556">
        <w:rPr>
          <w:noProof/>
          <w:color w:val="auto"/>
        </w:rPr>
        <w:instrText xml:space="preserve"> SEQ Figure \* ARABIC </w:instrText>
      </w:r>
      <w:r w:rsidRPr="00682556">
        <w:rPr>
          <w:noProof/>
          <w:color w:val="auto"/>
        </w:rPr>
        <w:fldChar w:fldCharType="separate"/>
      </w:r>
      <w:bookmarkStart w:id="271" w:name="_Toc353562518"/>
      <w:r w:rsidR="00740026">
        <w:rPr>
          <w:noProof/>
          <w:color w:val="auto"/>
        </w:rPr>
        <w:t>37</w:t>
      </w:r>
      <w:r w:rsidRPr="00682556">
        <w:rPr>
          <w:noProof/>
          <w:color w:val="auto"/>
        </w:rPr>
        <w:fldChar w:fldCharType="end"/>
      </w:r>
      <w:r w:rsidRPr="00682556">
        <w:rPr>
          <w:noProof/>
          <w:color w:val="auto"/>
        </w:rPr>
        <w:t xml:space="preserve"> </w:t>
      </w:r>
      <w:bookmarkStart w:id="272" w:name="_Toc351023687"/>
      <w:r w:rsidRPr="00682556">
        <w:rPr>
          <w:noProof/>
          <w:color w:val="auto"/>
        </w:rPr>
        <w:t>Table 4.2</w:t>
      </w:r>
      <w:r>
        <w:rPr>
          <w:noProof/>
          <w:color w:val="auto"/>
        </w:rPr>
        <w:t>7</w:t>
      </w:r>
      <w:r w:rsidRPr="00682556">
        <w:rPr>
          <w:noProof/>
          <w:color w:val="auto"/>
        </w:rPr>
        <w:t>: Packaging Impacts CRIS’s results of Cost Benefit Analysis (CBA); excluding non-use values ($2011; $ millions; discounted) for all options</w:t>
      </w:r>
      <w:bookmarkEnd w:id="271"/>
      <w:bookmarkEnd w:id="272"/>
    </w:p>
    <w:tbl>
      <w:tblPr>
        <w:tblStyle w:val="TableGrid"/>
        <w:tblW w:w="0" w:type="auto"/>
        <w:tblLayout w:type="fixed"/>
        <w:tblLook w:val="04A0" w:firstRow="1" w:lastRow="0" w:firstColumn="1" w:lastColumn="0" w:noHBand="0" w:noVBand="1"/>
      </w:tblPr>
      <w:tblGrid>
        <w:gridCol w:w="959"/>
        <w:gridCol w:w="1134"/>
        <w:gridCol w:w="1134"/>
        <w:gridCol w:w="1134"/>
        <w:gridCol w:w="1134"/>
        <w:gridCol w:w="1134"/>
        <w:gridCol w:w="1134"/>
        <w:gridCol w:w="1134"/>
      </w:tblGrid>
      <w:tr w:rsidR="00030089" w:rsidRPr="003C24D0" w14:paraId="7BF68845" w14:textId="77777777" w:rsidTr="008547F7">
        <w:trPr>
          <w:trHeight w:hRule="exact" w:val="1005"/>
        </w:trPr>
        <w:tc>
          <w:tcPr>
            <w:tcW w:w="959" w:type="dxa"/>
            <w:shd w:val="pct10" w:color="auto" w:fill="FFFFFF" w:themeFill="background1"/>
          </w:tcPr>
          <w:p w14:paraId="43C79EC7" w14:textId="77777777" w:rsidR="00030089" w:rsidRPr="003C24D0" w:rsidRDefault="00030089" w:rsidP="008547F7">
            <w:pPr>
              <w:pStyle w:val="Default"/>
              <w:jc w:val="left"/>
              <w:rPr>
                <w:b/>
                <w:sz w:val="18"/>
                <w:szCs w:val="18"/>
              </w:rPr>
            </w:pPr>
          </w:p>
        </w:tc>
        <w:tc>
          <w:tcPr>
            <w:tcW w:w="1134" w:type="dxa"/>
            <w:shd w:val="pct10" w:color="auto" w:fill="FFFFFF" w:themeFill="background1"/>
          </w:tcPr>
          <w:p w14:paraId="5C231DD2" w14:textId="77777777" w:rsidR="00030089" w:rsidRPr="003C24D0" w:rsidRDefault="00030089" w:rsidP="008547F7">
            <w:pPr>
              <w:pStyle w:val="Default"/>
              <w:jc w:val="right"/>
              <w:rPr>
                <w:b/>
                <w:sz w:val="18"/>
                <w:szCs w:val="18"/>
              </w:rPr>
            </w:pPr>
            <w:r w:rsidRPr="003C24D0">
              <w:rPr>
                <w:b/>
                <w:sz w:val="18"/>
                <w:szCs w:val="18"/>
              </w:rPr>
              <w:t>Option 1</w:t>
            </w:r>
            <w:r w:rsidRPr="003C24D0">
              <w:rPr>
                <w:b/>
                <w:sz w:val="18"/>
                <w:szCs w:val="18"/>
              </w:rPr>
              <w:br/>
            </w:r>
          </w:p>
        </w:tc>
        <w:tc>
          <w:tcPr>
            <w:tcW w:w="1134" w:type="dxa"/>
            <w:shd w:val="pct10" w:color="auto" w:fill="FFFFFF" w:themeFill="background1"/>
          </w:tcPr>
          <w:p w14:paraId="4A3BDFD9" w14:textId="77777777" w:rsidR="00030089" w:rsidRPr="003C24D0" w:rsidRDefault="00030089" w:rsidP="008547F7">
            <w:pPr>
              <w:pStyle w:val="Default"/>
              <w:jc w:val="right"/>
              <w:rPr>
                <w:b/>
                <w:sz w:val="18"/>
                <w:szCs w:val="18"/>
              </w:rPr>
            </w:pPr>
            <w:r w:rsidRPr="003C24D0">
              <w:rPr>
                <w:b/>
                <w:sz w:val="18"/>
                <w:szCs w:val="18"/>
              </w:rPr>
              <w:t>Option 2(A)</w:t>
            </w:r>
            <w:r w:rsidRPr="003C24D0">
              <w:rPr>
                <w:b/>
                <w:sz w:val="18"/>
                <w:szCs w:val="18"/>
              </w:rPr>
              <w:br/>
            </w:r>
          </w:p>
        </w:tc>
        <w:tc>
          <w:tcPr>
            <w:tcW w:w="1134" w:type="dxa"/>
            <w:shd w:val="pct10" w:color="auto" w:fill="FFFFFF" w:themeFill="background1"/>
          </w:tcPr>
          <w:p w14:paraId="76076A82" w14:textId="77777777" w:rsidR="00030089" w:rsidRPr="003C24D0" w:rsidRDefault="00030089" w:rsidP="008547F7">
            <w:pPr>
              <w:pStyle w:val="Default"/>
              <w:jc w:val="right"/>
              <w:rPr>
                <w:b/>
                <w:sz w:val="18"/>
                <w:szCs w:val="18"/>
              </w:rPr>
            </w:pPr>
            <w:r w:rsidRPr="003C24D0">
              <w:rPr>
                <w:b/>
                <w:sz w:val="18"/>
                <w:szCs w:val="18"/>
              </w:rPr>
              <w:t>Option 2(B)</w:t>
            </w:r>
            <w:r w:rsidRPr="003C24D0">
              <w:rPr>
                <w:b/>
                <w:sz w:val="18"/>
                <w:szCs w:val="18"/>
              </w:rPr>
              <w:br/>
            </w:r>
          </w:p>
        </w:tc>
        <w:tc>
          <w:tcPr>
            <w:tcW w:w="1134" w:type="dxa"/>
            <w:shd w:val="pct10" w:color="auto" w:fill="FFFFFF" w:themeFill="background1"/>
          </w:tcPr>
          <w:p w14:paraId="158E05E6" w14:textId="77777777" w:rsidR="00030089" w:rsidRPr="003C24D0" w:rsidRDefault="00030089" w:rsidP="008547F7">
            <w:pPr>
              <w:pStyle w:val="Default"/>
              <w:jc w:val="right"/>
              <w:rPr>
                <w:b/>
                <w:sz w:val="18"/>
                <w:szCs w:val="18"/>
              </w:rPr>
            </w:pPr>
            <w:r w:rsidRPr="003C24D0">
              <w:rPr>
                <w:b/>
                <w:sz w:val="18"/>
                <w:szCs w:val="18"/>
              </w:rPr>
              <w:t xml:space="preserve">Option </w:t>
            </w:r>
            <w:r>
              <w:rPr>
                <w:b/>
                <w:sz w:val="18"/>
                <w:szCs w:val="18"/>
              </w:rPr>
              <w:t>2</w:t>
            </w:r>
            <w:r w:rsidRPr="003C24D0">
              <w:rPr>
                <w:b/>
                <w:sz w:val="18"/>
                <w:szCs w:val="18"/>
              </w:rPr>
              <w:t>(C)</w:t>
            </w:r>
            <w:r w:rsidRPr="003C24D0">
              <w:rPr>
                <w:b/>
                <w:sz w:val="18"/>
                <w:szCs w:val="18"/>
              </w:rPr>
              <w:br/>
            </w:r>
          </w:p>
        </w:tc>
        <w:tc>
          <w:tcPr>
            <w:tcW w:w="1134" w:type="dxa"/>
            <w:shd w:val="pct10" w:color="auto" w:fill="FFFFFF" w:themeFill="background1"/>
          </w:tcPr>
          <w:p w14:paraId="04850806" w14:textId="77777777" w:rsidR="00030089" w:rsidRPr="003C24D0" w:rsidRDefault="00030089" w:rsidP="008547F7">
            <w:pPr>
              <w:pStyle w:val="Default"/>
              <w:jc w:val="right"/>
              <w:rPr>
                <w:b/>
                <w:sz w:val="18"/>
                <w:szCs w:val="18"/>
              </w:rPr>
            </w:pPr>
            <w:r w:rsidRPr="003C24D0">
              <w:rPr>
                <w:b/>
                <w:sz w:val="18"/>
                <w:szCs w:val="18"/>
              </w:rPr>
              <w:t>Option 3</w:t>
            </w:r>
            <w:r w:rsidRPr="003C24D0">
              <w:rPr>
                <w:b/>
                <w:sz w:val="18"/>
                <w:szCs w:val="18"/>
              </w:rPr>
              <w:br/>
            </w:r>
          </w:p>
        </w:tc>
        <w:tc>
          <w:tcPr>
            <w:tcW w:w="1134" w:type="dxa"/>
            <w:shd w:val="pct10" w:color="auto" w:fill="FFFFFF" w:themeFill="background1"/>
          </w:tcPr>
          <w:p w14:paraId="7E917BE2" w14:textId="77777777" w:rsidR="00030089" w:rsidRPr="003C24D0" w:rsidRDefault="00030089" w:rsidP="008547F7">
            <w:pPr>
              <w:pStyle w:val="Default"/>
              <w:jc w:val="right"/>
              <w:rPr>
                <w:b/>
                <w:sz w:val="18"/>
                <w:szCs w:val="18"/>
              </w:rPr>
            </w:pPr>
            <w:r w:rsidRPr="003C24D0">
              <w:rPr>
                <w:b/>
                <w:sz w:val="18"/>
                <w:szCs w:val="18"/>
              </w:rPr>
              <w:t>Option 4(A)</w:t>
            </w:r>
            <w:r w:rsidRPr="003C24D0">
              <w:rPr>
                <w:b/>
                <w:sz w:val="18"/>
                <w:szCs w:val="18"/>
              </w:rPr>
              <w:br/>
            </w:r>
          </w:p>
        </w:tc>
        <w:tc>
          <w:tcPr>
            <w:tcW w:w="1134" w:type="dxa"/>
            <w:shd w:val="pct10" w:color="auto" w:fill="FFFFFF" w:themeFill="background1"/>
          </w:tcPr>
          <w:p w14:paraId="2E4A85AA" w14:textId="77777777" w:rsidR="00030089" w:rsidRPr="003C24D0" w:rsidRDefault="00030089" w:rsidP="008547F7">
            <w:pPr>
              <w:pStyle w:val="Default"/>
              <w:jc w:val="right"/>
              <w:rPr>
                <w:b/>
                <w:sz w:val="18"/>
                <w:szCs w:val="18"/>
              </w:rPr>
            </w:pPr>
            <w:r w:rsidRPr="003C24D0">
              <w:rPr>
                <w:b/>
                <w:sz w:val="18"/>
                <w:szCs w:val="18"/>
              </w:rPr>
              <w:t>Option 4(B)</w:t>
            </w:r>
            <w:r w:rsidRPr="003C24D0">
              <w:rPr>
                <w:b/>
                <w:sz w:val="18"/>
                <w:szCs w:val="18"/>
              </w:rPr>
              <w:br/>
            </w:r>
          </w:p>
        </w:tc>
      </w:tr>
      <w:tr w:rsidR="00030089" w:rsidRPr="003C24D0" w14:paraId="4B0E9FAD" w14:textId="77777777" w:rsidTr="008547F7">
        <w:trPr>
          <w:trHeight w:hRule="exact" w:val="565"/>
        </w:trPr>
        <w:tc>
          <w:tcPr>
            <w:tcW w:w="959" w:type="dxa"/>
          </w:tcPr>
          <w:p w14:paraId="3BD6C424" w14:textId="77777777" w:rsidR="00030089" w:rsidRPr="003C24D0" w:rsidRDefault="00030089" w:rsidP="008547F7">
            <w:pPr>
              <w:pStyle w:val="Default"/>
              <w:rPr>
                <w:sz w:val="18"/>
                <w:szCs w:val="18"/>
              </w:rPr>
            </w:pPr>
            <w:r w:rsidRPr="003C24D0">
              <w:rPr>
                <w:sz w:val="18"/>
                <w:szCs w:val="18"/>
              </w:rPr>
              <w:t>Costs</w:t>
            </w:r>
            <w:r>
              <w:rPr>
                <w:sz w:val="18"/>
                <w:szCs w:val="18"/>
              </w:rPr>
              <w:br/>
            </w:r>
          </w:p>
        </w:tc>
        <w:tc>
          <w:tcPr>
            <w:tcW w:w="1134" w:type="dxa"/>
          </w:tcPr>
          <w:p w14:paraId="392F6355" w14:textId="77777777" w:rsidR="00030089" w:rsidRPr="003C24D0" w:rsidRDefault="00030089" w:rsidP="008547F7">
            <w:pPr>
              <w:pStyle w:val="Default"/>
              <w:jc w:val="right"/>
              <w:rPr>
                <w:sz w:val="18"/>
                <w:szCs w:val="18"/>
              </w:rPr>
            </w:pPr>
            <w:r w:rsidRPr="003C24D0">
              <w:rPr>
                <w:sz w:val="18"/>
                <w:szCs w:val="18"/>
              </w:rPr>
              <w:t>311</w:t>
            </w:r>
          </w:p>
        </w:tc>
        <w:tc>
          <w:tcPr>
            <w:tcW w:w="1134" w:type="dxa"/>
          </w:tcPr>
          <w:p w14:paraId="6A028DF1" w14:textId="77777777" w:rsidR="00030089" w:rsidRPr="003C24D0" w:rsidRDefault="00030089" w:rsidP="008547F7">
            <w:pPr>
              <w:pStyle w:val="Default"/>
              <w:jc w:val="right"/>
              <w:rPr>
                <w:sz w:val="18"/>
                <w:szCs w:val="18"/>
              </w:rPr>
            </w:pPr>
            <w:r w:rsidRPr="003C24D0">
              <w:rPr>
                <w:sz w:val="18"/>
                <w:szCs w:val="18"/>
              </w:rPr>
              <w:t>258</w:t>
            </w:r>
          </w:p>
        </w:tc>
        <w:tc>
          <w:tcPr>
            <w:tcW w:w="1134" w:type="dxa"/>
          </w:tcPr>
          <w:p w14:paraId="7F0C3D20" w14:textId="77777777" w:rsidR="00030089" w:rsidRPr="003C24D0" w:rsidRDefault="00030089" w:rsidP="008547F7">
            <w:pPr>
              <w:pStyle w:val="Default"/>
              <w:jc w:val="right"/>
              <w:rPr>
                <w:sz w:val="18"/>
                <w:szCs w:val="18"/>
              </w:rPr>
            </w:pPr>
            <w:r w:rsidRPr="003C24D0">
              <w:rPr>
                <w:sz w:val="18"/>
                <w:szCs w:val="18"/>
              </w:rPr>
              <w:t>554</w:t>
            </w:r>
          </w:p>
        </w:tc>
        <w:tc>
          <w:tcPr>
            <w:tcW w:w="1134" w:type="dxa"/>
          </w:tcPr>
          <w:p w14:paraId="1391E805" w14:textId="77777777" w:rsidR="00030089" w:rsidRPr="003C24D0" w:rsidRDefault="00030089" w:rsidP="008547F7">
            <w:pPr>
              <w:pStyle w:val="Default"/>
              <w:jc w:val="right"/>
              <w:rPr>
                <w:sz w:val="18"/>
                <w:szCs w:val="18"/>
              </w:rPr>
            </w:pPr>
            <w:r w:rsidRPr="003C24D0">
              <w:rPr>
                <w:sz w:val="18"/>
                <w:szCs w:val="18"/>
              </w:rPr>
              <w:t>984</w:t>
            </w:r>
          </w:p>
        </w:tc>
        <w:tc>
          <w:tcPr>
            <w:tcW w:w="1134" w:type="dxa"/>
          </w:tcPr>
          <w:p w14:paraId="5F7EB0CD" w14:textId="77777777" w:rsidR="00030089" w:rsidRPr="003C24D0" w:rsidRDefault="00030089" w:rsidP="008547F7">
            <w:pPr>
              <w:pStyle w:val="Default"/>
              <w:jc w:val="right"/>
              <w:rPr>
                <w:sz w:val="18"/>
                <w:szCs w:val="18"/>
              </w:rPr>
            </w:pPr>
            <w:r w:rsidRPr="003C24D0">
              <w:rPr>
                <w:sz w:val="18"/>
                <w:szCs w:val="18"/>
              </w:rPr>
              <w:t>981</w:t>
            </w:r>
          </w:p>
        </w:tc>
        <w:tc>
          <w:tcPr>
            <w:tcW w:w="1134" w:type="dxa"/>
          </w:tcPr>
          <w:p w14:paraId="1A519007" w14:textId="77777777" w:rsidR="00030089" w:rsidRPr="003C24D0" w:rsidRDefault="00030089" w:rsidP="008547F7">
            <w:pPr>
              <w:pStyle w:val="Default"/>
              <w:jc w:val="right"/>
              <w:rPr>
                <w:sz w:val="18"/>
                <w:szCs w:val="18"/>
              </w:rPr>
            </w:pPr>
            <w:r w:rsidRPr="003C24D0">
              <w:rPr>
                <w:sz w:val="18"/>
                <w:szCs w:val="18"/>
              </w:rPr>
              <w:t>2 125</w:t>
            </w:r>
          </w:p>
        </w:tc>
        <w:tc>
          <w:tcPr>
            <w:tcW w:w="1134" w:type="dxa"/>
          </w:tcPr>
          <w:p w14:paraId="460F1111" w14:textId="77777777" w:rsidR="00030089" w:rsidRPr="003C24D0" w:rsidRDefault="00030089" w:rsidP="008547F7">
            <w:pPr>
              <w:pStyle w:val="Default"/>
              <w:jc w:val="right"/>
              <w:rPr>
                <w:sz w:val="18"/>
                <w:szCs w:val="18"/>
              </w:rPr>
            </w:pPr>
            <w:r w:rsidRPr="003C24D0">
              <w:rPr>
                <w:sz w:val="18"/>
                <w:szCs w:val="18"/>
              </w:rPr>
              <w:t>2 471</w:t>
            </w:r>
          </w:p>
        </w:tc>
      </w:tr>
      <w:tr w:rsidR="00030089" w:rsidRPr="003C24D0" w14:paraId="1FCC79FA" w14:textId="77777777" w:rsidTr="008547F7">
        <w:trPr>
          <w:trHeight w:hRule="exact" w:val="567"/>
        </w:trPr>
        <w:tc>
          <w:tcPr>
            <w:tcW w:w="959" w:type="dxa"/>
          </w:tcPr>
          <w:p w14:paraId="0B109C46" w14:textId="77777777" w:rsidR="00030089" w:rsidRPr="003C24D0" w:rsidRDefault="00030089" w:rsidP="008547F7">
            <w:pPr>
              <w:pStyle w:val="Default"/>
              <w:rPr>
                <w:sz w:val="18"/>
                <w:szCs w:val="18"/>
              </w:rPr>
            </w:pPr>
            <w:r w:rsidRPr="003C24D0">
              <w:rPr>
                <w:sz w:val="18"/>
                <w:szCs w:val="18"/>
              </w:rPr>
              <w:t>Benefits</w:t>
            </w:r>
          </w:p>
        </w:tc>
        <w:tc>
          <w:tcPr>
            <w:tcW w:w="1134" w:type="dxa"/>
          </w:tcPr>
          <w:p w14:paraId="1747D68A" w14:textId="77777777" w:rsidR="00030089" w:rsidRPr="003C24D0" w:rsidRDefault="00030089" w:rsidP="008547F7">
            <w:pPr>
              <w:pStyle w:val="Default"/>
              <w:jc w:val="right"/>
              <w:rPr>
                <w:sz w:val="18"/>
                <w:szCs w:val="18"/>
              </w:rPr>
            </w:pPr>
            <w:r w:rsidRPr="003C24D0">
              <w:rPr>
                <w:sz w:val="18"/>
                <w:szCs w:val="18"/>
              </w:rPr>
              <w:t>262</w:t>
            </w:r>
          </w:p>
        </w:tc>
        <w:tc>
          <w:tcPr>
            <w:tcW w:w="1134" w:type="dxa"/>
          </w:tcPr>
          <w:p w14:paraId="39FE2CF2" w14:textId="77777777" w:rsidR="00030089" w:rsidRPr="003C24D0" w:rsidRDefault="00030089" w:rsidP="008547F7">
            <w:pPr>
              <w:pStyle w:val="Default"/>
              <w:jc w:val="right"/>
              <w:rPr>
                <w:sz w:val="18"/>
                <w:szCs w:val="18"/>
              </w:rPr>
            </w:pPr>
            <w:r w:rsidRPr="003C24D0">
              <w:rPr>
                <w:sz w:val="18"/>
                <w:szCs w:val="18"/>
              </w:rPr>
              <w:t>304</w:t>
            </w:r>
          </w:p>
        </w:tc>
        <w:tc>
          <w:tcPr>
            <w:tcW w:w="1134" w:type="dxa"/>
          </w:tcPr>
          <w:p w14:paraId="670F1E52" w14:textId="77777777" w:rsidR="00030089" w:rsidRPr="003C24D0" w:rsidRDefault="00030089" w:rsidP="008547F7">
            <w:pPr>
              <w:pStyle w:val="Default"/>
              <w:jc w:val="right"/>
              <w:rPr>
                <w:sz w:val="18"/>
                <w:szCs w:val="18"/>
              </w:rPr>
            </w:pPr>
            <w:r w:rsidRPr="003C24D0">
              <w:rPr>
                <w:sz w:val="18"/>
                <w:szCs w:val="18"/>
              </w:rPr>
              <w:t>53</w:t>
            </w:r>
          </w:p>
        </w:tc>
        <w:tc>
          <w:tcPr>
            <w:tcW w:w="1134" w:type="dxa"/>
          </w:tcPr>
          <w:p w14:paraId="4A0B2AE5" w14:textId="77777777" w:rsidR="00030089" w:rsidRPr="003C24D0" w:rsidRDefault="00030089" w:rsidP="008547F7">
            <w:pPr>
              <w:pStyle w:val="Default"/>
              <w:jc w:val="right"/>
              <w:rPr>
                <w:sz w:val="18"/>
                <w:szCs w:val="18"/>
              </w:rPr>
            </w:pPr>
            <w:r w:rsidRPr="003C24D0">
              <w:rPr>
                <w:sz w:val="18"/>
                <w:szCs w:val="18"/>
              </w:rPr>
              <w:t>786</w:t>
            </w:r>
          </w:p>
        </w:tc>
        <w:tc>
          <w:tcPr>
            <w:tcW w:w="1134" w:type="dxa"/>
          </w:tcPr>
          <w:p w14:paraId="29797DBE" w14:textId="77777777" w:rsidR="00030089" w:rsidRPr="003C24D0" w:rsidRDefault="00030089" w:rsidP="008547F7">
            <w:pPr>
              <w:pStyle w:val="Default"/>
              <w:jc w:val="right"/>
              <w:rPr>
                <w:sz w:val="18"/>
                <w:szCs w:val="18"/>
              </w:rPr>
            </w:pPr>
            <w:r w:rsidRPr="003C24D0">
              <w:rPr>
                <w:sz w:val="18"/>
                <w:szCs w:val="18"/>
              </w:rPr>
              <w:t>786</w:t>
            </w:r>
          </w:p>
        </w:tc>
        <w:tc>
          <w:tcPr>
            <w:tcW w:w="1134" w:type="dxa"/>
          </w:tcPr>
          <w:p w14:paraId="34D9A0BD" w14:textId="77777777" w:rsidR="00030089" w:rsidRPr="003C24D0" w:rsidRDefault="00030089" w:rsidP="008547F7">
            <w:pPr>
              <w:pStyle w:val="Default"/>
              <w:jc w:val="right"/>
              <w:rPr>
                <w:sz w:val="18"/>
                <w:szCs w:val="18"/>
              </w:rPr>
            </w:pPr>
            <w:r w:rsidRPr="003C24D0">
              <w:rPr>
                <w:sz w:val="18"/>
                <w:szCs w:val="18"/>
              </w:rPr>
              <w:t>710</w:t>
            </w:r>
          </w:p>
        </w:tc>
        <w:tc>
          <w:tcPr>
            <w:tcW w:w="1134" w:type="dxa"/>
          </w:tcPr>
          <w:p w14:paraId="1BF84DC7" w14:textId="77777777" w:rsidR="00030089" w:rsidRPr="003C24D0" w:rsidRDefault="00030089" w:rsidP="008547F7">
            <w:pPr>
              <w:pStyle w:val="Default"/>
              <w:jc w:val="right"/>
              <w:rPr>
                <w:sz w:val="18"/>
                <w:szCs w:val="18"/>
              </w:rPr>
            </w:pPr>
            <w:r w:rsidRPr="003C24D0">
              <w:rPr>
                <w:sz w:val="18"/>
                <w:szCs w:val="18"/>
              </w:rPr>
              <w:t>710</w:t>
            </w:r>
          </w:p>
        </w:tc>
      </w:tr>
      <w:tr w:rsidR="00030089" w:rsidRPr="003C24D0" w14:paraId="68DC77A9" w14:textId="77777777" w:rsidTr="008547F7">
        <w:trPr>
          <w:trHeight w:hRule="exact" w:val="567"/>
        </w:trPr>
        <w:tc>
          <w:tcPr>
            <w:tcW w:w="959" w:type="dxa"/>
          </w:tcPr>
          <w:p w14:paraId="02702585" w14:textId="77777777" w:rsidR="00030089" w:rsidRPr="003C24D0" w:rsidRDefault="00030089" w:rsidP="008547F7">
            <w:pPr>
              <w:pStyle w:val="Default"/>
              <w:rPr>
                <w:sz w:val="18"/>
                <w:szCs w:val="18"/>
              </w:rPr>
            </w:pPr>
            <w:r w:rsidRPr="003C24D0">
              <w:rPr>
                <w:sz w:val="18"/>
                <w:szCs w:val="18"/>
              </w:rPr>
              <w:t>NPV</w:t>
            </w:r>
          </w:p>
          <w:p w14:paraId="235C0D8D" w14:textId="77777777" w:rsidR="00030089" w:rsidRPr="003C24D0" w:rsidRDefault="00030089" w:rsidP="008547F7">
            <w:pPr>
              <w:pStyle w:val="Default"/>
              <w:rPr>
                <w:sz w:val="18"/>
                <w:szCs w:val="18"/>
              </w:rPr>
            </w:pPr>
          </w:p>
        </w:tc>
        <w:tc>
          <w:tcPr>
            <w:tcW w:w="1134" w:type="dxa"/>
          </w:tcPr>
          <w:p w14:paraId="1D80907A" w14:textId="77777777" w:rsidR="00030089" w:rsidRPr="003C24D0" w:rsidRDefault="00030089" w:rsidP="008547F7">
            <w:pPr>
              <w:pStyle w:val="Default"/>
              <w:jc w:val="right"/>
              <w:rPr>
                <w:sz w:val="18"/>
                <w:szCs w:val="18"/>
              </w:rPr>
            </w:pPr>
            <w:r w:rsidRPr="003C24D0">
              <w:rPr>
                <w:sz w:val="18"/>
                <w:szCs w:val="18"/>
              </w:rPr>
              <w:t>-49</w:t>
            </w:r>
          </w:p>
        </w:tc>
        <w:tc>
          <w:tcPr>
            <w:tcW w:w="1134" w:type="dxa"/>
          </w:tcPr>
          <w:p w14:paraId="68334FEA" w14:textId="77777777" w:rsidR="00030089" w:rsidRPr="003C24D0" w:rsidRDefault="00030089" w:rsidP="008547F7">
            <w:pPr>
              <w:pStyle w:val="Default"/>
              <w:jc w:val="right"/>
              <w:rPr>
                <w:sz w:val="18"/>
                <w:szCs w:val="18"/>
              </w:rPr>
            </w:pPr>
            <w:r w:rsidRPr="003C24D0">
              <w:rPr>
                <w:sz w:val="18"/>
                <w:szCs w:val="18"/>
              </w:rPr>
              <w:t>46</w:t>
            </w:r>
          </w:p>
        </w:tc>
        <w:tc>
          <w:tcPr>
            <w:tcW w:w="1134" w:type="dxa"/>
          </w:tcPr>
          <w:p w14:paraId="138DBBAC" w14:textId="77777777" w:rsidR="00030089" w:rsidRPr="003C24D0" w:rsidRDefault="00030089" w:rsidP="008547F7">
            <w:pPr>
              <w:pStyle w:val="Default"/>
              <w:jc w:val="right"/>
              <w:rPr>
                <w:sz w:val="18"/>
                <w:szCs w:val="18"/>
              </w:rPr>
            </w:pPr>
            <w:r w:rsidRPr="003C24D0">
              <w:rPr>
                <w:sz w:val="18"/>
                <w:szCs w:val="18"/>
              </w:rPr>
              <w:t>-51</w:t>
            </w:r>
          </w:p>
        </w:tc>
        <w:tc>
          <w:tcPr>
            <w:tcW w:w="1134" w:type="dxa"/>
          </w:tcPr>
          <w:p w14:paraId="3F656C08" w14:textId="77777777" w:rsidR="00030089" w:rsidRPr="003C24D0" w:rsidRDefault="00030089" w:rsidP="008547F7">
            <w:pPr>
              <w:pStyle w:val="Default"/>
              <w:jc w:val="right"/>
              <w:rPr>
                <w:sz w:val="18"/>
                <w:szCs w:val="18"/>
              </w:rPr>
            </w:pPr>
            <w:r w:rsidRPr="003C24D0">
              <w:rPr>
                <w:sz w:val="18"/>
                <w:szCs w:val="18"/>
              </w:rPr>
              <w:t>-198</w:t>
            </w:r>
          </w:p>
        </w:tc>
        <w:tc>
          <w:tcPr>
            <w:tcW w:w="1134" w:type="dxa"/>
          </w:tcPr>
          <w:p w14:paraId="30EE51BD" w14:textId="77777777" w:rsidR="00030089" w:rsidRPr="003C24D0" w:rsidRDefault="00030089" w:rsidP="008547F7">
            <w:pPr>
              <w:pStyle w:val="Default"/>
              <w:jc w:val="right"/>
              <w:rPr>
                <w:sz w:val="18"/>
                <w:szCs w:val="18"/>
              </w:rPr>
            </w:pPr>
            <w:r w:rsidRPr="003C24D0">
              <w:rPr>
                <w:sz w:val="18"/>
                <w:szCs w:val="18"/>
              </w:rPr>
              <w:t>-195</w:t>
            </w:r>
          </w:p>
        </w:tc>
        <w:tc>
          <w:tcPr>
            <w:tcW w:w="1134" w:type="dxa"/>
          </w:tcPr>
          <w:p w14:paraId="41C2898A" w14:textId="77777777" w:rsidR="00030089" w:rsidRPr="003C24D0" w:rsidRDefault="00030089" w:rsidP="008547F7">
            <w:pPr>
              <w:pStyle w:val="Default"/>
              <w:jc w:val="right"/>
              <w:rPr>
                <w:sz w:val="18"/>
                <w:szCs w:val="18"/>
              </w:rPr>
            </w:pPr>
            <w:r w:rsidRPr="003C24D0">
              <w:rPr>
                <w:sz w:val="18"/>
                <w:szCs w:val="18"/>
              </w:rPr>
              <w:t>-1 41</w:t>
            </w:r>
            <w:r>
              <w:rPr>
                <w:sz w:val="18"/>
                <w:szCs w:val="18"/>
              </w:rPr>
              <w:t>5</w:t>
            </w:r>
            <w:r>
              <w:rPr>
                <w:rStyle w:val="FootnoteReference"/>
                <w:sz w:val="18"/>
                <w:szCs w:val="18"/>
              </w:rPr>
              <w:footnoteReference w:id="37"/>
            </w:r>
          </w:p>
        </w:tc>
        <w:tc>
          <w:tcPr>
            <w:tcW w:w="1134" w:type="dxa"/>
          </w:tcPr>
          <w:p w14:paraId="5F2350B7" w14:textId="77777777" w:rsidR="00030089" w:rsidRPr="003C24D0" w:rsidRDefault="00030089" w:rsidP="008547F7">
            <w:pPr>
              <w:pStyle w:val="Default"/>
              <w:jc w:val="right"/>
              <w:rPr>
                <w:sz w:val="18"/>
                <w:szCs w:val="18"/>
              </w:rPr>
            </w:pPr>
            <w:r w:rsidRPr="003C24D0">
              <w:rPr>
                <w:sz w:val="18"/>
                <w:szCs w:val="18"/>
              </w:rPr>
              <w:t>-1 761</w:t>
            </w:r>
          </w:p>
        </w:tc>
      </w:tr>
      <w:tr w:rsidR="00030089" w:rsidRPr="003C24D0" w14:paraId="3F0D9A46" w14:textId="77777777" w:rsidTr="008547F7">
        <w:trPr>
          <w:trHeight w:hRule="exact" w:val="567"/>
        </w:trPr>
        <w:tc>
          <w:tcPr>
            <w:tcW w:w="959" w:type="dxa"/>
          </w:tcPr>
          <w:p w14:paraId="6CE77FE9" w14:textId="77777777" w:rsidR="00030089" w:rsidRPr="003C24D0" w:rsidRDefault="00030089" w:rsidP="008547F7">
            <w:pPr>
              <w:pStyle w:val="Default"/>
              <w:rPr>
                <w:sz w:val="18"/>
                <w:szCs w:val="18"/>
              </w:rPr>
            </w:pPr>
            <w:r w:rsidRPr="003C24D0">
              <w:rPr>
                <w:sz w:val="18"/>
                <w:szCs w:val="18"/>
              </w:rPr>
              <w:t>SCR</w:t>
            </w:r>
          </w:p>
        </w:tc>
        <w:tc>
          <w:tcPr>
            <w:tcW w:w="1134" w:type="dxa"/>
          </w:tcPr>
          <w:p w14:paraId="0822EE9B" w14:textId="77777777" w:rsidR="00030089" w:rsidRPr="003C24D0" w:rsidRDefault="00030089" w:rsidP="008547F7">
            <w:pPr>
              <w:pStyle w:val="Default"/>
              <w:jc w:val="right"/>
              <w:rPr>
                <w:sz w:val="18"/>
                <w:szCs w:val="18"/>
              </w:rPr>
            </w:pPr>
            <w:r w:rsidRPr="003C24D0">
              <w:rPr>
                <w:sz w:val="18"/>
                <w:szCs w:val="18"/>
              </w:rPr>
              <w:t>0.84</w:t>
            </w:r>
          </w:p>
        </w:tc>
        <w:tc>
          <w:tcPr>
            <w:tcW w:w="1134" w:type="dxa"/>
          </w:tcPr>
          <w:p w14:paraId="3F28656F" w14:textId="77777777" w:rsidR="00030089" w:rsidRPr="003C24D0" w:rsidRDefault="00030089" w:rsidP="008547F7">
            <w:pPr>
              <w:pStyle w:val="Default"/>
              <w:jc w:val="right"/>
              <w:rPr>
                <w:sz w:val="18"/>
                <w:szCs w:val="18"/>
              </w:rPr>
            </w:pPr>
            <w:r w:rsidRPr="003C24D0">
              <w:rPr>
                <w:sz w:val="18"/>
                <w:szCs w:val="18"/>
              </w:rPr>
              <w:t>1.18</w:t>
            </w:r>
          </w:p>
        </w:tc>
        <w:tc>
          <w:tcPr>
            <w:tcW w:w="1134" w:type="dxa"/>
          </w:tcPr>
          <w:p w14:paraId="0BC824DA" w14:textId="77777777" w:rsidR="00030089" w:rsidRPr="003C24D0" w:rsidRDefault="00030089" w:rsidP="008547F7">
            <w:pPr>
              <w:pStyle w:val="Default"/>
              <w:jc w:val="right"/>
              <w:rPr>
                <w:sz w:val="18"/>
                <w:szCs w:val="18"/>
              </w:rPr>
            </w:pPr>
            <w:r w:rsidRPr="003C24D0">
              <w:rPr>
                <w:sz w:val="18"/>
                <w:szCs w:val="18"/>
              </w:rPr>
              <w:t>0.91</w:t>
            </w:r>
          </w:p>
        </w:tc>
        <w:tc>
          <w:tcPr>
            <w:tcW w:w="1134" w:type="dxa"/>
          </w:tcPr>
          <w:p w14:paraId="183A644A" w14:textId="77777777" w:rsidR="00030089" w:rsidRPr="003C24D0" w:rsidRDefault="00030089" w:rsidP="008547F7">
            <w:pPr>
              <w:pStyle w:val="Default"/>
              <w:jc w:val="right"/>
              <w:rPr>
                <w:sz w:val="18"/>
                <w:szCs w:val="18"/>
              </w:rPr>
            </w:pPr>
            <w:r w:rsidRPr="003C24D0">
              <w:rPr>
                <w:sz w:val="18"/>
                <w:szCs w:val="18"/>
              </w:rPr>
              <w:t>0.80</w:t>
            </w:r>
          </w:p>
        </w:tc>
        <w:tc>
          <w:tcPr>
            <w:tcW w:w="1134" w:type="dxa"/>
          </w:tcPr>
          <w:p w14:paraId="13261AFD" w14:textId="77777777" w:rsidR="00030089" w:rsidRPr="003C24D0" w:rsidRDefault="00030089" w:rsidP="008547F7">
            <w:pPr>
              <w:pStyle w:val="Default"/>
              <w:jc w:val="right"/>
              <w:rPr>
                <w:sz w:val="18"/>
                <w:szCs w:val="18"/>
              </w:rPr>
            </w:pPr>
            <w:r w:rsidRPr="003C24D0">
              <w:rPr>
                <w:sz w:val="18"/>
                <w:szCs w:val="18"/>
              </w:rPr>
              <w:t>0.80</w:t>
            </w:r>
          </w:p>
        </w:tc>
        <w:tc>
          <w:tcPr>
            <w:tcW w:w="1134" w:type="dxa"/>
          </w:tcPr>
          <w:p w14:paraId="37E626EA" w14:textId="77777777" w:rsidR="00030089" w:rsidRPr="003C24D0" w:rsidRDefault="00030089" w:rsidP="008547F7">
            <w:pPr>
              <w:pStyle w:val="Default"/>
              <w:jc w:val="right"/>
              <w:rPr>
                <w:sz w:val="18"/>
                <w:szCs w:val="18"/>
              </w:rPr>
            </w:pPr>
            <w:r w:rsidRPr="003C24D0">
              <w:rPr>
                <w:sz w:val="18"/>
                <w:szCs w:val="18"/>
              </w:rPr>
              <w:t>0.33</w:t>
            </w:r>
          </w:p>
        </w:tc>
        <w:tc>
          <w:tcPr>
            <w:tcW w:w="1134" w:type="dxa"/>
          </w:tcPr>
          <w:p w14:paraId="136FB208" w14:textId="77777777" w:rsidR="00030089" w:rsidRPr="003C24D0" w:rsidRDefault="00030089" w:rsidP="008547F7">
            <w:pPr>
              <w:pStyle w:val="Default"/>
              <w:jc w:val="right"/>
              <w:rPr>
                <w:sz w:val="18"/>
                <w:szCs w:val="18"/>
              </w:rPr>
            </w:pPr>
            <w:r w:rsidRPr="003C24D0">
              <w:rPr>
                <w:sz w:val="18"/>
                <w:szCs w:val="18"/>
              </w:rPr>
              <w:t>0.29</w:t>
            </w:r>
          </w:p>
        </w:tc>
      </w:tr>
    </w:tbl>
    <w:p w14:paraId="07E44035" w14:textId="77777777" w:rsidR="00030089" w:rsidRDefault="00030089" w:rsidP="00030089">
      <w:pPr>
        <w:pStyle w:val="Caption"/>
        <w:rPr>
          <w:rFonts w:ascii="Arial" w:hAnsi="Arial" w:cs="Arial"/>
          <w:b w:val="0"/>
          <w:bCs w:val="0"/>
          <w:color w:val="auto"/>
          <w:sz w:val="22"/>
          <w:szCs w:val="28"/>
        </w:rPr>
      </w:pPr>
    </w:p>
    <w:p w14:paraId="5A7FDD63"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73" w:name="_Toc353562519"/>
      <w:r w:rsidR="00740026">
        <w:rPr>
          <w:noProof/>
          <w:color w:val="auto"/>
        </w:rPr>
        <w:t>38</w:t>
      </w:r>
      <w:r w:rsidRPr="00682556">
        <w:rPr>
          <w:noProof/>
          <w:color w:val="auto"/>
        </w:rPr>
        <w:fldChar w:fldCharType="end"/>
      </w:r>
      <w:r w:rsidRPr="00682556">
        <w:rPr>
          <w:noProof/>
          <w:color w:val="auto"/>
        </w:rPr>
        <w:t xml:space="preserve"> Table 4.2</w:t>
      </w:r>
      <w:r>
        <w:rPr>
          <w:noProof/>
          <w:color w:val="auto"/>
        </w:rPr>
        <w:t>8</w:t>
      </w:r>
      <w:r w:rsidRPr="00682556">
        <w:rPr>
          <w:noProof/>
          <w:color w:val="auto"/>
        </w:rPr>
        <w:t>: Packaging Impacts CRIS’s incremental costs; annual and present values over 25 year analysis period ($ millions) for all options</w:t>
      </w:r>
      <w:bookmarkEnd w:id="273"/>
    </w:p>
    <w:tbl>
      <w:tblPr>
        <w:tblStyle w:val="TableGrid"/>
        <w:tblW w:w="0" w:type="auto"/>
        <w:tblLayout w:type="fixed"/>
        <w:tblLook w:val="04A0" w:firstRow="1" w:lastRow="0" w:firstColumn="1" w:lastColumn="0" w:noHBand="0" w:noVBand="1"/>
      </w:tblPr>
      <w:tblGrid>
        <w:gridCol w:w="1809"/>
        <w:gridCol w:w="1012"/>
        <w:gridCol w:w="1013"/>
        <w:gridCol w:w="1012"/>
        <w:gridCol w:w="1013"/>
        <w:gridCol w:w="1012"/>
        <w:gridCol w:w="1013"/>
        <w:gridCol w:w="1013"/>
      </w:tblGrid>
      <w:tr w:rsidR="00030089" w:rsidRPr="003C24D0" w14:paraId="15E5D5C1" w14:textId="77777777" w:rsidTr="008547F7">
        <w:trPr>
          <w:trHeight w:hRule="exact" w:val="1247"/>
        </w:trPr>
        <w:tc>
          <w:tcPr>
            <w:tcW w:w="1809" w:type="dxa"/>
            <w:shd w:val="pct10" w:color="auto" w:fill="FFFFFF" w:themeFill="background1"/>
          </w:tcPr>
          <w:p w14:paraId="765CF847" w14:textId="77777777" w:rsidR="00030089" w:rsidRPr="003C24D0" w:rsidRDefault="00030089" w:rsidP="008547F7">
            <w:pPr>
              <w:pStyle w:val="Default"/>
              <w:jc w:val="left"/>
              <w:rPr>
                <w:b/>
                <w:sz w:val="18"/>
                <w:szCs w:val="18"/>
              </w:rPr>
            </w:pPr>
          </w:p>
        </w:tc>
        <w:tc>
          <w:tcPr>
            <w:tcW w:w="1012" w:type="dxa"/>
            <w:shd w:val="pct10" w:color="auto" w:fill="FFFFFF" w:themeFill="background1"/>
          </w:tcPr>
          <w:p w14:paraId="67ADA969" w14:textId="77777777" w:rsidR="00030089" w:rsidRPr="003C24D0" w:rsidRDefault="00030089" w:rsidP="008547F7">
            <w:pPr>
              <w:pStyle w:val="Default"/>
              <w:jc w:val="right"/>
              <w:rPr>
                <w:b/>
                <w:sz w:val="18"/>
                <w:szCs w:val="18"/>
              </w:rPr>
            </w:pPr>
            <w:r w:rsidRPr="003C24D0">
              <w:rPr>
                <w:b/>
                <w:sz w:val="18"/>
                <w:szCs w:val="18"/>
              </w:rPr>
              <w:t>Option 1</w:t>
            </w:r>
            <w:r w:rsidRPr="003C24D0">
              <w:rPr>
                <w:b/>
                <w:sz w:val="18"/>
                <w:szCs w:val="18"/>
              </w:rPr>
              <w:br/>
            </w:r>
          </w:p>
        </w:tc>
        <w:tc>
          <w:tcPr>
            <w:tcW w:w="1013" w:type="dxa"/>
            <w:shd w:val="pct10" w:color="auto" w:fill="FFFFFF" w:themeFill="background1"/>
          </w:tcPr>
          <w:p w14:paraId="0C491776" w14:textId="77777777" w:rsidR="00030089" w:rsidRPr="003C24D0" w:rsidRDefault="00030089" w:rsidP="008547F7">
            <w:pPr>
              <w:pStyle w:val="Default"/>
              <w:jc w:val="right"/>
              <w:rPr>
                <w:b/>
                <w:sz w:val="18"/>
                <w:szCs w:val="18"/>
              </w:rPr>
            </w:pPr>
            <w:r w:rsidRPr="003C24D0">
              <w:rPr>
                <w:b/>
                <w:sz w:val="18"/>
                <w:szCs w:val="18"/>
              </w:rPr>
              <w:t>Option 2(A)</w:t>
            </w:r>
            <w:r w:rsidRPr="003C24D0">
              <w:rPr>
                <w:b/>
                <w:sz w:val="18"/>
                <w:szCs w:val="18"/>
              </w:rPr>
              <w:br/>
            </w:r>
          </w:p>
        </w:tc>
        <w:tc>
          <w:tcPr>
            <w:tcW w:w="1012" w:type="dxa"/>
            <w:shd w:val="pct10" w:color="auto" w:fill="FFFFFF" w:themeFill="background1"/>
          </w:tcPr>
          <w:p w14:paraId="6B15B613" w14:textId="77777777" w:rsidR="00030089" w:rsidRPr="003C24D0" w:rsidRDefault="00030089" w:rsidP="008547F7">
            <w:pPr>
              <w:pStyle w:val="Default"/>
              <w:jc w:val="right"/>
              <w:rPr>
                <w:b/>
                <w:sz w:val="18"/>
                <w:szCs w:val="18"/>
              </w:rPr>
            </w:pPr>
            <w:r w:rsidRPr="003C24D0">
              <w:rPr>
                <w:b/>
                <w:sz w:val="18"/>
                <w:szCs w:val="18"/>
              </w:rPr>
              <w:t>Option 2(B)</w:t>
            </w:r>
            <w:r w:rsidRPr="003C24D0">
              <w:rPr>
                <w:b/>
                <w:sz w:val="18"/>
                <w:szCs w:val="18"/>
              </w:rPr>
              <w:br/>
            </w:r>
          </w:p>
        </w:tc>
        <w:tc>
          <w:tcPr>
            <w:tcW w:w="1013" w:type="dxa"/>
            <w:shd w:val="pct10" w:color="auto" w:fill="FFFFFF" w:themeFill="background1"/>
          </w:tcPr>
          <w:p w14:paraId="3AF6D730" w14:textId="77777777" w:rsidR="00030089" w:rsidRPr="003C24D0" w:rsidRDefault="00030089" w:rsidP="008547F7">
            <w:pPr>
              <w:pStyle w:val="Default"/>
              <w:jc w:val="right"/>
              <w:rPr>
                <w:b/>
                <w:sz w:val="18"/>
                <w:szCs w:val="18"/>
              </w:rPr>
            </w:pPr>
            <w:r w:rsidRPr="003C24D0">
              <w:rPr>
                <w:b/>
                <w:sz w:val="18"/>
                <w:szCs w:val="18"/>
              </w:rPr>
              <w:t>Option 2(C)</w:t>
            </w:r>
            <w:r w:rsidRPr="003C24D0">
              <w:rPr>
                <w:b/>
                <w:sz w:val="18"/>
                <w:szCs w:val="18"/>
              </w:rPr>
              <w:br/>
            </w:r>
          </w:p>
        </w:tc>
        <w:tc>
          <w:tcPr>
            <w:tcW w:w="1012" w:type="dxa"/>
            <w:shd w:val="pct10" w:color="auto" w:fill="FFFFFF" w:themeFill="background1"/>
          </w:tcPr>
          <w:p w14:paraId="2AAA0FA6" w14:textId="77777777" w:rsidR="00030089" w:rsidRPr="003C24D0" w:rsidRDefault="00030089" w:rsidP="008547F7">
            <w:pPr>
              <w:pStyle w:val="Default"/>
              <w:jc w:val="right"/>
              <w:rPr>
                <w:b/>
                <w:sz w:val="18"/>
                <w:szCs w:val="18"/>
              </w:rPr>
            </w:pPr>
            <w:r w:rsidRPr="003C24D0">
              <w:rPr>
                <w:b/>
                <w:sz w:val="18"/>
                <w:szCs w:val="18"/>
              </w:rPr>
              <w:t>Option 3</w:t>
            </w:r>
            <w:r w:rsidRPr="003C24D0">
              <w:rPr>
                <w:b/>
                <w:sz w:val="18"/>
                <w:szCs w:val="18"/>
              </w:rPr>
              <w:br/>
            </w:r>
          </w:p>
        </w:tc>
        <w:tc>
          <w:tcPr>
            <w:tcW w:w="1013" w:type="dxa"/>
            <w:shd w:val="pct10" w:color="auto" w:fill="FFFFFF" w:themeFill="background1"/>
          </w:tcPr>
          <w:p w14:paraId="59272A85" w14:textId="77777777" w:rsidR="00030089" w:rsidRPr="003C24D0" w:rsidRDefault="00030089" w:rsidP="008547F7">
            <w:pPr>
              <w:pStyle w:val="Default"/>
              <w:jc w:val="right"/>
              <w:rPr>
                <w:b/>
                <w:sz w:val="18"/>
                <w:szCs w:val="18"/>
              </w:rPr>
            </w:pPr>
            <w:r w:rsidRPr="003C24D0">
              <w:rPr>
                <w:b/>
                <w:sz w:val="18"/>
                <w:szCs w:val="18"/>
              </w:rPr>
              <w:t>Option 4(A)</w:t>
            </w:r>
            <w:r w:rsidRPr="003C24D0">
              <w:rPr>
                <w:b/>
                <w:sz w:val="18"/>
                <w:szCs w:val="18"/>
              </w:rPr>
              <w:br/>
            </w:r>
          </w:p>
        </w:tc>
        <w:tc>
          <w:tcPr>
            <w:tcW w:w="1013" w:type="dxa"/>
            <w:shd w:val="pct10" w:color="auto" w:fill="FFFFFF" w:themeFill="background1"/>
          </w:tcPr>
          <w:p w14:paraId="4E971AA4" w14:textId="77777777" w:rsidR="00030089" w:rsidRPr="003C24D0" w:rsidRDefault="00030089" w:rsidP="008547F7">
            <w:pPr>
              <w:pStyle w:val="Default"/>
              <w:jc w:val="right"/>
              <w:rPr>
                <w:b/>
                <w:sz w:val="18"/>
                <w:szCs w:val="18"/>
              </w:rPr>
            </w:pPr>
            <w:r w:rsidRPr="003C24D0">
              <w:rPr>
                <w:b/>
                <w:sz w:val="18"/>
                <w:szCs w:val="18"/>
              </w:rPr>
              <w:t>Option 4(B)</w:t>
            </w:r>
            <w:r w:rsidRPr="003C24D0">
              <w:rPr>
                <w:b/>
                <w:sz w:val="18"/>
                <w:szCs w:val="18"/>
              </w:rPr>
              <w:br/>
            </w:r>
          </w:p>
        </w:tc>
      </w:tr>
      <w:tr w:rsidR="00030089" w:rsidRPr="003C24D0" w14:paraId="7DC79763" w14:textId="77777777" w:rsidTr="008547F7">
        <w:trPr>
          <w:trHeight w:hRule="exact" w:val="788"/>
        </w:trPr>
        <w:tc>
          <w:tcPr>
            <w:tcW w:w="1809" w:type="dxa"/>
          </w:tcPr>
          <w:p w14:paraId="2D460E3A" w14:textId="77777777" w:rsidR="00030089" w:rsidRPr="003C24D0" w:rsidRDefault="00030089" w:rsidP="008547F7">
            <w:pPr>
              <w:pStyle w:val="Default"/>
              <w:jc w:val="left"/>
              <w:rPr>
                <w:sz w:val="18"/>
                <w:szCs w:val="18"/>
              </w:rPr>
            </w:pPr>
            <w:r w:rsidRPr="003C24D0">
              <w:rPr>
                <w:sz w:val="18"/>
                <w:szCs w:val="18"/>
              </w:rPr>
              <w:t>Scheme design and implementation</w:t>
            </w:r>
          </w:p>
        </w:tc>
        <w:tc>
          <w:tcPr>
            <w:tcW w:w="1012" w:type="dxa"/>
          </w:tcPr>
          <w:p w14:paraId="739C9AFD" w14:textId="77777777" w:rsidR="00030089" w:rsidRPr="003C24D0" w:rsidRDefault="00030089" w:rsidP="008547F7">
            <w:pPr>
              <w:pStyle w:val="Default"/>
              <w:jc w:val="right"/>
              <w:rPr>
                <w:sz w:val="18"/>
                <w:szCs w:val="18"/>
              </w:rPr>
            </w:pPr>
            <w:r w:rsidRPr="003C24D0">
              <w:rPr>
                <w:sz w:val="18"/>
                <w:szCs w:val="18"/>
              </w:rPr>
              <w:t>$4</w:t>
            </w:r>
          </w:p>
        </w:tc>
        <w:tc>
          <w:tcPr>
            <w:tcW w:w="1013" w:type="dxa"/>
          </w:tcPr>
          <w:p w14:paraId="59F2C688" w14:textId="77777777" w:rsidR="00030089" w:rsidRPr="003C24D0" w:rsidRDefault="00030089" w:rsidP="008547F7">
            <w:pPr>
              <w:pStyle w:val="Default"/>
              <w:jc w:val="right"/>
              <w:rPr>
                <w:sz w:val="18"/>
                <w:szCs w:val="18"/>
              </w:rPr>
            </w:pPr>
            <w:r w:rsidRPr="003C24D0">
              <w:rPr>
                <w:sz w:val="18"/>
                <w:szCs w:val="18"/>
              </w:rPr>
              <w:t>$3</w:t>
            </w:r>
          </w:p>
        </w:tc>
        <w:tc>
          <w:tcPr>
            <w:tcW w:w="1012" w:type="dxa"/>
          </w:tcPr>
          <w:p w14:paraId="51B73B87" w14:textId="77777777" w:rsidR="00030089" w:rsidRPr="003C24D0" w:rsidRDefault="00030089" w:rsidP="008547F7">
            <w:pPr>
              <w:pStyle w:val="Default"/>
              <w:jc w:val="right"/>
              <w:rPr>
                <w:sz w:val="18"/>
                <w:szCs w:val="18"/>
              </w:rPr>
            </w:pPr>
            <w:r w:rsidRPr="003C24D0">
              <w:rPr>
                <w:sz w:val="18"/>
                <w:szCs w:val="18"/>
              </w:rPr>
              <w:t>$6</w:t>
            </w:r>
          </w:p>
        </w:tc>
        <w:tc>
          <w:tcPr>
            <w:tcW w:w="1013" w:type="dxa"/>
          </w:tcPr>
          <w:p w14:paraId="7D738800" w14:textId="77777777" w:rsidR="00030089" w:rsidRPr="003C24D0" w:rsidRDefault="00030089" w:rsidP="008547F7">
            <w:pPr>
              <w:pStyle w:val="Default"/>
              <w:jc w:val="right"/>
              <w:rPr>
                <w:sz w:val="18"/>
                <w:szCs w:val="18"/>
              </w:rPr>
            </w:pPr>
            <w:r w:rsidRPr="003C24D0">
              <w:rPr>
                <w:sz w:val="18"/>
                <w:szCs w:val="18"/>
              </w:rPr>
              <w:t>$6</w:t>
            </w:r>
          </w:p>
        </w:tc>
        <w:tc>
          <w:tcPr>
            <w:tcW w:w="1012" w:type="dxa"/>
          </w:tcPr>
          <w:p w14:paraId="54355FA9" w14:textId="77777777" w:rsidR="00030089" w:rsidRPr="003C24D0" w:rsidRDefault="00030089" w:rsidP="008547F7">
            <w:pPr>
              <w:pStyle w:val="Default"/>
              <w:jc w:val="right"/>
              <w:rPr>
                <w:sz w:val="18"/>
                <w:szCs w:val="18"/>
              </w:rPr>
            </w:pPr>
            <w:r w:rsidRPr="003C24D0">
              <w:rPr>
                <w:sz w:val="18"/>
                <w:szCs w:val="18"/>
              </w:rPr>
              <w:t>$6</w:t>
            </w:r>
          </w:p>
        </w:tc>
        <w:tc>
          <w:tcPr>
            <w:tcW w:w="1013" w:type="dxa"/>
          </w:tcPr>
          <w:p w14:paraId="1EA3B362" w14:textId="77777777" w:rsidR="00030089" w:rsidRPr="003C24D0" w:rsidRDefault="00030089" w:rsidP="008547F7">
            <w:pPr>
              <w:pStyle w:val="Default"/>
              <w:jc w:val="right"/>
              <w:rPr>
                <w:sz w:val="18"/>
                <w:szCs w:val="18"/>
              </w:rPr>
            </w:pPr>
            <w:r w:rsidRPr="003C24D0">
              <w:rPr>
                <w:sz w:val="18"/>
                <w:szCs w:val="18"/>
              </w:rPr>
              <w:t>$11</w:t>
            </w:r>
          </w:p>
        </w:tc>
        <w:tc>
          <w:tcPr>
            <w:tcW w:w="1013" w:type="dxa"/>
          </w:tcPr>
          <w:p w14:paraId="09257A0A" w14:textId="77777777" w:rsidR="00030089" w:rsidRPr="003C24D0" w:rsidRDefault="00030089" w:rsidP="008547F7">
            <w:pPr>
              <w:pStyle w:val="Default"/>
              <w:jc w:val="right"/>
              <w:rPr>
                <w:sz w:val="18"/>
                <w:szCs w:val="18"/>
              </w:rPr>
            </w:pPr>
            <w:r w:rsidRPr="003C24D0">
              <w:rPr>
                <w:sz w:val="18"/>
                <w:szCs w:val="18"/>
              </w:rPr>
              <w:t>$11</w:t>
            </w:r>
          </w:p>
        </w:tc>
      </w:tr>
      <w:tr w:rsidR="00030089" w:rsidRPr="003C24D0" w14:paraId="015A9782" w14:textId="77777777" w:rsidTr="008547F7">
        <w:trPr>
          <w:trHeight w:hRule="exact" w:val="788"/>
        </w:trPr>
        <w:tc>
          <w:tcPr>
            <w:tcW w:w="1809" w:type="dxa"/>
          </w:tcPr>
          <w:p w14:paraId="6D07B549" w14:textId="77777777" w:rsidR="00030089" w:rsidRPr="003C24D0" w:rsidRDefault="00030089" w:rsidP="008547F7">
            <w:pPr>
              <w:pStyle w:val="Default"/>
              <w:jc w:val="left"/>
              <w:rPr>
                <w:sz w:val="18"/>
                <w:szCs w:val="18"/>
              </w:rPr>
            </w:pPr>
            <w:r w:rsidRPr="003C24D0">
              <w:rPr>
                <w:sz w:val="18"/>
                <w:szCs w:val="18"/>
              </w:rPr>
              <w:t>Scheme operation and compliance</w:t>
            </w:r>
          </w:p>
        </w:tc>
        <w:tc>
          <w:tcPr>
            <w:tcW w:w="1012" w:type="dxa"/>
          </w:tcPr>
          <w:p w14:paraId="5BC2A92E" w14:textId="77777777" w:rsidR="00030089" w:rsidRPr="003C24D0" w:rsidRDefault="00030089" w:rsidP="008547F7">
            <w:pPr>
              <w:pStyle w:val="Default"/>
              <w:jc w:val="right"/>
              <w:rPr>
                <w:sz w:val="18"/>
                <w:szCs w:val="18"/>
              </w:rPr>
            </w:pPr>
            <w:r w:rsidRPr="003C24D0">
              <w:rPr>
                <w:sz w:val="18"/>
                <w:szCs w:val="18"/>
              </w:rPr>
              <w:t>$87</w:t>
            </w:r>
          </w:p>
        </w:tc>
        <w:tc>
          <w:tcPr>
            <w:tcW w:w="1013" w:type="dxa"/>
          </w:tcPr>
          <w:p w14:paraId="55E126B2" w14:textId="77777777" w:rsidR="00030089" w:rsidRPr="003C24D0" w:rsidRDefault="00030089" w:rsidP="008547F7">
            <w:pPr>
              <w:pStyle w:val="Default"/>
              <w:jc w:val="right"/>
              <w:rPr>
                <w:sz w:val="18"/>
                <w:szCs w:val="18"/>
              </w:rPr>
            </w:pPr>
            <w:r w:rsidRPr="003C24D0">
              <w:rPr>
                <w:sz w:val="18"/>
                <w:szCs w:val="18"/>
              </w:rPr>
              <w:t>$16</w:t>
            </w:r>
          </w:p>
        </w:tc>
        <w:tc>
          <w:tcPr>
            <w:tcW w:w="1012" w:type="dxa"/>
          </w:tcPr>
          <w:p w14:paraId="39966477" w14:textId="77777777" w:rsidR="00030089" w:rsidRPr="003C24D0" w:rsidRDefault="00030089" w:rsidP="008547F7">
            <w:pPr>
              <w:pStyle w:val="Default"/>
              <w:jc w:val="right"/>
              <w:rPr>
                <w:sz w:val="18"/>
                <w:szCs w:val="18"/>
              </w:rPr>
            </w:pPr>
            <w:r w:rsidRPr="003C24D0">
              <w:rPr>
                <w:sz w:val="18"/>
                <w:szCs w:val="18"/>
              </w:rPr>
              <w:t>$183</w:t>
            </w:r>
          </w:p>
        </w:tc>
        <w:tc>
          <w:tcPr>
            <w:tcW w:w="1013" w:type="dxa"/>
          </w:tcPr>
          <w:p w14:paraId="5998EEFD" w14:textId="77777777" w:rsidR="00030089" w:rsidRPr="003C24D0" w:rsidRDefault="00030089" w:rsidP="008547F7">
            <w:pPr>
              <w:pStyle w:val="Default"/>
              <w:jc w:val="right"/>
              <w:rPr>
                <w:sz w:val="18"/>
                <w:szCs w:val="18"/>
              </w:rPr>
            </w:pPr>
            <w:r w:rsidRPr="003C24D0">
              <w:rPr>
                <w:sz w:val="18"/>
                <w:szCs w:val="18"/>
              </w:rPr>
              <w:t>$348</w:t>
            </w:r>
          </w:p>
        </w:tc>
        <w:tc>
          <w:tcPr>
            <w:tcW w:w="1012" w:type="dxa"/>
          </w:tcPr>
          <w:p w14:paraId="5B153DDE" w14:textId="77777777" w:rsidR="00030089" w:rsidRPr="003C24D0" w:rsidRDefault="00030089" w:rsidP="008547F7">
            <w:pPr>
              <w:pStyle w:val="Default"/>
              <w:jc w:val="right"/>
              <w:rPr>
                <w:sz w:val="18"/>
                <w:szCs w:val="18"/>
              </w:rPr>
            </w:pPr>
            <w:r w:rsidRPr="003C24D0">
              <w:rPr>
                <w:sz w:val="18"/>
                <w:szCs w:val="18"/>
              </w:rPr>
              <w:t>$345</w:t>
            </w:r>
          </w:p>
        </w:tc>
        <w:tc>
          <w:tcPr>
            <w:tcW w:w="1013" w:type="dxa"/>
          </w:tcPr>
          <w:p w14:paraId="58F3654F" w14:textId="77777777" w:rsidR="00030089" w:rsidRPr="003C24D0" w:rsidRDefault="00030089" w:rsidP="008547F7">
            <w:pPr>
              <w:pStyle w:val="Default"/>
              <w:jc w:val="right"/>
              <w:rPr>
                <w:sz w:val="18"/>
                <w:szCs w:val="18"/>
              </w:rPr>
            </w:pPr>
            <w:r w:rsidRPr="003C24D0">
              <w:rPr>
                <w:sz w:val="18"/>
                <w:szCs w:val="18"/>
              </w:rPr>
              <w:t xml:space="preserve">$4 383 </w:t>
            </w:r>
          </w:p>
        </w:tc>
        <w:tc>
          <w:tcPr>
            <w:tcW w:w="1013" w:type="dxa"/>
          </w:tcPr>
          <w:p w14:paraId="0C82649D" w14:textId="77777777" w:rsidR="00030089" w:rsidRPr="003C24D0" w:rsidRDefault="00030089" w:rsidP="008547F7">
            <w:pPr>
              <w:pStyle w:val="Default"/>
              <w:jc w:val="right"/>
              <w:rPr>
                <w:sz w:val="18"/>
                <w:szCs w:val="18"/>
              </w:rPr>
            </w:pPr>
            <w:r w:rsidRPr="003C24D0">
              <w:rPr>
                <w:sz w:val="18"/>
                <w:szCs w:val="18"/>
              </w:rPr>
              <w:t>$4 720</w:t>
            </w:r>
          </w:p>
        </w:tc>
      </w:tr>
      <w:tr w:rsidR="00030089" w:rsidRPr="003C24D0" w14:paraId="0900E4DB" w14:textId="77777777" w:rsidTr="008547F7">
        <w:trPr>
          <w:trHeight w:hRule="exact" w:val="1064"/>
        </w:trPr>
        <w:tc>
          <w:tcPr>
            <w:tcW w:w="1809" w:type="dxa"/>
          </w:tcPr>
          <w:p w14:paraId="0B72F9BF" w14:textId="77777777" w:rsidR="00030089" w:rsidRPr="003C24D0" w:rsidRDefault="00030089" w:rsidP="008547F7">
            <w:pPr>
              <w:pStyle w:val="Default"/>
              <w:jc w:val="left"/>
              <w:rPr>
                <w:sz w:val="18"/>
                <w:szCs w:val="18"/>
              </w:rPr>
            </w:pPr>
            <w:r>
              <w:rPr>
                <w:sz w:val="18"/>
                <w:szCs w:val="18"/>
              </w:rPr>
              <w:t>Avoided kerbside costs</w:t>
            </w:r>
          </w:p>
        </w:tc>
        <w:tc>
          <w:tcPr>
            <w:tcW w:w="1012" w:type="dxa"/>
          </w:tcPr>
          <w:p w14:paraId="54E3CB9C" w14:textId="77777777" w:rsidR="00030089" w:rsidRPr="003C24D0" w:rsidRDefault="00030089" w:rsidP="008547F7">
            <w:pPr>
              <w:pStyle w:val="Default"/>
              <w:jc w:val="right"/>
              <w:rPr>
                <w:sz w:val="18"/>
                <w:szCs w:val="18"/>
              </w:rPr>
            </w:pPr>
            <w:r w:rsidRPr="003C24D0">
              <w:rPr>
                <w:sz w:val="18"/>
                <w:szCs w:val="18"/>
              </w:rPr>
              <w:t>$117</w:t>
            </w:r>
          </w:p>
        </w:tc>
        <w:tc>
          <w:tcPr>
            <w:tcW w:w="1013" w:type="dxa"/>
          </w:tcPr>
          <w:p w14:paraId="4206FFFE" w14:textId="77777777" w:rsidR="00030089" w:rsidRPr="003C24D0" w:rsidRDefault="00030089" w:rsidP="008547F7">
            <w:pPr>
              <w:pStyle w:val="Default"/>
              <w:jc w:val="right"/>
              <w:rPr>
                <w:sz w:val="18"/>
                <w:szCs w:val="18"/>
              </w:rPr>
            </w:pPr>
            <w:r w:rsidRPr="003C24D0">
              <w:rPr>
                <w:sz w:val="18"/>
                <w:szCs w:val="18"/>
              </w:rPr>
              <w:t>$135</w:t>
            </w:r>
          </w:p>
        </w:tc>
        <w:tc>
          <w:tcPr>
            <w:tcW w:w="1012" w:type="dxa"/>
          </w:tcPr>
          <w:p w14:paraId="21978D1D" w14:textId="77777777" w:rsidR="00030089" w:rsidRPr="003C24D0" w:rsidRDefault="00030089" w:rsidP="008547F7">
            <w:pPr>
              <w:pStyle w:val="Default"/>
              <w:jc w:val="right"/>
              <w:rPr>
                <w:sz w:val="18"/>
                <w:szCs w:val="18"/>
              </w:rPr>
            </w:pPr>
            <w:r w:rsidRPr="003C24D0">
              <w:rPr>
                <w:sz w:val="18"/>
                <w:szCs w:val="18"/>
              </w:rPr>
              <w:t>$176</w:t>
            </w:r>
          </w:p>
        </w:tc>
        <w:tc>
          <w:tcPr>
            <w:tcW w:w="1013" w:type="dxa"/>
          </w:tcPr>
          <w:p w14:paraId="4E0D6335" w14:textId="77777777" w:rsidR="00030089" w:rsidRPr="003C24D0" w:rsidRDefault="00030089" w:rsidP="008547F7">
            <w:pPr>
              <w:pStyle w:val="Default"/>
              <w:jc w:val="right"/>
              <w:rPr>
                <w:sz w:val="18"/>
                <w:szCs w:val="18"/>
              </w:rPr>
            </w:pPr>
            <w:r w:rsidRPr="003C24D0">
              <w:rPr>
                <w:sz w:val="18"/>
                <w:szCs w:val="18"/>
              </w:rPr>
              <w:t>$319</w:t>
            </w:r>
          </w:p>
        </w:tc>
        <w:tc>
          <w:tcPr>
            <w:tcW w:w="1012" w:type="dxa"/>
          </w:tcPr>
          <w:p w14:paraId="72A3C1A4" w14:textId="77777777" w:rsidR="00030089" w:rsidRPr="003C24D0" w:rsidRDefault="00030089" w:rsidP="008547F7">
            <w:pPr>
              <w:pStyle w:val="Default"/>
              <w:jc w:val="right"/>
              <w:rPr>
                <w:sz w:val="18"/>
                <w:szCs w:val="18"/>
              </w:rPr>
            </w:pPr>
            <w:r w:rsidRPr="003C24D0">
              <w:rPr>
                <w:sz w:val="18"/>
                <w:szCs w:val="18"/>
              </w:rPr>
              <w:t>$319</w:t>
            </w:r>
          </w:p>
        </w:tc>
        <w:tc>
          <w:tcPr>
            <w:tcW w:w="1013" w:type="dxa"/>
          </w:tcPr>
          <w:p w14:paraId="0F48A52B" w14:textId="77777777" w:rsidR="00030089" w:rsidRPr="003C24D0" w:rsidRDefault="00030089" w:rsidP="008547F7">
            <w:pPr>
              <w:pStyle w:val="Default"/>
              <w:jc w:val="right"/>
              <w:rPr>
                <w:sz w:val="18"/>
                <w:szCs w:val="18"/>
              </w:rPr>
            </w:pPr>
            <w:r>
              <w:rPr>
                <w:sz w:val="18"/>
                <w:szCs w:val="18"/>
              </w:rPr>
              <w:t>-</w:t>
            </w:r>
            <w:r w:rsidRPr="003C24D0">
              <w:rPr>
                <w:sz w:val="18"/>
                <w:szCs w:val="18"/>
              </w:rPr>
              <w:t>$2 723</w:t>
            </w:r>
            <w:r>
              <w:rPr>
                <w:rStyle w:val="FootnoteReference"/>
                <w:sz w:val="18"/>
                <w:szCs w:val="18"/>
              </w:rPr>
              <w:footnoteReference w:id="38"/>
            </w:r>
            <w:r w:rsidRPr="003C24D0">
              <w:rPr>
                <w:sz w:val="18"/>
                <w:szCs w:val="18"/>
              </w:rPr>
              <w:t xml:space="preserve"> </w:t>
            </w:r>
          </w:p>
        </w:tc>
        <w:tc>
          <w:tcPr>
            <w:tcW w:w="1013" w:type="dxa"/>
          </w:tcPr>
          <w:p w14:paraId="70F52E5F" w14:textId="77777777" w:rsidR="00030089" w:rsidRPr="003C24D0" w:rsidRDefault="00030089" w:rsidP="008547F7">
            <w:pPr>
              <w:pStyle w:val="Default"/>
              <w:jc w:val="right"/>
              <w:rPr>
                <w:sz w:val="18"/>
                <w:szCs w:val="18"/>
              </w:rPr>
            </w:pPr>
            <w:r>
              <w:rPr>
                <w:sz w:val="18"/>
                <w:szCs w:val="18"/>
              </w:rPr>
              <w:t>-</w:t>
            </w:r>
            <w:r w:rsidRPr="003C24D0">
              <w:rPr>
                <w:sz w:val="18"/>
                <w:szCs w:val="18"/>
              </w:rPr>
              <w:t>$2 723</w:t>
            </w:r>
          </w:p>
        </w:tc>
      </w:tr>
      <w:tr w:rsidR="00030089" w:rsidRPr="003C24D0" w14:paraId="4C871FEE" w14:textId="77777777" w:rsidTr="008547F7">
        <w:trPr>
          <w:trHeight w:hRule="exact" w:val="788"/>
        </w:trPr>
        <w:tc>
          <w:tcPr>
            <w:tcW w:w="1809" w:type="dxa"/>
          </w:tcPr>
          <w:p w14:paraId="02586015" w14:textId="77777777" w:rsidR="00030089" w:rsidRPr="003C24D0" w:rsidRDefault="00030089" w:rsidP="008547F7">
            <w:pPr>
              <w:pStyle w:val="Default"/>
              <w:jc w:val="left"/>
              <w:rPr>
                <w:sz w:val="18"/>
                <w:szCs w:val="18"/>
              </w:rPr>
            </w:pPr>
            <w:r w:rsidRPr="003C24D0">
              <w:rPr>
                <w:sz w:val="18"/>
                <w:szCs w:val="18"/>
              </w:rPr>
              <w:t>Household participation costs</w:t>
            </w:r>
          </w:p>
        </w:tc>
        <w:tc>
          <w:tcPr>
            <w:tcW w:w="1012" w:type="dxa"/>
          </w:tcPr>
          <w:p w14:paraId="136AB3CA" w14:textId="77777777" w:rsidR="00030089" w:rsidRPr="003C24D0" w:rsidRDefault="00030089" w:rsidP="008547F7">
            <w:pPr>
              <w:pStyle w:val="Default"/>
              <w:jc w:val="right"/>
              <w:rPr>
                <w:sz w:val="18"/>
                <w:szCs w:val="18"/>
              </w:rPr>
            </w:pPr>
            <w:r w:rsidRPr="003C24D0">
              <w:rPr>
                <w:sz w:val="18"/>
                <w:szCs w:val="18"/>
              </w:rPr>
              <w:t>$83</w:t>
            </w:r>
          </w:p>
        </w:tc>
        <w:tc>
          <w:tcPr>
            <w:tcW w:w="1013" w:type="dxa"/>
          </w:tcPr>
          <w:p w14:paraId="7F7FFBA9" w14:textId="77777777" w:rsidR="00030089" w:rsidRPr="003C24D0" w:rsidRDefault="00030089" w:rsidP="008547F7">
            <w:pPr>
              <w:pStyle w:val="Default"/>
              <w:jc w:val="right"/>
              <w:rPr>
                <w:sz w:val="18"/>
                <w:szCs w:val="18"/>
              </w:rPr>
            </w:pPr>
            <w:r w:rsidRPr="003C24D0">
              <w:rPr>
                <w:sz w:val="18"/>
                <w:szCs w:val="18"/>
              </w:rPr>
              <w:t>$83</w:t>
            </w:r>
          </w:p>
        </w:tc>
        <w:tc>
          <w:tcPr>
            <w:tcW w:w="1012" w:type="dxa"/>
          </w:tcPr>
          <w:p w14:paraId="6BE68AD6" w14:textId="77777777" w:rsidR="00030089" w:rsidRPr="003C24D0" w:rsidRDefault="00030089" w:rsidP="008547F7">
            <w:pPr>
              <w:pStyle w:val="Default"/>
              <w:jc w:val="right"/>
              <w:rPr>
                <w:sz w:val="18"/>
                <w:szCs w:val="18"/>
              </w:rPr>
            </w:pPr>
            <w:r w:rsidRPr="003C24D0">
              <w:rPr>
                <w:sz w:val="18"/>
                <w:szCs w:val="18"/>
              </w:rPr>
              <w:t>$152</w:t>
            </w:r>
          </w:p>
        </w:tc>
        <w:tc>
          <w:tcPr>
            <w:tcW w:w="1013" w:type="dxa"/>
          </w:tcPr>
          <w:p w14:paraId="06692B1B" w14:textId="77777777" w:rsidR="00030089" w:rsidRPr="003C24D0" w:rsidRDefault="00030089" w:rsidP="008547F7">
            <w:pPr>
              <w:pStyle w:val="Default"/>
              <w:jc w:val="right"/>
              <w:rPr>
                <w:sz w:val="18"/>
                <w:szCs w:val="18"/>
              </w:rPr>
            </w:pPr>
            <w:r w:rsidRPr="003C24D0">
              <w:rPr>
                <w:sz w:val="18"/>
                <w:szCs w:val="18"/>
              </w:rPr>
              <w:t>$250</w:t>
            </w:r>
          </w:p>
        </w:tc>
        <w:tc>
          <w:tcPr>
            <w:tcW w:w="1012" w:type="dxa"/>
          </w:tcPr>
          <w:p w14:paraId="0BA76BED" w14:textId="77777777" w:rsidR="00030089" w:rsidRPr="003C24D0" w:rsidRDefault="00030089" w:rsidP="008547F7">
            <w:pPr>
              <w:pStyle w:val="Default"/>
              <w:jc w:val="right"/>
              <w:rPr>
                <w:sz w:val="18"/>
                <w:szCs w:val="18"/>
              </w:rPr>
            </w:pPr>
            <w:r w:rsidRPr="003C24D0">
              <w:rPr>
                <w:sz w:val="18"/>
                <w:szCs w:val="18"/>
              </w:rPr>
              <w:t>$250</w:t>
            </w:r>
          </w:p>
        </w:tc>
        <w:tc>
          <w:tcPr>
            <w:tcW w:w="1013" w:type="dxa"/>
          </w:tcPr>
          <w:p w14:paraId="30E410A8" w14:textId="77777777" w:rsidR="00030089" w:rsidRPr="003C24D0" w:rsidRDefault="00030089" w:rsidP="008547F7">
            <w:pPr>
              <w:pStyle w:val="Default"/>
              <w:jc w:val="right"/>
              <w:rPr>
                <w:sz w:val="18"/>
                <w:szCs w:val="18"/>
              </w:rPr>
            </w:pPr>
            <w:r w:rsidRPr="003C24D0">
              <w:rPr>
                <w:sz w:val="18"/>
                <w:szCs w:val="18"/>
              </w:rPr>
              <w:t>$447</w:t>
            </w:r>
          </w:p>
        </w:tc>
        <w:tc>
          <w:tcPr>
            <w:tcW w:w="1013" w:type="dxa"/>
          </w:tcPr>
          <w:p w14:paraId="385FC14B" w14:textId="77777777" w:rsidR="00030089" w:rsidRPr="003C24D0" w:rsidRDefault="00030089" w:rsidP="008547F7">
            <w:pPr>
              <w:pStyle w:val="Default"/>
              <w:jc w:val="right"/>
              <w:rPr>
                <w:sz w:val="18"/>
                <w:szCs w:val="18"/>
              </w:rPr>
            </w:pPr>
            <w:r w:rsidRPr="003C24D0">
              <w:rPr>
                <w:sz w:val="18"/>
                <w:szCs w:val="18"/>
              </w:rPr>
              <w:t>$457</w:t>
            </w:r>
          </w:p>
        </w:tc>
      </w:tr>
      <w:tr w:rsidR="00030089" w:rsidRPr="003C24D0" w14:paraId="588BF788" w14:textId="77777777" w:rsidTr="008547F7">
        <w:trPr>
          <w:trHeight w:hRule="exact" w:val="788"/>
        </w:trPr>
        <w:tc>
          <w:tcPr>
            <w:tcW w:w="1809" w:type="dxa"/>
          </w:tcPr>
          <w:p w14:paraId="76E0C473" w14:textId="77777777" w:rsidR="00030089" w:rsidRPr="003C24D0" w:rsidRDefault="00030089" w:rsidP="008547F7">
            <w:pPr>
              <w:pStyle w:val="Default"/>
              <w:jc w:val="left"/>
              <w:rPr>
                <w:sz w:val="18"/>
                <w:szCs w:val="18"/>
              </w:rPr>
            </w:pPr>
            <w:r w:rsidRPr="003C24D0">
              <w:rPr>
                <w:sz w:val="18"/>
                <w:szCs w:val="18"/>
              </w:rPr>
              <w:t>Business participation costs</w:t>
            </w:r>
          </w:p>
        </w:tc>
        <w:tc>
          <w:tcPr>
            <w:tcW w:w="1012" w:type="dxa"/>
          </w:tcPr>
          <w:p w14:paraId="27DD6B90" w14:textId="77777777" w:rsidR="00030089" w:rsidRPr="003C24D0" w:rsidRDefault="00030089" w:rsidP="008547F7">
            <w:pPr>
              <w:pStyle w:val="Default"/>
              <w:jc w:val="right"/>
              <w:rPr>
                <w:sz w:val="18"/>
                <w:szCs w:val="18"/>
              </w:rPr>
            </w:pPr>
            <w:r w:rsidRPr="003C24D0">
              <w:rPr>
                <w:sz w:val="18"/>
                <w:szCs w:val="18"/>
              </w:rPr>
              <w:t>$20</w:t>
            </w:r>
          </w:p>
        </w:tc>
        <w:tc>
          <w:tcPr>
            <w:tcW w:w="1013" w:type="dxa"/>
          </w:tcPr>
          <w:p w14:paraId="7474297C" w14:textId="77777777" w:rsidR="00030089" w:rsidRPr="003C24D0" w:rsidRDefault="00030089" w:rsidP="008547F7">
            <w:pPr>
              <w:pStyle w:val="Default"/>
              <w:jc w:val="right"/>
              <w:rPr>
                <w:sz w:val="18"/>
                <w:szCs w:val="18"/>
              </w:rPr>
            </w:pPr>
            <w:r w:rsidRPr="003C24D0">
              <w:rPr>
                <w:sz w:val="18"/>
                <w:szCs w:val="18"/>
              </w:rPr>
              <w:t>$20</w:t>
            </w:r>
          </w:p>
        </w:tc>
        <w:tc>
          <w:tcPr>
            <w:tcW w:w="1012" w:type="dxa"/>
          </w:tcPr>
          <w:p w14:paraId="27686067" w14:textId="77777777" w:rsidR="00030089" w:rsidRPr="003C24D0" w:rsidRDefault="00030089" w:rsidP="008547F7">
            <w:pPr>
              <w:pStyle w:val="Default"/>
              <w:jc w:val="right"/>
              <w:rPr>
                <w:sz w:val="18"/>
                <w:szCs w:val="18"/>
              </w:rPr>
            </w:pPr>
            <w:r w:rsidRPr="003C24D0">
              <w:rPr>
                <w:sz w:val="18"/>
                <w:szCs w:val="18"/>
              </w:rPr>
              <w:t>$37</w:t>
            </w:r>
          </w:p>
        </w:tc>
        <w:tc>
          <w:tcPr>
            <w:tcW w:w="1013" w:type="dxa"/>
          </w:tcPr>
          <w:p w14:paraId="6A470789" w14:textId="77777777" w:rsidR="00030089" w:rsidRPr="003C24D0" w:rsidRDefault="00030089" w:rsidP="008547F7">
            <w:pPr>
              <w:pStyle w:val="Default"/>
              <w:jc w:val="right"/>
              <w:rPr>
                <w:sz w:val="18"/>
                <w:szCs w:val="18"/>
              </w:rPr>
            </w:pPr>
            <w:r w:rsidRPr="003C24D0">
              <w:rPr>
                <w:sz w:val="18"/>
                <w:szCs w:val="18"/>
              </w:rPr>
              <w:t>$61</w:t>
            </w:r>
          </w:p>
        </w:tc>
        <w:tc>
          <w:tcPr>
            <w:tcW w:w="1012" w:type="dxa"/>
          </w:tcPr>
          <w:p w14:paraId="41F914D8" w14:textId="77777777" w:rsidR="00030089" w:rsidRPr="003C24D0" w:rsidRDefault="00030089" w:rsidP="008547F7">
            <w:pPr>
              <w:pStyle w:val="Default"/>
              <w:jc w:val="right"/>
              <w:rPr>
                <w:sz w:val="18"/>
                <w:szCs w:val="18"/>
              </w:rPr>
            </w:pPr>
            <w:r w:rsidRPr="003C24D0">
              <w:rPr>
                <w:sz w:val="18"/>
                <w:szCs w:val="18"/>
              </w:rPr>
              <w:t>$61</w:t>
            </w:r>
          </w:p>
        </w:tc>
        <w:tc>
          <w:tcPr>
            <w:tcW w:w="1013" w:type="dxa"/>
          </w:tcPr>
          <w:p w14:paraId="0BA188E6" w14:textId="77777777" w:rsidR="00030089" w:rsidRPr="003C24D0" w:rsidRDefault="00030089" w:rsidP="008547F7">
            <w:pPr>
              <w:pStyle w:val="Default"/>
              <w:jc w:val="right"/>
              <w:rPr>
                <w:sz w:val="18"/>
                <w:szCs w:val="18"/>
              </w:rPr>
            </w:pPr>
            <w:r w:rsidRPr="003C24D0">
              <w:rPr>
                <w:sz w:val="18"/>
                <w:szCs w:val="18"/>
              </w:rPr>
              <w:t>$7</w:t>
            </w:r>
          </w:p>
        </w:tc>
        <w:tc>
          <w:tcPr>
            <w:tcW w:w="1013" w:type="dxa"/>
          </w:tcPr>
          <w:p w14:paraId="4F0D9EA5" w14:textId="77777777" w:rsidR="00030089" w:rsidRPr="003C24D0" w:rsidRDefault="00030089" w:rsidP="008547F7">
            <w:pPr>
              <w:pStyle w:val="Default"/>
              <w:jc w:val="right"/>
              <w:rPr>
                <w:sz w:val="18"/>
                <w:szCs w:val="18"/>
              </w:rPr>
            </w:pPr>
            <w:r w:rsidRPr="003C24D0">
              <w:rPr>
                <w:sz w:val="18"/>
                <w:szCs w:val="18"/>
              </w:rPr>
              <w:t>$7</w:t>
            </w:r>
          </w:p>
        </w:tc>
      </w:tr>
      <w:tr w:rsidR="00030089" w:rsidRPr="003C24D0" w14:paraId="6C9C1524" w14:textId="77777777" w:rsidTr="008547F7">
        <w:trPr>
          <w:trHeight w:hRule="exact" w:val="586"/>
        </w:trPr>
        <w:tc>
          <w:tcPr>
            <w:tcW w:w="1809" w:type="dxa"/>
          </w:tcPr>
          <w:p w14:paraId="0CA40336" w14:textId="77777777" w:rsidR="00030089" w:rsidRPr="003C24D0" w:rsidRDefault="00030089" w:rsidP="008547F7">
            <w:pPr>
              <w:pStyle w:val="Default"/>
              <w:jc w:val="left"/>
              <w:rPr>
                <w:sz w:val="18"/>
                <w:szCs w:val="18"/>
              </w:rPr>
            </w:pPr>
            <w:r w:rsidRPr="003C24D0">
              <w:rPr>
                <w:sz w:val="18"/>
                <w:szCs w:val="18"/>
              </w:rPr>
              <w:t>TOTAL COSTS</w:t>
            </w:r>
          </w:p>
        </w:tc>
        <w:tc>
          <w:tcPr>
            <w:tcW w:w="1012" w:type="dxa"/>
          </w:tcPr>
          <w:p w14:paraId="0B1BEA30" w14:textId="77777777" w:rsidR="00030089" w:rsidRPr="003C24D0" w:rsidRDefault="00030089" w:rsidP="008547F7">
            <w:pPr>
              <w:pStyle w:val="Default"/>
              <w:jc w:val="right"/>
              <w:rPr>
                <w:sz w:val="18"/>
                <w:szCs w:val="18"/>
              </w:rPr>
            </w:pPr>
            <w:r w:rsidRPr="003C24D0">
              <w:rPr>
                <w:sz w:val="18"/>
                <w:szCs w:val="18"/>
              </w:rPr>
              <w:t>$311</w:t>
            </w:r>
          </w:p>
        </w:tc>
        <w:tc>
          <w:tcPr>
            <w:tcW w:w="1013" w:type="dxa"/>
          </w:tcPr>
          <w:p w14:paraId="48F3F66C" w14:textId="77777777" w:rsidR="00030089" w:rsidRPr="003C24D0" w:rsidRDefault="00030089" w:rsidP="008547F7">
            <w:pPr>
              <w:pStyle w:val="Default"/>
              <w:jc w:val="right"/>
              <w:rPr>
                <w:sz w:val="18"/>
                <w:szCs w:val="18"/>
              </w:rPr>
            </w:pPr>
            <w:r w:rsidRPr="003C24D0">
              <w:rPr>
                <w:sz w:val="18"/>
                <w:szCs w:val="18"/>
              </w:rPr>
              <w:t>$258</w:t>
            </w:r>
          </w:p>
        </w:tc>
        <w:tc>
          <w:tcPr>
            <w:tcW w:w="1012" w:type="dxa"/>
          </w:tcPr>
          <w:p w14:paraId="524175E9" w14:textId="77777777" w:rsidR="00030089" w:rsidRPr="003C24D0" w:rsidRDefault="00030089" w:rsidP="008547F7">
            <w:pPr>
              <w:pStyle w:val="Default"/>
              <w:jc w:val="right"/>
              <w:rPr>
                <w:sz w:val="18"/>
                <w:szCs w:val="18"/>
              </w:rPr>
            </w:pPr>
            <w:r w:rsidRPr="003C24D0">
              <w:rPr>
                <w:sz w:val="18"/>
                <w:szCs w:val="18"/>
              </w:rPr>
              <w:t>$554</w:t>
            </w:r>
          </w:p>
        </w:tc>
        <w:tc>
          <w:tcPr>
            <w:tcW w:w="1013" w:type="dxa"/>
          </w:tcPr>
          <w:p w14:paraId="34553BF8" w14:textId="77777777" w:rsidR="00030089" w:rsidRPr="003C24D0" w:rsidRDefault="00030089" w:rsidP="008547F7">
            <w:pPr>
              <w:pStyle w:val="Default"/>
              <w:jc w:val="right"/>
              <w:rPr>
                <w:sz w:val="18"/>
                <w:szCs w:val="18"/>
              </w:rPr>
            </w:pPr>
            <w:r w:rsidRPr="003C24D0">
              <w:rPr>
                <w:sz w:val="18"/>
                <w:szCs w:val="18"/>
              </w:rPr>
              <w:t>$984</w:t>
            </w:r>
          </w:p>
        </w:tc>
        <w:tc>
          <w:tcPr>
            <w:tcW w:w="1012" w:type="dxa"/>
          </w:tcPr>
          <w:p w14:paraId="44EA6825" w14:textId="77777777" w:rsidR="00030089" w:rsidRPr="003C24D0" w:rsidRDefault="00030089" w:rsidP="008547F7">
            <w:pPr>
              <w:pStyle w:val="Default"/>
              <w:jc w:val="right"/>
              <w:rPr>
                <w:sz w:val="18"/>
                <w:szCs w:val="18"/>
              </w:rPr>
            </w:pPr>
            <w:r w:rsidRPr="003C24D0">
              <w:rPr>
                <w:sz w:val="18"/>
                <w:szCs w:val="18"/>
              </w:rPr>
              <w:t>$981</w:t>
            </w:r>
          </w:p>
        </w:tc>
        <w:tc>
          <w:tcPr>
            <w:tcW w:w="1013" w:type="dxa"/>
          </w:tcPr>
          <w:p w14:paraId="6FAA1F1E" w14:textId="77777777" w:rsidR="00030089" w:rsidRPr="003C24D0" w:rsidRDefault="00030089" w:rsidP="008547F7">
            <w:pPr>
              <w:pStyle w:val="Default"/>
              <w:jc w:val="right"/>
              <w:rPr>
                <w:sz w:val="18"/>
                <w:szCs w:val="18"/>
              </w:rPr>
            </w:pPr>
            <w:r w:rsidRPr="003C24D0">
              <w:rPr>
                <w:sz w:val="18"/>
                <w:szCs w:val="18"/>
              </w:rPr>
              <w:t>$2 125</w:t>
            </w:r>
          </w:p>
        </w:tc>
        <w:tc>
          <w:tcPr>
            <w:tcW w:w="1013" w:type="dxa"/>
          </w:tcPr>
          <w:p w14:paraId="6C78AD45" w14:textId="77777777" w:rsidR="00030089" w:rsidRPr="003C24D0" w:rsidRDefault="00030089" w:rsidP="008547F7">
            <w:pPr>
              <w:pStyle w:val="Default"/>
              <w:jc w:val="right"/>
              <w:rPr>
                <w:sz w:val="18"/>
                <w:szCs w:val="18"/>
              </w:rPr>
            </w:pPr>
            <w:r w:rsidRPr="003C24D0">
              <w:rPr>
                <w:sz w:val="18"/>
                <w:szCs w:val="18"/>
              </w:rPr>
              <w:t>$2 471</w:t>
            </w:r>
          </w:p>
        </w:tc>
      </w:tr>
    </w:tbl>
    <w:p w14:paraId="7374529E" w14:textId="77777777" w:rsidR="00F702E2" w:rsidRDefault="00F702E2" w:rsidP="00030089">
      <w:pPr>
        <w:pStyle w:val="Caption"/>
        <w:keepNext/>
        <w:spacing w:before="120" w:after="120"/>
        <w:rPr>
          <w:noProof/>
          <w:color w:val="auto"/>
        </w:rPr>
      </w:pPr>
    </w:p>
    <w:p w14:paraId="1D1499BD" w14:textId="77777777" w:rsidR="00F702E2" w:rsidRDefault="00F702E2">
      <w:pPr>
        <w:rPr>
          <w:rFonts w:asciiTheme="minorHAnsi" w:eastAsiaTheme="minorEastAsia" w:hAnsiTheme="minorHAnsi"/>
          <w:b/>
          <w:bCs/>
          <w:noProof/>
          <w:sz w:val="18"/>
          <w:szCs w:val="18"/>
          <w:lang w:eastAsia="en-AU"/>
        </w:rPr>
      </w:pPr>
      <w:r>
        <w:rPr>
          <w:noProof/>
        </w:rPr>
        <w:br w:type="page"/>
      </w:r>
    </w:p>
    <w:p w14:paraId="3AE407A1" w14:textId="50927162" w:rsidR="00030089" w:rsidRPr="00682556" w:rsidRDefault="00030089" w:rsidP="00030089">
      <w:pPr>
        <w:pStyle w:val="Caption"/>
        <w:keepNext/>
        <w:spacing w:before="120" w:after="120"/>
        <w:rPr>
          <w:noProof/>
          <w:color w:val="auto"/>
        </w:rPr>
      </w:pPr>
      <w:r w:rsidRPr="00682556">
        <w:rPr>
          <w:noProof/>
          <w:color w:val="auto"/>
        </w:rPr>
        <w:lastRenderedPageBreak/>
        <w:fldChar w:fldCharType="begin"/>
      </w:r>
      <w:r w:rsidRPr="00682556">
        <w:rPr>
          <w:noProof/>
          <w:color w:val="auto"/>
        </w:rPr>
        <w:instrText xml:space="preserve"> SEQ Figure \* ARABIC </w:instrText>
      </w:r>
      <w:r w:rsidRPr="00682556">
        <w:rPr>
          <w:noProof/>
          <w:color w:val="auto"/>
        </w:rPr>
        <w:fldChar w:fldCharType="separate"/>
      </w:r>
      <w:bookmarkStart w:id="274" w:name="_Toc353562520"/>
      <w:r w:rsidR="00740026">
        <w:rPr>
          <w:noProof/>
          <w:color w:val="auto"/>
        </w:rPr>
        <w:t>39</w:t>
      </w:r>
      <w:r w:rsidRPr="00682556">
        <w:rPr>
          <w:noProof/>
          <w:color w:val="auto"/>
        </w:rPr>
        <w:fldChar w:fldCharType="end"/>
      </w:r>
      <w:r w:rsidRPr="00682556">
        <w:rPr>
          <w:noProof/>
          <w:color w:val="auto"/>
        </w:rPr>
        <w:t xml:space="preserve"> </w:t>
      </w:r>
      <w:bookmarkStart w:id="275" w:name="_Toc351023689"/>
      <w:r w:rsidRPr="00682556">
        <w:rPr>
          <w:noProof/>
          <w:color w:val="auto"/>
        </w:rPr>
        <w:t>Table 4.2</w:t>
      </w:r>
      <w:r>
        <w:rPr>
          <w:noProof/>
          <w:color w:val="auto"/>
        </w:rPr>
        <w:t>9</w:t>
      </w:r>
      <w:r w:rsidRPr="00682556">
        <w:rPr>
          <w:noProof/>
          <w:color w:val="auto"/>
        </w:rPr>
        <w:t>: Packaging Impacts CRIS’s incremental benefits; annual and present values over 25 year analysis period ($ millions) for all options</w:t>
      </w:r>
      <w:bookmarkEnd w:id="274"/>
      <w:bookmarkEnd w:id="275"/>
    </w:p>
    <w:tbl>
      <w:tblPr>
        <w:tblStyle w:val="TableGrid"/>
        <w:tblW w:w="0" w:type="auto"/>
        <w:tblLayout w:type="fixed"/>
        <w:tblLook w:val="04A0" w:firstRow="1" w:lastRow="0" w:firstColumn="1" w:lastColumn="0" w:noHBand="0" w:noVBand="1"/>
      </w:tblPr>
      <w:tblGrid>
        <w:gridCol w:w="1809"/>
        <w:gridCol w:w="1012"/>
        <w:gridCol w:w="1013"/>
        <w:gridCol w:w="1012"/>
        <w:gridCol w:w="1013"/>
        <w:gridCol w:w="1012"/>
        <w:gridCol w:w="1013"/>
        <w:gridCol w:w="1013"/>
      </w:tblGrid>
      <w:tr w:rsidR="00030089" w:rsidRPr="003C24D0" w14:paraId="778BE48E" w14:textId="77777777" w:rsidTr="008547F7">
        <w:trPr>
          <w:trHeight w:hRule="exact" w:val="955"/>
        </w:trPr>
        <w:tc>
          <w:tcPr>
            <w:tcW w:w="1809" w:type="dxa"/>
            <w:shd w:val="pct10" w:color="auto" w:fill="FFFFFF" w:themeFill="background1"/>
          </w:tcPr>
          <w:p w14:paraId="59058793" w14:textId="77777777" w:rsidR="00030089" w:rsidRPr="003C24D0" w:rsidRDefault="00030089" w:rsidP="008547F7">
            <w:pPr>
              <w:pStyle w:val="Default"/>
              <w:rPr>
                <w:b/>
                <w:sz w:val="18"/>
                <w:szCs w:val="18"/>
              </w:rPr>
            </w:pPr>
          </w:p>
        </w:tc>
        <w:tc>
          <w:tcPr>
            <w:tcW w:w="1012" w:type="dxa"/>
            <w:shd w:val="pct10" w:color="auto" w:fill="FFFFFF" w:themeFill="background1"/>
          </w:tcPr>
          <w:p w14:paraId="442EF54F" w14:textId="77777777" w:rsidR="00030089" w:rsidRPr="003C24D0" w:rsidRDefault="00030089" w:rsidP="008547F7">
            <w:pPr>
              <w:pStyle w:val="Default"/>
              <w:jc w:val="right"/>
              <w:rPr>
                <w:b/>
                <w:sz w:val="18"/>
                <w:szCs w:val="18"/>
              </w:rPr>
            </w:pPr>
            <w:r w:rsidRPr="003C24D0">
              <w:rPr>
                <w:b/>
                <w:sz w:val="18"/>
                <w:szCs w:val="18"/>
              </w:rPr>
              <w:t>Option 1</w:t>
            </w:r>
            <w:r w:rsidRPr="003C24D0">
              <w:rPr>
                <w:b/>
                <w:sz w:val="18"/>
                <w:szCs w:val="18"/>
              </w:rPr>
              <w:br/>
            </w:r>
          </w:p>
        </w:tc>
        <w:tc>
          <w:tcPr>
            <w:tcW w:w="1013" w:type="dxa"/>
            <w:shd w:val="pct10" w:color="auto" w:fill="FFFFFF" w:themeFill="background1"/>
          </w:tcPr>
          <w:p w14:paraId="5885A88C" w14:textId="77777777" w:rsidR="00030089" w:rsidRPr="003C24D0" w:rsidRDefault="00030089" w:rsidP="008547F7">
            <w:pPr>
              <w:pStyle w:val="Default"/>
              <w:jc w:val="right"/>
              <w:rPr>
                <w:b/>
                <w:sz w:val="18"/>
                <w:szCs w:val="18"/>
              </w:rPr>
            </w:pPr>
            <w:r w:rsidRPr="003C24D0">
              <w:rPr>
                <w:b/>
                <w:sz w:val="18"/>
                <w:szCs w:val="18"/>
              </w:rPr>
              <w:t>Option 2(A)</w:t>
            </w:r>
            <w:r w:rsidRPr="003C24D0">
              <w:rPr>
                <w:b/>
                <w:sz w:val="18"/>
                <w:szCs w:val="18"/>
              </w:rPr>
              <w:br/>
            </w:r>
          </w:p>
        </w:tc>
        <w:tc>
          <w:tcPr>
            <w:tcW w:w="1012" w:type="dxa"/>
            <w:shd w:val="pct10" w:color="auto" w:fill="FFFFFF" w:themeFill="background1"/>
          </w:tcPr>
          <w:p w14:paraId="1A9FDC54" w14:textId="77777777" w:rsidR="00030089" w:rsidRPr="003C24D0" w:rsidRDefault="00030089" w:rsidP="008547F7">
            <w:pPr>
              <w:pStyle w:val="Default"/>
              <w:jc w:val="right"/>
              <w:rPr>
                <w:b/>
                <w:sz w:val="18"/>
                <w:szCs w:val="18"/>
              </w:rPr>
            </w:pPr>
            <w:r w:rsidRPr="003C24D0">
              <w:rPr>
                <w:b/>
                <w:sz w:val="18"/>
                <w:szCs w:val="18"/>
              </w:rPr>
              <w:t>Option 2(B)</w:t>
            </w:r>
            <w:r w:rsidRPr="003C24D0">
              <w:rPr>
                <w:b/>
                <w:sz w:val="18"/>
                <w:szCs w:val="18"/>
              </w:rPr>
              <w:br/>
            </w:r>
          </w:p>
        </w:tc>
        <w:tc>
          <w:tcPr>
            <w:tcW w:w="1013" w:type="dxa"/>
            <w:shd w:val="pct10" w:color="auto" w:fill="FFFFFF" w:themeFill="background1"/>
          </w:tcPr>
          <w:p w14:paraId="01D4315A" w14:textId="77777777" w:rsidR="00030089" w:rsidRPr="003C24D0" w:rsidRDefault="00030089" w:rsidP="008547F7">
            <w:pPr>
              <w:pStyle w:val="Default"/>
              <w:jc w:val="right"/>
              <w:rPr>
                <w:b/>
                <w:sz w:val="18"/>
                <w:szCs w:val="18"/>
              </w:rPr>
            </w:pPr>
            <w:r w:rsidRPr="003C24D0">
              <w:rPr>
                <w:b/>
                <w:sz w:val="18"/>
                <w:szCs w:val="18"/>
              </w:rPr>
              <w:t>Option 2(C)</w:t>
            </w:r>
            <w:r w:rsidRPr="003C24D0">
              <w:rPr>
                <w:b/>
                <w:sz w:val="18"/>
                <w:szCs w:val="18"/>
              </w:rPr>
              <w:br/>
            </w:r>
          </w:p>
        </w:tc>
        <w:tc>
          <w:tcPr>
            <w:tcW w:w="1012" w:type="dxa"/>
            <w:shd w:val="pct10" w:color="auto" w:fill="FFFFFF" w:themeFill="background1"/>
          </w:tcPr>
          <w:p w14:paraId="4475EAF7" w14:textId="77777777" w:rsidR="00030089" w:rsidRPr="003C24D0" w:rsidRDefault="00030089" w:rsidP="008547F7">
            <w:pPr>
              <w:pStyle w:val="Default"/>
              <w:jc w:val="right"/>
              <w:rPr>
                <w:b/>
                <w:sz w:val="18"/>
                <w:szCs w:val="18"/>
              </w:rPr>
            </w:pPr>
            <w:r w:rsidRPr="003C24D0">
              <w:rPr>
                <w:b/>
                <w:sz w:val="18"/>
                <w:szCs w:val="18"/>
              </w:rPr>
              <w:t>Option 3</w:t>
            </w:r>
            <w:r w:rsidRPr="003C24D0">
              <w:rPr>
                <w:b/>
                <w:sz w:val="18"/>
                <w:szCs w:val="18"/>
              </w:rPr>
              <w:br/>
            </w:r>
          </w:p>
        </w:tc>
        <w:tc>
          <w:tcPr>
            <w:tcW w:w="1013" w:type="dxa"/>
            <w:shd w:val="pct10" w:color="auto" w:fill="FFFFFF" w:themeFill="background1"/>
          </w:tcPr>
          <w:p w14:paraId="7AC3D215" w14:textId="77777777" w:rsidR="00030089" w:rsidRPr="003C24D0" w:rsidRDefault="00030089" w:rsidP="008547F7">
            <w:pPr>
              <w:pStyle w:val="Default"/>
              <w:jc w:val="right"/>
              <w:rPr>
                <w:b/>
                <w:sz w:val="18"/>
                <w:szCs w:val="18"/>
              </w:rPr>
            </w:pPr>
            <w:r w:rsidRPr="003C24D0">
              <w:rPr>
                <w:b/>
                <w:sz w:val="18"/>
                <w:szCs w:val="18"/>
              </w:rPr>
              <w:t>Option 4(A)</w:t>
            </w:r>
            <w:r w:rsidRPr="003C24D0">
              <w:rPr>
                <w:b/>
                <w:sz w:val="18"/>
                <w:szCs w:val="18"/>
              </w:rPr>
              <w:br/>
            </w:r>
          </w:p>
        </w:tc>
        <w:tc>
          <w:tcPr>
            <w:tcW w:w="1013" w:type="dxa"/>
            <w:shd w:val="pct10" w:color="auto" w:fill="FFFFFF" w:themeFill="background1"/>
          </w:tcPr>
          <w:p w14:paraId="455F63FE" w14:textId="77777777" w:rsidR="00030089" w:rsidRPr="003C24D0" w:rsidRDefault="00030089" w:rsidP="008547F7">
            <w:pPr>
              <w:pStyle w:val="Default"/>
              <w:jc w:val="right"/>
              <w:rPr>
                <w:b/>
                <w:sz w:val="18"/>
                <w:szCs w:val="18"/>
              </w:rPr>
            </w:pPr>
            <w:r w:rsidRPr="003C24D0">
              <w:rPr>
                <w:b/>
                <w:sz w:val="18"/>
                <w:szCs w:val="18"/>
              </w:rPr>
              <w:t>Option 4(B)</w:t>
            </w:r>
            <w:r w:rsidRPr="003C24D0">
              <w:rPr>
                <w:b/>
                <w:sz w:val="18"/>
                <w:szCs w:val="18"/>
              </w:rPr>
              <w:br/>
            </w:r>
          </w:p>
        </w:tc>
      </w:tr>
      <w:tr w:rsidR="00030089" w:rsidRPr="003C24D0" w14:paraId="0A330D14" w14:textId="77777777" w:rsidTr="008547F7">
        <w:trPr>
          <w:trHeight w:hRule="exact" w:val="851"/>
        </w:trPr>
        <w:tc>
          <w:tcPr>
            <w:tcW w:w="1809" w:type="dxa"/>
          </w:tcPr>
          <w:p w14:paraId="4CCC2142" w14:textId="77777777" w:rsidR="00030089" w:rsidRPr="003C24D0" w:rsidRDefault="00030089" w:rsidP="008547F7">
            <w:pPr>
              <w:pStyle w:val="Default"/>
              <w:jc w:val="left"/>
              <w:rPr>
                <w:sz w:val="18"/>
                <w:szCs w:val="18"/>
              </w:rPr>
            </w:pPr>
            <w:r w:rsidRPr="003C24D0">
              <w:rPr>
                <w:sz w:val="18"/>
                <w:szCs w:val="18"/>
              </w:rPr>
              <w:t>Market value of resources</w:t>
            </w:r>
          </w:p>
        </w:tc>
        <w:tc>
          <w:tcPr>
            <w:tcW w:w="1012" w:type="dxa"/>
          </w:tcPr>
          <w:p w14:paraId="4E24BC9D" w14:textId="77777777" w:rsidR="00030089" w:rsidRPr="003C24D0" w:rsidRDefault="00030089" w:rsidP="008547F7">
            <w:pPr>
              <w:pStyle w:val="Default"/>
              <w:jc w:val="right"/>
              <w:rPr>
                <w:sz w:val="18"/>
                <w:szCs w:val="18"/>
              </w:rPr>
            </w:pPr>
            <w:r w:rsidRPr="003C24D0">
              <w:rPr>
                <w:sz w:val="18"/>
                <w:szCs w:val="18"/>
              </w:rPr>
              <w:t>$148</w:t>
            </w:r>
          </w:p>
        </w:tc>
        <w:tc>
          <w:tcPr>
            <w:tcW w:w="1013" w:type="dxa"/>
          </w:tcPr>
          <w:p w14:paraId="7264B27E" w14:textId="77777777" w:rsidR="00030089" w:rsidRPr="003C24D0" w:rsidRDefault="00030089" w:rsidP="008547F7">
            <w:pPr>
              <w:pStyle w:val="Default"/>
              <w:jc w:val="right"/>
              <w:rPr>
                <w:sz w:val="18"/>
                <w:szCs w:val="18"/>
              </w:rPr>
            </w:pPr>
            <w:r w:rsidRPr="003C24D0">
              <w:rPr>
                <w:sz w:val="18"/>
                <w:szCs w:val="18"/>
              </w:rPr>
              <w:t>$153</w:t>
            </w:r>
          </w:p>
        </w:tc>
        <w:tc>
          <w:tcPr>
            <w:tcW w:w="1012" w:type="dxa"/>
          </w:tcPr>
          <w:p w14:paraId="1C20755A" w14:textId="77777777" w:rsidR="00030089" w:rsidRPr="003C24D0" w:rsidRDefault="00030089" w:rsidP="008547F7">
            <w:pPr>
              <w:pStyle w:val="Default"/>
              <w:jc w:val="right"/>
              <w:rPr>
                <w:sz w:val="18"/>
                <w:szCs w:val="18"/>
              </w:rPr>
            </w:pPr>
            <w:r w:rsidRPr="003C24D0">
              <w:rPr>
                <w:sz w:val="18"/>
                <w:szCs w:val="18"/>
              </w:rPr>
              <w:t>$275</w:t>
            </w:r>
          </w:p>
        </w:tc>
        <w:tc>
          <w:tcPr>
            <w:tcW w:w="1013" w:type="dxa"/>
          </w:tcPr>
          <w:p w14:paraId="2442AEA0" w14:textId="77777777" w:rsidR="00030089" w:rsidRPr="003C24D0" w:rsidRDefault="00030089" w:rsidP="008547F7">
            <w:pPr>
              <w:pStyle w:val="Default"/>
              <w:jc w:val="right"/>
              <w:rPr>
                <w:sz w:val="18"/>
                <w:szCs w:val="18"/>
              </w:rPr>
            </w:pPr>
            <w:r w:rsidRPr="003C24D0">
              <w:rPr>
                <w:sz w:val="18"/>
                <w:szCs w:val="18"/>
              </w:rPr>
              <w:t>$449</w:t>
            </w:r>
          </w:p>
        </w:tc>
        <w:tc>
          <w:tcPr>
            <w:tcW w:w="1012" w:type="dxa"/>
          </w:tcPr>
          <w:p w14:paraId="2D31FB0E" w14:textId="77777777" w:rsidR="00030089" w:rsidRPr="003C24D0" w:rsidRDefault="00030089" w:rsidP="008547F7">
            <w:pPr>
              <w:pStyle w:val="Default"/>
              <w:jc w:val="right"/>
              <w:rPr>
                <w:sz w:val="18"/>
                <w:szCs w:val="18"/>
              </w:rPr>
            </w:pPr>
            <w:r w:rsidRPr="003C24D0">
              <w:rPr>
                <w:sz w:val="18"/>
                <w:szCs w:val="18"/>
              </w:rPr>
              <w:t>$449</w:t>
            </w:r>
          </w:p>
        </w:tc>
        <w:tc>
          <w:tcPr>
            <w:tcW w:w="1013" w:type="dxa"/>
          </w:tcPr>
          <w:p w14:paraId="71791423" w14:textId="77777777" w:rsidR="00030089" w:rsidRPr="003C24D0" w:rsidRDefault="00030089" w:rsidP="008547F7">
            <w:pPr>
              <w:pStyle w:val="Default"/>
              <w:jc w:val="right"/>
              <w:rPr>
                <w:sz w:val="18"/>
                <w:szCs w:val="18"/>
              </w:rPr>
            </w:pPr>
            <w:r w:rsidRPr="003C24D0">
              <w:rPr>
                <w:sz w:val="18"/>
                <w:szCs w:val="18"/>
              </w:rPr>
              <w:t>$463</w:t>
            </w:r>
          </w:p>
        </w:tc>
        <w:tc>
          <w:tcPr>
            <w:tcW w:w="1013" w:type="dxa"/>
          </w:tcPr>
          <w:p w14:paraId="4D066A91" w14:textId="77777777" w:rsidR="00030089" w:rsidRPr="003C24D0" w:rsidRDefault="00030089" w:rsidP="008547F7">
            <w:pPr>
              <w:pStyle w:val="Default"/>
              <w:jc w:val="right"/>
              <w:rPr>
                <w:sz w:val="18"/>
                <w:szCs w:val="18"/>
              </w:rPr>
            </w:pPr>
            <w:r w:rsidRPr="003C24D0">
              <w:rPr>
                <w:sz w:val="18"/>
                <w:szCs w:val="18"/>
              </w:rPr>
              <w:t>$463</w:t>
            </w:r>
          </w:p>
        </w:tc>
      </w:tr>
      <w:tr w:rsidR="00030089" w:rsidRPr="003C24D0" w14:paraId="1A5BA7A8" w14:textId="77777777" w:rsidTr="008547F7">
        <w:trPr>
          <w:trHeight w:hRule="exact" w:val="851"/>
        </w:trPr>
        <w:tc>
          <w:tcPr>
            <w:tcW w:w="1809" w:type="dxa"/>
          </w:tcPr>
          <w:p w14:paraId="638967EB" w14:textId="77777777" w:rsidR="00030089" w:rsidRPr="003C24D0" w:rsidRDefault="00030089" w:rsidP="008547F7">
            <w:pPr>
              <w:pStyle w:val="Default"/>
              <w:jc w:val="left"/>
              <w:rPr>
                <w:sz w:val="18"/>
                <w:szCs w:val="18"/>
              </w:rPr>
            </w:pPr>
            <w:r w:rsidRPr="003C24D0">
              <w:rPr>
                <w:sz w:val="18"/>
                <w:szCs w:val="18"/>
              </w:rPr>
              <w:t>Avoided regulatory costs</w:t>
            </w:r>
          </w:p>
        </w:tc>
        <w:tc>
          <w:tcPr>
            <w:tcW w:w="1012" w:type="dxa"/>
          </w:tcPr>
          <w:p w14:paraId="2964904B" w14:textId="77777777" w:rsidR="00030089" w:rsidRPr="003C24D0" w:rsidRDefault="00030089" w:rsidP="008547F7">
            <w:pPr>
              <w:pStyle w:val="Default"/>
              <w:jc w:val="right"/>
              <w:rPr>
                <w:sz w:val="18"/>
                <w:szCs w:val="18"/>
              </w:rPr>
            </w:pPr>
            <w:r w:rsidRPr="003C24D0">
              <w:rPr>
                <w:sz w:val="18"/>
                <w:szCs w:val="18"/>
              </w:rPr>
              <w:t>$0</w:t>
            </w:r>
          </w:p>
        </w:tc>
        <w:tc>
          <w:tcPr>
            <w:tcW w:w="1013" w:type="dxa"/>
          </w:tcPr>
          <w:p w14:paraId="120052A2" w14:textId="77777777" w:rsidR="00030089" w:rsidRPr="003C24D0" w:rsidRDefault="00030089" w:rsidP="008547F7">
            <w:pPr>
              <w:pStyle w:val="Default"/>
              <w:jc w:val="right"/>
              <w:rPr>
                <w:sz w:val="18"/>
                <w:szCs w:val="18"/>
              </w:rPr>
            </w:pPr>
            <w:r w:rsidRPr="003C24D0">
              <w:rPr>
                <w:sz w:val="18"/>
                <w:szCs w:val="18"/>
              </w:rPr>
              <w:t>$35</w:t>
            </w:r>
          </w:p>
        </w:tc>
        <w:tc>
          <w:tcPr>
            <w:tcW w:w="1012" w:type="dxa"/>
          </w:tcPr>
          <w:p w14:paraId="316ECBF9" w14:textId="77777777" w:rsidR="00030089" w:rsidRPr="003C24D0" w:rsidRDefault="00030089" w:rsidP="008547F7">
            <w:pPr>
              <w:pStyle w:val="Default"/>
              <w:jc w:val="right"/>
              <w:rPr>
                <w:sz w:val="18"/>
                <w:szCs w:val="18"/>
              </w:rPr>
            </w:pPr>
            <w:r w:rsidRPr="003C24D0">
              <w:rPr>
                <w:sz w:val="18"/>
                <w:szCs w:val="18"/>
              </w:rPr>
              <w:t>$35</w:t>
            </w:r>
          </w:p>
        </w:tc>
        <w:tc>
          <w:tcPr>
            <w:tcW w:w="1013" w:type="dxa"/>
          </w:tcPr>
          <w:p w14:paraId="0293CF00" w14:textId="77777777" w:rsidR="00030089" w:rsidRPr="003C24D0" w:rsidRDefault="00030089" w:rsidP="008547F7">
            <w:pPr>
              <w:pStyle w:val="Default"/>
              <w:jc w:val="right"/>
              <w:rPr>
                <w:sz w:val="18"/>
                <w:szCs w:val="18"/>
              </w:rPr>
            </w:pPr>
            <w:r w:rsidRPr="003C24D0">
              <w:rPr>
                <w:sz w:val="18"/>
                <w:szCs w:val="18"/>
              </w:rPr>
              <w:t>$35</w:t>
            </w:r>
          </w:p>
        </w:tc>
        <w:tc>
          <w:tcPr>
            <w:tcW w:w="1012" w:type="dxa"/>
          </w:tcPr>
          <w:p w14:paraId="7B78E7AC" w14:textId="77777777" w:rsidR="00030089" w:rsidRPr="003C24D0" w:rsidRDefault="00030089" w:rsidP="008547F7">
            <w:pPr>
              <w:pStyle w:val="Default"/>
              <w:jc w:val="right"/>
              <w:rPr>
                <w:sz w:val="18"/>
                <w:szCs w:val="18"/>
              </w:rPr>
            </w:pPr>
            <w:r w:rsidRPr="003C24D0">
              <w:rPr>
                <w:sz w:val="18"/>
                <w:szCs w:val="18"/>
              </w:rPr>
              <w:t>$35</w:t>
            </w:r>
          </w:p>
        </w:tc>
        <w:tc>
          <w:tcPr>
            <w:tcW w:w="1013" w:type="dxa"/>
          </w:tcPr>
          <w:p w14:paraId="685CA5EC" w14:textId="77777777" w:rsidR="00030089" w:rsidRPr="003C24D0" w:rsidRDefault="00030089" w:rsidP="008547F7">
            <w:pPr>
              <w:pStyle w:val="Default"/>
              <w:jc w:val="right"/>
              <w:rPr>
                <w:sz w:val="18"/>
                <w:szCs w:val="18"/>
              </w:rPr>
            </w:pPr>
            <w:r w:rsidRPr="003C24D0">
              <w:rPr>
                <w:sz w:val="18"/>
                <w:szCs w:val="18"/>
              </w:rPr>
              <w:t>$35</w:t>
            </w:r>
          </w:p>
        </w:tc>
        <w:tc>
          <w:tcPr>
            <w:tcW w:w="1013" w:type="dxa"/>
          </w:tcPr>
          <w:p w14:paraId="455649D7" w14:textId="77777777" w:rsidR="00030089" w:rsidRPr="003C24D0" w:rsidRDefault="00030089" w:rsidP="008547F7">
            <w:pPr>
              <w:pStyle w:val="Default"/>
              <w:jc w:val="right"/>
              <w:rPr>
                <w:sz w:val="18"/>
                <w:szCs w:val="18"/>
              </w:rPr>
            </w:pPr>
            <w:r w:rsidRPr="003C24D0">
              <w:rPr>
                <w:sz w:val="18"/>
                <w:szCs w:val="18"/>
              </w:rPr>
              <w:t>$35</w:t>
            </w:r>
          </w:p>
        </w:tc>
      </w:tr>
      <w:tr w:rsidR="00030089" w:rsidRPr="003C24D0" w14:paraId="3ED3D6DB" w14:textId="77777777" w:rsidTr="008547F7">
        <w:trPr>
          <w:trHeight w:hRule="exact" w:val="851"/>
        </w:trPr>
        <w:tc>
          <w:tcPr>
            <w:tcW w:w="1809" w:type="dxa"/>
          </w:tcPr>
          <w:p w14:paraId="493B96BF" w14:textId="77777777" w:rsidR="00030089" w:rsidRPr="003C24D0" w:rsidRDefault="00030089" w:rsidP="008547F7">
            <w:pPr>
              <w:pStyle w:val="Default"/>
              <w:jc w:val="left"/>
              <w:rPr>
                <w:sz w:val="18"/>
                <w:szCs w:val="18"/>
              </w:rPr>
            </w:pPr>
            <w:r w:rsidRPr="003C24D0">
              <w:rPr>
                <w:sz w:val="18"/>
                <w:szCs w:val="18"/>
              </w:rPr>
              <w:t xml:space="preserve">Avoided landfill operating costs </w:t>
            </w:r>
          </w:p>
        </w:tc>
        <w:tc>
          <w:tcPr>
            <w:tcW w:w="1012" w:type="dxa"/>
          </w:tcPr>
          <w:p w14:paraId="0E12F881" w14:textId="77777777" w:rsidR="00030089" w:rsidRPr="003C24D0" w:rsidRDefault="00030089" w:rsidP="008547F7">
            <w:pPr>
              <w:pStyle w:val="Default"/>
              <w:jc w:val="right"/>
              <w:rPr>
                <w:sz w:val="18"/>
                <w:szCs w:val="18"/>
              </w:rPr>
            </w:pPr>
            <w:r w:rsidRPr="003C24D0">
              <w:rPr>
                <w:sz w:val="18"/>
                <w:szCs w:val="18"/>
              </w:rPr>
              <w:t>$29</w:t>
            </w:r>
          </w:p>
        </w:tc>
        <w:tc>
          <w:tcPr>
            <w:tcW w:w="1013" w:type="dxa"/>
          </w:tcPr>
          <w:p w14:paraId="08D41B8C" w14:textId="77777777" w:rsidR="00030089" w:rsidRPr="003C24D0" w:rsidRDefault="00030089" w:rsidP="008547F7">
            <w:pPr>
              <w:pStyle w:val="Default"/>
              <w:jc w:val="right"/>
              <w:rPr>
                <w:sz w:val="18"/>
                <w:szCs w:val="18"/>
              </w:rPr>
            </w:pPr>
            <w:r w:rsidRPr="003C24D0">
              <w:rPr>
                <w:sz w:val="18"/>
                <w:szCs w:val="18"/>
              </w:rPr>
              <w:t>$31</w:t>
            </w:r>
          </w:p>
        </w:tc>
        <w:tc>
          <w:tcPr>
            <w:tcW w:w="1012" w:type="dxa"/>
          </w:tcPr>
          <w:p w14:paraId="4C31838E" w14:textId="77777777" w:rsidR="00030089" w:rsidRPr="003C24D0" w:rsidRDefault="00030089" w:rsidP="008547F7">
            <w:pPr>
              <w:pStyle w:val="Default"/>
              <w:jc w:val="right"/>
              <w:rPr>
                <w:sz w:val="18"/>
                <w:szCs w:val="18"/>
              </w:rPr>
            </w:pPr>
            <w:r w:rsidRPr="003C24D0">
              <w:rPr>
                <w:sz w:val="18"/>
                <w:szCs w:val="18"/>
              </w:rPr>
              <w:t>$55</w:t>
            </w:r>
          </w:p>
        </w:tc>
        <w:tc>
          <w:tcPr>
            <w:tcW w:w="1013" w:type="dxa"/>
          </w:tcPr>
          <w:p w14:paraId="2290B32F" w14:textId="77777777" w:rsidR="00030089" w:rsidRPr="003C24D0" w:rsidRDefault="00030089" w:rsidP="008547F7">
            <w:pPr>
              <w:pStyle w:val="Default"/>
              <w:jc w:val="right"/>
              <w:rPr>
                <w:sz w:val="18"/>
                <w:szCs w:val="18"/>
              </w:rPr>
            </w:pPr>
            <w:r w:rsidRPr="003C24D0">
              <w:rPr>
                <w:sz w:val="18"/>
                <w:szCs w:val="18"/>
              </w:rPr>
              <w:t>$91</w:t>
            </w:r>
          </w:p>
        </w:tc>
        <w:tc>
          <w:tcPr>
            <w:tcW w:w="1012" w:type="dxa"/>
          </w:tcPr>
          <w:p w14:paraId="2436C853" w14:textId="77777777" w:rsidR="00030089" w:rsidRPr="003C24D0" w:rsidRDefault="00030089" w:rsidP="008547F7">
            <w:pPr>
              <w:pStyle w:val="Default"/>
              <w:jc w:val="right"/>
              <w:rPr>
                <w:sz w:val="18"/>
                <w:szCs w:val="18"/>
              </w:rPr>
            </w:pPr>
            <w:r w:rsidRPr="003C24D0">
              <w:rPr>
                <w:sz w:val="18"/>
                <w:szCs w:val="18"/>
              </w:rPr>
              <w:t>$91</w:t>
            </w:r>
          </w:p>
        </w:tc>
        <w:tc>
          <w:tcPr>
            <w:tcW w:w="1013" w:type="dxa"/>
          </w:tcPr>
          <w:p w14:paraId="64AFDF1C" w14:textId="77777777" w:rsidR="00030089" w:rsidRPr="003C24D0" w:rsidRDefault="00030089" w:rsidP="008547F7">
            <w:pPr>
              <w:pStyle w:val="Default"/>
              <w:jc w:val="right"/>
              <w:rPr>
                <w:sz w:val="18"/>
                <w:szCs w:val="18"/>
              </w:rPr>
            </w:pPr>
            <w:r w:rsidRPr="003C24D0">
              <w:rPr>
                <w:sz w:val="18"/>
                <w:szCs w:val="18"/>
              </w:rPr>
              <w:t>$62</w:t>
            </w:r>
          </w:p>
        </w:tc>
        <w:tc>
          <w:tcPr>
            <w:tcW w:w="1013" w:type="dxa"/>
          </w:tcPr>
          <w:p w14:paraId="4A0F0F89" w14:textId="77777777" w:rsidR="00030089" w:rsidRPr="003C24D0" w:rsidRDefault="00030089" w:rsidP="008547F7">
            <w:pPr>
              <w:pStyle w:val="Default"/>
              <w:jc w:val="right"/>
              <w:rPr>
                <w:sz w:val="18"/>
                <w:szCs w:val="18"/>
              </w:rPr>
            </w:pPr>
            <w:r w:rsidRPr="003C24D0">
              <w:rPr>
                <w:sz w:val="18"/>
                <w:szCs w:val="18"/>
              </w:rPr>
              <w:t>$62</w:t>
            </w:r>
          </w:p>
        </w:tc>
      </w:tr>
      <w:tr w:rsidR="00030089" w:rsidRPr="003C24D0" w14:paraId="332CE2AF" w14:textId="77777777" w:rsidTr="008547F7">
        <w:trPr>
          <w:trHeight w:hRule="exact" w:val="851"/>
        </w:trPr>
        <w:tc>
          <w:tcPr>
            <w:tcW w:w="1809" w:type="dxa"/>
          </w:tcPr>
          <w:p w14:paraId="5FE67276" w14:textId="77777777" w:rsidR="00030089" w:rsidRPr="003C24D0" w:rsidRDefault="00030089" w:rsidP="008547F7">
            <w:pPr>
              <w:pStyle w:val="Default"/>
              <w:jc w:val="left"/>
              <w:rPr>
                <w:sz w:val="18"/>
                <w:szCs w:val="18"/>
              </w:rPr>
            </w:pPr>
            <w:r w:rsidRPr="003C24D0">
              <w:rPr>
                <w:sz w:val="18"/>
                <w:szCs w:val="18"/>
              </w:rPr>
              <w:t>Litter clean up</w:t>
            </w:r>
          </w:p>
        </w:tc>
        <w:tc>
          <w:tcPr>
            <w:tcW w:w="1012" w:type="dxa"/>
          </w:tcPr>
          <w:p w14:paraId="26C21014" w14:textId="77777777" w:rsidR="00030089" w:rsidRPr="003C24D0" w:rsidRDefault="00030089" w:rsidP="008547F7">
            <w:pPr>
              <w:pStyle w:val="Default"/>
              <w:jc w:val="right"/>
              <w:rPr>
                <w:sz w:val="18"/>
                <w:szCs w:val="18"/>
              </w:rPr>
            </w:pPr>
            <w:r w:rsidRPr="003C24D0">
              <w:rPr>
                <w:sz w:val="18"/>
                <w:szCs w:val="18"/>
              </w:rPr>
              <w:t>$54</w:t>
            </w:r>
          </w:p>
        </w:tc>
        <w:tc>
          <w:tcPr>
            <w:tcW w:w="1013" w:type="dxa"/>
          </w:tcPr>
          <w:p w14:paraId="7DEFA8BA" w14:textId="77777777" w:rsidR="00030089" w:rsidRPr="003C24D0" w:rsidRDefault="00030089" w:rsidP="008547F7">
            <w:pPr>
              <w:pStyle w:val="Default"/>
              <w:jc w:val="right"/>
              <w:rPr>
                <w:sz w:val="18"/>
                <w:szCs w:val="18"/>
              </w:rPr>
            </w:pPr>
            <w:r w:rsidRPr="003C24D0">
              <w:rPr>
                <w:sz w:val="18"/>
                <w:szCs w:val="18"/>
              </w:rPr>
              <w:t>$56</w:t>
            </w:r>
          </w:p>
        </w:tc>
        <w:tc>
          <w:tcPr>
            <w:tcW w:w="1012" w:type="dxa"/>
          </w:tcPr>
          <w:p w14:paraId="6E28E320" w14:textId="77777777" w:rsidR="00030089" w:rsidRPr="003C24D0" w:rsidRDefault="00030089" w:rsidP="008547F7">
            <w:pPr>
              <w:pStyle w:val="Default"/>
              <w:jc w:val="right"/>
              <w:rPr>
                <w:sz w:val="18"/>
                <w:szCs w:val="18"/>
              </w:rPr>
            </w:pPr>
            <w:r w:rsidRPr="003C24D0">
              <w:rPr>
                <w:sz w:val="18"/>
                <w:szCs w:val="18"/>
              </w:rPr>
              <w:t>$102</w:t>
            </w:r>
          </w:p>
        </w:tc>
        <w:tc>
          <w:tcPr>
            <w:tcW w:w="1013" w:type="dxa"/>
          </w:tcPr>
          <w:p w14:paraId="319E30B2" w14:textId="77777777" w:rsidR="00030089" w:rsidRPr="003C24D0" w:rsidRDefault="00030089" w:rsidP="008547F7">
            <w:pPr>
              <w:pStyle w:val="Default"/>
              <w:jc w:val="right"/>
              <w:rPr>
                <w:sz w:val="18"/>
                <w:szCs w:val="18"/>
              </w:rPr>
            </w:pPr>
            <w:r w:rsidRPr="003C24D0">
              <w:rPr>
                <w:sz w:val="18"/>
                <w:szCs w:val="18"/>
              </w:rPr>
              <w:t>$168</w:t>
            </w:r>
          </w:p>
        </w:tc>
        <w:tc>
          <w:tcPr>
            <w:tcW w:w="1012" w:type="dxa"/>
          </w:tcPr>
          <w:p w14:paraId="1CBEF010" w14:textId="77777777" w:rsidR="00030089" w:rsidRPr="003C24D0" w:rsidRDefault="00030089" w:rsidP="008547F7">
            <w:pPr>
              <w:pStyle w:val="Default"/>
              <w:jc w:val="right"/>
              <w:rPr>
                <w:sz w:val="18"/>
                <w:szCs w:val="18"/>
              </w:rPr>
            </w:pPr>
            <w:r w:rsidRPr="003C24D0">
              <w:rPr>
                <w:sz w:val="18"/>
                <w:szCs w:val="18"/>
              </w:rPr>
              <w:t>$168</w:t>
            </w:r>
          </w:p>
        </w:tc>
        <w:tc>
          <w:tcPr>
            <w:tcW w:w="1013" w:type="dxa"/>
          </w:tcPr>
          <w:p w14:paraId="640C4FA8" w14:textId="77777777" w:rsidR="00030089" w:rsidRPr="003C24D0" w:rsidRDefault="00030089" w:rsidP="008547F7">
            <w:pPr>
              <w:pStyle w:val="Default"/>
              <w:jc w:val="right"/>
              <w:rPr>
                <w:sz w:val="18"/>
                <w:szCs w:val="18"/>
              </w:rPr>
            </w:pPr>
            <w:r w:rsidRPr="003C24D0">
              <w:rPr>
                <w:sz w:val="18"/>
                <w:szCs w:val="18"/>
              </w:rPr>
              <w:t>$114</w:t>
            </w:r>
          </w:p>
        </w:tc>
        <w:tc>
          <w:tcPr>
            <w:tcW w:w="1013" w:type="dxa"/>
          </w:tcPr>
          <w:p w14:paraId="4758C290" w14:textId="77777777" w:rsidR="00030089" w:rsidRPr="003C24D0" w:rsidRDefault="00030089" w:rsidP="008547F7">
            <w:pPr>
              <w:pStyle w:val="Default"/>
              <w:jc w:val="right"/>
              <w:rPr>
                <w:sz w:val="18"/>
                <w:szCs w:val="18"/>
              </w:rPr>
            </w:pPr>
            <w:r w:rsidRPr="003C24D0">
              <w:rPr>
                <w:sz w:val="18"/>
                <w:szCs w:val="18"/>
              </w:rPr>
              <w:t>$114</w:t>
            </w:r>
          </w:p>
        </w:tc>
      </w:tr>
      <w:tr w:rsidR="00030089" w:rsidRPr="003C24D0" w14:paraId="61228903" w14:textId="77777777" w:rsidTr="008547F7">
        <w:trPr>
          <w:trHeight w:hRule="exact" w:val="851"/>
        </w:trPr>
        <w:tc>
          <w:tcPr>
            <w:tcW w:w="1809" w:type="dxa"/>
          </w:tcPr>
          <w:p w14:paraId="5C011B47" w14:textId="77777777" w:rsidR="00030089" w:rsidRPr="003C24D0" w:rsidRDefault="00030089" w:rsidP="008547F7">
            <w:pPr>
              <w:pStyle w:val="Default"/>
              <w:jc w:val="left"/>
              <w:rPr>
                <w:sz w:val="18"/>
                <w:szCs w:val="18"/>
              </w:rPr>
            </w:pPr>
            <w:r w:rsidRPr="003C24D0">
              <w:rPr>
                <w:sz w:val="18"/>
                <w:szCs w:val="18"/>
              </w:rPr>
              <w:t xml:space="preserve">Avoided landfill externalities </w:t>
            </w:r>
          </w:p>
        </w:tc>
        <w:tc>
          <w:tcPr>
            <w:tcW w:w="1012" w:type="dxa"/>
          </w:tcPr>
          <w:p w14:paraId="31806C7A" w14:textId="77777777" w:rsidR="00030089" w:rsidRPr="003C24D0" w:rsidRDefault="00030089" w:rsidP="008547F7">
            <w:pPr>
              <w:pStyle w:val="Default"/>
              <w:jc w:val="right"/>
              <w:rPr>
                <w:sz w:val="18"/>
                <w:szCs w:val="18"/>
              </w:rPr>
            </w:pPr>
            <w:r w:rsidRPr="003C24D0">
              <w:rPr>
                <w:sz w:val="18"/>
                <w:szCs w:val="18"/>
              </w:rPr>
              <w:t>$31</w:t>
            </w:r>
          </w:p>
        </w:tc>
        <w:tc>
          <w:tcPr>
            <w:tcW w:w="1013" w:type="dxa"/>
          </w:tcPr>
          <w:p w14:paraId="26CE5D90" w14:textId="77777777" w:rsidR="00030089" w:rsidRPr="003C24D0" w:rsidRDefault="00030089" w:rsidP="008547F7">
            <w:pPr>
              <w:pStyle w:val="Default"/>
              <w:jc w:val="right"/>
              <w:rPr>
                <w:sz w:val="18"/>
                <w:szCs w:val="18"/>
              </w:rPr>
            </w:pPr>
            <w:r w:rsidRPr="003C24D0">
              <w:rPr>
                <w:sz w:val="18"/>
                <w:szCs w:val="18"/>
              </w:rPr>
              <w:t>$30</w:t>
            </w:r>
          </w:p>
        </w:tc>
        <w:tc>
          <w:tcPr>
            <w:tcW w:w="1012" w:type="dxa"/>
          </w:tcPr>
          <w:p w14:paraId="55E81D9A" w14:textId="77777777" w:rsidR="00030089" w:rsidRPr="003C24D0" w:rsidRDefault="00030089" w:rsidP="008547F7">
            <w:pPr>
              <w:pStyle w:val="Default"/>
              <w:jc w:val="right"/>
              <w:rPr>
                <w:sz w:val="18"/>
                <w:szCs w:val="18"/>
              </w:rPr>
            </w:pPr>
            <w:r w:rsidRPr="003C24D0">
              <w:rPr>
                <w:sz w:val="18"/>
                <w:szCs w:val="18"/>
              </w:rPr>
              <w:t>$36</w:t>
            </w:r>
          </w:p>
        </w:tc>
        <w:tc>
          <w:tcPr>
            <w:tcW w:w="1013" w:type="dxa"/>
          </w:tcPr>
          <w:p w14:paraId="44C470F1" w14:textId="77777777" w:rsidR="00030089" w:rsidRPr="003C24D0" w:rsidRDefault="00030089" w:rsidP="008547F7">
            <w:pPr>
              <w:pStyle w:val="Default"/>
              <w:jc w:val="right"/>
              <w:rPr>
                <w:sz w:val="18"/>
                <w:szCs w:val="18"/>
              </w:rPr>
            </w:pPr>
            <w:r w:rsidRPr="003C24D0">
              <w:rPr>
                <w:sz w:val="18"/>
                <w:szCs w:val="18"/>
              </w:rPr>
              <w:t>$43</w:t>
            </w:r>
          </w:p>
        </w:tc>
        <w:tc>
          <w:tcPr>
            <w:tcW w:w="1012" w:type="dxa"/>
          </w:tcPr>
          <w:p w14:paraId="3F2D98C7" w14:textId="77777777" w:rsidR="00030089" w:rsidRPr="003C24D0" w:rsidRDefault="00030089" w:rsidP="008547F7">
            <w:pPr>
              <w:pStyle w:val="Default"/>
              <w:jc w:val="right"/>
              <w:rPr>
                <w:sz w:val="18"/>
                <w:szCs w:val="18"/>
              </w:rPr>
            </w:pPr>
            <w:r w:rsidRPr="003C24D0">
              <w:rPr>
                <w:sz w:val="18"/>
                <w:szCs w:val="18"/>
              </w:rPr>
              <w:t>$43</w:t>
            </w:r>
          </w:p>
        </w:tc>
        <w:tc>
          <w:tcPr>
            <w:tcW w:w="1013" w:type="dxa"/>
          </w:tcPr>
          <w:p w14:paraId="534AF238" w14:textId="77777777" w:rsidR="00030089" w:rsidRPr="003C24D0" w:rsidRDefault="00030089" w:rsidP="008547F7">
            <w:pPr>
              <w:pStyle w:val="Default"/>
              <w:jc w:val="right"/>
              <w:rPr>
                <w:sz w:val="18"/>
                <w:szCs w:val="18"/>
              </w:rPr>
            </w:pPr>
            <w:r w:rsidRPr="003C24D0">
              <w:rPr>
                <w:sz w:val="18"/>
                <w:szCs w:val="18"/>
              </w:rPr>
              <w:t>$36</w:t>
            </w:r>
          </w:p>
        </w:tc>
        <w:tc>
          <w:tcPr>
            <w:tcW w:w="1013" w:type="dxa"/>
          </w:tcPr>
          <w:p w14:paraId="7D3B25B5" w14:textId="77777777" w:rsidR="00030089" w:rsidRPr="003C24D0" w:rsidRDefault="00030089" w:rsidP="008547F7">
            <w:pPr>
              <w:pStyle w:val="Default"/>
              <w:jc w:val="right"/>
              <w:rPr>
                <w:sz w:val="18"/>
                <w:szCs w:val="18"/>
              </w:rPr>
            </w:pPr>
            <w:r w:rsidRPr="003C24D0">
              <w:rPr>
                <w:sz w:val="18"/>
                <w:szCs w:val="18"/>
              </w:rPr>
              <w:t>$36</w:t>
            </w:r>
          </w:p>
        </w:tc>
      </w:tr>
      <w:tr w:rsidR="00030089" w:rsidRPr="003C24D0" w14:paraId="60B1CFB5" w14:textId="77777777" w:rsidTr="008547F7">
        <w:trPr>
          <w:trHeight w:hRule="exact" w:val="680"/>
        </w:trPr>
        <w:tc>
          <w:tcPr>
            <w:tcW w:w="1809" w:type="dxa"/>
          </w:tcPr>
          <w:p w14:paraId="04EF2677" w14:textId="77777777" w:rsidR="00030089" w:rsidRPr="003C24D0" w:rsidRDefault="00030089" w:rsidP="008547F7">
            <w:pPr>
              <w:pStyle w:val="Default"/>
              <w:jc w:val="left"/>
              <w:rPr>
                <w:sz w:val="18"/>
                <w:szCs w:val="18"/>
              </w:rPr>
            </w:pPr>
            <w:r w:rsidRPr="003C24D0">
              <w:rPr>
                <w:sz w:val="18"/>
                <w:szCs w:val="18"/>
              </w:rPr>
              <w:t>TOTAL BENEFITS</w:t>
            </w:r>
          </w:p>
        </w:tc>
        <w:tc>
          <w:tcPr>
            <w:tcW w:w="1012" w:type="dxa"/>
          </w:tcPr>
          <w:p w14:paraId="65A345B2" w14:textId="77777777" w:rsidR="00030089" w:rsidRPr="003C24D0" w:rsidRDefault="00030089" w:rsidP="008547F7">
            <w:pPr>
              <w:pStyle w:val="Default"/>
              <w:jc w:val="right"/>
              <w:rPr>
                <w:sz w:val="18"/>
                <w:szCs w:val="18"/>
              </w:rPr>
            </w:pPr>
            <w:r w:rsidRPr="003C24D0">
              <w:rPr>
                <w:sz w:val="18"/>
                <w:szCs w:val="18"/>
              </w:rPr>
              <w:t>$262</w:t>
            </w:r>
          </w:p>
        </w:tc>
        <w:tc>
          <w:tcPr>
            <w:tcW w:w="1013" w:type="dxa"/>
          </w:tcPr>
          <w:p w14:paraId="43B5ACC8" w14:textId="77777777" w:rsidR="00030089" w:rsidRPr="003C24D0" w:rsidRDefault="00030089" w:rsidP="008547F7">
            <w:pPr>
              <w:pStyle w:val="Default"/>
              <w:jc w:val="right"/>
              <w:rPr>
                <w:sz w:val="18"/>
                <w:szCs w:val="18"/>
              </w:rPr>
            </w:pPr>
            <w:r w:rsidRPr="003C24D0">
              <w:rPr>
                <w:sz w:val="18"/>
                <w:szCs w:val="18"/>
              </w:rPr>
              <w:t>$304</w:t>
            </w:r>
          </w:p>
        </w:tc>
        <w:tc>
          <w:tcPr>
            <w:tcW w:w="1012" w:type="dxa"/>
          </w:tcPr>
          <w:p w14:paraId="2BB25CCF" w14:textId="77777777" w:rsidR="00030089" w:rsidRPr="003C24D0" w:rsidRDefault="00030089" w:rsidP="008547F7">
            <w:pPr>
              <w:pStyle w:val="Default"/>
              <w:jc w:val="right"/>
              <w:rPr>
                <w:sz w:val="18"/>
                <w:szCs w:val="18"/>
              </w:rPr>
            </w:pPr>
            <w:r w:rsidRPr="003C24D0">
              <w:rPr>
                <w:sz w:val="18"/>
                <w:szCs w:val="18"/>
              </w:rPr>
              <w:t>$503</w:t>
            </w:r>
          </w:p>
        </w:tc>
        <w:tc>
          <w:tcPr>
            <w:tcW w:w="1013" w:type="dxa"/>
          </w:tcPr>
          <w:p w14:paraId="749F371B" w14:textId="77777777" w:rsidR="00030089" w:rsidRPr="003C24D0" w:rsidRDefault="00030089" w:rsidP="008547F7">
            <w:pPr>
              <w:pStyle w:val="Default"/>
              <w:jc w:val="right"/>
              <w:rPr>
                <w:sz w:val="18"/>
                <w:szCs w:val="18"/>
              </w:rPr>
            </w:pPr>
            <w:r w:rsidRPr="003C24D0">
              <w:rPr>
                <w:sz w:val="18"/>
                <w:szCs w:val="18"/>
              </w:rPr>
              <w:t>$786</w:t>
            </w:r>
          </w:p>
        </w:tc>
        <w:tc>
          <w:tcPr>
            <w:tcW w:w="1012" w:type="dxa"/>
          </w:tcPr>
          <w:p w14:paraId="1B11F2B5" w14:textId="77777777" w:rsidR="00030089" w:rsidRPr="003C24D0" w:rsidRDefault="00030089" w:rsidP="008547F7">
            <w:pPr>
              <w:pStyle w:val="Default"/>
              <w:jc w:val="right"/>
              <w:rPr>
                <w:sz w:val="18"/>
                <w:szCs w:val="18"/>
              </w:rPr>
            </w:pPr>
            <w:r w:rsidRPr="003C24D0">
              <w:rPr>
                <w:sz w:val="18"/>
                <w:szCs w:val="18"/>
              </w:rPr>
              <w:t>$786</w:t>
            </w:r>
          </w:p>
        </w:tc>
        <w:tc>
          <w:tcPr>
            <w:tcW w:w="1013" w:type="dxa"/>
          </w:tcPr>
          <w:p w14:paraId="1A98D2D0" w14:textId="77777777" w:rsidR="00030089" w:rsidRPr="003C24D0" w:rsidRDefault="00030089" w:rsidP="008547F7">
            <w:pPr>
              <w:pStyle w:val="Default"/>
              <w:jc w:val="right"/>
              <w:rPr>
                <w:sz w:val="18"/>
                <w:szCs w:val="18"/>
              </w:rPr>
            </w:pPr>
            <w:r w:rsidRPr="003C24D0">
              <w:rPr>
                <w:sz w:val="18"/>
                <w:szCs w:val="18"/>
              </w:rPr>
              <w:t>$710</w:t>
            </w:r>
            <w:r>
              <w:rPr>
                <w:rStyle w:val="FootnoteReference"/>
                <w:sz w:val="18"/>
                <w:szCs w:val="18"/>
              </w:rPr>
              <w:footnoteReference w:id="39"/>
            </w:r>
          </w:p>
        </w:tc>
        <w:tc>
          <w:tcPr>
            <w:tcW w:w="1013" w:type="dxa"/>
          </w:tcPr>
          <w:p w14:paraId="73DC2CDB" w14:textId="77777777" w:rsidR="00030089" w:rsidRPr="003C24D0" w:rsidRDefault="00030089" w:rsidP="008547F7">
            <w:pPr>
              <w:pStyle w:val="Default"/>
              <w:jc w:val="right"/>
              <w:rPr>
                <w:sz w:val="18"/>
                <w:szCs w:val="18"/>
              </w:rPr>
            </w:pPr>
            <w:r w:rsidRPr="003C24D0">
              <w:rPr>
                <w:sz w:val="18"/>
                <w:szCs w:val="18"/>
              </w:rPr>
              <w:t>$710</w:t>
            </w:r>
          </w:p>
        </w:tc>
      </w:tr>
    </w:tbl>
    <w:p w14:paraId="3A5AB908" w14:textId="77777777" w:rsidR="00F702E2" w:rsidRDefault="00F702E2" w:rsidP="00F702E2">
      <w:pPr>
        <w:rPr>
          <w:noProof/>
        </w:rPr>
      </w:pPr>
    </w:p>
    <w:p w14:paraId="207A403A"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76" w:name="_Toc353562521"/>
      <w:r w:rsidR="00740026">
        <w:rPr>
          <w:noProof/>
          <w:color w:val="auto"/>
        </w:rPr>
        <w:t>40</w:t>
      </w:r>
      <w:r w:rsidRPr="00682556">
        <w:rPr>
          <w:noProof/>
          <w:color w:val="auto"/>
        </w:rPr>
        <w:fldChar w:fldCharType="end"/>
      </w:r>
      <w:r w:rsidRPr="00682556">
        <w:rPr>
          <w:noProof/>
          <w:color w:val="auto"/>
        </w:rPr>
        <w:t xml:space="preserve"> Table 4.</w:t>
      </w:r>
      <w:r>
        <w:rPr>
          <w:noProof/>
          <w:color w:val="auto"/>
        </w:rPr>
        <w:t>30</w:t>
      </w:r>
      <w:r w:rsidRPr="00682556">
        <w:rPr>
          <w:noProof/>
          <w:color w:val="auto"/>
        </w:rPr>
        <w:t>: Summary of key factors driving the results of the CBA</w:t>
      </w:r>
      <w:bookmarkEnd w:id="276"/>
    </w:p>
    <w:tbl>
      <w:tblPr>
        <w:tblStyle w:val="TableGrid"/>
        <w:tblpPr w:leftFromText="180" w:rightFromText="180" w:vertAnchor="text" w:horzAnchor="margin" w:tblpY="112"/>
        <w:tblW w:w="0" w:type="auto"/>
        <w:tblLook w:val="04A0" w:firstRow="1" w:lastRow="0" w:firstColumn="1" w:lastColumn="0" w:noHBand="0" w:noVBand="1"/>
      </w:tblPr>
      <w:tblGrid>
        <w:gridCol w:w="1101"/>
        <w:gridCol w:w="1628"/>
        <w:gridCol w:w="1628"/>
        <w:gridCol w:w="1628"/>
        <w:gridCol w:w="1628"/>
        <w:gridCol w:w="1629"/>
      </w:tblGrid>
      <w:tr w:rsidR="00030089" w:rsidRPr="00BC315B" w14:paraId="2DC3B7BB" w14:textId="77777777" w:rsidTr="008547F7">
        <w:trPr>
          <w:trHeight w:hRule="exact" w:val="1365"/>
        </w:trPr>
        <w:tc>
          <w:tcPr>
            <w:tcW w:w="1101" w:type="dxa"/>
            <w:shd w:val="pct10" w:color="auto" w:fill="auto"/>
          </w:tcPr>
          <w:p w14:paraId="0CFEB303" w14:textId="77777777" w:rsidR="00030089" w:rsidRPr="00A91E00" w:rsidRDefault="00030089" w:rsidP="008547F7">
            <w:pPr>
              <w:pStyle w:val="Default"/>
              <w:rPr>
                <w:sz w:val="18"/>
                <w:szCs w:val="18"/>
              </w:rPr>
            </w:pPr>
            <w:r w:rsidRPr="00A91E00">
              <w:rPr>
                <w:sz w:val="18"/>
                <w:szCs w:val="18"/>
              </w:rPr>
              <w:t>Option</w:t>
            </w:r>
          </w:p>
        </w:tc>
        <w:tc>
          <w:tcPr>
            <w:tcW w:w="1628" w:type="dxa"/>
            <w:shd w:val="pct10" w:color="auto" w:fill="auto"/>
          </w:tcPr>
          <w:p w14:paraId="22262793" w14:textId="77777777" w:rsidR="00030089" w:rsidRPr="00A91E00" w:rsidRDefault="00030089" w:rsidP="008547F7">
            <w:pPr>
              <w:pStyle w:val="Default"/>
              <w:jc w:val="right"/>
              <w:rPr>
                <w:sz w:val="18"/>
                <w:szCs w:val="18"/>
              </w:rPr>
            </w:pPr>
            <w:r w:rsidRPr="00A91E00">
              <w:rPr>
                <w:sz w:val="18"/>
                <w:szCs w:val="18"/>
              </w:rPr>
              <w:t>Costs ($2011,PV, millions)</w:t>
            </w:r>
          </w:p>
        </w:tc>
        <w:tc>
          <w:tcPr>
            <w:tcW w:w="1628" w:type="dxa"/>
            <w:shd w:val="pct10" w:color="auto" w:fill="auto"/>
          </w:tcPr>
          <w:p w14:paraId="2CC8EFB2" w14:textId="77777777" w:rsidR="00030089" w:rsidRPr="00A91E00" w:rsidRDefault="00030089" w:rsidP="008547F7">
            <w:pPr>
              <w:pStyle w:val="Default"/>
              <w:jc w:val="right"/>
              <w:rPr>
                <w:sz w:val="18"/>
                <w:szCs w:val="18"/>
              </w:rPr>
            </w:pPr>
            <w:r w:rsidRPr="00A91E00">
              <w:rPr>
                <w:sz w:val="18"/>
                <w:szCs w:val="18"/>
              </w:rPr>
              <w:t xml:space="preserve">Benefits </w:t>
            </w:r>
            <w:r w:rsidRPr="00A91E00">
              <w:rPr>
                <w:sz w:val="18"/>
                <w:szCs w:val="18"/>
              </w:rPr>
              <w:br/>
              <w:t>($2011, PV, millions)</w:t>
            </w:r>
          </w:p>
        </w:tc>
        <w:tc>
          <w:tcPr>
            <w:tcW w:w="1628" w:type="dxa"/>
            <w:shd w:val="pct10" w:color="auto" w:fill="auto"/>
          </w:tcPr>
          <w:p w14:paraId="33A04978" w14:textId="77777777" w:rsidR="00030089" w:rsidRPr="00A91E00" w:rsidRDefault="00030089" w:rsidP="008547F7">
            <w:pPr>
              <w:pStyle w:val="Default"/>
              <w:jc w:val="right"/>
              <w:rPr>
                <w:sz w:val="18"/>
                <w:szCs w:val="18"/>
              </w:rPr>
            </w:pPr>
            <w:r w:rsidRPr="00A91E00">
              <w:rPr>
                <w:sz w:val="18"/>
                <w:szCs w:val="18"/>
              </w:rPr>
              <w:t xml:space="preserve">2035 packaging recycling quantity </w:t>
            </w:r>
            <w:r w:rsidRPr="00A91E00">
              <w:rPr>
                <w:sz w:val="18"/>
                <w:szCs w:val="18"/>
              </w:rPr>
              <w:br/>
              <w:t>(million tonnes)</w:t>
            </w:r>
          </w:p>
        </w:tc>
        <w:tc>
          <w:tcPr>
            <w:tcW w:w="1628" w:type="dxa"/>
            <w:shd w:val="pct10" w:color="auto" w:fill="auto"/>
          </w:tcPr>
          <w:p w14:paraId="272F5736" w14:textId="77777777" w:rsidR="00030089" w:rsidRPr="00A91E00" w:rsidRDefault="00030089" w:rsidP="008547F7">
            <w:pPr>
              <w:pStyle w:val="Default"/>
              <w:jc w:val="right"/>
              <w:rPr>
                <w:sz w:val="18"/>
                <w:szCs w:val="18"/>
              </w:rPr>
            </w:pPr>
            <w:r w:rsidRPr="00A91E00">
              <w:rPr>
                <w:sz w:val="18"/>
                <w:szCs w:val="18"/>
              </w:rPr>
              <w:t xml:space="preserve">2035 litter quality </w:t>
            </w:r>
            <w:r w:rsidRPr="00A91E00">
              <w:rPr>
                <w:sz w:val="18"/>
                <w:szCs w:val="18"/>
              </w:rPr>
              <w:br/>
              <w:t>(tonnes)</w:t>
            </w:r>
          </w:p>
        </w:tc>
        <w:tc>
          <w:tcPr>
            <w:tcW w:w="1629" w:type="dxa"/>
            <w:shd w:val="pct10" w:color="auto" w:fill="auto"/>
          </w:tcPr>
          <w:p w14:paraId="5E318B8E" w14:textId="77777777" w:rsidR="00030089" w:rsidRPr="00A91E00" w:rsidRDefault="00030089" w:rsidP="008547F7">
            <w:pPr>
              <w:pStyle w:val="Default"/>
              <w:jc w:val="right"/>
              <w:rPr>
                <w:sz w:val="18"/>
                <w:szCs w:val="18"/>
              </w:rPr>
            </w:pPr>
            <w:r w:rsidRPr="00A91E00">
              <w:rPr>
                <w:sz w:val="18"/>
                <w:szCs w:val="18"/>
              </w:rPr>
              <w:t>2035 landfill quantity (tonnes)</w:t>
            </w:r>
          </w:p>
        </w:tc>
      </w:tr>
      <w:tr w:rsidR="00030089" w:rsidRPr="00F43D27" w14:paraId="58555CA2" w14:textId="77777777" w:rsidTr="008547F7">
        <w:trPr>
          <w:trHeight w:hRule="exact" w:val="567"/>
        </w:trPr>
        <w:tc>
          <w:tcPr>
            <w:tcW w:w="1101" w:type="dxa"/>
          </w:tcPr>
          <w:p w14:paraId="486C3F0D" w14:textId="77777777" w:rsidR="00030089" w:rsidRPr="00A91E00" w:rsidRDefault="00030089" w:rsidP="008547F7">
            <w:pPr>
              <w:pStyle w:val="Default"/>
              <w:rPr>
                <w:sz w:val="18"/>
                <w:szCs w:val="18"/>
              </w:rPr>
            </w:pPr>
            <w:r w:rsidRPr="00A91E00">
              <w:rPr>
                <w:sz w:val="18"/>
                <w:szCs w:val="18"/>
              </w:rPr>
              <w:t>Option 1</w:t>
            </w:r>
          </w:p>
        </w:tc>
        <w:tc>
          <w:tcPr>
            <w:tcW w:w="1628" w:type="dxa"/>
          </w:tcPr>
          <w:p w14:paraId="7BBB9F73" w14:textId="77777777" w:rsidR="00030089" w:rsidRPr="00A91E00" w:rsidRDefault="00030089" w:rsidP="008547F7">
            <w:pPr>
              <w:pStyle w:val="Default"/>
              <w:jc w:val="right"/>
              <w:rPr>
                <w:sz w:val="18"/>
                <w:szCs w:val="18"/>
              </w:rPr>
            </w:pPr>
            <w:r w:rsidRPr="00A91E00">
              <w:rPr>
                <w:sz w:val="18"/>
                <w:szCs w:val="18"/>
              </w:rPr>
              <w:t>$311</w:t>
            </w:r>
          </w:p>
        </w:tc>
        <w:tc>
          <w:tcPr>
            <w:tcW w:w="1628" w:type="dxa"/>
          </w:tcPr>
          <w:p w14:paraId="67E0F4CA" w14:textId="77777777" w:rsidR="00030089" w:rsidRPr="00A91E00" w:rsidRDefault="00030089" w:rsidP="008547F7">
            <w:pPr>
              <w:pStyle w:val="Default"/>
              <w:jc w:val="right"/>
              <w:rPr>
                <w:sz w:val="18"/>
                <w:szCs w:val="18"/>
              </w:rPr>
            </w:pPr>
            <w:r w:rsidRPr="00A91E00">
              <w:rPr>
                <w:sz w:val="18"/>
                <w:szCs w:val="18"/>
              </w:rPr>
              <w:t>$262</w:t>
            </w:r>
          </w:p>
        </w:tc>
        <w:tc>
          <w:tcPr>
            <w:tcW w:w="1628" w:type="dxa"/>
          </w:tcPr>
          <w:p w14:paraId="3C1BC685" w14:textId="77777777" w:rsidR="00030089" w:rsidRPr="00A91E00" w:rsidRDefault="00030089" w:rsidP="008547F7">
            <w:pPr>
              <w:pStyle w:val="Default"/>
              <w:jc w:val="right"/>
              <w:rPr>
                <w:sz w:val="18"/>
                <w:szCs w:val="18"/>
              </w:rPr>
            </w:pPr>
            <w:r w:rsidRPr="00A91E00">
              <w:rPr>
                <w:sz w:val="18"/>
                <w:szCs w:val="18"/>
              </w:rPr>
              <w:t>4.22</w:t>
            </w:r>
          </w:p>
        </w:tc>
        <w:tc>
          <w:tcPr>
            <w:tcW w:w="1628" w:type="dxa"/>
          </w:tcPr>
          <w:p w14:paraId="109BADB1" w14:textId="77777777" w:rsidR="00030089" w:rsidRPr="00A91E00" w:rsidRDefault="00030089" w:rsidP="008547F7">
            <w:pPr>
              <w:pStyle w:val="Default"/>
              <w:jc w:val="right"/>
              <w:rPr>
                <w:sz w:val="18"/>
                <w:szCs w:val="18"/>
              </w:rPr>
            </w:pPr>
            <w:r w:rsidRPr="00A91E00">
              <w:rPr>
                <w:sz w:val="18"/>
                <w:szCs w:val="18"/>
              </w:rPr>
              <w:t>30 300</w:t>
            </w:r>
          </w:p>
        </w:tc>
        <w:tc>
          <w:tcPr>
            <w:tcW w:w="1629" w:type="dxa"/>
          </w:tcPr>
          <w:p w14:paraId="3F631CD1" w14:textId="77777777" w:rsidR="00030089" w:rsidRPr="00A91E00" w:rsidRDefault="00030089" w:rsidP="008547F7">
            <w:pPr>
              <w:pStyle w:val="Default"/>
              <w:jc w:val="right"/>
              <w:rPr>
                <w:sz w:val="18"/>
                <w:szCs w:val="18"/>
              </w:rPr>
            </w:pPr>
            <w:r w:rsidRPr="00A91E00">
              <w:rPr>
                <w:sz w:val="18"/>
                <w:szCs w:val="18"/>
              </w:rPr>
              <w:t>965 000</w:t>
            </w:r>
          </w:p>
        </w:tc>
      </w:tr>
      <w:tr w:rsidR="00030089" w:rsidRPr="00F43D27" w14:paraId="0271C0EC" w14:textId="77777777" w:rsidTr="008547F7">
        <w:trPr>
          <w:trHeight w:hRule="exact" w:val="567"/>
        </w:trPr>
        <w:tc>
          <w:tcPr>
            <w:tcW w:w="1101" w:type="dxa"/>
          </w:tcPr>
          <w:p w14:paraId="5DCFA378" w14:textId="77777777" w:rsidR="00030089" w:rsidRPr="00A91E00" w:rsidRDefault="00030089" w:rsidP="008547F7">
            <w:pPr>
              <w:pStyle w:val="Default"/>
              <w:rPr>
                <w:sz w:val="18"/>
                <w:szCs w:val="18"/>
              </w:rPr>
            </w:pPr>
            <w:r w:rsidRPr="00A91E00">
              <w:rPr>
                <w:sz w:val="18"/>
                <w:szCs w:val="18"/>
              </w:rPr>
              <w:t>Option 2A</w:t>
            </w:r>
          </w:p>
        </w:tc>
        <w:tc>
          <w:tcPr>
            <w:tcW w:w="1628" w:type="dxa"/>
          </w:tcPr>
          <w:p w14:paraId="01BF0CA9" w14:textId="77777777" w:rsidR="00030089" w:rsidRPr="00A91E00" w:rsidRDefault="00030089" w:rsidP="008547F7">
            <w:pPr>
              <w:pStyle w:val="Default"/>
              <w:jc w:val="right"/>
              <w:rPr>
                <w:sz w:val="18"/>
                <w:szCs w:val="18"/>
              </w:rPr>
            </w:pPr>
            <w:r w:rsidRPr="00A91E00">
              <w:rPr>
                <w:sz w:val="18"/>
                <w:szCs w:val="18"/>
              </w:rPr>
              <w:t>$258</w:t>
            </w:r>
          </w:p>
        </w:tc>
        <w:tc>
          <w:tcPr>
            <w:tcW w:w="1628" w:type="dxa"/>
          </w:tcPr>
          <w:p w14:paraId="19556F9C" w14:textId="77777777" w:rsidR="00030089" w:rsidRPr="00A91E00" w:rsidRDefault="00030089" w:rsidP="008547F7">
            <w:pPr>
              <w:pStyle w:val="Default"/>
              <w:jc w:val="right"/>
              <w:rPr>
                <w:sz w:val="18"/>
                <w:szCs w:val="18"/>
              </w:rPr>
            </w:pPr>
            <w:r w:rsidRPr="00A91E00">
              <w:rPr>
                <w:sz w:val="18"/>
                <w:szCs w:val="18"/>
              </w:rPr>
              <w:t>$304</w:t>
            </w:r>
          </w:p>
        </w:tc>
        <w:tc>
          <w:tcPr>
            <w:tcW w:w="1628" w:type="dxa"/>
          </w:tcPr>
          <w:p w14:paraId="7DA780B2" w14:textId="77777777" w:rsidR="00030089" w:rsidRPr="00A91E00" w:rsidRDefault="00030089" w:rsidP="008547F7">
            <w:pPr>
              <w:pStyle w:val="Default"/>
              <w:jc w:val="right"/>
              <w:rPr>
                <w:sz w:val="18"/>
                <w:szCs w:val="18"/>
              </w:rPr>
            </w:pPr>
            <w:r w:rsidRPr="00A91E00">
              <w:rPr>
                <w:sz w:val="18"/>
                <w:szCs w:val="18"/>
              </w:rPr>
              <w:t xml:space="preserve">4.20 </w:t>
            </w:r>
          </w:p>
        </w:tc>
        <w:tc>
          <w:tcPr>
            <w:tcW w:w="1628" w:type="dxa"/>
          </w:tcPr>
          <w:p w14:paraId="1E013962" w14:textId="77777777" w:rsidR="00030089" w:rsidRPr="00A91E00" w:rsidRDefault="00030089" w:rsidP="008547F7">
            <w:pPr>
              <w:pStyle w:val="Default"/>
              <w:jc w:val="right"/>
              <w:rPr>
                <w:sz w:val="18"/>
                <w:szCs w:val="18"/>
              </w:rPr>
            </w:pPr>
            <w:r w:rsidRPr="00A91E00">
              <w:rPr>
                <w:sz w:val="18"/>
                <w:szCs w:val="18"/>
              </w:rPr>
              <w:t>31 000</w:t>
            </w:r>
          </w:p>
        </w:tc>
        <w:tc>
          <w:tcPr>
            <w:tcW w:w="1629" w:type="dxa"/>
          </w:tcPr>
          <w:p w14:paraId="30031CB9" w14:textId="77777777" w:rsidR="00030089" w:rsidRPr="00A91E00" w:rsidRDefault="00030089" w:rsidP="008547F7">
            <w:pPr>
              <w:pStyle w:val="Default"/>
              <w:jc w:val="right"/>
              <w:rPr>
                <w:sz w:val="18"/>
                <w:szCs w:val="18"/>
              </w:rPr>
            </w:pPr>
            <w:r w:rsidRPr="00A91E00">
              <w:rPr>
                <w:sz w:val="18"/>
                <w:szCs w:val="18"/>
              </w:rPr>
              <w:t>977 000</w:t>
            </w:r>
          </w:p>
        </w:tc>
      </w:tr>
      <w:tr w:rsidR="00030089" w:rsidRPr="00F43D27" w14:paraId="60A3B6BF" w14:textId="77777777" w:rsidTr="008547F7">
        <w:trPr>
          <w:trHeight w:hRule="exact" w:val="567"/>
        </w:trPr>
        <w:tc>
          <w:tcPr>
            <w:tcW w:w="1101" w:type="dxa"/>
          </w:tcPr>
          <w:p w14:paraId="6102DDCC" w14:textId="77777777" w:rsidR="00030089" w:rsidRPr="00A91E00" w:rsidRDefault="00030089" w:rsidP="008547F7">
            <w:pPr>
              <w:pStyle w:val="Default"/>
              <w:rPr>
                <w:sz w:val="18"/>
                <w:szCs w:val="18"/>
              </w:rPr>
            </w:pPr>
            <w:r w:rsidRPr="00A91E00">
              <w:rPr>
                <w:sz w:val="18"/>
                <w:szCs w:val="18"/>
              </w:rPr>
              <w:t>Option 2B</w:t>
            </w:r>
          </w:p>
        </w:tc>
        <w:tc>
          <w:tcPr>
            <w:tcW w:w="1628" w:type="dxa"/>
          </w:tcPr>
          <w:p w14:paraId="4603C091" w14:textId="77777777" w:rsidR="00030089" w:rsidRPr="00A91E00" w:rsidRDefault="00030089" w:rsidP="008547F7">
            <w:pPr>
              <w:pStyle w:val="Default"/>
              <w:jc w:val="right"/>
              <w:rPr>
                <w:sz w:val="18"/>
                <w:szCs w:val="18"/>
              </w:rPr>
            </w:pPr>
            <w:r w:rsidRPr="00A91E00">
              <w:rPr>
                <w:sz w:val="18"/>
                <w:szCs w:val="18"/>
              </w:rPr>
              <w:t>$554</w:t>
            </w:r>
          </w:p>
        </w:tc>
        <w:tc>
          <w:tcPr>
            <w:tcW w:w="1628" w:type="dxa"/>
          </w:tcPr>
          <w:p w14:paraId="18FF42E9" w14:textId="77777777" w:rsidR="00030089" w:rsidRPr="00A91E00" w:rsidRDefault="00030089" w:rsidP="008547F7">
            <w:pPr>
              <w:pStyle w:val="Default"/>
              <w:jc w:val="right"/>
              <w:rPr>
                <w:sz w:val="18"/>
                <w:szCs w:val="18"/>
              </w:rPr>
            </w:pPr>
            <w:r w:rsidRPr="00A91E00">
              <w:rPr>
                <w:sz w:val="18"/>
                <w:szCs w:val="18"/>
              </w:rPr>
              <w:t>$503</w:t>
            </w:r>
          </w:p>
        </w:tc>
        <w:tc>
          <w:tcPr>
            <w:tcW w:w="1628" w:type="dxa"/>
          </w:tcPr>
          <w:p w14:paraId="13B69C05" w14:textId="77777777" w:rsidR="00030089" w:rsidRPr="00A91E00" w:rsidRDefault="00030089" w:rsidP="008547F7">
            <w:pPr>
              <w:pStyle w:val="Default"/>
              <w:jc w:val="right"/>
              <w:rPr>
                <w:sz w:val="18"/>
                <w:szCs w:val="18"/>
              </w:rPr>
            </w:pPr>
            <w:r w:rsidRPr="00A91E00">
              <w:rPr>
                <w:sz w:val="18"/>
                <w:szCs w:val="18"/>
              </w:rPr>
              <w:t>4.26</w:t>
            </w:r>
          </w:p>
        </w:tc>
        <w:tc>
          <w:tcPr>
            <w:tcW w:w="1628" w:type="dxa"/>
          </w:tcPr>
          <w:p w14:paraId="5F8C2835" w14:textId="77777777" w:rsidR="00030089" w:rsidRPr="00A91E00" w:rsidRDefault="00030089" w:rsidP="008547F7">
            <w:pPr>
              <w:pStyle w:val="Default"/>
              <w:jc w:val="right"/>
              <w:rPr>
                <w:sz w:val="18"/>
                <w:szCs w:val="18"/>
              </w:rPr>
            </w:pPr>
            <w:r w:rsidRPr="00A91E00">
              <w:rPr>
                <w:sz w:val="18"/>
                <w:szCs w:val="18"/>
              </w:rPr>
              <w:t>28 900</w:t>
            </w:r>
          </w:p>
        </w:tc>
        <w:tc>
          <w:tcPr>
            <w:tcW w:w="1629" w:type="dxa"/>
          </w:tcPr>
          <w:p w14:paraId="1EEF6288" w14:textId="77777777" w:rsidR="00030089" w:rsidRPr="00A91E00" w:rsidRDefault="00030089" w:rsidP="008547F7">
            <w:pPr>
              <w:pStyle w:val="Default"/>
              <w:jc w:val="right"/>
              <w:rPr>
                <w:sz w:val="18"/>
                <w:szCs w:val="18"/>
              </w:rPr>
            </w:pPr>
            <w:r w:rsidRPr="00A91E00">
              <w:rPr>
                <w:sz w:val="18"/>
                <w:szCs w:val="18"/>
              </w:rPr>
              <w:t>915 000</w:t>
            </w:r>
          </w:p>
        </w:tc>
      </w:tr>
      <w:tr w:rsidR="00030089" w:rsidRPr="00F43D27" w14:paraId="36C330DF" w14:textId="77777777" w:rsidTr="008547F7">
        <w:trPr>
          <w:trHeight w:hRule="exact" w:val="567"/>
        </w:trPr>
        <w:tc>
          <w:tcPr>
            <w:tcW w:w="1101" w:type="dxa"/>
          </w:tcPr>
          <w:p w14:paraId="03A6B833" w14:textId="77777777" w:rsidR="00030089" w:rsidRPr="00A91E00" w:rsidRDefault="00030089" w:rsidP="008547F7">
            <w:pPr>
              <w:pStyle w:val="Default"/>
              <w:rPr>
                <w:sz w:val="18"/>
                <w:szCs w:val="18"/>
              </w:rPr>
            </w:pPr>
            <w:r w:rsidRPr="00A91E00">
              <w:rPr>
                <w:sz w:val="18"/>
                <w:szCs w:val="18"/>
              </w:rPr>
              <w:t>Option 2C</w:t>
            </w:r>
          </w:p>
        </w:tc>
        <w:tc>
          <w:tcPr>
            <w:tcW w:w="1628" w:type="dxa"/>
          </w:tcPr>
          <w:p w14:paraId="2DF524D7" w14:textId="77777777" w:rsidR="00030089" w:rsidRPr="00A91E00" w:rsidRDefault="00030089" w:rsidP="008547F7">
            <w:pPr>
              <w:pStyle w:val="Default"/>
              <w:jc w:val="right"/>
              <w:rPr>
                <w:sz w:val="18"/>
                <w:szCs w:val="18"/>
              </w:rPr>
            </w:pPr>
            <w:r w:rsidRPr="00A91E00">
              <w:rPr>
                <w:sz w:val="18"/>
                <w:szCs w:val="18"/>
              </w:rPr>
              <w:t>$984</w:t>
            </w:r>
          </w:p>
        </w:tc>
        <w:tc>
          <w:tcPr>
            <w:tcW w:w="1628" w:type="dxa"/>
          </w:tcPr>
          <w:p w14:paraId="30931B4E" w14:textId="77777777" w:rsidR="00030089" w:rsidRPr="00A91E00" w:rsidRDefault="00030089" w:rsidP="008547F7">
            <w:pPr>
              <w:pStyle w:val="Default"/>
              <w:jc w:val="right"/>
              <w:rPr>
                <w:sz w:val="18"/>
                <w:szCs w:val="18"/>
              </w:rPr>
            </w:pPr>
            <w:r w:rsidRPr="00A91E00">
              <w:rPr>
                <w:sz w:val="18"/>
                <w:szCs w:val="18"/>
              </w:rPr>
              <w:t>$786</w:t>
            </w:r>
          </w:p>
        </w:tc>
        <w:tc>
          <w:tcPr>
            <w:tcW w:w="1628" w:type="dxa"/>
          </w:tcPr>
          <w:p w14:paraId="168B58F4" w14:textId="77777777" w:rsidR="00030089" w:rsidRPr="00A91E00" w:rsidRDefault="00030089" w:rsidP="008547F7">
            <w:pPr>
              <w:pStyle w:val="Default"/>
              <w:jc w:val="right"/>
              <w:rPr>
                <w:sz w:val="18"/>
                <w:szCs w:val="18"/>
              </w:rPr>
            </w:pPr>
            <w:r w:rsidRPr="00A91E00">
              <w:rPr>
                <w:sz w:val="18"/>
                <w:szCs w:val="18"/>
              </w:rPr>
              <w:t>4.50</w:t>
            </w:r>
          </w:p>
        </w:tc>
        <w:tc>
          <w:tcPr>
            <w:tcW w:w="1628" w:type="dxa"/>
          </w:tcPr>
          <w:p w14:paraId="7AE04567" w14:textId="77777777" w:rsidR="00030089" w:rsidRPr="00A91E00" w:rsidRDefault="00030089" w:rsidP="008547F7">
            <w:pPr>
              <w:pStyle w:val="Default"/>
              <w:jc w:val="right"/>
              <w:rPr>
                <w:sz w:val="18"/>
                <w:szCs w:val="18"/>
              </w:rPr>
            </w:pPr>
            <w:r w:rsidRPr="00A91E00">
              <w:rPr>
                <w:sz w:val="18"/>
                <w:szCs w:val="18"/>
              </w:rPr>
              <w:t>21 700</w:t>
            </w:r>
          </w:p>
        </w:tc>
        <w:tc>
          <w:tcPr>
            <w:tcW w:w="1629" w:type="dxa"/>
          </w:tcPr>
          <w:p w14:paraId="08D38C8A" w14:textId="77777777" w:rsidR="00030089" w:rsidRPr="00A91E00" w:rsidRDefault="00030089" w:rsidP="008547F7">
            <w:pPr>
              <w:pStyle w:val="Default"/>
              <w:jc w:val="right"/>
              <w:rPr>
                <w:sz w:val="18"/>
                <w:szCs w:val="18"/>
              </w:rPr>
            </w:pPr>
            <w:r w:rsidRPr="00A91E00">
              <w:rPr>
                <w:sz w:val="18"/>
                <w:szCs w:val="18"/>
              </w:rPr>
              <w:t>689 000</w:t>
            </w:r>
          </w:p>
        </w:tc>
      </w:tr>
      <w:tr w:rsidR="00030089" w:rsidRPr="00F43D27" w14:paraId="102F61A6" w14:textId="77777777" w:rsidTr="008547F7">
        <w:trPr>
          <w:trHeight w:hRule="exact" w:val="567"/>
        </w:trPr>
        <w:tc>
          <w:tcPr>
            <w:tcW w:w="1101" w:type="dxa"/>
          </w:tcPr>
          <w:p w14:paraId="7936B153" w14:textId="77777777" w:rsidR="00030089" w:rsidRPr="00A91E00" w:rsidRDefault="00030089" w:rsidP="008547F7">
            <w:pPr>
              <w:pStyle w:val="Default"/>
              <w:rPr>
                <w:sz w:val="18"/>
                <w:szCs w:val="18"/>
              </w:rPr>
            </w:pPr>
            <w:r w:rsidRPr="00A91E00">
              <w:rPr>
                <w:sz w:val="18"/>
                <w:szCs w:val="18"/>
              </w:rPr>
              <w:t>Option 3</w:t>
            </w:r>
          </w:p>
        </w:tc>
        <w:tc>
          <w:tcPr>
            <w:tcW w:w="1628" w:type="dxa"/>
          </w:tcPr>
          <w:p w14:paraId="423DC6F2" w14:textId="77777777" w:rsidR="00030089" w:rsidRPr="00A91E00" w:rsidRDefault="00030089" w:rsidP="008547F7">
            <w:pPr>
              <w:pStyle w:val="Default"/>
              <w:jc w:val="right"/>
              <w:rPr>
                <w:sz w:val="18"/>
                <w:szCs w:val="18"/>
              </w:rPr>
            </w:pPr>
            <w:r w:rsidRPr="00A91E00">
              <w:rPr>
                <w:sz w:val="18"/>
                <w:szCs w:val="18"/>
              </w:rPr>
              <w:t>$981</w:t>
            </w:r>
          </w:p>
        </w:tc>
        <w:tc>
          <w:tcPr>
            <w:tcW w:w="1628" w:type="dxa"/>
          </w:tcPr>
          <w:p w14:paraId="57060D40" w14:textId="77777777" w:rsidR="00030089" w:rsidRPr="00A91E00" w:rsidRDefault="00030089" w:rsidP="008547F7">
            <w:pPr>
              <w:pStyle w:val="Default"/>
              <w:jc w:val="right"/>
              <w:rPr>
                <w:sz w:val="18"/>
                <w:szCs w:val="18"/>
              </w:rPr>
            </w:pPr>
            <w:r w:rsidRPr="00A91E00">
              <w:rPr>
                <w:sz w:val="18"/>
                <w:szCs w:val="18"/>
              </w:rPr>
              <w:t>$786</w:t>
            </w:r>
          </w:p>
        </w:tc>
        <w:tc>
          <w:tcPr>
            <w:tcW w:w="1628" w:type="dxa"/>
          </w:tcPr>
          <w:p w14:paraId="1E373A33" w14:textId="77777777" w:rsidR="00030089" w:rsidRPr="00A91E00" w:rsidRDefault="00030089" w:rsidP="008547F7">
            <w:pPr>
              <w:pStyle w:val="Default"/>
              <w:jc w:val="right"/>
              <w:rPr>
                <w:sz w:val="18"/>
                <w:szCs w:val="18"/>
              </w:rPr>
            </w:pPr>
            <w:r w:rsidRPr="00A91E00">
              <w:rPr>
                <w:sz w:val="18"/>
                <w:szCs w:val="18"/>
              </w:rPr>
              <w:t>4.50</w:t>
            </w:r>
          </w:p>
        </w:tc>
        <w:tc>
          <w:tcPr>
            <w:tcW w:w="1628" w:type="dxa"/>
          </w:tcPr>
          <w:p w14:paraId="47C08A39" w14:textId="77777777" w:rsidR="00030089" w:rsidRPr="00A91E00" w:rsidRDefault="00030089" w:rsidP="008547F7">
            <w:pPr>
              <w:pStyle w:val="Default"/>
              <w:jc w:val="right"/>
              <w:rPr>
                <w:sz w:val="18"/>
                <w:szCs w:val="18"/>
              </w:rPr>
            </w:pPr>
            <w:r w:rsidRPr="00A91E00">
              <w:rPr>
                <w:sz w:val="18"/>
                <w:szCs w:val="18"/>
              </w:rPr>
              <w:t>21 700</w:t>
            </w:r>
          </w:p>
        </w:tc>
        <w:tc>
          <w:tcPr>
            <w:tcW w:w="1629" w:type="dxa"/>
          </w:tcPr>
          <w:p w14:paraId="4083826D" w14:textId="77777777" w:rsidR="00030089" w:rsidRPr="00A91E00" w:rsidRDefault="00030089" w:rsidP="008547F7">
            <w:pPr>
              <w:pStyle w:val="Default"/>
              <w:jc w:val="right"/>
              <w:rPr>
                <w:sz w:val="18"/>
                <w:szCs w:val="18"/>
              </w:rPr>
            </w:pPr>
            <w:r w:rsidRPr="00A91E00">
              <w:rPr>
                <w:sz w:val="18"/>
                <w:szCs w:val="18"/>
              </w:rPr>
              <w:t>589 000</w:t>
            </w:r>
          </w:p>
        </w:tc>
      </w:tr>
      <w:tr w:rsidR="00030089" w:rsidRPr="00F43D27" w14:paraId="7C719BE2" w14:textId="77777777" w:rsidTr="008547F7">
        <w:trPr>
          <w:trHeight w:hRule="exact" w:val="567"/>
        </w:trPr>
        <w:tc>
          <w:tcPr>
            <w:tcW w:w="1101" w:type="dxa"/>
          </w:tcPr>
          <w:p w14:paraId="04C1CCD0" w14:textId="77777777" w:rsidR="00030089" w:rsidRPr="00A91E00" w:rsidRDefault="00030089" w:rsidP="008547F7">
            <w:pPr>
              <w:pStyle w:val="Default"/>
              <w:rPr>
                <w:sz w:val="18"/>
                <w:szCs w:val="18"/>
              </w:rPr>
            </w:pPr>
            <w:r w:rsidRPr="00A91E00">
              <w:rPr>
                <w:sz w:val="18"/>
                <w:szCs w:val="18"/>
              </w:rPr>
              <w:t>Option 4A</w:t>
            </w:r>
          </w:p>
        </w:tc>
        <w:tc>
          <w:tcPr>
            <w:tcW w:w="1628" w:type="dxa"/>
          </w:tcPr>
          <w:p w14:paraId="19DB012F" w14:textId="77777777" w:rsidR="00030089" w:rsidRPr="00A91E00" w:rsidRDefault="00030089" w:rsidP="008547F7">
            <w:pPr>
              <w:pStyle w:val="Default"/>
              <w:jc w:val="right"/>
              <w:rPr>
                <w:sz w:val="18"/>
                <w:szCs w:val="18"/>
              </w:rPr>
            </w:pPr>
            <w:r w:rsidRPr="00A91E00">
              <w:rPr>
                <w:sz w:val="18"/>
                <w:szCs w:val="18"/>
              </w:rPr>
              <w:t>$2 125</w:t>
            </w:r>
          </w:p>
        </w:tc>
        <w:tc>
          <w:tcPr>
            <w:tcW w:w="1628" w:type="dxa"/>
          </w:tcPr>
          <w:p w14:paraId="01C935B4" w14:textId="77777777" w:rsidR="00030089" w:rsidRPr="00A91E00" w:rsidRDefault="00030089" w:rsidP="008547F7">
            <w:pPr>
              <w:pStyle w:val="Default"/>
              <w:jc w:val="right"/>
              <w:rPr>
                <w:sz w:val="18"/>
                <w:szCs w:val="18"/>
              </w:rPr>
            </w:pPr>
            <w:r w:rsidRPr="00A91E00">
              <w:rPr>
                <w:sz w:val="18"/>
                <w:szCs w:val="18"/>
              </w:rPr>
              <w:t>$710</w:t>
            </w:r>
          </w:p>
        </w:tc>
        <w:tc>
          <w:tcPr>
            <w:tcW w:w="1628" w:type="dxa"/>
          </w:tcPr>
          <w:p w14:paraId="1F1DF4C3" w14:textId="77777777" w:rsidR="00030089" w:rsidRPr="00A91E00" w:rsidRDefault="00030089" w:rsidP="008547F7">
            <w:pPr>
              <w:pStyle w:val="Default"/>
              <w:jc w:val="right"/>
              <w:rPr>
                <w:sz w:val="18"/>
                <w:szCs w:val="18"/>
              </w:rPr>
            </w:pPr>
            <w:r w:rsidRPr="00A91E00">
              <w:rPr>
                <w:sz w:val="18"/>
                <w:szCs w:val="18"/>
              </w:rPr>
              <w:t>4.50</w:t>
            </w:r>
          </w:p>
        </w:tc>
        <w:tc>
          <w:tcPr>
            <w:tcW w:w="1628" w:type="dxa"/>
          </w:tcPr>
          <w:p w14:paraId="5B43A36C" w14:textId="77777777" w:rsidR="00030089" w:rsidRPr="00A91E00" w:rsidRDefault="00030089" w:rsidP="008547F7">
            <w:pPr>
              <w:pStyle w:val="Default"/>
              <w:jc w:val="right"/>
              <w:rPr>
                <w:sz w:val="18"/>
                <w:szCs w:val="18"/>
              </w:rPr>
            </w:pPr>
            <w:r w:rsidRPr="00A91E00">
              <w:rPr>
                <w:sz w:val="18"/>
                <w:szCs w:val="18"/>
              </w:rPr>
              <w:t>28 400</w:t>
            </w:r>
          </w:p>
        </w:tc>
        <w:tc>
          <w:tcPr>
            <w:tcW w:w="1629" w:type="dxa"/>
          </w:tcPr>
          <w:p w14:paraId="4CE15B1F" w14:textId="77777777" w:rsidR="00030089" w:rsidRPr="00A91E00" w:rsidRDefault="00030089" w:rsidP="008547F7">
            <w:pPr>
              <w:pStyle w:val="Default"/>
              <w:jc w:val="right"/>
              <w:rPr>
                <w:sz w:val="18"/>
                <w:szCs w:val="18"/>
              </w:rPr>
            </w:pPr>
            <w:r w:rsidRPr="00A91E00">
              <w:rPr>
                <w:sz w:val="18"/>
                <w:szCs w:val="18"/>
              </w:rPr>
              <w:t>867 000</w:t>
            </w:r>
          </w:p>
        </w:tc>
      </w:tr>
      <w:tr w:rsidR="00030089" w:rsidRPr="00F43D27" w14:paraId="445F2564" w14:textId="77777777" w:rsidTr="008547F7">
        <w:trPr>
          <w:trHeight w:hRule="exact" w:val="567"/>
        </w:trPr>
        <w:tc>
          <w:tcPr>
            <w:tcW w:w="1101" w:type="dxa"/>
          </w:tcPr>
          <w:p w14:paraId="2D763553" w14:textId="77777777" w:rsidR="00030089" w:rsidRPr="00A91E00" w:rsidRDefault="00030089" w:rsidP="008547F7">
            <w:pPr>
              <w:pStyle w:val="Default"/>
              <w:rPr>
                <w:sz w:val="18"/>
                <w:szCs w:val="18"/>
              </w:rPr>
            </w:pPr>
            <w:r w:rsidRPr="00A91E00">
              <w:rPr>
                <w:sz w:val="18"/>
                <w:szCs w:val="18"/>
              </w:rPr>
              <w:t>Option 4B</w:t>
            </w:r>
          </w:p>
        </w:tc>
        <w:tc>
          <w:tcPr>
            <w:tcW w:w="1628" w:type="dxa"/>
          </w:tcPr>
          <w:p w14:paraId="2AE86D2C" w14:textId="77777777" w:rsidR="00030089" w:rsidRPr="00A91E00" w:rsidRDefault="00030089" w:rsidP="008547F7">
            <w:pPr>
              <w:pStyle w:val="Default"/>
              <w:jc w:val="right"/>
              <w:rPr>
                <w:sz w:val="18"/>
                <w:szCs w:val="18"/>
              </w:rPr>
            </w:pPr>
            <w:r w:rsidRPr="00A91E00">
              <w:rPr>
                <w:sz w:val="18"/>
                <w:szCs w:val="18"/>
              </w:rPr>
              <w:t>$2 471</w:t>
            </w:r>
          </w:p>
        </w:tc>
        <w:tc>
          <w:tcPr>
            <w:tcW w:w="1628" w:type="dxa"/>
          </w:tcPr>
          <w:p w14:paraId="31B0F76B" w14:textId="77777777" w:rsidR="00030089" w:rsidRPr="00A91E00" w:rsidRDefault="00030089" w:rsidP="008547F7">
            <w:pPr>
              <w:pStyle w:val="Default"/>
              <w:jc w:val="right"/>
              <w:rPr>
                <w:sz w:val="18"/>
                <w:szCs w:val="18"/>
              </w:rPr>
            </w:pPr>
            <w:r w:rsidRPr="00A91E00">
              <w:rPr>
                <w:sz w:val="18"/>
                <w:szCs w:val="18"/>
              </w:rPr>
              <w:t>$710</w:t>
            </w:r>
          </w:p>
        </w:tc>
        <w:tc>
          <w:tcPr>
            <w:tcW w:w="1628" w:type="dxa"/>
          </w:tcPr>
          <w:p w14:paraId="6D1093D1" w14:textId="77777777" w:rsidR="00030089" w:rsidRPr="00A91E00" w:rsidRDefault="00030089" w:rsidP="008547F7">
            <w:pPr>
              <w:pStyle w:val="Default"/>
              <w:jc w:val="right"/>
              <w:rPr>
                <w:sz w:val="18"/>
                <w:szCs w:val="18"/>
              </w:rPr>
            </w:pPr>
            <w:r w:rsidRPr="00A91E00">
              <w:rPr>
                <w:sz w:val="18"/>
                <w:szCs w:val="18"/>
              </w:rPr>
              <w:t>4.31</w:t>
            </w:r>
          </w:p>
        </w:tc>
        <w:tc>
          <w:tcPr>
            <w:tcW w:w="1628" w:type="dxa"/>
          </w:tcPr>
          <w:p w14:paraId="3003B1DD" w14:textId="77777777" w:rsidR="00030089" w:rsidRPr="00A91E00" w:rsidRDefault="00030089" w:rsidP="008547F7">
            <w:pPr>
              <w:pStyle w:val="Default"/>
              <w:jc w:val="right"/>
              <w:rPr>
                <w:sz w:val="18"/>
                <w:szCs w:val="18"/>
              </w:rPr>
            </w:pPr>
            <w:r w:rsidRPr="00A91E00">
              <w:rPr>
                <w:sz w:val="18"/>
                <w:szCs w:val="18"/>
              </w:rPr>
              <w:t>28 400</w:t>
            </w:r>
          </w:p>
        </w:tc>
        <w:tc>
          <w:tcPr>
            <w:tcW w:w="1629" w:type="dxa"/>
          </w:tcPr>
          <w:p w14:paraId="18CB2535" w14:textId="77777777" w:rsidR="00030089" w:rsidRPr="00A91E00" w:rsidRDefault="00030089" w:rsidP="008547F7">
            <w:pPr>
              <w:pStyle w:val="Default"/>
              <w:jc w:val="right"/>
              <w:rPr>
                <w:sz w:val="18"/>
                <w:szCs w:val="18"/>
              </w:rPr>
            </w:pPr>
            <w:r w:rsidRPr="00A91E00">
              <w:rPr>
                <w:sz w:val="18"/>
                <w:szCs w:val="18"/>
              </w:rPr>
              <w:t>867 000</w:t>
            </w:r>
          </w:p>
        </w:tc>
      </w:tr>
    </w:tbl>
    <w:p w14:paraId="45794BC9" w14:textId="77777777" w:rsidR="00F702E2" w:rsidRDefault="00F702E2" w:rsidP="00030089">
      <w:pPr>
        <w:pStyle w:val="Default"/>
      </w:pPr>
    </w:p>
    <w:p w14:paraId="112A3D94" w14:textId="77777777" w:rsidR="00030089" w:rsidRPr="00F702E2" w:rsidRDefault="00030089" w:rsidP="00030089">
      <w:pPr>
        <w:pStyle w:val="Default"/>
        <w:rPr>
          <w:sz w:val="24"/>
          <w:szCs w:val="24"/>
        </w:rPr>
      </w:pPr>
      <w:r w:rsidRPr="00F702E2">
        <w:rPr>
          <w:sz w:val="24"/>
          <w:szCs w:val="24"/>
        </w:rPr>
        <w:lastRenderedPageBreak/>
        <w:t xml:space="preserve">A study of households’ willingness to pay for increased packaging recycling was undertaken in 2010 to quantify non-market values such as environmental benefits or a feeling of civic duty. In Table 4.31, the willingness to pay values for increased recycling are applied across the options being assessed, using the point estimate and lower and upper 95% confidence interval limits. The figures below were presented alongside the CBA results to allow for these non-market aspects to be taken into consideration in assessing the overall costs and benefits of the options. </w:t>
      </w:r>
    </w:p>
    <w:p w14:paraId="1C891ED9"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77" w:name="_Toc353562522"/>
      <w:r w:rsidR="00740026">
        <w:rPr>
          <w:noProof/>
          <w:color w:val="auto"/>
        </w:rPr>
        <w:t>41</w:t>
      </w:r>
      <w:r w:rsidRPr="00682556">
        <w:rPr>
          <w:noProof/>
          <w:color w:val="auto"/>
        </w:rPr>
        <w:fldChar w:fldCharType="end"/>
      </w:r>
      <w:r w:rsidRPr="00682556">
        <w:rPr>
          <w:noProof/>
          <w:color w:val="auto"/>
        </w:rPr>
        <w:t xml:space="preserve"> Table 4.</w:t>
      </w:r>
      <w:r>
        <w:rPr>
          <w:noProof/>
          <w:color w:val="auto"/>
        </w:rPr>
        <w:t>31</w:t>
      </w:r>
      <w:r w:rsidRPr="00682556">
        <w:rPr>
          <w:noProof/>
          <w:color w:val="auto"/>
        </w:rPr>
        <w:t>: Summary of Willingness to Pay for Increased Recycling; total benefits ($ Millions) resulting from projected increase in recycling</w:t>
      </w:r>
      <w:bookmarkEnd w:id="277"/>
      <w:r w:rsidRPr="00682556">
        <w:rPr>
          <w:noProof/>
          <w:color w:val="aut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54"/>
        <w:gridCol w:w="1154"/>
        <w:gridCol w:w="1154"/>
        <w:gridCol w:w="1154"/>
        <w:gridCol w:w="1154"/>
        <w:gridCol w:w="1154"/>
        <w:gridCol w:w="1155"/>
      </w:tblGrid>
      <w:tr w:rsidR="00030089" w:rsidRPr="000D729E" w14:paraId="69AC1501" w14:textId="77777777" w:rsidTr="008547F7">
        <w:trPr>
          <w:trHeight w:val="596"/>
        </w:trPr>
        <w:tc>
          <w:tcPr>
            <w:tcW w:w="993" w:type="dxa"/>
            <w:shd w:val="pct10" w:color="auto" w:fill="auto"/>
          </w:tcPr>
          <w:p w14:paraId="53713AA1" w14:textId="77777777" w:rsidR="00030089" w:rsidRPr="000D729E" w:rsidRDefault="00030089" w:rsidP="008547F7">
            <w:pPr>
              <w:pStyle w:val="Default"/>
              <w:jc w:val="left"/>
              <w:rPr>
                <w:sz w:val="18"/>
                <w:szCs w:val="18"/>
              </w:rPr>
            </w:pPr>
          </w:p>
        </w:tc>
        <w:tc>
          <w:tcPr>
            <w:tcW w:w="1154" w:type="dxa"/>
            <w:shd w:val="pct10" w:color="auto" w:fill="auto"/>
          </w:tcPr>
          <w:p w14:paraId="39E31D7D" w14:textId="77777777" w:rsidR="00030089" w:rsidRPr="000D729E" w:rsidRDefault="00030089" w:rsidP="008547F7">
            <w:pPr>
              <w:pStyle w:val="NoSpacing"/>
              <w:spacing w:before="60" w:line="360" w:lineRule="auto"/>
              <w:jc w:val="right"/>
              <w:rPr>
                <w:rFonts w:ascii="Arial" w:hAnsi="Arial" w:cs="Arial"/>
                <w:b/>
                <w:sz w:val="18"/>
                <w:szCs w:val="18"/>
              </w:rPr>
            </w:pPr>
            <w:r w:rsidRPr="000D729E">
              <w:rPr>
                <w:rFonts w:ascii="Arial" w:hAnsi="Arial" w:cs="Arial"/>
                <w:b/>
                <w:sz w:val="18"/>
                <w:szCs w:val="18"/>
              </w:rPr>
              <w:t>Option 1</w:t>
            </w:r>
          </w:p>
          <w:p w14:paraId="58EF0692" w14:textId="77777777" w:rsidR="00030089" w:rsidRPr="000D729E" w:rsidRDefault="00030089" w:rsidP="008547F7">
            <w:pPr>
              <w:pStyle w:val="NoSpacing"/>
              <w:spacing w:before="60" w:line="360" w:lineRule="auto"/>
              <w:jc w:val="right"/>
              <w:rPr>
                <w:rFonts w:ascii="Arial" w:hAnsi="Arial" w:cs="Arial"/>
                <w:sz w:val="18"/>
                <w:szCs w:val="18"/>
              </w:rPr>
            </w:pPr>
          </w:p>
        </w:tc>
        <w:tc>
          <w:tcPr>
            <w:tcW w:w="1154" w:type="dxa"/>
            <w:shd w:val="pct10" w:color="auto" w:fill="auto"/>
          </w:tcPr>
          <w:p w14:paraId="64DBF7C9" w14:textId="77777777" w:rsidR="00030089" w:rsidRPr="000D729E" w:rsidRDefault="00030089" w:rsidP="008547F7">
            <w:pPr>
              <w:pStyle w:val="NoSpacing"/>
              <w:spacing w:before="60" w:line="360" w:lineRule="auto"/>
              <w:jc w:val="right"/>
              <w:rPr>
                <w:rFonts w:ascii="Arial" w:hAnsi="Arial" w:cs="Arial"/>
                <w:sz w:val="18"/>
                <w:szCs w:val="18"/>
              </w:rPr>
            </w:pPr>
            <w:r w:rsidRPr="000D729E">
              <w:rPr>
                <w:rFonts w:ascii="Arial" w:hAnsi="Arial" w:cs="Arial"/>
                <w:b/>
                <w:bCs/>
                <w:sz w:val="18"/>
                <w:szCs w:val="18"/>
              </w:rPr>
              <w:t xml:space="preserve">Option 2 (A) </w:t>
            </w:r>
          </w:p>
        </w:tc>
        <w:tc>
          <w:tcPr>
            <w:tcW w:w="1154" w:type="dxa"/>
            <w:shd w:val="pct10" w:color="auto" w:fill="auto"/>
          </w:tcPr>
          <w:p w14:paraId="65BDD7AC" w14:textId="77777777" w:rsidR="00030089" w:rsidRPr="000D729E" w:rsidRDefault="00030089" w:rsidP="008547F7">
            <w:pPr>
              <w:pStyle w:val="NoSpacing"/>
              <w:spacing w:before="60" w:line="360" w:lineRule="auto"/>
              <w:jc w:val="right"/>
              <w:rPr>
                <w:rFonts w:ascii="Arial" w:hAnsi="Arial" w:cs="Arial"/>
                <w:b/>
                <w:sz w:val="18"/>
                <w:szCs w:val="18"/>
              </w:rPr>
            </w:pPr>
            <w:r w:rsidRPr="000D729E">
              <w:rPr>
                <w:rFonts w:ascii="Arial" w:hAnsi="Arial" w:cs="Arial"/>
                <w:b/>
                <w:sz w:val="18"/>
                <w:szCs w:val="18"/>
              </w:rPr>
              <w:t xml:space="preserve">Option 2 (B) </w:t>
            </w:r>
          </w:p>
          <w:p w14:paraId="3F07D2C7" w14:textId="77777777" w:rsidR="00030089" w:rsidRPr="000D729E" w:rsidRDefault="00030089" w:rsidP="008547F7">
            <w:pPr>
              <w:pStyle w:val="NoSpacing"/>
              <w:spacing w:before="60" w:line="360" w:lineRule="auto"/>
              <w:jc w:val="right"/>
              <w:rPr>
                <w:rFonts w:ascii="Arial" w:hAnsi="Arial" w:cs="Arial"/>
                <w:sz w:val="18"/>
                <w:szCs w:val="18"/>
              </w:rPr>
            </w:pPr>
          </w:p>
        </w:tc>
        <w:tc>
          <w:tcPr>
            <w:tcW w:w="1154" w:type="dxa"/>
            <w:shd w:val="pct10" w:color="auto" w:fill="auto"/>
          </w:tcPr>
          <w:p w14:paraId="2A2DE859" w14:textId="77777777" w:rsidR="00030089" w:rsidRPr="000D729E" w:rsidRDefault="00030089" w:rsidP="008547F7">
            <w:pPr>
              <w:pStyle w:val="NoSpacing"/>
              <w:spacing w:before="60" w:line="360" w:lineRule="auto"/>
              <w:jc w:val="right"/>
              <w:rPr>
                <w:rFonts w:ascii="Arial" w:hAnsi="Arial" w:cs="Arial"/>
                <w:b/>
                <w:sz w:val="18"/>
                <w:szCs w:val="18"/>
              </w:rPr>
            </w:pPr>
            <w:r w:rsidRPr="000D729E">
              <w:rPr>
                <w:rFonts w:ascii="Arial" w:hAnsi="Arial" w:cs="Arial"/>
                <w:b/>
                <w:sz w:val="18"/>
                <w:szCs w:val="18"/>
              </w:rPr>
              <w:t xml:space="preserve">Option 2 (C) </w:t>
            </w:r>
          </w:p>
          <w:p w14:paraId="3E375FD2" w14:textId="77777777" w:rsidR="00030089" w:rsidRPr="000D729E" w:rsidRDefault="00030089" w:rsidP="008547F7">
            <w:pPr>
              <w:pStyle w:val="NoSpacing"/>
              <w:spacing w:before="60" w:line="360" w:lineRule="auto"/>
              <w:jc w:val="right"/>
              <w:rPr>
                <w:rFonts w:ascii="Arial" w:hAnsi="Arial" w:cs="Arial"/>
                <w:sz w:val="18"/>
                <w:szCs w:val="18"/>
              </w:rPr>
            </w:pPr>
          </w:p>
        </w:tc>
        <w:tc>
          <w:tcPr>
            <w:tcW w:w="1154" w:type="dxa"/>
            <w:shd w:val="pct10" w:color="auto" w:fill="auto"/>
          </w:tcPr>
          <w:p w14:paraId="6D63CBAF" w14:textId="77777777" w:rsidR="00030089" w:rsidRPr="000D729E" w:rsidRDefault="00030089" w:rsidP="008547F7">
            <w:pPr>
              <w:pStyle w:val="NoSpacing"/>
              <w:spacing w:before="60" w:line="360" w:lineRule="auto"/>
              <w:jc w:val="right"/>
              <w:rPr>
                <w:rFonts w:ascii="Arial" w:hAnsi="Arial" w:cs="Arial"/>
                <w:b/>
                <w:sz w:val="18"/>
                <w:szCs w:val="18"/>
              </w:rPr>
            </w:pPr>
            <w:r w:rsidRPr="000D729E">
              <w:rPr>
                <w:rFonts w:ascii="Arial" w:hAnsi="Arial" w:cs="Arial"/>
                <w:b/>
                <w:sz w:val="18"/>
                <w:szCs w:val="18"/>
              </w:rPr>
              <w:t xml:space="preserve">Option 3 </w:t>
            </w:r>
          </w:p>
          <w:p w14:paraId="2889F4F5" w14:textId="77777777" w:rsidR="00030089" w:rsidRPr="000D729E" w:rsidRDefault="00030089" w:rsidP="008547F7">
            <w:pPr>
              <w:pStyle w:val="NoSpacing"/>
              <w:spacing w:before="60" w:line="360" w:lineRule="auto"/>
              <w:jc w:val="right"/>
              <w:rPr>
                <w:rFonts w:ascii="Arial" w:hAnsi="Arial" w:cs="Arial"/>
                <w:sz w:val="18"/>
                <w:szCs w:val="18"/>
              </w:rPr>
            </w:pPr>
          </w:p>
        </w:tc>
        <w:tc>
          <w:tcPr>
            <w:tcW w:w="1154" w:type="dxa"/>
            <w:shd w:val="pct10" w:color="auto" w:fill="auto"/>
          </w:tcPr>
          <w:p w14:paraId="4F87228F" w14:textId="77777777" w:rsidR="00030089" w:rsidRPr="000D729E" w:rsidRDefault="00030089" w:rsidP="008547F7">
            <w:pPr>
              <w:pStyle w:val="NoSpacing"/>
              <w:spacing w:before="60" w:line="360" w:lineRule="auto"/>
              <w:jc w:val="right"/>
              <w:rPr>
                <w:rFonts w:ascii="Arial" w:hAnsi="Arial" w:cs="Arial"/>
                <w:b/>
                <w:sz w:val="18"/>
                <w:szCs w:val="18"/>
              </w:rPr>
            </w:pPr>
            <w:r w:rsidRPr="000D729E">
              <w:rPr>
                <w:rFonts w:ascii="Arial" w:hAnsi="Arial" w:cs="Arial"/>
                <w:b/>
                <w:sz w:val="18"/>
                <w:szCs w:val="18"/>
              </w:rPr>
              <w:t xml:space="preserve">Option 4 (A) </w:t>
            </w:r>
          </w:p>
          <w:p w14:paraId="0E45B3B3" w14:textId="77777777" w:rsidR="00030089" w:rsidRPr="000D729E" w:rsidRDefault="00030089" w:rsidP="008547F7">
            <w:pPr>
              <w:pStyle w:val="NoSpacing"/>
              <w:spacing w:before="60" w:line="360" w:lineRule="auto"/>
              <w:jc w:val="right"/>
              <w:rPr>
                <w:rFonts w:ascii="Arial" w:hAnsi="Arial" w:cs="Arial"/>
                <w:sz w:val="18"/>
                <w:szCs w:val="18"/>
              </w:rPr>
            </w:pPr>
          </w:p>
        </w:tc>
        <w:tc>
          <w:tcPr>
            <w:tcW w:w="1155" w:type="dxa"/>
            <w:shd w:val="pct10" w:color="auto" w:fill="auto"/>
          </w:tcPr>
          <w:p w14:paraId="230B9526" w14:textId="77777777" w:rsidR="00030089" w:rsidRPr="000D729E" w:rsidRDefault="00030089" w:rsidP="008547F7">
            <w:pPr>
              <w:pStyle w:val="NoSpacing"/>
              <w:spacing w:before="60" w:line="360" w:lineRule="auto"/>
              <w:jc w:val="right"/>
              <w:rPr>
                <w:rFonts w:ascii="Arial" w:hAnsi="Arial" w:cs="Arial"/>
                <w:b/>
                <w:sz w:val="18"/>
                <w:szCs w:val="18"/>
              </w:rPr>
            </w:pPr>
            <w:r w:rsidRPr="000D729E">
              <w:rPr>
                <w:rFonts w:ascii="Arial" w:hAnsi="Arial" w:cs="Arial"/>
                <w:b/>
                <w:sz w:val="18"/>
                <w:szCs w:val="18"/>
              </w:rPr>
              <w:t xml:space="preserve">Option 4 (B) </w:t>
            </w:r>
          </w:p>
          <w:p w14:paraId="0E659259" w14:textId="77777777" w:rsidR="00030089" w:rsidRPr="000D729E" w:rsidRDefault="00030089" w:rsidP="008547F7">
            <w:pPr>
              <w:pStyle w:val="NoSpacing"/>
              <w:spacing w:before="60" w:line="360" w:lineRule="auto"/>
              <w:jc w:val="right"/>
              <w:rPr>
                <w:rFonts w:ascii="Arial" w:hAnsi="Arial" w:cs="Arial"/>
                <w:sz w:val="18"/>
                <w:szCs w:val="18"/>
              </w:rPr>
            </w:pPr>
          </w:p>
        </w:tc>
      </w:tr>
      <w:tr w:rsidR="00030089" w:rsidRPr="000D729E" w14:paraId="7CC8B05A" w14:textId="77777777" w:rsidTr="008547F7">
        <w:trPr>
          <w:trHeight w:hRule="exact" w:val="862"/>
        </w:trPr>
        <w:tc>
          <w:tcPr>
            <w:tcW w:w="993" w:type="dxa"/>
          </w:tcPr>
          <w:p w14:paraId="09AEBBCE" w14:textId="77777777" w:rsidR="00030089" w:rsidRPr="000D729E" w:rsidRDefault="00030089" w:rsidP="008547F7">
            <w:pPr>
              <w:pStyle w:val="Default"/>
              <w:rPr>
                <w:sz w:val="18"/>
                <w:szCs w:val="18"/>
              </w:rPr>
            </w:pPr>
            <w:r w:rsidRPr="000D729E">
              <w:rPr>
                <w:sz w:val="18"/>
                <w:szCs w:val="18"/>
              </w:rPr>
              <w:t xml:space="preserve">Lower estimate </w:t>
            </w:r>
          </w:p>
        </w:tc>
        <w:tc>
          <w:tcPr>
            <w:tcW w:w="1154" w:type="dxa"/>
          </w:tcPr>
          <w:p w14:paraId="0F678BA8" w14:textId="77777777" w:rsidR="00030089" w:rsidRPr="000D729E" w:rsidRDefault="00030089" w:rsidP="008547F7">
            <w:pPr>
              <w:pStyle w:val="Default"/>
              <w:jc w:val="right"/>
              <w:rPr>
                <w:sz w:val="18"/>
                <w:szCs w:val="18"/>
              </w:rPr>
            </w:pPr>
            <w:r w:rsidRPr="000D729E">
              <w:rPr>
                <w:sz w:val="18"/>
                <w:szCs w:val="18"/>
              </w:rPr>
              <w:t>$234</w:t>
            </w:r>
          </w:p>
        </w:tc>
        <w:tc>
          <w:tcPr>
            <w:tcW w:w="1154" w:type="dxa"/>
          </w:tcPr>
          <w:p w14:paraId="126559E4" w14:textId="77777777" w:rsidR="00030089" w:rsidRPr="000D729E" w:rsidRDefault="00030089" w:rsidP="008547F7">
            <w:pPr>
              <w:pStyle w:val="Default"/>
              <w:jc w:val="right"/>
              <w:rPr>
                <w:sz w:val="18"/>
                <w:szCs w:val="18"/>
              </w:rPr>
            </w:pPr>
            <w:r w:rsidRPr="000D729E">
              <w:rPr>
                <w:sz w:val="18"/>
                <w:szCs w:val="18"/>
              </w:rPr>
              <w:t xml:space="preserve">$233 </w:t>
            </w:r>
          </w:p>
        </w:tc>
        <w:tc>
          <w:tcPr>
            <w:tcW w:w="1154" w:type="dxa"/>
          </w:tcPr>
          <w:p w14:paraId="55363999" w14:textId="77777777" w:rsidR="00030089" w:rsidRPr="000D729E" w:rsidRDefault="00030089" w:rsidP="008547F7">
            <w:pPr>
              <w:pStyle w:val="Default"/>
              <w:jc w:val="right"/>
              <w:rPr>
                <w:sz w:val="18"/>
                <w:szCs w:val="18"/>
              </w:rPr>
            </w:pPr>
            <w:r w:rsidRPr="000D729E">
              <w:rPr>
                <w:sz w:val="18"/>
                <w:szCs w:val="18"/>
              </w:rPr>
              <w:t xml:space="preserve">$422 </w:t>
            </w:r>
          </w:p>
        </w:tc>
        <w:tc>
          <w:tcPr>
            <w:tcW w:w="1154" w:type="dxa"/>
          </w:tcPr>
          <w:p w14:paraId="1C4C7E26" w14:textId="77777777" w:rsidR="00030089" w:rsidRPr="000D729E" w:rsidRDefault="00030089" w:rsidP="008547F7">
            <w:pPr>
              <w:pStyle w:val="Default"/>
              <w:jc w:val="right"/>
              <w:rPr>
                <w:sz w:val="18"/>
                <w:szCs w:val="18"/>
              </w:rPr>
            </w:pPr>
            <w:r w:rsidRPr="000D729E">
              <w:rPr>
                <w:sz w:val="18"/>
                <w:szCs w:val="18"/>
              </w:rPr>
              <w:t xml:space="preserve">$689 </w:t>
            </w:r>
          </w:p>
        </w:tc>
        <w:tc>
          <w:tcPr>
            <w:tcW w:w="1154" w:type="dxa"/>
          </w:tcPr>
          <w:p w14:paraId="3D9029EF" w14:textId="77777777" w:rsidR="00030089" w:rsidRPr="000D729E" w:rsidRDefault="00030089" w:rsidP="008547F7">
            <w:pPr>
              <w:pStyle w:val="Default"/>
              <w:jc w:val="right"/>
              <w:rPr>
                <w:sz w:val="18"/>
                <w:szCs w:val="18"/>
              </w:rPr>
            </w:pPr>
            <w:r w:rsidRPr="000D729E">
              <w:rPr>
                <w:sz w:val="18"/>
                <w:szCs w:val="18"/>
              </w:rPr>
              <w:t xml:space="preserve">$689 </w:t>
            </w:r>
          </w:p>
        </w:tc>
        <w:tc>
          <w:tcPr>
            <w:tcW w:w="1154" w:type="dxa"/>
          </w:tcPr>
          <w:p w14:paraId="5EA57D28" w14:textId="77777777" w:rsidR="00030089" w:rsidRPr="000D729E" w:rsidRDefault="00030089" w:rsidP="008547F7">
            <w:pPr>
              <w:pStyle w:val="Default"/>
              <w:jc w:val="right"/>
              <w:rPr>
                <w:sz w:val="18"/>
                <w:szCs w:val="18"/>
              </w:rPr>
            </w:pPr>
            <w:r w:rsidRPr="000D729E">
              <w:rPr>
                <w:sz w:val="18"/>
                <w:szCs w:val="18"/>
              </w:rPr>
              <w:t xml:space="preserve">$465 </w:t>
            </w:r>
          </w:p>
        </w:tc>
        <w:tc>
          <w:tcPr>
            <w:tcW w:w="1155" w:type="dxa"/>
          </w:tcPr>
          <w:p w14:paraId="0DBF3E60" w14:textId="77777777" w:rsidR="00030089" w:rsidRPr="000D729E" w:rsidRDefault="00030089" w:rsidP="008547F7">
            <w:pPr>
              <w:pStyle w:val="Default"/>
              <w:jc w:val="right"/>
              <w:rPr>
                <w:sz w:val="18"/>
                <w:szCs w:val="18"/>
              </w:rPr>
            </w:pPr>
            <w:r w:rsidRPr="000D729E">
              <w:rPr>
                <w:sz w:val="18"/>
                <w:szCs w:val="18"/>
              </w:rPr>
              <w:t xml:space="preserve">$465 </w:t>
            </w:r>
          </w:p>
        </w:tc>
      </w:tr>
      <w:tr w:rsidR="00030089" w:rsidRPr="000D729E" w14:paraId="6F940C7A" w14:textId="77777777" w:rsidTr="008547F7">
        <w:trPr>
          <w:trHeight w:hRule="exact" w:val="851"/>
        </w:trPr>
        <w:tc>
          <w:tcPr>
            <w:tcW w:w="993" w:type="dxa"/>
          </w:tcPr>
          <w:p w14:paraId="3A2277D6" w14:textId="77777777" w:rsidR="00030089" w:rsidRPr="000D729E" w:rsidRDefault="00030089" w:rsidP="008547F7">
            <w:pPr>
              <w:pStyle w:val="Default"/>
              <w:rPr>
                <w:sz w:val="18"/>
                <w:szCs w:val="18"/>
              </w:rPr>
            </w:pPr>
            <w:r w:rsidRPr="000D729E">
              <w:rPr>
                <w:sz w:val="18"/>
                <w:szCs w:val="18"/>
              </w:rPr>
              <w:t xml:space="preserve">Point estimate </w:t>
            </w:r>
          </w:p>
        </w:tc>
        <w:tc>
          <w:tcPr>
            <w:tcW w:w="1154" w:type="dxa"/>
          </w:tcPr>
          <w:p w14:paraId="575C326B" w14:textId="77777777" w:rsidR="00030089" w:rsidRPr="000D729E" w:rsidRDefault="00030089" w:rsidP="008547F7">
            <w:pPr>
              <w:pStyle w:val="Default"/>
              <w:jc w:val="right"/>
              <w:rPr>
                <w:sz w:val="18"/>
                <w:szCs w:val="18"/>
              </w:rPr>
            </w:pPr>
            <w:r w:rsidRPr="000D729E">
              <w:rPr>
                <w:sz w:val="18"/>
                <w:szCs w:val="18"/>
              </w:rPr>
              <w:t xml:space="preserve">$296 </w:t>
            </w:r>
          </w:p>
        </w:tc>
        <w:tc>
          <w:tcPr>
            <w:tcW w:w="1154" w:type="dxa"/>
          </w:tcPr>
          <w:p w14:paraId="07071F5F" w14:textId="77777777" w:rsidR="00030089" w:rsidRPr="000D729E" w:rsidRDefault="00030089" w:rsidP="008547F7">
            <w:pPr>
              <w:pStyle w:val="Default"/>
              <w:jc w:val="right"/>
              <w:rPr>
                <w:sz w:val="18"/>
                <w:szCs w:val="18"/>
              </w:rPr>
            </w:pPr>
            <w:r w:rsidRPr="000D729E">
              <w:rPr>
                <w:sz w:val="18"/>
                <w:szCs w:val="18"/>
              </w:rPr>
              <w:t xml:space="preserve">$295 </w:t>
            </w:r>
          </w:p>
        </w:tc>
        <w:tc>
          <w:tcPr>
            <w:tcW w:w="1154" w:type="dxa"/>
          </w:tcPr>
          <w:p w14:paraId="374B3396" w14:textId="77777777" w:rsidR="00030089" w:rsidRPr="000D729E" w:rsidRDefault="00030089" w:rsidP="008547F7">
            <w:pPr>
              <w:pStyle w:val="Default"/>
              <w:jc w:val="right"/>
              <w:rPr>
                <w:sz w:val="18"/>
                <w:szCs w:val="18"/>
              </w:rPr>
            </w:pPr>
            <w:r w:rsidRPr="000D729E">
              <w:rPr>
                <w:sz w:val="18"/>
                <w:szCs w:val="18"/>
              </w:rPr>
              <w:t xml:space="preserve">$534 </w:t>
            </w:r>
          </w:p>
        </w:tc>
        <w:tc>
          <w:tcPr>
            <w:tcW w:w="1154" w:type="dxa"/>
          </w:tcPr>
          <w:p w14:paraId="5B06E48C" w14:textId="77777777" w:rsidR="00030089" w:rsidRPr="000D729E" w:rsidRDefault="00030089" w:rsidP="008547F7">
            <w:pPr>
              <w:pStyle w:val="Default"/>
              <w:jc w:val="right"/>
              <w:rPr>
                <w:sz w:val="18"/>
                <w:szCs w:val="18"/>
              </w:rPr>
            </w:pPr>
            <w:r w:rsidRPr="000D729E">
              <w:rPr>
                <w:sz w:val="18"/>
                <w:szCs w:val="18"/>
              </w:rPr>
              <w:t xml:space="preserve">$871 </w:t>
            </w:r>
          </w:p>
        </w:tc>
        <w:tc>
          <w:tcPr>
            <w:tcW w:w="1154" w:type="dxa"/>
          </w:tcPr>
          <w:p w14:paraId="327AADA5" w14:textId="77777777" w:rsidR="00030089" w:rsidRPr="000D729E" w:rsidRDefault="00030089" w:rsidP="008547F7">
            <w:pPr>
              <w:pStyle w:val="Default"/>
              <w:jc w:val="right"/>
              <w:rPr>
                <w:sz w:val="18"/>
                <w:szCs w:val="18"/>
              </w:rPr>
            </w:pPr>
            <w:r w:rsidRPr="000D729E">
              <w:rPr>
                <w:sz w:val="18"/>
                <w:szCs w:val="18"/>
              </w:rPr>
              <w:t xml:space="preserve">$871 </w:t>
            </w:r>
          </w:p>
        </w:tc>
        <w:tc>
          <w:tcPr>
            <w:tcW w:w="1154" w:type="dxa"/>
          </w:tcPr>
          <w:p w14:paraId="2764642A" w14:textId="77777777" w:rsidR="00030089" w:rsidRPr="000D729E" w:rsidRDefault="00030089" w:rsidP="008547F7">
            <w:pPr>
              <w:pStyle w:val="Default"/>
              <w:jc w:val="right"/>
              <w:rPr>
                <w:sz w:val="18"/>
                <w:szCs w:val="18"/>
              </w:rPr>
            </w:pPr>
            <w:r w:rsidRPr="000D729E">
              <w:rPr>
                <w:sz w:val="18"/>
                <w:szCs w:val="18"/>
              </w:rPr>
              <w:t xml:space="preserve">$588 </w:t>
            </w:r>
          </w:p>
        </w:tc>
        <w:tc>
          <w:tcPr>
            <w:tcW w:w="1155" w:type="dxa"/>
          </w:tcPr>
          <w:p w14:paraId="51637533" w14:textId="77777777" w:rsidR="00030089" w:rsidRPr="000D729E" w:rsidRDefault="00030089" w:rsidP="008547F7">
            <w:pPr>
              <w:pStyle w:val="Default"/>
              <w:jc w:val="right"/>
              <w:rPr>
                <w:sz w:val="18"/>
                <w:szCs w:val="18"/>
              </w:rPr>
            </w:pPr>
            <w:r w:rsidRPr="000D729E">
              <w:rPr>
                <w:sz w:val="18"/>
                <w:szCs w:val="18"/>
              </w:rPr>
              <w:t xml:space="preserve">$588 </w:t>
            </w:r>
          </w:p>
        </w:tc>
      </w:tr>
      <w:tr w:rsidR="00030089" w:rsidRPr="000D729E" w14:paraId="44DC49B2" w14:textId="77777777" w:rsidTr="008547F7">
        <w:trPr>
          <w:trHeight w:hRule="exact" w:val="851"/>
        </w:trPr>
        <w:tc>
          <w:tcPr>
            <w:tcW w:w="993" w:type="dxa"/>
          </w:tcPr>
          <w:p w14:paraId="1DAF9431" w14:textId="77777777" w:rsidR="00030089" w:rsidRPr="000D729E" w:rsidRDefault="00030089" w:rsidP="008547F7">
            <w:pPr>
              <w:pStyle w:val="Default"/>
              <w:rPr>
                <w:sz w:val="18"/>
                <w:szCs w:val="18"/>
              </w:rPr>
            </w:pPr>
            <w:r w:rsidRPr="000D729E">
              <w:rPr>
                <w:sz w:val="18"/>
                <w:szCs w:val="18"/>
              </w:rPr>
              <w:t>Upper estimate</w:t>
            </w:r>
          </w:p>
        </w:tc>
        <w:tc>
          <w:tcPr>
            <w:tcW w:w="1154" w:type="dxa"/>
          </w:tcPr>
          <w:p w14:paraId="73D4D69E" w14:textId="77777777" w:rsidR="00030089" w:rsidRPr="000D729E" w:rsidRDefault="00030089" w:rsidP="008547F7">
            <w:pPr>
              <w:pStyle w:val="Default"/>
              <w:jc w:val="right"/>
              <w:rPr>
                <w:sz w:val="18"/>
                <w:szCs w:val="18"/>
              </w:rPr>
            </w:pPr>
            <w:r w:rsidRPr="000D729E">
              <w:rPr>
                <w:sz w:val="18"/>
                <w:szCs w:val="18"/>
              </w:rPr>
              <w:t>$403</w:t>
            </w:r>
          </w:p>
        </w:tc>
        <w:tc>
          <w:tcPr>
            <w:tcW w:w="1154" w:type="dxa"/>
          </w:tcPr>
          <w:p w14:paraId="473A5BCA" w14:textId="77777777" w:rsidR="00030089" w:rsidRPr="000D729E" w:rsidRDefault="00030089" w:rsidP="008547F7">
            <w:pPr>
              <w:pStyle w:val="Default"/>
              <w:jc w:val="right"/>
              <w:rPr>
                <w:sz w:val="18"/>
                <w:szCs w:val="18"/>
              </w:rPr>
            </w:pPr>
            <w:r w:rsidRPr="000D729E">
              <w:rPr>
                <w:sz w:val="18"/>
                <w:szCs w:val="18"/>
              </w:rPr>
              <w:t xml:space="preserve">$402 </w:t>
            </w:r>
          </w:p>
        </w:tc>
        <w:tc>
          <w:tcPr>
            <w:tcW w:w="1154" w:type="dxa"/>
          </w:tcPr>
          <w:p w14:paraId="24E03FE8" w14:textId="77777777" w:rsidR="00030089" w:rsidRPr="000D729E" w:rsidRDefault="00030089" w:rsidP="008547F7">
            <w:pPr>
              <w:pStyle w:val="Default"/>
              <w:jc w:val="right"/>
              <w:rPr>
                <w:sz w:val="18"/>
                <w:szCs w:val="18"/>
              </w:rPr>
            </w:pPr>
            <w:r w:rsidRPr="000D729E">
              <w:rPr>
                <w:sz w:val="18"/>
                <w:szCs w:val="18"/>
              </w:rPr>
              <w:t xml:space="preserve">$727 </w:t>
            </w:r>
          </w:p>
        </w:tc>
        <w:tc>
          <w:tcPr>
            <w:tcW w:w="1154" w:type="dxa"/>
          </w:tcPr>
          <w:p w14:paraId="4A0073DC" w14:textId="77777777" w:rsidR="00030089" w:rsidRPr="000D729E" w:rsidRDefault="00030089" w:rsidP="008547F7">
            <w:pPr>
              <w:pStyle w:val="Default"/>
              <w:jc w:val="right"/>
              <w:rPr>
                <w:sz w:val="18"/>
                <w:szCs w:val="18"/>
              </w:rPr>
            </w:pPr>
            <w:r w:rsidRPr="000D729E">
              <w:rPr>
                <w:sz w:val="18"/>
                <w:szCs w:val="18"/>
              </w:rPr>
              <w:t>$1 186</w:t>
            </w:r>
          </w:p>
        </w:tc>
        <w:tc>
          <w:tcPr>
            <w:tcW w:w="1154" w:type="dxa"/>
          </w:tcPr>
          <w:p w14:paraId="0E698AD4" w14:textId="77777777" w:rsidR="00030089" w:rsidRPr="000D729E" w:rsidRDefault="00030089" w:rsidP="008547F7">
            <w:pPr>
              <w:pStyle w:val="Default"/>
              <w:jc w:val="right"/>
              <w:rPr>
                <w:sz w:val="18"/>
                <w:szCs w:val="18"/>
              </w:rPr>
            </w:pPr>
            <w:r w:rsidRPr="000D729E">
              <w:rPr>
                <w:sz w:val="18"/>
                <w:szCs w:val="18"/>
              </w:rPr>
              <w:t xml:space="preserve">$1 186 </w:t>
            </w:r>
          </w:p>
        </w:tc>
        <w:tc>
          <w:tcPr>
            <w:tcW w:w="1154" w:type="dxa"/>
          </w:tcPr>
          <w:p w14:paraId="01FF9A92" w14:textId="77777777" w:rsidR="00030089" w:rsidRPr="000D729E" w:rsidRDefault="00030089" w:rsidP="008547F7">
            <w:pPr>
              <w:pStyle w:val="Default"/>
              <w:jc w:val="right"/>
              <w:rPr>
                <w:sz w:val="18"/>
                <w:szCs w:val="18"/>
              </w:rPr>
            </w:pPr>
            <w:r w:rsidRPr="000D729E">
              <w:rPr>
                <w:sz w:val="18"/>
                <w:szCs w:val="18"/>
              </w:rPr>
              <w:t xml:space="preserve">$801 </w:t>
            </w:r>
          </w:p>
        </w:tc>
        <w:tc>
          <w:tcPr>
            <w:tcW w:w="1155" w:type="dxa"/>
          </w:tcPr>
          <w:p w14:paraId="45D98551" w14:textId="77777777" w:rsidR="00030089" w:rsidRPr="000D729E" w:rsidRDefault="00030089" w:rsidP="008547F7">
            <w:pPr>
              <w:pStyle w:val="Default"/>
              <w:jc w:val="right"/>
              <w:rPr>
                <w:sz w:val="18"/>
                <w:szCs w:val="18"/>
              </w:rPr>
            </w:pPr>
            <w:r w:rsidRPr="000D729E">
              <w:rPr>
                <w:sz w:val="18"/>
                <w:szCs w:val="18"/>
              </w:rPr>
              <w:t xml:space="preserve">$801 </w:t>
            </w:r>
          </w:p>
        </w:tc>
      </w:tr>
    </w:tbl>
    <w:p w14:paraId="4B47B780" w14:textId="77777777" w:rsidR="00F702E2" w:rsidRDefault="00F702E2" w:rsidP="00030089">
      <w:pPr>
        <w:spacing w:line="360" w:lineRule="auto"/>
        <w:jc w:val="both"/>
        <w:rPr>
          <w:rFonts w:ascii="Arial" w:hAnsi="Arial" w:cs="Arial"/>
        </w:rPr>
      </w:pPr>
      <w:bookmarkStart w:id="278" w:name="_Toc347929346"/>
      <w:bookmarkEnd w:id="278"/>
    </w:p>
    <w:p w14:paraId="52041744" w14:textId="77777777" w:rsidR="00030089" w:rsidRPr="00A13A9B" w:rsidRDefault="00030089" w:rsidP="00030089">
      <w:pPr>
        <w:spacing w:line="360" w:lineRule="auto"/>
        <w:jc w:val="both"/>
        <w:rPr>
          <w:rFonts w:ascii="Arial" w:hAnsi="Arial" w:cs="Arial"/>
        </w:rPr>
      </w:pPr>
      <w:r>
        <w:rPr>
          <w:rFonts w:ascii="Arial" w:hAnsi="Arial" w:cs="Arial"/>
        </w:rPr>
        <w:t xml:space="preserve">Table 4.32 presents </w:t>
      </w:r>
      <w:r w:rsidRPr="00262D8A">
        <w:rPr>
          <w:rFonts w:ascii="Arial" w:hAnsi="Arial" w:cs="Arial"/>
        </w:rPr>
        <w:t xml:space="preserve">the cost benefit analysis </w:t>
      </w:r>
      <w:r>
        <w:rPr>
          <w:rFonts w:ascii="Arial" w:hAnsi="Arial" w:cs="Arial"/>
        </w:rPr>
        <w:t xml:space="preserve">for Option 4A. Table 4.33 presents </w:t>
      </w:r>
      <w:r w:rsidRPr="00262D8A">
        <w:rPr>
          <w:rFonts w:ascii="Arial" w:hAnsi="Arial" w:cs="Arial"/>
        </w:rPr>
        <w:t>the</w:t>
      </w:r>
      <w:r>
        <w:rPr>
          <w:rFonts w:ascii="Arial" w:hAnsi="Arial" w:cs="Arial"/>
        </w:rPr>
        <w:t xml:space="preserve"> non market benefits </w:t>
      </w:r>
      <w:r w:rsidRPr="00262D8A">
        <w:rPr>
          <w:rFonts w:ascii="Arial" w:hAnsi="Arial" w:cs="Arial"/>
        </w:rPr>
        <w:t xml:space="preserve">for the </w:t>
      </w:r>
      <w:r>
        <w:rPr>
          <w:rFonts w:ascii="Arial" w:hAnsi="Arial" w:cs="Arial"/>
        </w:rPr>
        <w:t>Packaging Impacts CRIS’s Boomerang Alliance CDS option.</w:t>
      </w:r>
    </w:p>
    <w:p w14:paraId="01FD713C"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79" w:name="_Toc353562523"/>
      <w:r w:rsidR="00740026">
        <w:rPr>
          <w:noProof/>
          <w:color w:val="auto"/>
        </w:rPr>
        <w:t>42</w:t>
      </w:r>
      <w:r w:rsidRPr="00682556">
        <w:rPr>
          <w:noProof/>
          <w:color w:val="auto"/>
        </w:rPr>
        <w:fldChar w:fldCharType="end"/>
      </w:r>
      <w:r w:rsidRPr="00682556">
        <w:rPr>
          <w:noProof/>
          <w:color w:val="auto"/>
        </w:rPr>
        <w:t xml:space="preserve"> Table 4.</w:t>
      </w:r>
      <w:r>
        <w:rPr>
          <w:noProof/>
          <w:color w:val="auto"/>
        </w:rPr>
        <w:t>32</w:t>
      </w:r>
      <w:r w:rsidRPr="00682556">
        <w:rPr>
          <w:noProof/>
          <w:color w:val="auto"/>
        </w:rPr>
        <w:t>: Market costs and benefits of the operation of a Boomerang Alliance CDS over a 25 year analysis period</w:t>
      </w:r>
      <w:bookmarkEnd w:id="27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673"/>
      </w:tblGrid>
      <w:tr w:rsidR="00030089" w:rsidRPr="003D324F" w14:paraId="0F86C5F4" w14:textId="77777777" w:rsidTr="008547F7">
        <w:trPr>
          <w:trHeight w:hRule="exact" w:val="637"/>
          <w:tblHeader/>
        </w:trPr>
        <w:tc>
          <w:tcPr>
            <w:tcW w:w="3245" w:type="dxa"/>
            <w:shd w:val="pct10" w:color="auto" w:fill="FFFFFF" w:themeFill="background1"/>
          </w:tcPr>
          <w:p w14:paraId="72EDC2FE" w14:textId="77777777" w:rsidR="00030089" w:rsidRPr="001505FD" w:rsidRDefault="00030089" w:rsidP="008547F7">
            <w:pPr>
              <w:rPr>
                <w:rFonts w:ascii="Arial" w:hAnsi="Arial" w:cs="Arial"/>
                <w:b/>
                <w:sz w:val="18"/>
                <w:szCs w:val="18"/>
              </w:rPr>
            </w:pPr>
            <w:r w:rsidRPr="001505FD">
              <w:rPr>
                <w:rFonts w:ascii="Arial" w:hAnsi="Arial" w:cs="Arial"/>
                <w:b/>
                <w:sz w:val="18"/>
                <w:szCs w:val="18"/>
              </w:rPr>
              <w:t>Description of Costs / Benefits</w:t>
            </w:r>
          </w:p>
        </w:tc>
        <w:tc>
          <w:tcPr>
            <w:tcW w:w="2673" w:type="dxa"/>
            <w:shd w:val="pct10" w:color="auto" w:fill="FFFFFF" w:themeFill="background1"/>
          </w:tcPr>
          <w:p w14:paraId="265E6CF5" w14:textId="77777777" w:rsidR="00030089" w:rsidRPr="001505FD" w:rsidRDefault="00030089" w:rsidP="008547F7">
            <w:pPr>
              <w:jc w:val="right"/>
              <w:rPr>
                <w:rFonts w:ascii="Arial" w:hAnsi="Arial" w:cs="Arial"/>
                <w:b/>
                <w:sz w:val="18"/>
                <w:szCs w:val="18"/>
              </w:rPr>
            </w:pPr>
            <w:r w:rsidRPr="00262D8A">
              <w:rPr>
                <w:rFonts w:ascii="Arial" w:hAnsi="Arial" w:cs="Arial"/>
                <w:b/>
                <w:sz w:val="18"/>
                <w:szCs w:val="18"/>
              </w:rPr>
              <w:t>Boom</w:t>
            </w:r>
            <w:r w:rsidRPr="00E1402A">
              <w:rPr>
                <w:rFonts w:ascii="Arial" w:hAnsi="Arial" w:cs="Arial"/>
                <w:b/>
                <w:sz w:val="18"/>
                <w:szCs w:val="18"/>
              </w:rPr>
              <w:t xml:space="preserve">erang Alliance CDS </w:t>
            </w:r>
            <w:r>
              <w:rPr>
                <w:rFonts w:ascii="Arial" w:hAnsi="Arial" w:cs="Arial"/>
                <w:b/>
                <w:sz w:val="18"/>
                <w:szCs w:val="18"/>
              </w:rPr>
              <w:t>national values</w:t>
            </w:r>
          </w:p>
        </w:tc>
      </w:tr>
      <w:tr w:rsidR="00030089" w:rsidRPr="003D324F" w14:paraId="3A73292A" w14:textId="77777777" w:rsidTr="008547F7">
        <w:tc>
          <w:tcPr>
            <w:tcW w:w="3245" w:type="dxa"/>
            <w:shd w:val="clear" w:color="auto" w:fill="FFFFFF" w:themeFill="background1"/>
          </w:tcPr>
          <w:p w14:paraId="4064D80A" w14:textId="77777777" w:rsidR="00030089" w:rsidRPr="001505FD" w:rsidRDefault="00030089" w:rsidP="008547F7">
            <w:pPr>
              <w:rPr>
                <w:rFonts w:ascii="Arial" w:hAnsi="Arial" w:cs="Arial"/>
                <w:b/>
                <w:sz w:val="18"/>
                <w:szCs w:val="18"/>
              </w:rPr>
            </w:pPr>
            <w:r w:rsidRPr="001505FD">
              <w:rPr>
                <w:rFonts w:ascii="Arial" w:hAnsi="Arial" w:cs="Arial"/>
                <w:b/>
                <w:sz w:val="18"/>
                <w:szCs w:val="18"/>
              </w:rPr>
              <w:t>Costs</w:t>
            </w:r>
          </w:p>
        </w:tc>
        <w:tc>
          <w:tcPr>
            <w:tcW w:w="2673" w:type="dxa"/>
            <w:shd w:val="clear" w:color="auto" w:fill="FFFFFF" w:themeFill="background1"/>
          </w:tcPr>
          <w:p w14:paraId="77C0CC86" w14:textId="77777777" w:rsidR="00030089" w:rsidRPr="001505FD" w:rsidRDefault="00030089" w:rsidP="008547F7">
            <w:pPr>
              <w:jc w:val="right"/>
              <w:rPr>
                <w:rFonts w:ascii="Arial" w:hAnsi="Arial" w:cs="Arial"/>
                <w:sz w:val="18"/>
                <w:szCs w:val="18"/>
              </w:rPr>
            </w:pPr>
          </w:p>
        </w:tc>
      </w:tr>
      <w:tr w:rsidR="00030089" w:rsidRPr="003D324F" w14:paraId="072F7B22" w14:textId="77777777" w:rsidTr="008547F7">
        <w:tc>
          <w:tcPr>
            <w:tcW w:w="3245" w:type="dxa"/>
          </w:tcPr>
          <w:p w14:paraId="6EFF0D17" w14:textId="77777777" w:rsidR="00030089" w:rsidRPr="001505FD" w:rsidRDefault="00030089" w:rsidP="008547F7">
            <w:pPr>
              <w:rPr>
                <w:rFonts w:ascii="Arial" w:hAnsi="Arial" w:cs="Arial"/>
                <w:sz w:val="18"/>
                <w:szCs w:val="18"/>
              </w:rPr>
            </w:pPr>
            <w:r>
              <w:rPr>
                <w:rFonts w:ascii="Arial" w:hAnsi="Arial" w:cs="Arial"/>
                <w:sz w:val="18"/>
                <w:szCs w:val="18"/>
              </w:rPr>
              <w:t>S</w:t>
            </w:r>
            <w:r w:rsidRPr="001505FD">
              <w:rPr>
                <w:rFonts w:ascii="Arial" w:hAnsi="Arial" w:cs="Arial"/>
                <w:sz w:val="18"/>
                <w:szCs w:val="18"/>
              </w:rPr>
              <w:t>cheme design and implementation</w:t>
            </w:r>
          </w:p>
        </w:tc>
        <w:tc>
          <w:tcPr>
            <w:tcW w:w="2673" w:type="dxa"/>
          </w:tcPr>
          <w:p w14:paraId="49A62D95" w14:textId="77777777" w:rsidR="00030089" w:rsidRPr="001505FD" w:rsidRDefault="00030089" w:rsidP="008547F7">
            <w:pPr>
              <w:jc w:val="right"/>
              <w:rPr>
                <w:rFonts w:ascii="Arial" w:hAnsi="Arial" w:cs="Arial"/>
                <w:sz w:val="18"/>
                <w:szCs w:val="18"/>
              </w:rPr>
            </w:pPr>
            <w:r>
              <w:rPr>
                <w:rFonts w:ascii="Arial" w:hAnsi="Arial" w:cs="Arial"/>
                <w:sz w:val="18"/>
                <w:szCs w:val="18"/>
              </w:rPr>
              <w:t>$11 000 000</w:t>
            </w:r>
          </w:p>
        </w:tc>
      </w:tr>
      <w:tr w:rsidR="00030089" w:rsidRPr="003D324F" w14:paraId="70DB1E67" w14:textId="77777777" w:rsidTr="008547F7">
        <w:tc>
          <w:tcPr>
            <w:tcW w:w="3245" w:type="dxa"/>
          </w:tcPr>
          <w:p w14:paraId="43937E33" w14:textId="77777777" w:rsidR="00030089" w:rsidRPr="001505FD" w:rsidRDefault="00030089" w:rsidP="008547F7">
            <w:pPr>
              <w:rPr>
                <w:rFonts w:ascii="Arial" w:hAnsi="Arial" w:cs="Arial"/>
                <w:sz w:val="18"/>
                <w:szCs w:val="18"/>
              </w:rPr>
            </w:pPr>
            <w:r>
              <w:rPr>
                <w:rFonts w:ascii="Arial" w:hAnsi="Arial" w:cs="Arial"/>
                <w:sz w:val="18"/>
                <w:szCs w:val="18"/>
              </w:rPr>
              <w:t>S</w:t>
            </w:r>
            <w:r w:rsidRPr="001505FD">
              <w:rPr>
                <w:rFonts w:ascii="Arial" w:hAnsi="Arial" w:cs="Arial"/>
                <w:sz w:val="18"/>
                <w:szCs w:val="18"/>
              </w:rPr>
              <w:t>cheme operation and compliance</w:t>
            </w:r>
          </w:p>
        </w:tc>
        <w:tc>
          <w:tcPr>
            <w:tcW w:w="2673" w:type="dxa"/>
          </w:tcPr>
          <w:p w14:paraId="0C5D42DF" w14:textId="77777777" w:rsidR="00030089" w:rsidRPr="001505FD" w:rsidRDefault="00030089" w:rsidP="008547F7">
            <w:pPr>
              <w:jc w:val="right"/>
              <w:rPr>
                <w:rFonts w:ascii="Arial" w:hAnsi="Arial" w:cs="Arial"/>
                <w:sz w:val="18"/>
                <w:szCs w:val="18"/>
              </w:rPr>
            </w:pPr>
            <w:r>
              <w:rPr>
                <w:rFonts w:ascii="Arial" w:hAnsi="Arial" w:cs="Arial"/>
                <w:sz w:val="18"/>
                <w:szCs w:val="18"/>
              </w:rPr>
              <w:t>$4 383 000 000</w:t>
            </w:r>
          </w:p>
        </w:tc>
      </w:tr>
      <w:tr w:rsidR="00030089" w:rsidRPr="003D324F" w14:paraId="452CFDEE" w14:textId="77777777" w:rsidTr="008547F7">
        <w:tc>
          <w:tcPr>
            <w:tcW w:w="3245" w:type="dxa"/>
          </w:tcPr>
          <w:p w14:paraId="212A5ADE" w14:textId="77777777" w:rsidR="00030089" w:rsidRPr="001505FD" w:rsidRDefault="00030089" w:rsidP="008547F7">
            <w:pPr>
              <w:rPr>
                <w:rFonts w:ascii="Arial" w:hAnsi="Arial" w:cs="Arial"/>
                <w:sz w:val="18"/>
                <w:szCs w:val="18"/>
              </w:rPr>
            </w:pPr>
            <w:r>
              <w:rPr>
                <w:rFonts w:ascii="Arial" w:hAnsi="Arial" w:cs="Arial"/>
                <w:sz w:val="18"/>
                <w:szCs w:val="18"/>
              </w:rPr>
              <w:t>H</w:t>
            </w:r>
            <w:r w:rsidRPr="001505FD">
              <w:rPr>
                <w:rFonts w:ascii="Arial" w:hAnsi="Arial" w:cs="Arial"/>
                <w:sz w:val="18"/>
                <w:szCs w:val="18"/>
              </w:rPr>
              <w:t>ousehold participation costs</w:t>
            </w:r>
          </w:p>
        </w:tc>
        <w:tc>
          <w:tcPr>
            <w:tcW w:w="2673" w:type="dxa"/>
          </w:tcPr>
          <w:p w14:paraId="70ECBD74" w14:textId="77777777" w:rsidR="00030089" w:rsidRPr="001505FD" w:rsidRDefault="00030089" w:rsidP="008547F7">
            <w:pPr>
              <w:jc w:val="right"/>
              <w:rPr>
                <w:rFonts w:ascii="Arial" w:hAnsi="Arial" w:cs="Arial"/>
                <w:sz w:val="18"/>
                <w:szCs w:val="18"/>
              </w:rPr>
            </w:pPr>
            <w:r>
              <w:rPr>
                <w:rFonts w:ascii="Arial" w:hAnsi="Arial" w:cs="Arial"/>
                <w:sz w:val="18"/>
                <w:szCs w:val="18"/>
              </w:rPr>
              <w:t>$447 000 000</w:t>
            </w:r>
          </w:p>
        </w:tc>
      </w:tr>
      <w:tr w:rsidR="00030089" w:rsidRPr="003D324F" w14:paraId="0C172007" w14:textId="77777777" w:rsidTr="008547F7">
        <w:tc>
          <w:tcPr>
            <w:tcW w:w="3245" w:type="dxa"/>
          </w:tcPr>
          <w:p w14:paraId="6A1677CA" w14:textId="77777777" w:rsidR="00030089" w:rsidRPr="001505FD" w:rsidRDefault="00030089" w:rsidP="008547F7">
            <w:pPr>
              <w:rPr>
                <w:rFonts w:ascii="Arial" w:hAnsi="Arial" w:cs="Arial"/>
                <w:sz w:val="18"/>
                <w:szCs w:val="18"/>
              </w:rPr>
            </w:pPr>
            <w:r>
              <w:rPr>
                <w:rFonts w:ascii="Arial" w:hAnsi="Arial" w:cs="Arial"/>
                <w:sz w:val="18"/>
                <w:szCs w:val="18"/>
              </w:rPr>
              <w:t>Business participation costs</w:t>
            </w:r>
          </w:p>
        </w:tc>
        <w:tc>
          <w:tcPr>
            <w:tcW w:w="2673" w:type="dxa"/>
          </w:tcPr>
          <w:p w14:paraId="7AFE6289" w14:textId="77777777" w:rsidR="00030089" w:rsidRDefault="00030089" w:rsidP="008547F7">
            <w:pPr>
              <w:jc w:val="right"/>
              <w:rPr>
                <w:rFonts w:ascii="Arial" w:hAnsi="Arial" w:cs="Arial"/>
                <w:sz w:val="18"/>
                <w:szCs w:val="18"/>
              </w:rPr>
            </w:pPr>
            <w:r>
              <w:rPr>
                <w:rFonts w:ascii="Arial" w:hAnsi="Arial" w:cs="Arial"/>
                <w:sz w:val="18"/>
                <w:szCs w:val="18"/>
              </w:rPr>
              <w:t>$7 000 000</w:t>
            </w:r>
          </w:p>
        </w:tc>
      </w:tr>
      <w:tr w:rsidR="00030089" w:rsidRPr="003D324F" w14:paraId="69ECB214" w14:textId="77777777" w:rsidTr="008547F7">
        <w:trPr>
          <w:trHeight w:hRule="exact" w:val="454"/>
        </w:trPr>
        <w:tc>
          <w:tcPr>
            <w:tcW w:w="3245" w:type="dxa"/>
            <w:shd w:val="clear" w:color="auto" w:fill="auto"/>
          </w:tcPr>
          <w:p w14:paraId="6E346290" w14:textId="77777777" w:rsidR="00030089" w:rsidRPr="00B72093" w:rsidRDefault="00030089" w:rsidP="008547F7">
            <w:pPr>
              <w:rPr>
                <w:rFonts w:ascii="Arial" w:hAnsi="Arial" w:cs="Arial"/>
                <w:b/>
                <w:sz w:val="18"/>
                <w:szCs w:val="18"/>
              </w:rPr>
            </w:pPr>
            <w:r>
              <w:rPr>
                <w:rFonts w:ascii="Arial" w:hAnsi="Arial" w:cs="Arial"/>
                <w:b/>
                <w:sz w:val="18"/>
                <w:szCs w:val="18"/>
              </w:rPr>
              <w:t>T</w:t>
            </w:r>
            <w:r w:rsidRPr="00B72093">
              <w:rPr>
                <w:rFonts w:ascii="Arial" w:hAnsi="Arial" w:cs="Arial"/>
                <w:b/>
                <w:sz w:val="18"/>
                <w:szCs w:val="18"/>
              </w:rPr>
              <w:t>otal costs</w:t>
            </w:r>
          </w:p>
        </w:tc>
        <w:tc>
          <w:tcPr>
            <w:tcW w:w="2673" w:type="dxa"/>
            <w:shd w:val="clear" w:color="auto" w:fill="auto"/>
          </w:tcPr>
          <w:p w14:paraId="6AB62D17" w14:textId="77777777" w:rsidR="00030089" w:rsidRPr="00B72093" w:rsidRDefault="00030089" w:rsidP="008547F7">
            <w:pPr>
              <w:jc w:val="right"/>
              <w:rPr>
                <w:rFonts w:ascii="Arial" w:hAnsi="Arial" w:cs="Arial"/>
                <w:b/>
                <w:sz w:val="18"/>
                <w:szCs w:val="18"/>
              </w:rPr>
            </w:pPr>
            <w:r>
              <w:rPr>
                <w:rFonts w:ascii="Arial" w:hAnsi="Arial" w:cs="Arial"/>
                <w:b/>
                <w:sz w:val="18"/>
                <w:szCs w:val="18"/>
              </w:rPr>
              <w:t>$4 848 000 000</w:t>
            </w:r>
          </w:p>
        </w:tc>
      </w:tr>
      <w:tr w:rsidR="00030089" w:rsidRPr="003D324F" w14:paraId="00576875" w14:textId="77777777" w:rsidTr="008547F7">
        <w:tc>
          <w:tcPr>
            <w:tcW w:w="3245" w:type="dxa"/>
            <w:shd w:val="clear" w:color="auto" w:fill="FFFFFF" w:themeFill="background1"/>
          </w:tcPr>
          <w:p w14:paraId="3878AA98" w14:textId="77777777" w:rsidR="00030089" w:rsidRPr="001505FD" w:rsidRDefault="00030089" w:rsidP="008547F7">
            <w:pPr>
              <w:rPr>
                <w:rFonts w:ascii="Arial" w:hAnsi="Arial" w:cs="Arial"/>
                <w:b/>
                <w:sz w:val="18"/>
                <w:szCs w:val="18"/>
              </w:rPr>
            </w:pPr>
            <w:r w:rsidRPr="001505FD">
              <w:rPr>
                <w:rFonts w:ascii="Arial" w:hAnsi="Arial" w:cs="Arial"/>
                <w:b/>
                <w:sz w:val="18"/>
                <w:szCs w:val="18"/>
              </w:rPr>
              <w:t>Market Benefits</w:t>
            </w:r>
          </w:p>
        </w:tc>
        <w:tc>
          <w:tcPr>
            <w:tcW w:w="2673" w:type="dxa"/>
            <w:shd w:val="clear" w:color="auto" w:fill="FFFFFF" w:themeFill="background1"/>
          </w:tcPr>
          <w:p w14:paraId="08355054" w14:textId="77777777" w:rsidR="00030089" w:rsidRPr="001505FD" w:rsidRDefault="00030089" w:rsidP="008547F7">
            <w:pPr>
              <w:jc w:val="right"/>
              <w:rPr>
                <w:rFonts w:ascii="Arial" w:hAnsi="Arial" w:cs="Arial"/>
                <w:sz w:val="18"/>
                <w:szCs w:val="18"/>
              </w:rPr>
            </w:pPr>
          </w:p>
        </w:tc>
      </w:tr>
      <w:tr w:rsidR="00030089" w:rsidRPr="003D324F" w14:paraId="2712F315" w14:textId="77777777" w:rsidTr="008547F7">
        <w:tc>
          <w:tcPr>
            <w:tcW w:w="3245" w:type="dxa"/>
          </w:tcPr>
          <w:p w14:paraId="344EFDFD" w14:textId="77777777" w:rsidR="00030089" w:rsidRDefault="00030089" w:rsidP="008547F7">
            <w:pPr>
              <w:rPr>
                <w:rFonts w:ascii="Arial" w:hAnsi="Arial" w:cs="Arial"/>
                <w:sz w:val="18"/>
                <w:szCs w:val="18"/>
              </w:rPr>
            </w:pPr>
            <w:r>
              <w:rPr>
                <w:rFonts w:ascii="Arial" w:hAnsi="Arial" w:cs="Arial"/>
                <w:sz w:val="18"/>
                <w:szCs w:val="18"/>
              </w:rPr>
              <w:t>Avoided kerbside costs</w:t>
            </w:r>
          </w:p>
        </w:tc>
        <w:tc>
          <w:tcPr>
            <w:tcW w:w="2673" w:type="dxa"/>
          </w:tcPr>
          <w:p w14:paraId="55729034" w14:textId="77777777" w:rsidR="00030089" w:rsidRPr="001505FD" w:rsidRDefault="00030089" w:rsidP="008547F7">
            <w:pPr>
              <w:jc w:val="right"/>
              <w:rPr>
                <w:rFonts w:ascii="Arial" w:hAnsi="Arial" w:cs="Arial"/>
                <w:sz w:val="18"/>
                <w:szCs w:val="18"/>
              </w:rPr>
            </w:pPr>
            <w:r>
              <w:rPr>
                <w:rFonts w:ascii="Arial" w:hAnsi="Arial" w:cs="Arial"/>
                <w:sz w:val="18"/>
                <w:szCs w:val="18"/>
              </w:rPr>
              <w:t>$2 723 000 000</w:t>
            </w:r>
          </w:p>
        </w:tc>
      </w:tr>
      <w:tr w:rsidR="00030089" w:rsidRPr="003D324F" w14:paraId="1A5036CB" w14:textId="77777777" w:rsidTr="008547F7">
        <w:tc>
          <w:tcPr>
            <w:tcW w:w="3245" w:type="dxa"/>
          </w:tcPr>
          <w:p w14:paraId="1D043E74" w14:textId="77777777" w:rsidR="00030089" w:rsidRPr="001505FD" w:rsidRDefault="00030089" w:rsidP="008547F7">
            <w:pPr>
              <w:rPr>
                <w:rFonts w:ascii="Arial" w:hAnsi="Arial" w:cs="Arial"/>
                <w:sz w:val="18"/>
                <w:szCs w:val="18"/>
              </w:rPr>
            </w:pPr>
            <w:r>
              <w:rPr>
                <w:rFonts w:ascii="Arial" w:hAnsi="Arial" w:cs="Arial"/>
                <w:sz w:val="18"/>
                <w:szCs w:val="18"/>
              </w:rPr>
              <w:t>M</w:t>
            </w:r>
            <w:r w:rsidRPr="001505FD">
              <w:rPr>
                <w:rFonts w:ascii="Arial" w:hAnsi="Arial" w:cs="Arial"/>
                <w:sz w:val="18"/>
                <w:szCs w:val="18"/>
              </w:rPr>
              <w:t>arket value of resources</w:t>
            </w:r>
          </w:p>
        </w:tc>
        <w:tc>
          <w:tcPr>
            <w:tcW w:w="2673" w:type="dxa"/>
          </w:tcPr>
          <w:p w14:paraId="46DCA91A" w14:textId="77777777" w:rsidR="00030089" w:rsidRPr="001505FD" w:rsidRDefault="00030089" w:rsidP="008547F7">
            <w:pPr>
              <w:jc w:val="right"/>
              <w:rPr>
                <w:rFonts w:ascii="Arial" w:hAnsi="Arial" w:cs="Arial"/>
                <w:sz w:val="18"/>
                <w:szCs w:val="18"/>
              </w:rPr>
            </w:pPr>
            <w:r w:rsidRPr="001505FD">
              <w:rPr>
                <w:rFonts w:ascii="Arial" w:hAnsi="Arial" w:cs="Arial"/>
                <w:sz w:val="18"/>
                <w:szCs w:val="18"/>
              </w:rPr>
              <w:t>$</w:t>
            </w:r>
            <w:r>
              <w:rPr>
                <w:rFonts w:ascii="Arial" w:hAnsi="Arial" w:cs="Arial"/>
                <w:sz w:val="18"/>
                <w:szCs w:val="18"/>
              </w:rPr>
              <w:t>463 000 000</w:t>
            </w:r>
          </w:p>
        </w:tc>
      </w:tr>
      <w:tr w:rsidR="00030089" w:rsidRPr="003D324F" w14:paraId="78E35B1B" w14:textId="77777777" w:rsidTr="008547F7">
        <w:tc>
          <w:tcPr>
            <w:tcW w:w="3245" w:type="dxa"/>
          </w:tcPr>
          <w:p w14:paraId="1252D640" w14:textId="77777777" w:rsidR="00030089" w:rsidRPr="001505FD" w:rsidRDefault="00030089" w:rsidP="008547F7">
            <w:pPr>
              <w:rPr>
                <w:rFonts w:ascii="Arial" w:hAnsi="Arial" w:cs="Arial"/>
                <w:sz w:val="18"/>
                <w:szCs w:val="18"/>
              </w:rPr>
            </w:pPr>
            <w:r>
              <w:rPr>
                <w:rFonts w:ascii="Arial" w:hAnsi="Arial" w:cs="Arial"/>
                <w:sz w:val="18"/>
                <w:szCs w:val="18"/>
              </w:rPr>
              <w:t>A</w:t>
            </w:r>
            <w:r w:rsidRPr="001505FD">
              <w:rPr>
                <w:rFonts w:ascii="Arial" w:hAnsi="Arial" w:cs="Arial"/>
                <w:sz w:val="18"/>
                <w:szCs w:val="18"/>
              </w:rPr>
              <w:t xml:space="preserve">voided </w:t>
            </w:r>
            <w:r>
              <w:rPr>
                <w:rFonts w:ascii="Arial" w:hAnsi="Arial" w:cs="Arial"/>
                <w:sz w:val="18"/>
                <w:szCs w:val="18"/>
              </w:rPr>
              <w:t>regulatory cost</w:t>
            </w:r>
          </w:p>
        </w:tc>
        <w:tc>
          <w:tcPr>
            <w:tcW w:w="2673" w:type="dxa"/>
          </w:tcPr>
          <w:p w14:paraId="0EF21A30" w14:textId="77777777" w:rsidR="00030089" w:rsidRPr="001505FD" w:rsidRDefault="00030089" w:rsidP="008547F7">
            <w:pPr>
              <w:jc w:val="right"/>
              <w:rPr>
                <w:rFonts w:ascii="Arial" w:hAnsi="Arial" w:cs="Arial"/>
                <w:sz w:val="18"/>
                <w:szCs w:val="18"/>
              </w:rPr>
            </w:pPr>
            <w:r>
              <w:rPr>
                <w:rFonts w:ascii="Arial" w:hAnsi="Arial" w:cs="Arial"/>
                <w:sz w:val="18"/>
                <w:szCs w:val="18"/>
              </w:rPr>
              <w:t>$35 000 000</w:t>
            </w:r>
          </w:p>
        </w:tc>
      </w:tr>
      <w:tr w:rsidR="00030089" w:rsidRPr="003D324F" w14:paraId="22144987" w14:textId="77777777" w:rsidTr="008547F7">
        <w:tc>
          <w:tcPr>
            <w:tcW w:w="3245" w:type="dxa"/>
          </w:tcPr>
          <w:p w14:paraId="452B1970" w14:textId="77777777" w:rsidR="00030089" w:rsidRPr="001505FD" w:rsidRDefault="00030089" w:rsidP="008547F7">
            <w:pPr>
              <w:rPr>
                <w:rFonts w:ascii="Arial" w:hAnsi="Arial" w:cs="Arial"/>
                <w:sz w:val="18"/>
                <w:szCs w:val="18"/>
              </w:rPr>
            </w:pPr>
            <w:r>
              <w:rPr>
                <w:rFonts w:ascii="Arial" w:hAnsi="Arial" w:cs="Arial"/>
                <w:sz w:val="18"/>
                <w:szCs w:val="18"/>
              </w:rPr>
              <w:t>A</w:t>
            </w:r>
            <w:r w:rsidRPr="001505FD">
              <w:rPr>
                <w:rFonts w:ascii="Arial" w:hAnsi="Arial" w:cs="Arial"/>
                <w:sz w:val="18"/>
                <w:szCs w:val="18"/>
              </w:rPr>
              <w:t>voided landfill operating costs</w:t>
            </w:r>
          </w:p>
        </w:tc>
        <w:tc>
          <w:tcPr>
            <w:tcW w:w="2673" w:type="dxa"/>
          </w:tcPr>
          <w:p w14:paraId="217BB67B" w14:textId="77777777" w:rsidR="00030089" w:rsidRPr="001505FD" w:rsidRDefault="00030089" w:rsidP="008547F7">
            <w:pPr>
              <w:jc w:val="right"/>
              <w:rPr>
                <w:rFonts w:ascii="Arial" w:hAnsi="Arial" w:cs="Arial"/>
                <w:sz w:val="18"/>
                <w:szCs w:val="18"/>
              </w:rPr>
            </w:pPr>
            <w:r w:rsidRPr="001505FD">
              <w:rPr>
                <w:rFonts w:ascii="Arial" w:hAnsi="Arial" w:cs="Arial"/>
                <w:sz w:val="18"/>
                <w:szCs w:val="18"/>
              </w:rPr>
              <w:t>$</w:t>
            </w:r>
            <w:r>
              <w:rPr>
                <w:rFonts w:ascii="Arial" w:hAnsi="Arial" w:cs="Arial"/>
                <w:sz w:val="18"/>
                <w:szCs w:val="18"/>
              </w:rPr>
              <w:t>62 000 000</w:t>
            </w:r>
          </w:p>
        </w:tc>
      </w:tr>
      <w:tr w:rsidR="00030089" w:rsidRPr="003D324F" w14:paraId="3CC0ADBF" w14:textId="77777777" w:rsidTr="008547F7">
        <w:tc>
          <w:tcPr>
            <w:tcW w:w="3245" w:type="dxa"/>
          </w:tcPr>
          <w:p w14:paraId="7F558666" w14:textId="77777777" w:rsidR="00030089" w:rsidRPr="001505FD" w:rsidRDefault="00030089" w:rsidP="008547F7">
            <w:pPr>
              <w:rPr>
                <w:rFonts w:ascii="Arial" w:hAnsi="Arial" w:cs="Arial"/>
                <w:sz w:val="18"/>
                <w:szCs w:val="18"/>
              </w:rPr>
            </w:pPr>
            <w:r>
              <w:rPr>
                <w:rFonts w:ascii="Arial" w:hAnsi="Arial" w:cs="Arial"/>
                <w:sz w:val="18"/>
                <w:szCs w:val="18"/>
              </w:rPr>
              <w:lastRenderedPageBreak/>
              <w:t>Avoided litter clean-</w:t>
            </w:r>
            <w:r w:rsidRPr="001505FD">
              <w:rPr>
                <w:rFonts w:ascii="Arial" w:hAnsi="Arial" w:cs="Arial"/>
                <w:sz w:val="18"/>
                <w:szCs w:val="18"/>
              </w:rPr>
              <w:t>up</w:t>
            </w:r>
            <w:r>
              <w:rPr>
                <w:rFonts w:ascii="Arial" w:hAnsi="Arial" w:cs="Arial"/>
                <w:sz w:val="18"/>
                <w:szCs w:val="18"/>
              </w:rPr>
              <w:t xml:space="preserve"> </w:t>
            </w:r>
            <w:r w:rsidRPr="001505FD">
              <w:rPr>
                <w:rFonts w:ascii="Arial" w:hAnsi="Arial" w:cs="Arial"/>
                <w:sz w:val="18"/>
                <w:szCs w:val="18"/>
              </w:rPr>
              <w:t>costs</w:t>
            </w:r>
          </w:p>
        </w:tc>
        <w:tc>
          <w:tcPr>
            <w:tcW w:w="2673" w:type="dxa"/>
          </w:tcPr>
          <w:p w14:paraId="0F11E667" w14:textId="77777777" w:rsidR="00030089" w:rsidRPr="001505FD" w:rsidRDefault="00030089" w:rsidP="008547F7">
            <w:pPr>
              <w:jc w:val="right"/>
              <w:rPr>
                <w:rFonts w:ascii="Arial" w:hAnsi="Arial" w:cs="Arial"/>
                <w:sz w:val="18"/>
                <w:szCs w:val="18"/>
              </w:rPr>
            </w:pPr>
            <w:r w:rsidRPr="001505FD">
              <w:rPr>
                <w:rFonts w:ascii="Arial" w:hAnsi="Arial" w:cs="Arial"/>
                <w:sz w:val="18"/>
                <w:szCs w:val="18"/>
              </w:rPr>
              <w:t>$</w:t>
            </w:r>
            <w:r>
              <w:rPr>
                <w:rFonts w:ascii="Arial" w:hAnsi="Arial" w:cs="Arial"/>
                <w:sz w:val="18"/>
                <w:szCs w:val="18"/>
              </w:rPr>
              <w:t>114 000 000</w:t>
            </w:r>
          </w:p>
        </w:tc>
      </w:tr>
      <w:tr w:rsidR="00030089" w:rsidRPr="003D324F" w14:paraId="0E5D6F8F" w14:textId="77777777" w:rsidTr="008547F7">
        <w:tc>
          <w:tcPr>
            <w:tcW w:w="3245" w:type="dxa"/>
          </w:tcPr>
          <w:p w14:paraId="46D6584B" w14:textId="77777777" w:rsidR="00030089" w:rsidRPr="001505FD" w:rsidRDefault="00030089" w:rsidP="008547F7">
            <w:pPr>
              <w:rPr>
                <w:rFonts w:ascii="Arial" w:hAnsi="Arial" w:cs="Arial"/>
                <w:sz w:val="18"/>
                <w:szCs w:val="18"/>
              </w:rPr>
            </w:pPr>
            <w:r>
              <w:rPr>
                <w:rFonts w:ascii="Arial" w:hAnsi="Arial" w:cs="Arial"/>
                <w:sz w:val="18"/>
                <w:szCs w:val="18"/>
              </w:rPr>
              <w:t>A</w:t>
            </w:r>
            <w:r w:rsidRPr="001505FD">
              <w:rPr>
                <w:rFonts w:ascii="Arial" w:hAnsi="Arial" w:cs="Arial"/>
                <w:sz w:val="18"/>
                <w:szCs w:val="18"/>
              </w:rPr>
              <w:t xml:space="preserve">voided </w:t>
            </w:r>
            <w:r>
              <w:rPr>
                <w:rFonts w:ascii="Arial" w:hAnsi="Arial" w:cs="Arial"/>
                <w:sz w:val="18"/>
                <w:szCs w:val="18"/>
              </w:rPr>
              <w:t>landfill externalities</w:t>
            </w:r>
          </w:p>
        </w:tc>
        <w:tc>
          <w:tcPr>
            <w:tcW w:w="2673" w:type="dxa"/>
          </w:tcPr>
          <w:p w14:paraId="28062245" w14:textId="77777777" w:rsidR="00030089" w:rsidRPr="001505FD" w:rsidRDefault="00030089" w:rsidP="008547F7">
            <w:pPr>
              <w:jc w:val="right"/>
              <w:rPr>
                <w:rFonts w:ascii="Arial" w:hAnsi="Arial" w:cs="Arial"/>
                <w:sz w:val="18"/>
                <w:szCs w:val="18"/>
              </w:rPr>
            </w:pPr>
            <w:r w:rsidRPr="001505FD">
              <w:rPr>
                <w:rFonts w:ascii="Arial" w:hAnsi="Arial" w:cs="Arial"/>
                <w:sz w:val="18"/>
                <w:szCs w:val="18"/>
              </w:rPr>
              <w:t>$</w:t>
            </w:r>
            <w:r>
              <w:rPr>
                <w:rFonts w:ascii="Arial" w:hAnsi="Arial" w:cs="Arial"/>
                <w:sz w:val="18"/>
                <w:szCs w:val="18"/>
              </w:rPr>
              <w:t>36 000 000</w:t>
            </w:r>
          </w:p>
        </w:tc>
      </w:tr>
      <w:tr w:rsidR="00030089" w:rsidRPr="003D324F" w14:paraId="5BEFD81F" w14:textId="77777777" w:rsidTr="008547F7">
        <w:tc>
          <w:tcPr>
            <w:tcW w:w="3245" w:type="dxa"/>
            <w:tcBorders>
              <w:bottom w:val="single" w:sz="4" w:space="0" w:color="auto"/>
            </w:tcBorders>
            <w:shd w:val="clear" w:color="auto" w:fill="FFFFFF" w:themeFill="background1"/>
          </w:tcPr>
          <w:p w14:paraId="318D8729" w14:textId="77777777" w:rsidR="00030089" w:rsidRPr="00B72093" w:rsidRDefault="00030089" w:rsidP="008547F7">
            <w:pPr>
              <w:rPr>
                <w:rFonts w:ascii="Arial" w:hAnsi="Arial" w:cs="Arial"/>
                <w:b/>
                <w:sz w:val="18"/>
                <w:szCs w:val="18"/>
              </w:rPr>
            </w:pPr>
            <w:r>
              <w:rPr>
                <w:rFonts w:ascii="Arial" w:hAnsi="Arial" w:cs="Arial"/>
                <w:b/>
                <w:sz w:val="18"/>
                <w:szCs w:val="18"/>
              </w:rPr>
              <w:t>T</w:t>
            </w:r>
            <w:r w:rsidRPr="00B72093">
              <w:rPr>
                <w:rFonts w:ascii="Arial" w:hAnsi="Arial" w:cs="Arial"/>
                <w:b/>
                <w:sz w:val="18"/>
                <w:szCs w:val="18"/>
              </w:rPr>
              <w:t>otal market benefits</w:t>
            </w:r>
          </w:p>
        </w:tc>
        <w:tc>
          <w:tcPr>
            <w:tcW w:w="2673" w:type="dxa"/>
            <w:tcBorders>
              <w:bottom w:val="single" w:sz="4" w:space="0" w:color="auto"/>
            </w:tcBorders>
            <w:shd w:val="clear" w:color="auto" w:fill="FFFFFF" w:themeFill="background1"/>
          </w:tcPr>
          <w:p w14:paraId="1D86EAF1" w14:textId="77777777" w:rsidR="00030089" w:rsidRPr="00B72093" w:rsidRDefault="00030089" w:rsidP="008547F7">
            <w:pPr>
              <w:jc w:val="right"/>
              <w:rPr>
                <w:rFonts w:ascii="Arial" w:hAnsi="Arial" w:cs="Arial"/>
                <w:b/>
                <w:sz w:val="18"/>
                <w:szCs w:val="18"/>
              </w:rPr>
            </w:pPr>
            <w:r>
              <w:rPr>
                <w:rFonts w:ascii="Arial" w:hAnsi="Arial" w:cs="Arial"/>
                <w:b/>
                <w:sz w:val="18"/>
                <w:szCs w:val="18"/>
              </w:rPr>
              <w:t>$3 433 000 000</w:t>
            </w:r>
          </w:p>
        </w:tc>
      </w:tr>
      <w:tr w:rsidR="00030089" w:rsidRPr="003D324F" w14:paraId="21C42087" w14:textId="77777777" w:rsidTr="008547F7">
        <w:tc>
          <w:tcPr>
            <w:tcW w:w="3245" w:type="dxa"/>
            <w:shd w:val="clear" w:color="auto" w:fill="FFFFFF" w:themeFill="background1"/>
          </w:tcPr>
          <w:p w14:paraId="1B42FC6C" w14:textId="77777777" w:rsidR="00030089" w:rsidRPr="003B07AC" w:rsidRDefault="00030089" w:rsidP="008547F7">
            <w:pPr>
              <w:rPr>
                <w:rFonts w:ascii="Arial" w:hAnsi="Arial" w:cs="Arial"/>
                <w:b/>
                <w:sz w:val="18"/>
                <w:szCs w:val="18"/>
              </w:rPr>
            </w:pPr>
            <w:r>
              <w:rPr>
                <w:rFonts w:ascii="Arial" w:hAnsi="Arial" w:cs="Arial"/>
                <w:b/>
                <w:sz w:val="18"/>
                <w:szCs w:val="18"/>
              </w:rPr>
              <w:t>Net Present Value</w:t>
            </w:r>
          </w:p>
        </w:tc>
        <w:tc>
          <w:tcPr>
            <w:tcW w:w="2673" w:type="dxa"/>
            <w:shd w:val="clear" w:color="auto" w:fill="FFFFFF" w:themeFill="background1"/>
          </w:tcPr>
          <w:p w14:paraId="73DA88EF" w14:textId="77777777" w:rsidR="00030089" w:rsidRPr="001505FD" w:rsidRDefault="00030089" w:rsidP="008547F7">
            <w:pPr>
              <w:jc w:val="right"/>
              <w:rPr>
                <w:rFonts w:ascii="Arial" w:hAnsi="Arial" w:cs="Arial"/>
                <w:b/>
                <w:sz w:val="18"/>
                <w:szCs w:val="18"/>
              </w:rPr>
            </w:pPr>
            <w:r>
              <w:rPr>
                <w:rFonts w:ascii="Arial" w:hAnsi="Arial" w:cs="Arial"/>
                <w:b/>
                <w:sz w:val="18"/>
                <w:szCs w:val="18"/>
              </w:rPr>
              <w:t>-$1 415 000 000</w:t>
            </w:r>
          </w:p>
        </w:tc>
      </w:tr>
    </w:tbl>
    <w:p w14:paraId="7C209D80" w14:textId="77777777" w:rsidR="00030089" w:rsidRDefault="00030089" w:rsidP="00030089">
      <w:pPr>
        <w:pStyle w:val="Caption"/>
      </w:pPr>
    </w:p>
    <w:p w14:paraId="0A473C20"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80" w:name="_Toc353562524"/>
      <w:r w:rsidR="00740026">
        <w:rPr>
          <w:noProof/>
          <w:color w:val="auto"/>
        </w:rPr>
        <w:t>43</w:t>
      </w:r>
      <w:r w:rsidRPr="00682556">
        <w:rPr>
          <w:noProof/>
          <w:color w:val="auto"/>
        </w:rPr>
        <w:fldChar w:fldCharType="end"/>
      </w:r>
      <w:r w:rsidRPr="00682556">
        <w:rPr>
          <w:noProof/>
          <w:color w:val="auto"/>
        </w:rPr>
        <w:t xml:space="preserve"> Table 4.</w:t>
      </w:r>
      <w:r>
        <w:rPr>
          <w:noProof/>
          <w:color w:val="auto"/>
        </w:rPr>
        <w:t>33</w:t>
      </w:r>
      <w:r w:rsidRPr="00682556">
        <w:rPr>
          <w:noProof/>
          <w:color w:val="auto"/>
        </w:rPr>
        <w:t>: Non-market benefits of the operation of a Boomerang Alliance CDS over a 25 year analysis period</w:t>
      </w:r>
      <w:bookmarkEnd w:id="2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61"/>
        <w:gridCol w:w="2693"/>
      </w:tblGrid>
      <w:tr w:rsidR="00030089" w:rsidRPr="001505FD" w14:paraId="49086E14" w14:textId="77777777" w:rsidTr="008547F7">
        <w:tc>
          <w:tcPr>
            <w:tcW w:w="3261" w:type="dxa"/>
            <w:shd w:val="pct10" w:color="auto" w:fill="FFFFFF" w:themeFill="background1"/>
          </w:tcPr>
          <w:p w14:paraId="69DA5E6E" w14:textId="77777777" w:rsidR="00030089" w:rsidRPr="006B4246" w:rsidRDefault="00030089" w:rsidP="008547F7">
            <w:pPr>
              <w:rPr>
                <w:rFonts w:ascii="Arial" w:hAnsi="Arial" w:cs="Arial"/>
                <w:b/>
                <w:sz w:val="18"/>
                <w:szCs w:val="18"/>
              </w:rPr>
            </w:pPr>
            <w:r w:rsidRPr="006B4246">
              <w:rPr>
                <w:rFonts w:ascii="Arial" w:hAnsi="Arial" w:cs="Arial"/>
                <w:b/>
                <w:sz w:val="18"/>
                <w:szCs w:val="18"/>
              </w:rPr>
              <w:t xml:space="preserve">Description </w:t>
            </w:r>
          </w:p>
        </w:tc>
        <w:tc>
          <w:tcPr>
            <w:tcW w:w="2693" w:type="dxa"/>
            <w:shd w:val="pct10" w:color="auto" w:fill="FFFFFF" w:themeFill="background1"/>
          </w:tcPr>
          <w:p w14:paraId="796594BF" w14:textId="77777777" w:rsidR="00030089" w:rsidRPr="006B4246" w:rsidRDefault="00030089" w:rsidP="008547F7">
            <w:pPr>
              <w:jc w:val="right"/>
              <w:rPr>
                <w:rFonts w:ascii="Arial" w:hAnsi="Arial" w:cs="Arial"/>
                <w:b/>
                <w:sz w:val="18"/>
                <w:szCs w:val="18"/>
              </w:rPr>
            </w:pPr>
            <w:r w:rsidRPr="006B4246">
              <w:rPr>
                <w:rFonts w:ascii="Arial" w:hAnsi="Arial" w:cs="Arial"/>
                <w:b/>
                <w:sz w:val="18"/>
                <w:szCs w:val="18"/>
              </w:rPr>
              <w:t>Boomerang Alliance CDS national values (point estimate)</w:t>
            </w:r>
          </w:p>
        </w:tc>
      </w:tr>
      <w:tr w:rsidR="00030089" w:rsidRPr="001505FD" w14:paraId="369C6BD4" w14:textId="77777777" w:rsidTr="008547F7">
        <w:tc>
          <w:tcPr>
            <w:tcW w:w="3261" w:type="dxa"/>
            <w:shd w:val="clear" w:color="auto" w:fill="FFFFFF" w:themeFill="background1"/>
          </w:tcPr>
          <w:p w14:paraId="6373D77F" w14:textId="77777777" w:rsidR="00030089" w:rsidRPr="001505FD" w:rsidRDefault="00030089" w:rsidP="008547F7">
            <w:pPr>
              <w:rPr>
                <w:rFonts w:ascii="Arial" w:hAnsi="Arial" w:cs="Arial"/>
                <w:sz w:val="18"/>
                <w:szCs w:val="18"/>
              </w:rPr>
            </w:pPr>
            <w:r>
              <w:rPr>
                <w:rFonts w:ascii="Arial" w:hAnsi="Arial" w:cs="Arial"/>
                <w:sz w:val="18"/>
                <w:szCs w:val="18"/>
              </w:rPr>
              <w:t>W</w:t>
            </w:r>
            <w:r w:rsidRPr="001505FD">
              <w:rPr>
                <w:rFonts w:ascii="Arial" w:hAnsi="Arial" w:cs="Arial"/>
                <w:sz w:val="18"/>
                <w:szCs w:val="18"/>
              </w:rPr>
              <w:t>illingness to pay calculation</w:t>
            </w:r>
          </w:p>
        </w:tc>
        <w:tc>
          <w:tcPr>
            <w:tcW w:w="2693" w:type="dxa"/>
            <w:shd w:val="clear" w:color="auto" w:fill="FFFFFF" w:themeFill="background1"/>
          </w:tcPr>
          <w:p w14:paraId="6E1F01FE" w14:textId="77777777" w:rsidR="00030089" w:rsidRPr="001505FD" w:rsidRDefault="00030089" w:rsidP="008547F7">
            <w:pPr>
              <w:jc w:val="right"/>
              <w:rPr>
                <w:rFonts w:ascii="Arial" w:hAnsi="Arial" w:cs="Arial"/>
                <w:sz w:val="18"/>
                <w:szCs w:val="18"/>
              </w:rPr>
            </w:pPr>
            <w:r w:rsidRPr="001505FD">
              <w:rPr>
                <w:rFonts w:ascii="Arial" w:hAnsi="Arial" w:cs="Arial"/>
                <w:sz w:val="18"/>
                <w:szCs w:val="18"/>
              </w:rPr>
              <w:t>$</w:t>
            </w:r>
            <w:r w:rsidRPr="00EA7102">
              <w:rPr>
                <w:rFonts w:ascii="Arial" w:hAnsi="Arial" w:cs="Arial"/>
                <w:sz w:val="18"/>
                <w:szCs w:val="18"/>
              </w:rPr>
              <w:t>588 000 000</w:t>
            </w:r>
          </w:p>
        </w:tc>
      </w:tr>
      <w:tr w:rsidR="00030089" w:rsidRPr="001505FD" w14:paraId="3608346A" w14:textId="77777777" w:rsidTr="008547F7">
        <w:tc>
          <w:tcPr>
            <w:tcW w:w="3261" w:type="dxa"/>
            <w:shd w:val="clear" w:color="auto" w:fill="FFFFFF" w:themeFill="background1"/>
          </w:tcPr>
          <w:p w14:paraId="29E175EA" w14:textId="77777777" w:rsidR="00030089" w:rsidRPr="001505FD" w:rsidRDefault="00030089" w:rsidP="008547F7">
            <w:pPr>
              <w:rPr>
                <w:rFonts w:ascii="Arial" w:hAnsi="Arial" w:cs="Arial"/>
                <w:b/>
                <w:sz w:val="18"/>
                <w:szCs w:val="18"/>
              </w:rPr>
            </w:pPr>
            <w:r>
              <w:rPr>
                <w:rFonts w:ascii="Arial" w:hAnsi="Arial" w:cs="Arial"/>
                <w:b/>
                <w:sz w:val="18"/>
                <w:szCs w:val="18"/>
              </w:rPr>
              <w:t>T</w:t>
            </w:r>
            <w:r w:rsidRPr="001505FD">
              <w:rPr>
                <w:rFonts w:ascii="Arial" w:hAnsi="Arial" w:cs="Arial"/>
                <w:b/>
                <w:sz w:val="18"/>
                <w:szCs w:val="18"/>
              </w:rPr>
              <w:t>otal non-market benefits</w:t>
            </w:r>
          </w:p>
        </w:tc>
        <w:tc>
          <w:tcPr>
            <w:tcW w:w="2693" w:type="dxa"/>
            <w:shd w:val="clear" w:color="auto" w:fill="FFFFFF" w:themeFill="background1"/>
          </w:tcPr>
          <w:p w14:paraId="497559F0" w14:textId="77777777" w:rsidR="00030089" w:rsidRPr="001505FD" w:rsidRDefault="00030089" w:rsidP="008547F7">
            <w:pPr>
              <w:jc w:val="right"/>
              <w:rPr>
                <w:rFonts w:ascii="Arial" w:hAnsi="Arial" w:cs="Arial"/>
                <w:sz w:val="18"/>
                <w:szCs w:val="18"/>
              </w:rPr>
            </w:pPr>
            <w:r w:rsidRPr="001505FD">
              <w:rPr>
                <w:rFonts w:ascii="Arial" w:hAnsi="Arial" w:cs="Arial"/>
                <w:sz w:val="18"/>
                <w:szCs w:val="18"/>
              </w:rPr>
              <w:t>$</w:t>
            </w:r>
            <w:r w:rsidRPr="00EA7102">
              <w:rPr>
                <w:rFonts w:ascii="Arial" w:hAnsi="Arial" w:cs="Arial"/>
                <w:sz w:val="18"/>
                <w:szCs w:val="18"/>
              </w:rPr>
              <w:t>588 000 000</w:t>
            </w:r>
          </w:p>
        </w:tc>
      </w:tr>
    </w:tbl>
    <w:p w14:paraId="73CF9362" w14:textId="77777777" w:rsidR="00030089" w:rsidRDefault="00030089" w:rsidP="00030089"/>
    <w:p w14:paraId="7D55FE60" w14:textId="77777777" w:rsidR="00030089" w:rsidRDefault="00030089" w:rsidP="00030089">
      <w:pPr>
        <w:spacing w:line="360" w:lineRule="auto"/>
        <w:jc w:val="both"/>
        <w:rPr>
          <w:rFonts w:ascii="Arial" w:hAnsi="Arial" w:cs="Arial"/>
        </w:rPr>
      </w:pPr>
      <w:r w:rsidRPr="00861343">
        <w:rPr>
          <w:rFonts w:ascii="Arial" w:hAnsi="Arial" w:cs="Arial"/>
        </w:rPr>
        <w:t xml:space="preserve">The above analysis </w:t>
      </w:r>
      <w:r>
        <w:rPr>
          <w:rFonts w:ascii="Arial" w:hAnsi="Arial" w:cs="Arial"/>
        </w:rPr>
        <w:t>results</w:t>
      </w:r>
      <w:r w:rsidRPr="00861343">
        <w:rPr>
          <w:rFonts w:ascii="Arial" w:hAnsi="Arial" w:cs="Arial"/>
        </w:rPr>
        <w:t xml:space="preserve"> in a </w:t>
      </w:r>
      <w:r>
        <w:rPr>
          <w:rFonts w:ascii="Arial" w:hAnsi="Arial" w:cs="Arial"/>
        </w:rPr>
        <w:t xml:space="preserve">Net Present Value </w:t>
      </w:r>
      <w:r w:rsidRPr="00861343">
        <w:rPr>
          <w:rFonts w:ascii="Arial" w:hAnsi="Arial" w:cs="Arial"/>
        </w:rPr>
        <w:t>of –$</w:t>
      </w:r>
      <w:r>
        <w:rPr>
          <w:rFonts w:ascii="Arial" w:hAnsi="Arial" w:cs="Arial"/>
        </w:rPr>
        <w:t xml:space="preserve">1 415 000 000 over 25 years (discounted). At the same time it projects non-market amenity benefits valued at                 </w:t>
      </w:r>
      <w:r w:rsidRPr="00861343">
        <w:rPr>
          <w:rFonts w:ascii="Arial" w:hAnsi="Arial" w:cs="Arial"/>
        </w:rPr>
        <w:t>$588</w:t>
      </w:r>
      <w:r>
        <w:rPr>
          <w:rFonts w:ascii="Arial" w:hAnsi="Arial" w:cs="Arial"/>
        </w:rPr>
        <w:t xml:space="preserve"> </w:t>
      </w:r>
      <w:r w:rsidRPr="00861343">
        <w:rPr>
          <w:rFonts w:ascii="Arial" w:hAnsi="Arial" w:cs="Arial"/>
        </w:rPr>
        <w:t xml:space="preserve">000 </w:t>
      </w:r>
      <w:r>
        <w:rPr>
          <w:rFonts w:ascii="Arial" w:hAnsi="Arial" w:cs="Arial"/>
        </w:rPr>
        <w:t xml:space="preserve">000 </w:t>
      </w:r>
      <w:r w:rsidRPr="00861343">
        <w:rPr>
          <w:rFonts w:ascii="Arial" w:hAnsi="Arial" w:cs="Arial"/>
        </w:rPr>
        <w:t>over the same period</w:t>
      </w:r>
      <w:r>
        <w:rPr>
          <w:rFonts w:ascii="Arial" w:hAnsi="Arial" w:cs="Arial"/>
        </w:rPr>
        <w:t xml:space="preserve"> in the NT</w:t>
      </w:r>
      <w:r w:rsidRPr="00861343">
        <w:rPr>
          <w:rFonts w:ascii="Arial" w:hAnsi="Arial" w:cs="Arial"/>
        </w:rPr>
        <w:t>.</w:t>
      </w:r>
    </w:p>
    <w:p w14:paraId="670C98BE" w14:textId="77777777" w:rsidR="00030089" w:rsidRDefault="00030089" w:rsidP="00030089">
      <w:pPr>
        <w:spacing w:line="360" w:lineRule="auto"/>
        <w:jc w:val="both"/>
        <w:rPr>
          <w:rFonts w:ascii="Arial" w:hAnsi="Arial" w:cs="Arial"/>
        </w:rPr>
      </w:pPr>
    </w:p>
    <w:p w14:paraId="694C9234" w14:textId="77777777" w:rsidR="00030089" w:rsidRPr="00D565B5" w:rsidRDefault="00030089" w:rsidP="00030089">
      <w:pPr>
        <w:pStyle w:val="ListParagraph"/>
        <w:numPr>
          <w:ilvl w:val="2"/>
          <w:numId w:val="3"/>
        </w:numPr>
        <w:spacing w:after="200" w:line="360" w:lineRule="auto"/>
        <w:ind w:left="709" w:hanging="709"/>
        <w:contextualSpacing w:val="0"/>
        <w:jc w:val="both"/>
        <w:outlineLvl w:val="2"/>
        <w:rPr>
          <w:rFonts w:ascii="Arial" w:hAnsi="Arial" w:cs="Arial"/>
          <w:b/>
          <w:color w:val="0070C0"/>
          <w:sz w:val="20"/>
          <w:szCs w:val="20"/>
        </w:rPr>
      </w:pPr>
      <w:bookmarkStart w:id="281" w:name="_Toc353562558"/>
      <w:r w:rsidRPr="00D565B5">
        <w:rPr>
          <w:rFonts w:ascii="Arial" w:hAnsi="Arial" w:cs="Arial"/>
          <w:b/>
          <w:szCs w:val="28"/>
        </w:rPr>
        <w:t xml:space="preserve">Option Three – </w:t>
      </w:r>
      <w:r>
        <w:rPr>
          <w:rFonts w:ascii="Arial" w:hAnsi="Arial" w:cs="Arial"/>
          <w:b/>
          <w:szCs w:val="28"/>
        </w:rPr>
        <w:t>P</w:t>
      </w:r>
      <w:r w:rsidRPr="00D565B5">
        <w:rPr>
          <w:rFonts w:ascii="Arial" w:hAnsi="Arial" w:cs="Arial"/>
          <w:b/>
          <w:szCs w:val="28"/>
        </w:rPr>
        <w:t xml:space="preserve">ermanent </w:t>
      </w:r>
      <w:r>
        <w:rPr>
          <w:rFonts w:ascii="Arial" w:hAnsi="Arial" w:cs="Arial"/>
          <w:b/>
          <w:szCs w:val="28"/>
        </w:rPr>
        <w:t>E</w:t>
      </w:r>
      <w:r w:rsidRPr="00D565B5">
        <w:rPr>
          <w:rFonts w:ascii="Arial" w:hAnsi="Arial" w:cs="Arial"/>
          <w:b/>
          <w:szCs w:val="28"/>
        </w:rPr>
        <w:t xml:space="preserve">xemption </w:t>
      </w:r>
      <w:r>
        <w:rPr>
          <w:rFonts w:ascii="Arial" w:hAnsi="Arial" w:cs="Arial"/>
          <w:b/>
          <w:szCs w:val="28"/>
        </w:rPr>
        <w:t>from the MRA and TTMRA is G</w:t>
      </w:r>
      <w:r w:rsidRPr="00D565B5">
        <w:rPr>
          <w:rFonts w:ascii="Arial" w:hAnsi="Arial" w:cs="Arial"/>
          <w:b/>
          <w:szCs w:val="28"/>
        </w:rPr>
        <w:t>ranted</w:t>
      </w:r>
      <w:bookmarkEnd w:id="281"/>
    </w:p>
    <w:p w14:paraId="3991C549" w14:textId="77777777" w:rsidR="00030089" w:rsidRDefault="00030089" w:rsidP="00030089">
      <w:pPr>
        <w:spacing w:line="360" w:lineRule="auto"/>
        <w:jc w:val="both"/>
        <w:rPr>
          <w:rFonts w:ascii="Arial" w:hAnsi="Arial" w:cs="Arial"/>
          <w:szCs w:val="28"/>
        </w:rPr>
      </w:pPr>
      <w:r w:rsidRPr="00B174C0">
        <w:rPr>
          <w:rFonts w:ascii="Arial" w:hAnsi="Arial" w:cs="Arial"/>
          <w:szCs w:val="28"/>
        </w:rPr>
        <w:t xml:space="preserve">Option three anticipates that if the future of the NT CDS is secured by way of permanent exemption from the MRA and TTMRA, it will </w:t>
      </w:r>
      <w:r>
        <w:rPr>
          <w:rFonts w:ascii="Arial" w:hAnsi="Arial" w:cs="Arial"/>
          <w:szCs w:val="28"/>
        </w:rPr>
        <w:t xml:space="preserve">in due course </w:t>
      </w:r>
      <w:r w:rsidRPr="00B174C0">
        <w:rPr>
          <w:rFonts w:ascii="Arial" w:hAnsi="Arial" w:cs="Arial"/>
          <w:szCs w:val="28"/>
        </w:rPr>
        <w:t xml:space="preserve">achieve an 80 per cent return rate and </w:t>
      </w:r>
      <w:r>
        <w:rPr>
          <w:rFonts w:ascii="Arial" w:hAnsi="Arial" w:cs="Arial"/>
          <w:szCs w:val="28"/>
        </w:rPr>
        <w:t>its</w:t>
      </w:r>
      <w:r w:rsidRPr="00B174C0">
        <w:rPr>
          <w:rFonts w:ascii="Arial" w:hAnsi="Arial" w:cs="Arial"/>
          <w:szCs w:val="28"/>
        </w:rPr>
        <w:t xml:space="preserve"> optimal net present </w:t>
      </w:r>
      <w:r>
        <w:rPr>
          <w:rFonts w:ascii="Arial" w:hAnsi="Arial" w:cs="Arial"/>
          <w:szCs w:val="28"/>
        </w:rPr>
        <w:t>value</w:t>
      </w:r>
      <w:r w:rsidRPr="00B174C0">
        <w:rPr>
          <w:rFonts w:ascii="Arial" w:hAnsi="Arial" w:cs="Arial"/>
          <w:szCs w:val="28"/>
        </w:rPr>
        <w:t xml:space="preserve">. </w:t>
      </w:r>
    </w:p>
    <w:p w14:paraId="284A46AE" w14:textId="574B53DC" w:rsidR="00F702E2" w:rsidRDefault="00030089" w:rsidP="00030089">
      <w:pPr>
        <w:spacing w:line="360" w:lineRule="auto"/>
        <w:jc w:val="both"/>
        <w:rPr>
          <w:rFonts w:ascii="Arial" w:hAnsi="Arial" w:cs="Arial"/>
          <w:szCs w:val="28"/>
        </w:rPr>
      </w:pPr>
      <w:r>
        <w:rPr>
          <w:rFonts w:ascii="Arial" w:hAnsi="Arial" w:cs="Arial"/>
          <w:szCs w:val="28"/>
        </w:rPr>
        <w:t>The rate at which the NT CDS reaches an 80 per cent return rate has been based on the Hawaii CDS scheme as that scheme is recent, remote and well documented. The rate of increase in the Hawaii scheme transferred to the NT CDS, which achieved a 33.82 return rate in its first year, is displayed at Figure 4.3</w:t>
      </w:r>
      <w:r>
        <w:rPr>
          <w:rStyle w:val="FootnoteReference"/>
          <w:rFonts w:ascii="Arial" w:hAnsi="Arial"/>
          <w:szCs w:val="28"/>
        </w:rPr>
        <w:footnoteReference w:id="40"/>
      </w:r>
      <w:r>
        <w:rPr>
          <w:rFonts w:ascii="Arial" w:hAnsi="Arial" w:cs="Arial"/>
          <w:szCs w:val="28"/>
        </w:rPr>
        <w:t>. The performance of the SA CDS has also been considered.  Only five years of SA data were available. The below projected return rate is consistent with the available data from SA.</w:t>
      </w:r>
    </w:p>
    <w:p w14:paraId="7FDD03FF" w14:textId="77777777" w:rsidR="00F702E2" w:rsidRDefault="00F702E2">
      <w:pPr>
        <w:rPr>
          <w:rFonts w:ascii="Arial" w:hAnsi="Arial" w:cs="Arial"/>
          <w:szCs w:val="28"/>
        </w:rPr>
      </w:pPr>
      <w:r>
        <w:rPr>
          <w:rFonts w:ascii="Arial" w:hAnsi="Arial" w:cs="Arial"/>
          <w:szCs w:val="28"/>
        </w:rPr>
        <w:br w:type="page"/>
      </w:r>
    </w:p>
    <w:p w14:paraId="44864DCA" w14:textId="77777777" w:rsidR="00030089" w:rsidRPr="00682556" w:rsidRDefault="00030089" w:rsidP="00030089">
      <w:pPr>
        <w:pStyle w:val="Caption"/>
        <w:keepNext/>
        <w:rPr>
          <w:noProof/>
          <w:color w:val="auto"/>
        </w:rPr>
      </w:pPr>
      <w:r w:rsidRPr="00682556">
        <w:rPr>
          <w:noProof/>
          <w:color w:val="auto"/>
        </w:rPr>
        <w:lastRenderedPageBreak/>
        <w:fldChar w:fldCharType="begin"/>
      </w:r>
      <w:r w:rsidRPr="00682556">
        <w:rPr>
          <w:noProof/>
          <w:color w:val="auto"/>
        </w:rPr>
        <w:instrText xml:space="preserve"> SEQ Figure \* ARABIC </w:instrText>
      </w:r>
      <w:r w:rsidRPr="00682556">
        <w:rPr>
          <w:noProof/>
          <w:color w:val="auto"/>
        </w:rPr>
        <w:fldChar w:fldCharType="separate"/>
      </w:r>
      <w:bookmarkStart w:id="282" w:name="_Toc353562525"/>
      <w:r w:rsidR="00740026">
        <w:rPr>
          <w:noProof/>
          <w:color w:val="auto"/>
        </w:rPr>
        <w:t>44</w:t>
      </w:r>
      <w:r w:rsidRPr="00682556">
        <w:rPr>
          <w:noProof/>
          <w:color w:val="auto"/>
        </w:rPr>
        <w:fldChar w:fldCharType="end"/>
      </w:r>
      <w:r w:rsidRPr="00682556">
        <w:rPr>
          <w:noProof/>
          <w:color w:val="auto"/>
        </w:rPr>
        <w:t xml:space="preserve"> Figure 4.3:  NT CDS projected return-rate over 25 years, based on the Hawai’i CDS</w:t>
      </w:r>
      <w:bookmarkEnd w:id="282"/>
    </w:p>
    <w:p w14:paraId="458E6C6F" w14:textId="6F258718" w:rsidR="00030089" w:rsidRDefault="00030089" w:rsidP="00030089">
      <w:pPr>
        <w:tabs>
          <w:tab w:val="left" w:pos="830"/>
        </w:tabs>
        <w:ind w:left="98"/>
        <w:rPr>
          <w:rFonts w:ascii="Arial" w:hAnsi="Arial" w:cs="Arial"/>
          <w:color w:val="000000"/>
          <w:sz w:val="16"/>
          <w:szCs w:val="16"/>
        </w:rPr>
      </w:pPr>
      <w:r>
        <w:rPr>
          <w:rFonts w:asciiTheme="minorHAnsi" w:hAnsiTheme="minorHAnsi"/>
          <w:noProof/>
          <w:sz w:val="22"/>
          <w:lang w:eastAsia="en-AU"/>
        </w:rPr>
        <mc:AlternateContent>
          <mc:Choice Requires="wps">
            <w:drawing>
              <wp:anchor distT="0" distB="0" distL="114300" distR="114300" simplePos="0" relativeHeight="251658240" behindDoc="0" locked="0" layoutInCell="1" allowOverlap="1" wp14:anchorId="43E5ADDF" wp14:editId="0A1D6B6C">
                <wp:simplePos x="0" y="0"/>
                <wp:positionH relativeFrom="column">
                  <wp:posOffset>81280</wp:posOffset>
                </wp:positionH>
                <wp:positionV relativeFrom="paragraph">
                  <wp:posOffset>62230</wp:posOffset>
                </wp:positionV>
                <wp:extent cx="5172075" cy="3089275"/>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08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A1CA5" w14:textId="77777777" w:rsidR="00290CD0" w:rsidRDefault="00290CD0" w:rsidP="00030089">
                            <w:r>
                              <w:rPr>
                                <w:noProof/>
                                <w:lang w:eastAsia="en-AU"/>
                              </w:rPr>
                              <w:drawing>
                                <wp:inline distT="0" distB="0" distL="0" distR="0" wp14:anchorId="5F52EB00" wp14:editId="0B0E3AF1">
                                  <wp:extent cx="4848046" cy="280358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6.4pt;margin-top:4.9pt;width:407.25pt;height:2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3yhQ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" stroked="f">
                <v:textbox>
                  <w:txbxContent>
                    <w:p w14:paraId="59EA1CA5" w14:textId="77777777" w:rsidR="00290CD0" w:rsidRDefault="00290CD0" w:rsidP="00030089">
                      <w:r>
                        <w:rPr>
                          <w:noProof/>
                          <w:lang w:eastAsia="en-AU"/>
                        </w:rPr>
                        <w:drawing>
                          <wp:inline distT="0" distB="0" distL="0" distR="0" wp14:anchorId="5F52EB00" wp14:editId="0B0E3AF1">
                            <wp:extent cx="4848046" cy="280358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mc:Fallback>
        </mc:AlternateContent>
      </w:r>
    </w:p>
    <w:p w14:paraId="0DBC8667" w14:textId="77777777" w:rsidR="00290CD0" w:rsidRDefault="00290CD0" w:rsidP="00030089">
      <w:pPr>
        <w:tabs>
          <w:tab w:val="left" w:pos="830"/>
        </w:tabs>
        <w:ind w:left="98"/>
        <w:rPr>
          <w:rFonts w:ascii="Arial" w:hAnsi="Arial" w:cs="Arial"/>
          <w:color w:val="000000"/>
          <w:sz w:val="16"/>
          <w:szCs w:val="16"/>
        </w:rPr>
      </w:pPr>
    </w:p>
    <w:p w14:paraId="03E2B6F8" w14:textId="77777777" w:rsidR="00030089" w:rsidRDefault="00030089" w:rsidP="00030089">
      <w:pPr>
        <w:tabs>
          <w:tab w:val="left" w:pos="830"/>
        </w:tabs>
        <w:ind w:left="98"/>
        <w:rPr>
          <w:rFonts w:ascii="Arial" w:hAnsi="Arial" w:cs="Arial"/>
          <w:color w:val="000000"/>
          <w:sz w:val="16"/>
          <w:szCs w:val="16"/>
        </w:rPr>
      </w:pPr>
    </w:p>
    <w:p w14:paraId="2B91F700" w14:textId="77777777" w:rsidR="00030089" w:rsidRDefault="00030089" w:rsidP="00030089">
      <w:pPr>
        <w:tabs>
          <w:tab w:val="left" w:pos="830"/>
        </w:tabs>
        <w:ind w:left="98"/>
        <w:rPr>
          <w:rFonts w:ascii="Arial" w:hAnsi="Arial" w:cs="Arial"/>
          <w:color w:val="000000"/>
          <w:sz w:val="16"/>
          <w:szCs w:val="16"/>
        </w:rPr>
      </w:pPr>
    </w:p>
    <w:p w14:paraId="19BD899A" w14:textId="77777777" w:rsidR="00030089" w:rsidRDefault="00030089" w:rsidP="00030089">
      <w:pPr>
        <w:tabs>
          <w:tab w:val="left" w:pos="830"/>
        </w:tabs>
        <w:ind w:left="98"/>
        <w:rPr>
          <w:rFonts w:ascii="Arial" w:hAnsi="Arial" w:cs="Arial"/>
          <w:color w:val="000000"/>
          <w:sz w:val="16"/>
          <w:szCs w:val="16"/>
        </w:rPr>
      </w:pPr>
    </w:p>
    <w:p w14:paraId="1754A12E" w14:textId="77777777" w:rsidR="00030089" w:rsidRDefault="00030089" w:rsidP="00030089">
      <w:pPr>
        <w:tabs>
          <w:tab w:val="left" w:pos="830"/>
        </w:tabs>
        <w:ind w:left="98"/>
        <w:rPr>
          <w:rFonts w:ascii="Arial" w:hAnsi="Arial" w:cs="Arial"/>
          <w:color w:val="000000"/>
          <w:sz w:val="16"/>
          <w:szCs w:val="16"/>
        </w:rPr>
      </w:pPr>
    </w:p>
    <w:p w14:paraId="24B81916" w14:textId="77777777" w:rsidR="00030089" w:rsidRDefault="00030089" w:rsidP="00030089">
      <w:pPr>
        <w:tabs>
          <w:tab w:val="left" w:pos="830"/>
        </w:tabs>
        <w:ind w:left="98"/>
        <w:rPr>
          <w:rFonts w:ascii="Arial" w:hAnsi="Arial" w:cs="Arial"/>
          <w:color w:val="000000"/>
          <w:sz w:val="16"/>
          <w:szCs w:val="16"/>
        </w:rPr>
      </w:pPr>
    </w:p>
    <w:p w14:paraId="45A71D62" w14:textId="77777777" w:rsidR="00030089" w:rsidRDefault="00030089" w:rsidP="00030089">
      <w:pPr>
        <w:tabs>
          <w:tab w:val="left" w:pos="830"/>
        </w:tabs>
        <w:ind w:left="98"/>
        <w:rPr>
          <w:rFonts w:ascii="Arial" w:hAnsi="Arial" w:cs="Arial"/>
          <w:color w:val="000000"/>
          <w:sz w:val="16"/>
          <w:szCs w:val="16"/>
        </w:rPr>
      </w:pPr>
    </w:p>
    <w:p w14:paraId="371F21E0" w14:textId="77777777" w:rsidR="00030089" w:rsidRDefault="00030089" w:rsidP="00030089">
      <w:pPr>
        <w:tabs>
          <w:tab w:val="left" w:pos="830"/>
        </w:tabs>
        <w:ind w:left="98"/>
        <w:rPr>
          <w:rFonts w:ascii="Arial" w:hAnsi="Arial" w:cs="Arial"/>
          <w:color w:val="000000"/>
          <w:sz w:val="16"/>
          <w:szCs w:val="16"/>
        </w:rPr>
      </w:pPr>
    </w:p>
    <w:p w14:paraId="5CEF4F1D" w14:textId="77777777" w:rsidR="00F702E2" w:rsidRDefault="00F702E2" w:rsidP="00030089">
      <w:pPr>
        <w:spacing w:line="360" w:lineRule="auto"/>
        <w:rPr>
          <w:rFonts w:ascii="Arial" w:hAnsi="Arial" w:cs="Arial"/>
          <w:szCs w:val="28"/>
        </w:rPr>
      </w:pPr>
    </w:p>
    <w:p w14:paraId="63BAE094" w14:textId="77777777" w:rsidR="00F702E2" w:rsidRDefault="00F702E2" w:rsidP="00030089">
      <w:pPr>
        <w:spacing w:line="360" w:lineRule="auto"/>
        <w:rPr>
          <w:rFonts w:ascii="Arial" w:hAnsi="Arial" w:cs="Arial"/>
          <w:szCs w:val="28"/>
        </w:rPr>
      </w:pPr>
    </w:p>
    <w:p w14:paraId="13466DD4" w14:textId="77777777" w:rsidR="00F702E2" w:rsidRDefault="00F702E2" w:rsidP="00030089">
      <w:pPr>
        <w:spacing w:line="360" w:lineRule="auto"/>
        <w:rPr>
          <w:rFonts w:ascii="Arial" w:hAnsi="Arial" w:cs="Arial"/>
          <w:szCs w:val="28"/>
        </w:rPr>
      </w:pPr>
    </w:p>
    <w:p w14:paraId="5080901D" w14:textId="77777777" w:rsidR="00290CD0" w:rsidRDefault="00290CD0" w:rsidP="00030089">
      <w:pPr>
        <w:spacing w:line="360" w:lineRule="auto"/>
        <w:rPr>
          <w:rFonts w:ascii="Arial" w:hAnsi="Arial" w:cs="Arial"/>
          <w:szCs w:val="28"/>
        </w:rPr>
      </w:pPr>
    </w:p>
    <w:p w14:paraId="40637015" w14:textId="77777777" w:rsidR="00030089" w:rsidRDefault="00030089" w:rsidP="00030089">
      <w:pPr>
        <w:spacing w:line="360" w:lineRule="auto"/>
        <w:rPr>
          <w:rFonts w:ascii="Arial" w:hAnsi="Arial" w:cs="Arial"/>
          <w:szCs w:val="28"/>
        </w:rPr>
      </w:pPr>
      <w:r>
        <w:rPr>
          <w:rFonts w:ascii="Arial" w:hAnsi="Arial" w:cs="Arial"/>
          <w:szCs w:val="28"/>
        </w:rPr>
        <w:t xml:space="preserve">Table 4.34 projects the market costs and benefits of the NT CDS </w:t>
      </w:r>
      <w:r w:rsidRPr="00D378FE">
        <w:rPr>
          <w:rFonts w:ascii="Arial" w:hAnsi="Arial" w:cs="Arial"/>
          <w:szCs w:val="28"/>
        </w:rPr>
        <w:t>over</w:t>
      </w:r>
      <w:r>
        <w:rPr>
          <w:rFonts w:ascii="Arial" w:hAnsi="Arial" w:cs="Arial"/>
          <w:szCs w:val="28"/>
        </w:rPr>
        <w:t xml:space="preserve"> a 25 year period with an increasing return rate as outlined above in Table 4.3.</w:t>
      </w:r>
    </w:p>
    <w:p w14:paraId="41CFAA13"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283" w:name="_Toc353562526"/>
      <w:r w:rsidR="00740026">
        <w:rPr>
          <w:noProof/>
          <w:color w:val="auto"/>
        </w:rPr>
        <w:t>45</w:t>
      </w:r>
      <w:r w:rsidRPr="00682556">
        <w:rPr>
          <w:noProof/>
          <w:color w:val="auto"/>
        </w:rPr>
        <w:fldChar w:fldCharType="end"/>
      </w:r>
      <w:r w:rsidRPr="00682556">
        <w:rPr>
          <w:noProof/>
          <w:color w:val="auto"/>
        </w:rPr>
        <w:t xml:space="preserve"> Table 4.3</w:t>
      </w:r>
      <w:r>
        <w:rPr>
          <w:noProof/>
          <w:color w:val="auto"/>
        </w:rPr>
        <w:t>4</w:t>
      </w:r>
      <w:r w:rsidRPr="00682556">
        <w:rPr>
          <w:noProof/>
          <w:color w:val="auto"/>
        </w:rPr>
        <w:t>: Option Three: cost benefit results after 25 years based upon return rate in Figure 4.3 (discounted at 7%)</w:t>
      </w:r>
      <w:bookmarkEnd w:id="283"/>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268"/>
      </w:tblGrid>
      <w:tr w:rsidR="00030089" w:rsidRPr="003D324F" w14:paraId="32C2DA59" w14:textId="77777777" w:rsidTr="00290CD0">
        <w:trPr>
          <w:trHeight w:val="170"/>
          <w:tblHeader/>
        </w:trPr>
        <w:tc>
          <w:tcPr>
            <w:tcW w:w="5812" w:type="dxa"/>
            <w:shd w:val="pct10" w:color="auto" w:fill="auto"/>
          </w:tcPr>
          <w:p w14:paraId="56BC6993" w14:textId="77777777" w:rsidR="00030089" w:rsidRPr="001505FD" w:rsidRDefault="00030089" w:rsidP="008547F7">
            <w:pPr>
              <w:pStyle w:val="NoSpacing"/>
              <w:spacing w:before="60" w:line="360" w:lineRule="auto"/>
              <w:rPr>
                <w:rFonts w:ascii="Arial" w:hAnsi="Arial" w:cs="Arial"/>
                <w:b/>
                <w:sz w:val="18"/>
                <w:szCs w:val="18"/>
              </w:rPr>
            </w:pPr>
            <w:r>
              <w:rPr>
                <w:rFonts w:ascii="Arial" w:hAnsi="Arial" w:cs="Arial"/>
                <w:szCs w:val="28"/>
              </w:rPr>
              <w:t xml:space="preserve"> </w:t>
            </w:r>
            <w:r w:rsidRPr="001505FD">
              <w:rPr>
                <w:rFonts w:ascii="Arial" w:hAnsi="Arial" w:cs="Arial"/>
                <w:b/>
                <w:sz w:val="18"/>
                <w:szCs w:val="18"/>
              </w:rPr>
              <w:t>Description of Costs / Benefits</w:t>
            </w:r>
          </w:p>
        </w:tc>
        <w:tc>
          <w:tcPr>
            <w:tcW w:w="2268" w:type="dxa"/>
            <w:shd w:val="pct10" w:color="auto" w:fill="auto"/>
          </w:tcPr>
          <w:p w14:paraId="152B21F8" w14:textId="77777777" w:rsidR="00030089" w:rsidRPr="001505FD" w:rsidRDefault="00030089" w:rsidP="008547F7">
            <w:pPr>
              <w:pStyle w:val="NoSpacing"/>
              <w:spacing w:before="60" w:line="360" w:lineRule="auto"/>
              <w:rPr>
                <w:rFonts w:ascii="Arial" w:hAnsi="Arial" w:cs="Arial"/>
                <w:b/>
                <w:sz w:val="18"/>
                <w:szCs w:val="18"/>
              </w:rPr>
            </w:pPr>
            <w:r w:rsidRPr="001505FD">
              <w:rPr>
                <w:rFonts w:ascii="Arial" w:hAnsi="Arial" w:cs="Arial"/>
                <w:b/>
                <w:sz w:val="18"/>
                <w:szCs w:val="18"/>
              </w:rPr>
              <w:t>Value</w:t>
            </w:r>
          </w:p>
        </w:tc>
      </w:tr>
      <w:tr w:rsidR="00030089" w:rsidRPr="003D324F" w14:paraId="2E4AB5D6" w14:textId="77777777" w:rsidTr="00290CD0">
        <w:trPr>
          <w:trHeight w:val="170"/>
        </w:trPr>
        <w:tc>
          <w:tcPr>
            <w:tcW w:w="8080" w:type="dxa"/>
            <w:gridSpan w:val="2"/>
            <w:shd w:val="clear" w:color="auto" w:fill="auto"/>
          </w:tcPr>
          <w:p w14:paraId="783F4519" w14:textId="77777777" w:rsidR="00030089" w:rsidRPr="001505FD" w:rsidRDefault="00030089" w:rsidP="008547F7">
            <w:pPr>
              <w:pStyle w:val="NoSpacing"/>
              <w:spacing w:before="60" w:line="360" w:lineRule="auto"/>
              <w:rPr>
                <w:rFonts w:ascii="Arial" w:hAnsi="Arial" w:cs="Arial"/>
                <w:sz w:val="18"/>
                <w:szCs w:val="18"/>
              </w:rPr>
            </w:pPr>
            <w:r w:rsidRPr="001505FD">
              <w:rPr>
                <w:rFonts w:ascii="Arial" w:hAnsi="Arial" w:cs="Arial"/>
                <w:b/>
                <w:sz w:val="18"/>
                <w:szCs w:val="18"/>
              </w:rPr>
              <w:t>Costs</w:t>
            </w:r>
          </w:p>
        </w:tc>
      </w:tr>
      <w:tr w:rsidR="00030089" w:rsidRPr="003D324F" w14:paraId="72A29AE8" w14:textId="77777777" w:rsidTr="00290CD0">
        <w:trPr>
          <w:trHeight w:val="170"/>
        </w:trPr>
        <w:tc>
          <w:tcPr>
            <w:tcW w:w="5812" w:type="dxa"/>
          </w:tcPr>
          <w:p w14:paraId="2EB6F7CA" w14:textId="7A17593E" w:rsidR="00030089" w:rsidRPr="0025085D" w:rsidRDefault="00030089" w:rsidP="00290CD0">
            <w:pPr>
              <w:pStyle w:val="NoSpacing"/>
              <w:spacing w:beforeLines="60" w:before="144" w:line="360" w:lineRule="auto"/>
              <w:rPr>
                <w:rFonts w:ascii="Arial" w:hAnsi="Arial" w:cs="Arial"/>
                <w:sz w:val="18"/>
                <w:szCs w:val="18"/>
              </w:rPr>
            </w:pPr>
            <w:r w:rsidRPr="000729A4">
              <w:rPr>
                <w:rFonts w:ascii="Arial" w:hAnsi="Arial" w:cs="Arial"/>
                <w:sz w:val="18"/>
                <w:szCs w:val="18"/>
              </w:rPr>
              <w:t>Scheme design and implementation</w:t>
            </w:r>
          </w:p>
        </w:tc>
        <w:tc>
          <w:tcPr>
            <w:tcW w:w="2268" w:type="dxa"/>
          </w:tcPr>
          <w:p w14:paraId="670CD70A" w14:textId="40D1998B" w:rsidR="00030089" w:rsidRPr="00290CD0" w:rsidRDefault="00030089" w:rsidP="00290CD0">
            <w:pPr>
              <w:jc w:val="right"/>
              <w:rPr>
                <w:rFonts w:ascii="Arial" w:hAnsi="Arial" w:cs="Arial"/>
                <w:bCs/>
                <w:color w:val="000000"/>
                <w:sz w:val="16"/>
                <w:szCs w:val="16"/>
              </w:rPr>
            </w:pPr>
            <w:r w:rsidRPr="00792CEC">
              <w:rPr>
                <w:rFonts w:ascii="Arial" w:hAnsi="Arial" w:cs="Arial"/>
                <w:bCs/>
                <w:color w:val="000000"/>
                <w:sz w:val="16"/>
                <w:szCs w:val="16"/>
              </w:rPr>
              <w:t>$3</w:t>
            </w:r>
            <w:r>
              <w:rPr>
                <w:rFonts w:ascii="Arial" w:hAnsi="Arial" w:cs="Arial"/>
                <w:bCs/>
                <w:color w:val="000000"/>
                <w:sz w:val="16"/>
                <w:szCs w:val="16"/>
              </w:rPr>
              <w:t xml:space="preserve"> </w:t>
            </w:r>
            <w:r w:rsidRPr="00792CEC">
              <w:rPr>
                <w:rFonts w:ascii="Arial" w:hAnsi="Arial" w:cs="Arial"/>
                <w:bCs/>
                <w:color w:val="000000"/>
                <w:sz w:val="16"/>
                <w:szCs w:val="16"/>
              </w:rPr>
              <w:t>646</w:t>
            </w:r>
            <w:r>
              <w:rPr>
                <w:rFonts w:ascii="Arial" w:hAnsi="Arial" w:cs="Arial"/>
                <w:bCs/>
                <w:color w:val="000000"/>
                <w:sz w:val="16"/>
                <w:szCs w:val="16"/>
              </w:rPr>
              <w:t xml:space="preserve"> </w:t>
            </w:r>
            <w:r w:rsidRPr="00792CEC">
              <w:rPr>
                <w:rFonts w:ascii="Arial" w:hAnsi="Arial" w:cs="Arial"/>
                <w:bCs/>
                <w:color w:val="000000"/>
                <w:sz w:val="16"/>
                <w:szCs w:val="16"/>
              </w:rPr>
              <w:t>594</w:t>
            </w:r>
          </w:p>
        </w:tc>
      </w:tr>
      <w:tr w:rsidR="00030089" w:rsidRPr="003D324F" w14:paraId="46C1083B" w14:textId="77777777" w:rsidTr="00290CD0">
        <w:trPr>
          <w:trHeight w:val="170"/>
        </w:trPr>
        <w:tc>
          <w:tcPr>
            <w:tcW w:w="5812" w:type="dxa"/>
          </w:tcPr>
          <w:p w14:paraId="05C086DE" w14:textId="6CC79CA7" w:rsidR="00030089" w:rsidRPr="0025085D" w:rsidRDefault="00030089" w:rsidP="00290CD0">
            <w:pPr>
              <w:pStyle w:val="NoSpacing"/>
              <w:spacing w:beforeLines="60" w:before="144" w:line="360" w:lineRule="auto"/>
              <w:rPr>
                <w:rFonts w:ascii="Arial" w:hAnsi="Arial" w:cs="Arial"/>
                <w:sz w:val="18"/>
                <w:szCs w:val="18"/>
              </w:rPr>
            </w:pPr>
            <w:r w:rsidRPr="000729A4">
              <w:rPr>
                <w:rFonts w:ascii="Arial" w:hAnsi="Arial" w:cs="Arial"/>
                <w:sz w:val="18"/>
                <w:szCs w:val="18"/>
              </w:rPr>
              <w:t>Scheme operation and compliance</w:t>
            </w:r>
          </w:p>
        </w:tc>
        <w:tc>
          <w:tcPr>
            <w:tcW w:w="2268" w:type="dxa"/>
          </w:tcPr>
          <w:p w14:paraId="6E0812AA" w14:textId="43FC5279" w:rsidR="00030089" w:rsidRPr="00290CD0" w:rsidRDefault="00030089" w:rsidP="00290CD0">
            <w:pPr>
              <w:jc w:val="right"/>
              <w:rPr>
                <w:rFonts w:ascii="Arial" w:hAnsi="Arial" w:cs="Arial"/>
                <w:bCs/>
                <w:color w:val="000000"/>
                <w:sz w:val="16"/>
                <w:szCs w:val="16"/>
              </w:rPr>
            </w:pPr>
            <w:r w:rsidRPr="00792CEC">
              <w:rPr>
                <w:rFonts w:ascii="Arial" w:hAnsi="Arial" w:cs="Arial"/>
                <w:bCs/>
                <w:color w:val="000000"/>
                <w:sz w:val="16"/>
                <w:szCs w:val="16"/>
              </w:rPr>
              <w:t>$27</w:t>
            </w:r>
            <w:r>
              <w:rPr>
                <w:rFonts w:ascii="Arial" w:hAnsi="Arial" w:cs="Arial"/>
                <w:bCs/>
                <w:color w:val="000000"/>
                <w:sz w:val="16"/>
                <w:szCs w:val="16"/>
              </w:rPr>
              <w:t xml:space="preserve"> </w:t>
            </w:r>
            <w:r w:rsidRPr="00792CEC">
              <w:rPr>
                <w:rFonts w:ascii="Arial" w:hAnsi="Arial" w:cs="Arial"/>
                <w:bCs/>
                <w:color w:val="000000"/>
                <w:sz w:val="16"/>
                <w:szCs w:val="16"/>
              </w:rPr>
              <w:t>137</w:t>
            </w:r>
            <w:r>
              <w:rPr>
                <w:rFonts w:ascii="Arial" w:hAnsi="Arial" w:cs="Arial"/>
                <w:bCs/>
                <w:color w:val="000000"/>
                <w:sz w:val="16"/>
                <w:szCs w:val="16"/>
              </w:rPr>
              <w:t xml:space="preserve"> </w:t>
            </w:r>
            <w:r w:rsidRPr="00792CEC">
              <w:rPr>
                <w:rFonts w:ascii="Arial" w:hAnsi="Arial" w:cs="Arial"/>
                <w:bCs/>
                <w:color w:val="000000"/>
                <w:sz w:val="16"/>
                <w:szCs w:val="16"/>
              </w:rPr>
              <w:t>590</w:t>
            </w:r>
          </w:p>
        </w:tc>
      </w:tr>
      <w:tr w:rsidR="00030089" w:rsidRPr="003D324F" w14:paraId="10107892" w14:textId="77777777" w:rsidTr="00290CD0">
        <w:trPr>
          <w:trHeight w:val="170"/>
        </w:trPr>
        <w:tc>
          <w:tcPr>
            <w:tcW w:w="5812" w:type="dxa"/>
          </w:tcPr>
          <w:p w14:paraId="76659EAA" w14:textId="77777777" w:rsidR="00030089" w:rsidRPr="0025085D" w:rsidRDefault="00030089" w:rsidP="008547F7">
            <w:pPr>
              <w:pStyle w:val="NoSpacing"/>
              <w:spacing w:before="60" w:line="360" w:lineRule="auto"/>
              <w:rPr>
                <w:rFonts w:ascii="Arial" w:hAnsi="Arial" w:cs="Arial"/>
                <w:sz w:val="18"/>
                <w:szCs w:val="18"/>
              </w:rPr>
            </w:pPr>
            <w:r w:rsidRPr="000729A4">
              <w:rPr>
                <w:rFonts w:ascii="Arial" w:hAnsi="Arial" w:cs="Arial"/>
                <w:sz w:val="18"/>
                <w:szCs w:val="18"/>
              </w:rPr>
              <w:t>Household participation costs</w:t>
            </w:r>
          </w:p>
        </w:tc>
        <w:tc>
          <w:tcPr>
            <w:tcW w:w="2268" w:type="dxa"/>
          </w:tcPr>
          <w:p w14:paraId="0ACA5AF7" w14:textId="41F4B1CA" w:rsidR="00030089" w:rsidRPr="00290CD0" w:rsidRDefault="00030089" w:rsidP="00290CD0">
            <w:pPr>
              <w:jc w:val="right"/>
              <w:rPr>
                <w:rFonts w:ascii="Arial" w:hAnsi="Arial" w:cs="Arial"/>
                <w:bCs/>
                <w:color w:val="000000"/>
                <w:sz w:val="16"/>
                <w:szCs w:val="16"/>
              </w:rPr>
            </w:pPr>
            <w:r w:rsidRPr="00792CEC">
              <w:rPr>
                <w:rFonts w:ascii="Arial" w:hAnsi="Arial" w:cs="Arial"/>
                <w:bCs/>
                <w:color w:val="000000"/>
                <w:sz w:val="16"/>
                <w:szCs w:val="16"/>
              </w:rPr>
              <w:t>$2</w:t>
            </w:r>
            <w:r>
              <w:rPr>
                <w:rFonts w:ascii="Arial" w:hAnsi="Arial" w:cs="Arial"/>
                <w:bCs/>
                <w:color w:val="000000"/>
                <w:sz w:val="16"/>
                <w:szCs w:val="16"/>
              </w:rPr>
              <w:t xml:space="preserve"> </w:t>
            </w:r>
            <w:r w:rsidRPr="00792CEC">
              <w:rPr>
                <w:rFonts w:ascii="Arial" w:hAnsi="Arial" w:cs="Arial"/>
                <w:bCs/>
                <w:color w:val="000000"/>
                <w:sz w:val="16"/>
                <w:szCs w:val="16"/>
              </w:rPr>
              <w:t>786</w:t>
            </w:r>
            <w:r>
              <w:rPr>
                <w:rFonts w:ascii="Arial" w:hAnsi="Arial" w:cs="Arial"/>
                <w:bCs/>
                <w:color w:val="000000"/>
                <w:sz w:val="16"/>
                <w:szCs w:val="16"/>
              </w:rPr>
              <w:t xml:space="preserve"> </w:t>
            </w:r>
            <w:r w:rsidRPr="00792CEC">
              <w:rPr>
                <w:rFonts w:ascii="Arial" w:hAnsi="Arial" w:cs="Arial"/>
                <w:bCs/>
                <w:color w:val="000000"/>
                <w:sz w:val="16"/>
                <w:szCs w:val="16"/>
              </w:rPr>
              <w:t>200</w:t>
            </w:r>
          </w:p>
        </w:tc>
      </w:tr>
      <w:tr w:rsidR="00030089" w:rsidRPr="003D324F" w14:paraId="5FFAFC9C" w14:textId="77777777" w:rsidTr="00290CD0">
        <w:trPr>
          <w:trHeight w:val="170"/>
        </w:trPr>
        <w:tc>
          <w:tcPr>
            <w:tcW w:w="5812" w:type="dxa"/>
          </w:tcPr>
          <w:p w14:paraId="62EE2D6A" w14:textId="77777777" w:rsidR="00030089" w:rsidRPr="0025085D" w:rsidRDefault="00030089" w:rsidP="008547F7">
            <w:pPr>
              <w:pStyle w:val="NoSpacing"/>
              <w:spacing w:before="60" w:line="360" w:lineRule="auto"/>
              <w:rPr>
                <w:rFonts w:ascii="Arial" w:hAnsi="Arial" w:cs="Arial"/>
                <w:sz w:val="18"/>
                <w:szCs w:val="18"/>
              </w:rPr>
            </w:pPr>
            <w:r w:rsidRPr="000729A4">
              <w:rPr>
                <w:rFonts w:ascii="Arial" w:hAnsi="Arial" w:cs="Arial"/>
                <w:sz w:val="18"/>
                <w:szCs w:val="18"/>
              </w:rPr>
              <w:t>Business participation costs</w:t>
            </w:r>
          </w:p>
        </w:tc>
        <w:tc>
          <w:tcPr>
            <w:tcW w:w="2268" w:type="dxa"/>
          </w:tcPr>
          <w:p w14:paraId="4F7BEB34" w14:textId="6355774F" w:rsidR="00030089" w:rsidRPr="00290CD0" w:rsidRDefault="00030089" w:rsidP="00290CD0">
            <w:pPr>
              <w:jc w:val="right"/>
              <w:rPr>
                <w:rFonts w:ascii="Arial" w:hAnsi="Arial" w:cs="Arial"/>
                <w:bCs/>
                <w:color w:val="000000"/>
                <w:sz w:val="16"/>
                <w:szCs w:val="16"/>
              </w:rPr>
            </w:pPr>
            <w:r w:rsidRPr="00792CEC">
              <w:rPr>
                <w:rFonts w:ascii="Arial" w:hAnsi="Arial" w:cs="Arial"/>
                <w:bCs/>
                <w:color w:val="000000"/>
                <w:sz w:val="16"/>
                <w:szCs w:val="16"/>
              </w:rPr>
              <w:t>$810</w:t>
            </w:r>
            <w:r>
              <w:rPr>
                <w:rFonts w:ascii="Arial" w:hAnsi="Arial" w:cs="Arial"/>
                <w:bCs/>
                <w:color w:val="000000"/>
                <w:sz w:val="16"/>
                <w:szCs w:val="16"/>
              </w:rPr>
              <w:t xml:space="preserve"> </w:t>
            </w:r>
            <w:r w:rsidRPr="00792CEC">
              <w:rPr>
                <w:rFonts w:ascii="Arial" w:hAnsi="Arial" w:cs="Arial"/>
                <w:bCs/>
                <w:color w:val="000000"/>
                <w:sz w:val="16"/>
                <w:szCs w:val="16"/>
              </w:rPr>
              <w:t>354</w:t>
            </w:r>
          </w:p>
        </w:tc>
      </w:tr>
      <w:tr w:rsidR="00030089" w:rsidRPr="003D324F" w14:paraId="6ECDA2FD" w14:textId="77777777" w:rsidTr="00290CD0">
        <w:trPr>
          <w:trHeight w:val="170"/>
        </w:trPr>
        <w:tc>
          <w:tcPr>
            <w:tcW w:w="5812" w:type="dxa"/>
          </w:tcPr>
          <w:p w14:paraId="3AB9DAE4" w14:textId="77777777" w:rsidR="00030089" w:rsidRPr="0025085D" w:rsidRDefault="00030089" w:rsidP="008547F7">
            <w:pPr>
              <w:pStyle w:val="NoSpacing"/>
              <w:spacing w:before="60" w:line="360" w:lineRule="auto"/>
              <w:rPr>
                <w:rFonts w:ascii="Arial" w:hAnsi="Arial" w:cs="Arial"/>
                <w:sz w:val="18"/>
                <w:szCs w:val="18"/>
              </w:rPr>
            </w:pPr>
            <w:r w:rsidRPr="000729A4">
              <w:rPr>
                <w:rFonts w:ascii="Arial" w:hAnsi="Arial" w:cs="Arial"/>
                <w:sz w:val="18"/>
                <w:szCs w:val="18"/>
              </w:rPr>
              <w:t xml:space="preserve">Litigation </w:t>
            </w:r>
          </w:p>
        </w:tc>
        <w:tc>
          <w:tcPr>
            <w:tcW w:w="2268" w:type="dxa"/>
          </w:tcPr>
          <w:p w14:paraId="070F3E17" w14:textId="77777777" w:rsidR="00030089" w:rsidRPr="006C7BCC" w:rsidRDefault="00030089" w:rsidP="008547F7">
            <w:pPr>
              <w:pStyle w:val="NoSpacing"/>
              <w:spacing w:before="60" w:line="360" w:lineRule="auto"/>
              <w:jc w:val="right"/>
              <w:rPr>
                <w:rFonts w:ascii="Arial" w:hAnsi="Arial" w:cs="Arial"/>
                <w:bCs/>
                <w:color w:val="000000"/>
                <w:sz w:val="16"/>
                <w:szCs w:val="16"/>
              </w:rPr>
            </w:pPr>
            <w:r w:rsidRPr="00792CEC">
              <w:rPr>
                <w:rFonts w:ascii="Arial" w:hAnsi="Arial" w:cs="Arial"/>
                <w:b/>
                <w:bCs/>
                <w:color w:val="000000"/>
                <w:sz w:val="16"/>
                <w:szCs w:val="16"/>
              </w:rPr>
              <w:t>$</w:t>
            </w:r>
            <w:r w:rsidRPr="00792CEC">
              <w:rPr>
                <w:rFonts w:ascii="Arial" w:hAnsi="Arial" w:cs="Arial"/>
                <w:bCs/>
                <w:color w:val="000000"/>
                <w:sz w:val="16"/>
                <w:szCs w:val="16"/>
              </w:rPr>
              <w:t>186 916</w:t>
            </w:r>
          </w:p>
        </w:tc>
      </w:tr>
      <w:tr w:rsidR="00030089" w:rsidRPr="003D324F" w14:paraId="255D050E" w14:textId="77777777" w:rsidTr="00290CD0">
        <w:trPr>
          <w:trHeight w:val="170"/>
        </w:trPr>
        <w:tc>
          <w:tcPr>
            <w:tcW w:w="5812" w:type="dxa"/>
            <w:shd w:val="clear" w:color="auto" w:fill="FFFFFF" w:themeFill="background1"/>
          </w:tcPr>
          <w:p w14:paraId="61F2AB4F" w14:textId="77777777" w:rsidR="00030089" w:rsidRPr="00AD372A" w:rsidRDefault="00030089" w:rsidP="008547F7">
            <w:pPr>
              <w:pStyle w:val="NoSpacing"/>
              <w:spacing w:before="60" w:line="360" w:lineRule="auto"/>
              <w:rPr>
                <w:rFonts w:ascii="Arial" w:hAnsi="Arial" w:cs="Arial"/>
                <w:b/>
                <w:sz w:val="18"/>
                <w:szCs w:val="18"/>
              </w:rPr>
            </w:pPr>
            <w:r>
              <w:rPr>
                <w:rFonts w:ascii="Arial" w:hAnsi="Arial" w:cs="Arial"/>
                <w:b/>
                <w:sz w:val="18"/>
                <w:szCs w:val="18"/>
              </w:rPr>
              <w:t>TOTAL</w:t>
            </w:r>
          </w:p>
        </w:tc>
        <w:tc>
          <w:tcPr>
            <w:tcW w:w="2268" w:type="dxa"/>
            <w:shd w:val="clear" w:color="auto" w:fill="FFFFFF" w:themeFill="background1"/>
          </w:tcPr>
          <w:p w14:paraId="45D206D5" w14:textId="60CF053D" w:rsidR="00030089" w:rsidRPr="00290CD0" w:rsidRDefault="00030089" w:rsidP="00290CD0">
            <w:pPr>
              <w:jc w:val="right"/>
              <w:rPr>
                <w:rFonts w:ascii="Arial" w:hAnsi="Arial" w:cs="Arial"/>
                <w:color w:val="000000"/>
                <w:sz w:val="16"/>
                <w:szCs w:val="16"/>
              </w:rPr>
            </w:pPr>
            <w:r w:rsidRPr="00792CEC">
              <w:rPr>
                <w:rFonts w:ascii="Arial" w:hAnsi="Arial" w:cs="Arial"/>
                <w:color w:val="000000"/>
                <w:sz w:val="16"/>
                <w:szCs w:val="16"/>
              </w:rPr>
              <w:t>$34</w:t>
            </w:r>
            <w:r>
              <w:rPr>
                <w:rFonts w:ascii="Arial" w:hAnsi="Arial" w:cs="Arial"/>
                <w:color w:val="000000"/>
                <w:sz w:val="16"/>
                <w:szCs w:val="16"/>
              </w:rPr>
              <w:t xml:space="preserve"> </w:t>
            </w:r>
            <w:r w:rsidRPr="00792CEC">
              <w:rPr>
                <w:rFonts w:ascii="Arial" w:hAnsi="Arial" w:cs="Arial"/>
                <w:color w:val="000000"/>
                <w:sz w:val="16"/>
                <w:szCs w:val="16"/>
              </w:rPr>
              <w:t>567</w:t>
            </w:r>
            <w:r>
              <w:rPr>
                <w:rFonts w:ascii="Arial" w:hAnsi="Arial" w:cs="Arial"/>
                <w:color w:val="000000"/>
                <w:sz w:val="16"/>
                <w:szCs w:val="16"/>
              </w:rPr>
              <w:t xml:space="preserve"> </w:t>
            </w:r>
            <w:r w:rsidRPr="00792CEC">
              <w:rPr>
                <w:rFonts w:ascii="Arial" w:hAnsi="Arial" w:cs="Arial"/>
                <w:color w:val="000000"/>
                <w:sz w:val="16"/>
                <w:szCs w:val="16"/>
              </w:rPr>
              <w:t>655</w:t>
            </w:r>
          </w:p>
        </w:tc>
      </w:tr>
      <w:tr w:rsidR="00030089" w:rsidRPr="003D324F" w14:paraId="5F9E4DD2" w14:textId="77777777" w:rsidTr="00290CD0">
        <w:trPr>
          <w:trHeight w:val="170"/>
        </w:trPr>
        <w:tc>
          <w:tcPr>
            <w:tcW w:w="8080" w:type="dxa"/>
            <w:gridSpan w:val="2"/>
            <w:shd w:val="clear" w:color="auto" w:fill="auto"/>
          </w:tcPr>
          <w:p w14:paraId="7C979E3C" w14:textId="77777777" w:rsidR="00030089" w:rsidRPr="000729A4" w:rsidRDefault="00030089" w:rsidP="008547F7">
            <w:pPr>
              <w:pStyle w:val="NoSpacing"/>
              <w:spacing w:before="60" w:line="360" w:lineRule="auto"/>
              <w:rPr>
                <w:rFonts w:ascii="Arial" w:hAnsi="Arial" w:cs="Arial"/>
                <w:b/>
                <w:sz w:val="18"/>
                <w:szCs w:val="18"/>
              </w:rPr>
            </w:pPr>
            <w:r w:rsidRPr="000729A4">
              <w:rPr>
                <w:rFonts w:ascii="Arial" w:hAnsi="Arial" w:cs="Arial"/>
                <w:b/>
                <w:sz w:val="18"/>
                <w:szCs w:val="18"/>
              </w:rPr>
              <w:t>Benefits</w:t>
            </w:r>
          </w:p>
        </w:tc>
      </w:tr>
      <w:tr w:rsidR="00030089" w:rsidRPr="003D324F" w14:paraId="44333DC1" w14:textId="77777777" w:rsidTr="00290CD0">
        <w:trPr>
          <w:trHeight w:val="170"/>
        </w:trPr>
        <w:tc>
          <w:tcPr>
            <w:tcW w:w="5812" w:type="dxa"/>
          </w:tcPr>
          <w:p w14:paraId="571C4C07" w14:textId="77777777" w:rsidR="00030089" w:rsidRPr="0025085D" w:rsidRDefault="00030089" w:rsidP="008547F7">
            <w:pPr>
              <w:pStyle w:val="NoSpacing"/>
              <w:spacing w:before="60" w:line="360" w:lineRule="auto"/>
              <w:rPr>
                <w:rFonts w:ascii="Arial" w:hAnsi="Arial" w:cs="Arial"/>
                <w:sz w:val="18"/>
                <w:szCs w:val="18"/>
              </w:rPr>
            </w:pPr>
            <w:r>
              <w:rPr>
                <w:rFonts w:ascii="Arial" w:hAnsi="Arial" w:cs="Arial"/>
                <w:sz w:val="18"/>
                <w:szCs w:val="18"/>
              </w:rPr>
              <w:t>Avoided kerbside costs</w:t>
            </w:r>
          </w:p>
        </w:tc>
        <w:tc>
          <w:tcPr>
            <w:tcW w:w="2268" w:type="dxa"/>
          </w:tcPr>
          <w:p w14:paraId="7C6EDD78" w14:textId="0108D273" w:rsidR="00030089" w:rsidRPr="00290CD0" w:rsidRDefault="00030089" w:rsidP="00290CD0">
            <w:pPr>
              <w:jc w:val="right"/>
              <w:rPr>
                <w:rFonts w:ascii="Arial" w:hAnsi="Arial" w:cs="Arial"/>
                <w:bCs/>
                <w:color w:val="000000"/>
                <w:sz w:val="16"/>
                <w:szCs w:val="16"/>
              </w:rPr>
            </w:pPr>
            <w:r w:rsidRPr="00792CEC">
              <w:rPr>
                <w:rFonts w:ascii="Arial" w:hAnsi="Arial" w:cs="Arial"/>
                <w:bCs/>
                <w:color w:val="000000"/>
                <w:sz w:val="16"/>
                <w:szCs w:val="16"/>
              </w:rPr>
              <w:t>$12</w:t>
            </w:r>
            <w:r>
              <w:rPr>
                <w:rFonts w:ascii="Arial" w:hAnsi="Arial" w:cs="Arial"/>
                <w:bCs/>
                <w:color w:val="000000"/>
                <w:sz w:val="16"/>
                <w:szCs w:val="16"/>
              </w:rPr>
              <w:t xml:space="preserve"> </w:t>
            </w:r>
            <w:r w:rsidRPr="00792CEC">
              <w:rPr>
                <w:rFonts w:ascii="Arial" w:hAnsi="Arial" w:cs="Arial"/>
                <w:bCs/>
                <w:color w:val="000000"/>
                <w:sz w:val="16"/>
                <w:szCs w:val="16"/>
              </w:rPr>
              <w:t>599</w:t>
            </w:r>
            <w:r>
              <w:rPr>
                <w:rFonts w:ascii="Arial" w:hAnsi="Arial" w:cs="Arial"/>
                <w:bCs/>
                <w:color w:val="000000"/>
                <w:sz w:val="16"/>
                <w:szCs w:val="16"/>
              </w:rPr>
              <w:t xml:space="preserve"> </w:t>
            </w:r>
            <w:r w:rsidRPr="00792CEC">
              <w:rPr>
                <w:rFonts w:ascii="Arial" w:hAnsi="Arial" w:cs="Arial"/>
                <w:bCs/>
                <w:color w:val="000000"/>
                <w:sz w:val="16"/>
                <w:szCs w:val="16"/>
              </w:rPr>
              <w:t>600</w:t>
            </w:r>
          </w:p>
        </w:tc>
      </w:tr>
      <w:tr w:rsidR="00030089" w:rsidRPr="003D324F" w14:paraId="229AC8C4" w14:textId="77777777" w:rsidTr="00290CD0">
        <w:trPr>
          <w:trHeight w:val="170"/>
        </w:trPr>
        <w:tc>
          <w:tcPr>
            <w:tcW w:w="5812" w:type="dxa"/>
          </w:tcPr>
          <w:p w14:paraId="7CD4E402" w14:textId="77777777" w:rsidR="00030089" w:rsidRPr="0025085D" w:rsidRDefault="00030089" w:rsidP="008547F7">
            <w:pPr>
              <w:pStyle w:val="NoSpacing"/>
              <w:spacing w:before="60" w:line="360" w:lineRule="auto"/>
              <w:rPr>
                <w:rFonts w:ascii="Arial" w:hAnsi="Arial" w:cs="Arial"/>
                <w:sz w:val="18"/>
                <w:szCs w:val="18"/>
              </w:rPr>
            </w:pPr>
            <w:r w:rsidRPr="000729A4">
              <w:rPr>
                <w:rFonts w:ascii="Arial" w:hAnsi="Arial" w:cs="Arial"/>
                <w:sz w:val="18"/>
                <w:szCs w:val="18"/>
              </w:rPr>
              <w:t>Market value of resources</w:t>
            </w:r>
          </w:p>
        </w:tc>
        <w:tc>
          <w:tcPr>
            <w:tcW w:w="2268" w:type="dxa"/>
          </w:tcPr>
          <w:p w14:paraId="3551EA6B" w14:textId="4A7E3EB9" w:rsidR="00030089" w:rsidRPr="00290CD0" w:rsidRDefault="00030089" w:rsidP="00290CD0">
            <w:pPr>
              <w:jc w:val="right"/>
              <w:rPr>
                <w:rFonts w:ascii="Arial" w:hAnsi="Arial" w:cs="Arial"/>
                <w:bCs/>
                <w:color w:val="000000"/>
                <w:sz w:val="16"/>
                <w:szCs w:val="16"/>
              </w:rPr>
            </w:pPr>
            <w:r w:rsidRPr="00792CEC">
              <w:rPr>
                <w:rFonts w:ascii="Arial" w:hAnsi="Arial" w:cs="Arial"/>
                <w:bCs/>
                <w:color w:val="000000"/>
                <w:sz w:val="16"/>
                <w:szCs w:val="16"/>
              </w:rPr>
              <w:t>$4</w:t>
            </w:r>
            <w:r>
              <w:rPr>
                <w:rFonts w:ascii="Arial" w:hAnsi="Arial" w:cs="Arial"/>
                <w:bCs/>
                <w:color w:val="000000"/>
                <w:sz w:val="16"/>
                <w:szCs w:val="16"/>
              </w:rPr>
              <w:t xml:space="preserve"> </w:t>
            </w:r>
            <w:r w:rsidRPr="00792CEC">
              <w:rPr>
                <w:rFonts w:ascii="Arial" w:hAnsi="Arial" w:cs="Arial"/>
                <w:bCs/>
                <w:color w:val="000000"/>
                <w:sz w:val="16"/>
                <w:szCs w:val="16"/>
              </w:rPr>
              <w:t>114</w:t>
            </w:r>
            <w:r>
              <w:rPr>
                <w:rFonts w:ascii="Arial" w:hAnsi="Arial" w:cs="Arial"/>
                <w:bCs/>
                <w:color w:val="000000"/>
                <w:sz w:val="16"/>
                <w:szCs w:val="16"/>
              </w:rPr>
              <w:t xml:space="preserve"> </w:t>
            </w:r>
            <w:r w:rsidRPr="00792CEC">
              <w:rPr>
                <w:rFonts w:ascii="Arial" w:hAnsi="Arial" w:cs="Arial"/>
                <w:bCs/>
                <w:color w:val="000000"/>
                <w:sz w:val="16"/>
                <w:szCs w:val="16"/>
              </w:rPr>
              <w:t>492</w:t>
            </w:r>
          </w:p>
        </w:tc>
      </w:tr>
      <w:tr w:rsidR="00030089" w:rsidRPr="003D324F" w14:paraId="41B30786" w14:textId="77777777" w:rsidTr="00290CD0">
        <w:trPr>
          <w:trHeight w:val="170"/>
        </w:trPr>
        <w:tc>
          <w:tcPr>
            <w:tcW w:w="5812" w:type="dxa"/>
          </w:tcPr>
          <w:p w14:paraId="2714BC08" w14:textId="77777777" w:rsidR="00030089" w:rsidRPr="0025085D" w:rsidRDefault="00030089" w:rsidP="008547F7">
            <w:pPr>
              <w:pStyle w:val="NoSpacing"/>
              <w:spacing w:before="60" w:line="360" w:lineRule="auto"/>
              <w:rPr>
                <w:rFonts w:ascii="Arial" w:hAnsi="Arial" w:cs="Arial"/>
                <w:sz w:val="18"/>
                <w:szCs w:val="18"/>
              </w:rPr>
            </w:pPr>
            <w:r w:rsidRPr="000729A4">
              <w:rPr>
                <w:rFonts w:ascii="Arial" w:hAnsi="Arial" w:cs="Arial"/>
                <w:sz w:val="18"/>
                <w:szCs w:val="18"/>
              </w:rPr>
              <w:t xml:space="preserve">Avoided regulatory </w:t>
            </w:r>
            <w:r>
              <w:rPr>
                <w:rFonts w:ascii="Arial" w:hAnsi="Arial" w:cs="Arial"/>
                <w:sz w:val="18"/>
                <w:szCs w:val="18"/>
              </w:rPr>
              <w:t>c</w:t>
            </w:r>
            <w:r w:rsidRPr="000729A4">
              <w:rPr>
                <w:rFonts w:ascii="Arial" w:hAnsi="Arial" w:cs="Arial"/>
                <w:sz w:val="18"/>
                <w:szCs w:val="18"/>
              </w:rPr>
              <w:t>osts</w:t>
            </w:r>
          </w:p>
        </w:tc>
        <w:tc>
          <w:tcPr>
            <w:tcW w:w="2268" w:type="dxa"/>
          </w:tcPr>
          <w:p w14:paraId="617E348E" w14:textId="77777777" w:rsidR="00030089" w:rsidRPr="006C7BCC" w:rsidRDefault="00030089" w:rsidP="008547F7">
            <w:pPr>
              <w:pStyle w:val="NoSpacing"/>
              <w:spacing w:before="60" w:line="360" w:lineRule="auto"/>
              <w:jc w:val="right"/>
              <w:rPr>
                <w:rFonts w:ascii="Arial" w:hAnsi="Arial" w:cs="Arial"/>
                <w:sz w:val="16"/>
                <w:szCs w:val="16"/>
              </w:rPr>
            </w:pPr>
          </w:p>
        </w:tc>
      </w:tr>
      <w:tr w:rsidR="00030089" w:rsidRPr="003D324F" w14:paraId="20622605" w14:textId="77777777" w:rsidTr="00290CD0">
        <w:trPr>
          <w:trHeight w:val="170"/>
        </w:trPr>
        <w:tc>
          <w:tcPr>
            <w:tcW w:w="5812" w:type="dxa"/>
          </w:tcPr>
          <w:p w14:paraId="0C3474A7" w14:textId="77777777" w:rsidR="00030089" w:rsidRPr="0025085D" w:rsidRDefault="00030089" w:rsidP="008547F7">
            <w:pPr>
              <w:pStyle w:val="NoSpacing"/>
              <w:spacing w:before="60" w:line="360" w:lineRule="auto"/>
              <w:rPr>
                <w:rFonts w:ascii="Arial" w:hAnsi="Arial" w:cs="Arial"/>
                <w:sz w:val="18"/>
                <w:szCs w:val="18"/>
              </w:rPr>
            </w:pPr>
            <w:r w:rsidRPr="000729A4">
              <w:rPr>
                <w:rFonts w:ascii="Arial" w:hAnsi="Arial" w:cs="Arial"/>
                <w:sz w:val="18"/>
                <w:szCs w:val="18"/>
              </w:rPr>
              <w:t>Avoided landfill operating costs</w:t>
            </w:r>
          </w:p>
        </w:tc>
        <w:tc>
          <w:tcPr>
            <w:tcW w:w="2268" w:type="dxa"/>
          </w:tcPr>
          <w:p w14:paraId="6C194467" w14:textId="68391AD8" w:rsidR="00030089" w:rsidRPr="00290CD0" w:rsidRDefault="00030089" w:rsidP="00290CD0">
            <w:pPr>
              <w:jc w:val="right"/>
              <w:rPr>
                <w:rFonts w:ascii="Arial" w:hAnsi="Arial" w:cs="Arial"/>
                <w:bCs/>
                <w:color w:val="000000"/>
                <w:sz w:val="16"/>
                <w:szCs w:val="16"/>
              </w:rPr>
            </w:pPr>
            <w:r w:rsidRPr="00792CEC">
              <w:rPr>
                <w:rFonts w:ascii="Arial" w:hAnsi="Arial" w:cs="Arial"/>
                <w:bCs/>
                <w:color w:val="000000"/>
                <w:sz w:val="16"/>
                <w:szCs w:val="16"/>
              </w:rPr>
              <w:t>$2</w:t>
            </w:r>
            <w:r>
              <w:rPr>
                <w:rFonts w:ascii="Arial" w:hAnsi="Arial" w:cs="Arial"/>
                <w:bCs/>
                <w:color w:val="000000"/>
                <w:sz w:val="16"/>
                <w:szCs w:val="16"/>
              </w:rPr>
              <w:t xml:space="preserve"> </w:t>
            </w:r>
            <w:r w:rsidRPr="00792CEC">
              <w:rPr>
                <w:rFonts w:ascii="Arial" w:hAnsi="Arial" w:cs="Arial"/>
                <w:bCs/>
                <w:color w:val="000000"/>
                <w:sz w:val="16"/>
                <w:szCs w:val="16"/>
              </w:rPr>
              <w:t>646</w:t>
            </w:r>
            <w:r>
              <w:rPr>
                <w:rFonts w:ascii="Arial" w:hAnsi="Arial" w:cs="Arial"/>
                <w:bCs/>
                <w:color w:val="000000"/>
                <w:sz w:val="16"/>
                <w:szCs w:val="16"/>
              </w:rPr>
              <w:t xml:space="preserve"> </w:t>
            </w:r>
            <w:r w:rsidRPr="00792CEC">
              <w:rPr>
                <w:rFonts w:ascii="Arial" w:hAnsi="Arial" w:cs="Arial"/>
                <w:bCs/>
                <w:color w:val="000000"/>
                <w:sz w:val="16"/>
                <w:szCs w:val="16"/>
              </w:rPr>
              <w:t>427</w:t>
            </w:r>
          </w:p>
        </w:tc>
      </w:tr>
      <w:tr w:rsidR="00030089" w:rsidRPr="003D324F" w14:paraId="0F8F9885" w14:textId="77777777" w:rsidTr="00290CD0">
        <w:trPr>
          <w:trHeight w:val="170"/>
        </w:trPr>
        <w:tc>
          <w:tcPr>
            <w:tcW w:w="5812" w:type="dxa"/>
          </w:tcPr>
          <w:p w14:paraId="7059585E" w14:textId="77777777" w:rsidR="00030089" w:rsidRPr="0025085D" w:rsidRDefault="00030089" w:rsidP="008547F7">
            <w:pPr>
              <w:pStyle w:val="NoSpacing"/>
              <w:spacing w:before="60" w:line="360" w:lineRule="auto"/>
              <w:rPr>
                <w:rFonts w:ascii="Arial" w:hAnsi="Arial" w:cs="Arial"/>
                <w:sz w:val="18"/>
                <w:szCs w:val="18"/>
              </w:rPr>
            </w:pPr>
            <w:r w:rsidRPr="000729A4">
              <w:rPr>
                <w:rFonts w:ascii="Arial" w:hAnsi="Arial" w:cs="Arial"/>
                <w:sz w:val="18"/>
                <w:szCs w:val="18"/>
              </w:rPr>
              <w:t>Avoided litter clean up</w:t>
            </w:r>
          </w:p>
        </w:tc>
        <w:tc>
          <w:tcPr>
            <w:tcW w:w="2268" w:type="dxa"/>
          </w:tcPr>
          <w:p w14:paraId="4BC99616" w14:textId="71C7BB64" w:rsidR="00030089" w:rsidRPr="00290CD0" w:rsidRDefault="00030089" w:rsidP="00290CD0">
            <w:pPr>
              <w:jc w:val="right"/>
              <w:rPr>
                <w:rFonts w:ascii="Arial" w:hAnsi="Arial" w:cs="Arial"/>
                <w:bCs/>
                <w:color w:val="000000"/>
                <w:sz w:val="16"/>
                <w:szCs w:val="16"/>
              </w:rPr>
            </w:pPr>
            <w:r w:rsidRPr="00792CEC">
              <w:rPr>
                <w:rFonts w:ascii="Arial" w:hAnsi="Arial" w:cs="Arial"/>
                <w:bCs/>
                <w:color w:val="000000"/>
                <w:sz w:val="16"/>
                <w:szCs w:val="16"/>
              </w:rPr>
              <w:t>$2</w:t>
            </w:r>
            <w:r>
              <w:rPr>
                <w:rFonts w:ascii="Arial" w:hAnsi="Arial" w:cs="Arial"/>
                <w:bCs/>
                <w:color w:val="000000"/>
                <w:sz w:val="16"/>
                <w:szCs w:val="16"/>
              </w:rPr>
              <w:t xml:space="preserve"> </w:t>
            </w:r>
            <w:r w:rsidRPr="00792CEC">
              <w:rPr>
                <w:rFonts w:ascii="Arial" w:hAnsi="Arial" w:cs="Arial"/>
                <w:bCs/>
                <w:color w:val="000000"/>
                <w:sz w:val="16"/>
                <w:szCs w:val="16"/>
              </w:rPr>
              <w:t>484</w:t>
            </w:r>
            <w:r>
              <w:rPr>
                <w:rFonts w:ascii="Arial" w:hAnsi="Arial" w:cs="Arial"/>
                <w:bCs/>
                <w:color w:val="000000"/>
                <w:sz w:val="16"/>
                <w:szCs w:val="16"/>
              </w:rPr>
              <w:t xml:space="preserve"> </w:t>
            </w:r>
            <w:r w:rsidRPr="00792CEC">
              <w:rPr>
                <w:rFonts w:ascii="Arial" w:hAnsi="Arial" w:cs="Arial"/>
                <w:bCs/>
                <w:color w:val="000000"/>
                <w:sz w:val="16"/>
                <w:szCs w:val="16"/>
              </w:rPr>
              <w:t>145</w:t>
            </w:r>
          </w:p>
        </w:tc>
      </w:tr>
      <w:tr w:rsidR="00030089" w:rsidRPr="003D324F" w14:paraId="6E858824" w14:textId="77777777" w:rsidTr="00290CD0">
        <w:trPr>
          <w:trHeight w:val="170"/>
        </w:trPr>
        <w:tc>
          <w:tcPr>
            <w:tcW w:w="5812" w:type="dxa"/>
          </w:tcPr>
          <w:p w14:paraId="12DAE795" w14:textId="77777777" w:rsidR="00030089" w:rsidRPr="0025085D" w:rsidRDefault="00030089" w:rsidP="008547F7">
            <w:pPr>
              <w:pStyle w:val="NoSpacing"/>
              <w:spacing w:before="60" w:line="360" w:lineRule="auto"/>
              <w:rPr>
                <w:rFonts w:ascii="Arial" w:hAnsi="Arial" w:cs="Arial"/>
                <w:sz w:val="18"/>
                <w:szCs w:val="18"/>
              </w:rPr>
            </w:pPr>
            <w:r w:rsidRPr="000729A4">
              <w:rPr>
                <w:rFonts w:ascii="Arial" w:hAnsi="Arial" w:cs="Arial"/>
                <w:sz w:val="18"/>
                <w:szCs w:val="18"/>
              </w:rPr>
              <w:t>Avoided landfill externalities</w:t>
            </w:r>
          </w:p>
        </w:tc>
        <w:tc>
          <w:tcPr>
            <w:tcW w:w="2268" w:type="dxa"/>
          </w:tcPr>
          <w:p w14:paraId="72F2FA9F" w14:textId="77777777" w:rsidR="00030089" w:rsidRPr="006C7BCC" w:rsidRDefault="00030089" w:rsidP="008547F7">
            <w:pPr>
              <w:pStyle w:val="NoSpacing"/>
              <w:spacing w:before="60" w:line="360" w:lineRule="auto"/>
              <w:jc w:val="right"/>
              <w:rPr>
                <w:rFonts w:ascii="Arial" w:hAnsi="Arial" w:cs="Arial"/>
                <w:sz w:val="16"/>
                <w:szCs w:val="16"/>
              </w:rPr>
            </w:pPr>
          </w:p>
        </w:tc>
      </w:tr>
      <w:tr w:rsidR="00030089" w:rsidRPr="003D324F" w14:paraId="271B1396" w14:textId="77777777" w:rsidTr="00290CD0">
        <w:trPr>
          <w:trHeight w:val="170"/>
        </w:trPr>
        <w:tc>
          <w:tcPr>
            <w:tcW w:w="5812" w:type="dxa"/>
          </w:tcPr>
          <w:p w14:paraId="13C4B9F4" w14:textId="77777777" w:rsidR="00030089" w:rsidRPr="0025085D" w:rsidRDefault="00030089" w:rsidP="008547F7">
            <w:pPr>
              <w:pStyle w:val="NoSpacing"/>
              <w:spacing w:before="60" w:line="360" w:lineRule="auto"/>
              <w:rPr>
                <w:rFonts w:ascii="Arial" w:hAnsi="Arial" w:cs="Arial"/>
                <w:sz w:val="18"/>
                <w:szCs w:val="18"/>
              </w:rPr>
            </w:pPr>
            <w:r w:rsidRPr="000729A4">
              <w:rPr>
                <w:rFonts w:ascii="Arial" w:hAnsi="Arial" w:cs="Arial"/>
                <w:sz w:val="18"/>
                <w:szCs w:val="18"/>
              </w:rPr>
              <w:t>Environmental benefits</w:t>
            </w:r>
          </w:p>
        </w:tc>
        <w:tc>
          <w:tcPr>
            <w:tcW w:w="2268" w:type="dxa"/>
          </w:tcPr>
          <w:p w14:paraId="14AC0A7D" w14:textId="7D358017" w:rsidR="00030089" w:rsidRPr="002B1CE7" w:rsidRDefault="00030089" w:rsidP="002B1CE7">
            <w:pPr>
              <w:jc w:val="right"/>
              <w:rPr>
                <w:rFonts w:ascii="Arial" w:hAnsi="Arial" w:cs="Arial"/>
                <w:bCs/>
                <w:color w:val="000000"/>
                <w:sz w:val="16"/>
                <w:szCs w:val="16"/>
              </w:rPr>
            </w:pPr>
            <w:r w:rsidRPr="00792CEC">
              <w:rPr>
                <w:rFonts w:ascii="Arial" w:hAnsi="Arial" w:cs="Arial"/>
                <w:bCs/>
                <w:color w:val="000000"/>
                <w:sz w:val="16"/>
                <w:szCs w:val="16"/>
              </w:rPr>
              <w:t>$22</w:t>
            </w:r>
            <w:r>
              <w:rPr>
                <w:rFonts w:ascii="Arial" w:hAnsi="Arial" w:cs="Arial"/>
                <w:bCs/>
                <w:color w:val="000000"/>
                <w:sz w:val="16"/>
                <w:szCs w:val="16"/>
              </w:rPr>
              <w:t xml:space="preserve"> </w:t>
            </w:r>
            <w:r w:rsidRPr="00792CEC">
              <w:rPr>
                <w:rFonts w:ascii="Arial" w:hAnsi="Arial" w:cs="Arial"/>
                <w:bCs/>
                <w:color w:val="000000"/>
                <w:sz w:val="16"/>
                <w:szCs w:val="16"/>
              </w:rPr>
              <w:t>,600</w:t>
            </w:r>
            <w:r>
              <w:rPr>
                <w:rFonts w:ascii="Arial" w:hAnsi="Arial" w:cs="Arial"/>
                <w:bCs/>
                <w:color w:val="000000"/>
                <w:sz w:val="16"/>
                <w:szCs w:val="16"/>
              </w:rPr>
              <w:t xml:space="preserve"> </w:t>
            </w:r>
            <w:r w:rsidRPr="00792CEC">
              <w:rPr>
                <w:rFonts w:ascii="Arial" w:hAnsi="Arial" w:cs="Arial"/>
                <w:bCs/>
                <w:color w:val="000000"/>
                <w:sz w:val="16"/>
                <w:szCs w:val="16"/>
              </w:rPr>
              <w:t>901</w:t>
            </w:r>
          </w:p>
        </w:tc>
      </w:tr>
      <w:tr w:rsidR="00030089" w:rsidRPr="003D324F" w14:paraId="35B6B64F" w14:textId="77777777" w:rsidTr="00290CD0">
        <w:trPr>
          <w:trHeight w:val="170"/>
        </w:trPr>
        <w:tc>
          <w:tcPr>
            <w:tcW w:w="5812" w:type="dxa"/>
            <w:shd w:val="clear" w:color="auto" w:fill="auto"/>
          </w:tcPr>
          <w:p w14:paraId="54CB217B" w14:textId="77777777" w:rsidR="00030089" w:rsidRPr="00AD372A" w:rsidRDefault="00030089" w:rsidP="008547F7">
            <w:pPr>
              <w:pStyle w:val="NoSpacing"/>
              <w:spacing w:before="60" w:line="360" w:lineRule="auto"/>
              <w:rPr>
                <w:rFonts w:ascii="Arial" w:hAnsi="Arial" w:cs="Arial"/>
                <w:b/>
                <w:sz w:val="18"/>
                <w:szCs w:val="18"/>
              </w:rPr>
            </w:pPr>
            <w:r>
              <w:rPr>
                <w:rFonts w:ascii="Arial" w:hAnsi="Arial" w:cs="Arial"/>
                <w:b/>
                <w:sz w:val="18"/>
                <w:szCs w:val="18"/>
              </w:rPr>
              <w:t>TOTAL</w:t>
            </w:r>
          </w:p>
        </w:tc>
        <w:tc>
          <w:tcPr>
            <w:tcW w:w="2268" w:type="dxa"/>
            <w:shd w:val="clear" w:color="auto" w:fill="auto"/>
          </w:tcPr>
          <w:p w14:paraId="44BA2F55" w14:textId="087FF2C9" w:rsidR="00030089" w:rsidRPr="002B1CE7" w:rsidRDefault="00030089" w:rsidP="002B1CE7">
            <w:pPr>
              <w:jc w:val="right"/>
              <w:rPr>
                <w:rFonts w:ascii="Arial" w:hAnsi="Arial" w:cs="Arial"/>
                <w:b/>
                <w:color w:val="000000"/>
                <w:sz w:val="16"/>
                <w:szCs w:val="16"/>
              </w:rPr>
            </w:pPr>
            <w:r w:rsidRPr="00792CEC">
              <w:rPr>
                <w:rFonts w:ascii="Arial" w:hAnsi="Arial" w:cs="Arial"/>
                <w:b/>
                <w:color w:val="000000"/>
                <w:sz w:val="16"/>
                <w:szCs w:val="16"/>
              </w:rPr>
              <w:t>$44</w:t>
            </w:r>
            <w:r>
              <w:rPr>
                <w:rFonts w:ascii="Arial" w:hAnsi="Arial" w:cs="Arial"/>
                <w:b/>
                <w:color w:val="000000"/>
                <w:sz w:val="16"/>
                <w:szCs w:val="16"/>
              </w:rPr>
              <w:t xml:space="preserve"> </w:t>
            </w:r>
            <w:r w:rsidRPr="00792CEC">
              <w:rPr>
                <w:rFonts w:ascii="Arial" w:hAnsi="Arial" w:cs="Arial"/>
                <w:b/>
                <w:color w:val="000000"/>
                <w:sz w:val="16"/>
                <w:szCs w:val="16"/>
              </w:rPr>
              <w:t>445</w:t>
            </w:r>
            <w:r>
              <w:rPr>
                <w:rFonts w:ascii="Arial" w:hAnsi="Arial" w:cs="Arial"/>
                <w:b/>
                <w:color w:val="000000"/>
                <w:sz w:val="16"/>
                <w:szCs w:val="16"/>
              </w:rPr>
              <w:t xml:space="preserve"> </w:t>
            </w:r>
            <w:r w:rsidRPr="00792CEC">
              <w:rPr>
                <w:rFonts w:ascii="Arial" w:hAnsi="Arial" w:cs="Arial"/>
                <w:b/>
                <w:color w:val="000000"/>
                <w:sz w:val="16"/>
                <w:szCs w:val="16"/>
              </w:rPr>
              <w:t>564</w:t>
            </w:r>
          </w:p>
        </w:tc>
      </w:tr>
      <w:tr w:rsidR="00030089" w:rsidRPr="007F734B" w14:paraId="254B3BE9" w14:textId="77777777" w:rsidTr="00290CD0">
        <w:trPr>
          <w:trHeight w:val="170"/>
        </w:trPr>
        <w:tc>
          <w:tcPr>
            <w:tcW w:w="5812" w:type="dxa"/>
            <w:shd w:val="clear" w:color="auto" w:fill="auto"/>
          </w:tcPr>
          <w:p w14:paraId="3D7CB3CA" w14:textId="77777777" w:rsidR="00030089" w:rsidRPr="007F734B" w:rsidRDefault="00030089" w:rsidP="008547F7">
            <w:pPr>
              <w:pStyle w:val="NoSpacing"/>
              <w:spacing w:before="60" w:line="360" w:lineRule="auto"/>
              <w:rPr>
                <w:rFonts w:ascii="Arial" w:hAnsi="Arial" w:cs="Arial"/>
                <w:b/>
                <w:sz w:val="18"/>
                <w:szCs w:val="18"/>
              </w:rPr>
            </w:pPr>
            <w:r w:rsidRPr="007F734B">
              <w:rPr>
                <w:rFonts w:ascii="Arial" w:hAnsi="Arial" w:cs="Arial"/>
                <w:b/>
                <w:sz w:val="18"/>
                <w:szCs w:val="18"/>
              </w:rPr>
              <w:t>Net Pr</w:t>
            </w:r>
            <w:r>
              <w:rPr>
                <w:rFonts w:ascii="Arial" w:hAnsi="Arial" w:cs="Arial"/>
                <w:b/>
                <w:sz w:val="18"/>
                <w:szCs w:val="18"/>
              </w:rPr>
              <w:t xml:space="preserve">esent Value </w:t>
            </w:r>
          </w:p>
        </w:tc>
        <w:tc>
          <w:tcPr>
            <w:tcW w:w="2268" w:type="dxa"/>
            <w:shd w:val="clear" w:color="auto" w:fill="auto"/>
          </w:tcPr>
          <w:p w14:paraId="4412EE42" w14:textId="2F91C93C" w:rsidR="00030089" w:rsidRPr="002B1CE7" w:rsidRDefault="00030089" w:rsidP="002B1CE7">
            <w:pPr>
              <w:jc w:val="right"/>
              <w:rPr>
                <w:rFonts w:ascii="Arial" w:hAnsi="Arial" w:cs="Arial"/>
                <w:b/>
                <w:bCs/>
                <w:color w:val="000000"/>
                <w:sz w:val="16"/>
                <w:szCs w:val="16"/>
              </w:rPr>
            </w:pPr>
            <w:r w:rsidRPr="00792CEC">
              <w:rPr>
                <w:rFonts w:ascii="Arial" w:hAnsi="Arial" w:cs="Arial"/>
                <w:b/>
                <w:bCs/>
                <w:color w:val="000000"/>
                <w:sz w:val="16"/>
                <w:szCs w:val="16"/>
              </w:rPr>
              <w:t>$9</w:t>
            </w:r>
            <w:r>
              <w:rPr>
                <w:rFonts w:ascii="Arial" w:hAnsi="Arial" w:cs="Arial"/>
                <w:b/>
                <w:bCs/>
                <w:color w:val="000000"/>
                <w:sz w:val="16"/>
                <w:szCs w:val="16"/>
              </w:rPr>
              <w:t xml:space="preserve"> </w:t>
            </w:r>
            <w:r w:rsidRPr="00792CEC">
              <w:rPr>
                <w:rFonts w:ascii="Arial" w:hAnsi="Arial" w:cs="Arial"/>
                <w:b/>
                <w:bCs/>
                <w:color w:val="000000"/>
                <w:sz w:val="16"/>
                <w:szCs w:val="16"/>
              </w:rPr>
              <w:t>877</w:t>
            </w:r>
            <w:r>
              <w:rPr>
                <w:rFonts w:ascii="Arial" w:hAnsi="Arial" w:cs="Arial"/>
                <w:b/>
                <w:bCs/>
                <w:color w:val="000000"/>
                <w:sz w:val="16"/>
                <w:szCs w:val="16"/>
              </w:rPr>
              <w:t xml:space="preserve"> </w:t>
            </w:r>
            <w:r w:rsidRPr="00792CEC">
              <w:rPr>
                <w:rFonts w:ascii="Arial" w:hAnsi="Arial" w:cs="Arial"/>
                <w:b/>
                <w:bCs/>
                <w:color w:val="000000"/>
                <w:sz w:val="16"/>
                <w:szCs w:val="16"/>
              </w:rPr>
              <w:t>909</w:t>
            </w:r>
          </w:p>
        </w:tc>
      </w:tr>
    </w:tbl>
    <w:p w14:paraId="52461CA1" w14:textId="77777777" w:rsidR="00030089" w:rsidRDefault="00030089" w:rsidP="00030089"/>
    <w:p w14:paraId="66C53529" w14:textId="77777777" w:rsidR="00030089" w:rsidRDefault="00030089" w:rsidP="00030089">
      <w:pPr>
        <w:pStyle w:val="ListParagraph"/>
        <w:numPr>
          <w:ilvl w:val="2"/>
          <w:numId w:val="3"/>
        </w:numPr>
        <w:spacing w:after="200" w:line="360" w:lineRule="auto"/>
        <w:ind w:left="709" w:hanging="709"/>
        <w:contextualSpacing w:val="0"/>
        <w:outlineLvl w:val="2"/>
        <w:rPr>
          <w:rFonts w:ascii="Arial" w:hAnsi="Arial" w:cs="Arial"/>
          <w:b/>
          <w:szCs w:val="28"/>
        </w:rPr>
      </w:pPr>
      <w:bookmarkStart w:id="284" w:name="_Toc353562559"/>
      <w:bookmarkStart w:id="285" w:name="_Toc325459250"/>
      <w:bookmarkStart w:id="286" w:name="_Toc325531798"/>
      <w:bookmarkStart w:id="287" w:name="_Toc325531847"/>
      <w:bookmarkStart w:id="288" w:name="_Toc346008390"/>
      <w:r w:rsidRPr="00D565B5">
        <w:rPr>
          <w:rFonts w:ascii="Arial" w:hAnsi="Arial" w:cs="Arial"/>
          <w:b/>
          <w:szCs w:val="28"/>
        </w:rPr>
        <w:lastRenderedPageBreak/>
        <w:t xml:space="preserve">Option Four – Other </w:t>
      </w:r>
      <w:r>
        <w:rPr>
          <w:rFonts w:ascii="Arial" w:hAnsi="Arial" w:cs="Arial"/>
          <w:b/>
          <w:szCs w:val="28"/>
        </w:rPr>
        <w:t>L</w:t>
      </w:r>
      <w:r w:rsidRPr="00D565B5">
        <w:rPr>
          <w:rFonts w:ascii="Arial" w:hAnsi="Arial" w:cs="Arial"/>
          <w:b/>
          <w:szCs w:val="28"/>
        </w:rPr>
        <w:t xml:space="preserve">ess </w:t>
      </w:r>
      <w:r>
        <w:rPr>
          <w:rFonts w:ascii="Arial" w:hAnsi="Arial" w:cs="Arial"/>
          <w:b/>
          <w:szCs w:val="28"/>
        </w:rPr>
        <w:t>T</w:t>
      </w:r>
      <w:r w:rsidRPr="00D565B5">
        <w:rPr>
          <w:rFonts w:ascii="Arial" w:hAnsi="Arial" w:cs="Arial"/>
          <w:b/>
          <w:szCs w:val="28"/>
        </w:rPr>
        <w:t xml:space="preserve">rade-restrictive </w:t>
      </w:r>
      <w:r>
        <w:rPr>
          <w:rFonts w:ascii="Arial" w:hAnsi="Arial" w:cs="Arial"/>
          <w:b/>
          <w:szCs w:val="28"/>
        </w:rPr>
        <w:t>A</w:t>
      </w:r>
      <w:r w:rsidRPr="00D565B5">
        <w:rPr>
          <w:rFonts w:ascii="Arial" w:hAnsi="Arial" w:cs="Arial"/>
          <w:b/>
          <w:szCs w:val="28"/>
        </w:rPr>
        <w:t>pproaches</w:t>
      </w:r>
      <w:bookmarkEnd w:id="284"/>
      <w:r w:rsidRPr="00D565B5">
        <w:rPr>
          <w:rFonts w:ascii="Arial" w:hAnsi="Arial" w:cs="Arial"/>
          <w:b/>
          <w:szCs w:val="28"/>
        </w:rPr>
        <w:t xml:space="preserve"> </w:t>
      </w:r>
      <w:bookmarkEnd w:id="285"/>
      <w:bookmarkEnd w:id="286"/>
      <w:bookmarkEnd w:id="287"/>
      <w:bookmarkEnd w:id="288"/>
    </w:p>
    <w:p w14:paraId="36955C95" w14:textId="77777777" w:rsidR="00030089" w:rsidRDefault="00030089" w:rsidP="00030089">
      <w:pPr>
        <w:spacing w:line="360" w:lineRule="auto"/>
        <w:jc w:val="both"/>
        <w:rPr>
          <w:rFonts w:ascii="Arial" w:hAnsi="Arial" w:cs="Arial"/>
        </w:rPr>
      </w:pPr>
      <w:bookmarkStart w:id="289" w:name="_Toc346195761"/>
      <w:bookmarkStart w:id="290" w:name="_Toc346282824"/>
      <w:bookmarkStart w:id="291" w:name="_Toc346288460"/>
      <w:bookmarkStart w:id="292" w:name="_Toc346288847"/>
      <w:bookmarkStart w:id="293" w:name="_Toc346522544"/>
      <w:bookmarkStart w:id="294" w:name="_Toc346524970"/>
      <w:bookmarkStart w:id="295" w:name="_Toc346525364"/>
      <w:bookmarkStart w:id="296" w:name="_Toc346525759"/>
      <w:bookmarkStart w:id="297" w:name="_Toc346527663"/>
      <w:bookmarkStart w:id="298" w:name="_Toc346528576"/>
      <w:bookmarkStart w:id="299" w:name="_Toc346528970"/>
      <w:bookmarkStart w:id="300" w:name="_Toc346549263"/>
      <w:bookmarkStart w:id="301" w:name="_Toc346549662"/>
      <w:bookmarkStart w:id="302" w:name="_Toc346550057"/>
      <w:bookmarkStart w:id="303" w:name="_Toc346713816"/>
      <w:bookmarkStart w:id="304" w:name="_Toc346714218"/>
      <w:bookmarkStart w:id="305" w:name="_Toc346714618"/>
      <w:bookmarkStart w:id="306" w:name="_Toc346715016"/>
      <w:bookmarkStart w:id="307" w:name="_Toc346715413"/>
      <w:bookmarkStart w:id="308" w:name="_Toc346715809"/>
      <w:bookmarkStart w:id="309" w:name="_Toc346797564"/>
      <w:bookmarkStart w:id="310" w:name="_Toc346798042"/>
      <w:bookmarkStart w:id="311" w:name="_Toc346798469"/>
      <w:bookmarkStart w:id="312" w:name="_Toc346801332"/>
      <w:bookmarkStart w:id="313" w:name="_Toc347752768"/>
      <w:bookmarkStart w:id="314" w:name="_Toc347929385"/>
      <w:bookmarkStart w:id="315" w:name="_Toc34600839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B620F1">
        <w:rPr>
          <w:rFonts w:ascii="Arial" w:hAnsi="Arial" w:cs="Arial"/>
        </w:rPr>
        <w:t xml:space="preserve">Option </w:t>
      </w:r>
      <w:r>
        <w:rPr>
          <w:rFonts w:ascii="Arial" w:hAnsi="Arial" w:cs="Arial"/>
        </w:rPr>
        <w:t>F</w:t>
      </w:r>
      <w:r w:rsidRPr="00B620F1">
        <w:rPr>
          <w:rFonts w:ascii="Arial" w:hAnsi="Arial" w:cs="Arial"/>
        </w:rPr>
        <w:t xml:space="preserve">our considers the impacts of the </w:t>
      </w:r>
      <w:r>
        <w:rPr>
          <w:rFonts w:ascii="Arial" w:hAnsi="Arial" w:cs="Arial"/>
        </w:rPr>
        <w:t>NT</w:t>
      </w:r>
      <w:r w:rsidRPr="00B620F1">
        <w:rPr>
          <w:rFonts w:ascii="Arial" w:hAnsi="Arial" w:cs="Arial"/>
        </w:rPr>
        <w:t xml:space="preserve"> signing the Australian Packaging Covenant</w:t>
      </w:r>
      <w:r>
        <w:rPr>
          <w:rFonts w:ascii="Arial" w:hAnsi="Arial" w:cs="Arial"/>
        </w:rPr>
        <w:t xml:space="preserve"> (APC)</w:t>
      </w:r>
      <w:r w:rsidRPr="00B620F1">
        <w:rPr>
          <w:rFonts w:ascii="Arial" w:hAnsi="Arial" w:cs="Arial"/>
        </w:rPr>
        <w:t>.</w:t>
      </w:r>
      <w:r>
        <w:rPr>
          <w:rFonts w:ascii="Arial" w:hAnsi="Arial" w:cs="Arial"/>
        </w:rPr>
        <w:t xml:space="preserve"> </w:t>
      </w:r>
      <w:r w:rsidRPr="005579A8">
        <w:rPr>
          <w:rFonts w:ascii="Arial" w:hAnsi="Arial" w:cs="Arial"/>
        </w:rPr>
        <w:t xml:space="preserve">The </w:t>
      </w:r>
      <w:r>
        <w:rPr>
          <w:rFonts w:ascii="Arial" w:hAnsi="Arial" w:cs="Arial"/>
        </w:rPr>
        <w:t xml:space="preserve">NT Government </w:t>
      </w:r>
      <w:r w:rsidRPr="005579A8">
        <w:rPr>
          <w:rFonts w:ascii="Arial" w:hAnsi="Arial" w:cs="Arial"/>
        </w:rPr>
        <w:t>is the only jurisdiction that is not a signatory to the Covenant.</w:t>
      </w:r>
      <w:r>
        <w:rPr>
          <w:rFonts w:ascii="Arial" w:hAnsi="Arial" w:cs="Arial"/>
        </w:rPr>
        <w:t xml:space="preserve"> </w:t>
      </w:r>
      <w:r w:rsidRPr="00D60D04">
        <w:rPr>
          <w:rFonts w:ascii="Arial" w:hAnsi="Arial" w:cs="Arial"/>
        </w:rPr>
        <w:t xml:space="preserve">The </w:t>
      </w:r>
      <w:r>
        <w:rPr>
          <w:rFonts w:ascii="Arial" w:hAnsi="Arial" w:cs="Arial"/>
        </w:rPr>
        <w:t xml:space="preserve">NT Government </w:t>
      </w:r>
      <w:r w:rsidRPr="00D60D04">
        <w:rPr>
          <w:rFonts w:ascii="Arial" w:hAnsi="Arial" w:cs="Arial"/>
        </w:rPr>
        <w:t>has not previously signed the APC due to concerns regarding</w:t>
      </w:r>
      <w:r>
        <w:rPr>
          <w:rFonts w:ascii="Arial" w:hAnsi="Arial" w:cs="Arial"/>
        </w:rPr>
        <w:t>:</w:t>
      </w:r>
    </w:p>
    <w:p w14:paraId="1B0D8F2E" w14:textId="77777777" w:rsidR="00030089" w:rsidRDefault="00030089" w:rsidP="00030089">
      <w:pPr>
        <w:pStyle w:val="ListParagraph"/>
        <w:numPr>
          <w:ilvl w:val="0"/>
          <w:numId w:val="32"/>
        </w:numPr>
        <w:spacing w:before="120" w:line="360" w:lineRule="auto"/>
        <w:jc w:val="both"/>
        <w:rPr>
          <w:rFonts w:ascii="Arial" w:hAnsi="Arial" w:cs="Arial"/>
        </w:rPr>
      </w:pPr>
      <w:r w:rsidRPr="005579A8">
        <w:rPr>
          <w:rFonts w:ascii="Arial" w:hAnsi="Arial" w:cs="Arial"/>
        </w:rPr>
        <w:t>a lack of focus on litter reduction</w:t>
      </w:r>
      <w:r>
        <w:rPr>
          <w:rFonts w:ascii="Arial" w:hAnsi="Arial" w:cs="Arial"/>
        </w:rPr>
        <w:t>;</w:t>
      </w:r>
      <w:r w:rsidRPr="005579A8">
        <w:rPr>
          <w:rFonts w:ascii="Arial" w:hAnsi="Arial" w:cs="Arial"/>
        </w:rPr>
        <w:t xml:space="preserve"> </w:t>
      </w:r>
    </w:p>
    <w:p w14:paraId="723AA363" w14:textId="77777777" w:rsidR="00030089" w:rsidRDefault="00030089" w:rsidP="00030089">
      <w:pPr>
        <w:pStyle w:val="ListParagraph"/>
        <w:numPr>
          <w:ilvl w:val="0"/>
          <w:numId w:val="32"/>
        </w:numPr>
        <w:spacing w:before="120" w:line="360" w:lineRule="auto"/>
        <w:jc w:val="both"/>
        <w:rPr>
          <w:rFonts w:ascii="Arial" w:hAnsi="Arial" w:cs="Arial"/>
        </w:rPr>
      </w:pPr>
      <w:r w:rsidRPr="005579A8">
        <w:rPr>
          <w:rFonts w:ascii="Arial" w:hAnsi="Arial" w:cs="Arial"/>
        </w:rPr>
        <w:t xml:space="preserve">whether equitable benefits would be received across the </w:t>
      </w:r>
      <w:r>
        <w:rPr>
          <w:rFonts w:ascii="Arial" w:hAnsi="Arial" w:cs="Arial"/>
        </w:rPr>
        <w:t>NT;</w:t>
      </w:r>
      <w:r w:rsidRPr="005579A8">
        <w:rPr>
          <w:rFonts w:ascii="Arial" w:hAnsi="Arial" w:cs="Arial"/>
        </w:rPr>
        <w:t xml:space="preserve"> and </w:t>
      </w:r>
    </w:p>
    <w:p w14:paraId="4E9AF856" w14:textId="77777777" w:rsidR="00030089" w:rsidRDefault="00030089" w:rsidP="00030089">
      <w:pPr>
        <w:pStyle w:val="ListParagraph"/>
        <w:numPr>
          <w:ilvl w:val="0"/>
          <w:numId w:val="32"/>
        </w:numPr>
        <w:spacing w:before="120" w:line="360" w:lineRule="auto"/>
        <w:jc w:val="both"/>
        <w:rPr>
          <w:rFonts w:ascii="Arial" w:hAnsi="Arial" w:cs="Arial"/>
        </w:rPr>
      </w:pPr>
      <w:r w:rsidRPr="005579A8">
        <w:rPr>
          <w:rFonts w:ascii="Arial" w:hAnsi="Arial" w:cs="Arial"/>
        </w:rPr>
        <w:t>that becoming a signatory could have prevented the</w:t>
      </w:r>
      <w:r>
        <w:rPr>
          <w:rFonts w:ascii="Arial" w:hAnsi="Arial" w:cs="Arial"/>
        </w:rPr>
        <w:t xml:space="preserve"> </w:t>
      </w:r>
      <w:r w:rsidRPr="005579A8">
        <w:rPr>
          <w:rFonts w:ascii="Arial" w:hAnsi="Arial" w:cs="Arial"/>
        </w:rPr>
        <w:t>N</w:t>
      </w:r>
      <w:r>
        <w:rPr>
          <w:rFonts w:ascii="Arial" w:hAnsi="Arial" w:cs="Arial"/>
        </w:rPr>
        <w:t>T</w:t>
      </w:r>
      <w:r w:rsidRPr="005579A8">
        <w:rPr>
          <w:rFonts w:ascii="Arial" w:hAnsi="Arial" w:cs="Arial"/>
        </w:rPr>
        <w:t xml:space="preserve"> from introducing alternative regulatory mechanisms such </w:t>
      </w:r>
      <w:r>
        <w:rPr>
          <w:rFonts w:ascii="Arial" w:hAnsi="Arial" w:cs="Arial"/>
        </w:rPr>
        <w:t xml:space="preserve">as </w:t>
      </w:r>
      <w:r w:rsidRPr="005579A8">
        <w:rPr>
          <w:rFonts w:ascii="Arial" w:hAnsi="Arial" w:cs="Arial"/>
        </w:rPr>
        <w:t xml:space="preserve">a </w:t>
      </w:r>
      <w:r>
        <w:rPr>
          <w:rFonts w:ascii="Arial" w:hAnsi="Arial" w:cs="Arial"/>
        </w:rPr>
        <w:t>CDS</w:t>
      </w:r>
      <w:r w:rsidRPr="005579A8">
        <w:rPr>
          <w:rFonts w:ascii="Arial" w:hAnsi="Arial" w:cs="Arial"/>
        </w:rPr>
        <w:t xml:space="preserve"> and plastic bag ban.  </w:t>
      </w:r>
    </w:p>
    <w:p w14:paraId="2A35E052" w14:textId="77777777" w:rsidR="00030089" w:rsidRPr="00F702E2" w:rsidRDefault="00030089" w:rsidP="00030089">
      <w:pPr>
        <w:pStyle w:val="Default"/>
        <w:rPr>
          <w:sz w:val="24"/>
          <w:szCs w:val="24"/>
        </w:rPr>
      </w:pPr>
      <w:r w:rsidRPr="00F702E2">
        <w:rPr>
          <w:sz w:val="24"/>
          <w:szCs w:val="24"/>
        </w:rPr>
        <w:t xml:space="preserve">Option Two of the Packaging Impacts CRIS considers a co-regulatory packaging stewardship arrangement under the </w:t>
      </w:r>
      <w:r w:rsidRPr="00F702E2">
        <w:rPr>
          <w:i/>
          <w:sz w:val="24"/>
          <w:szCs w:val="24"/>
        </w:rPr>
        <w:t>Product Stewardship Act 2011</w:t>
      </w:r>
      <w:r w:rsidRPr="00F702E2">
        <w:rPr>
          <w:sz w:val="24"/>
          <w:szCs w:val="24"/>
        </w:rPr>
        <w:t xml:space="preserve"> (the Act). Option Two is based around the continuation of the APC and has three sub-options; under each; the current APC and National Environment Protection Measure (NEPM) arrangement would transition under the co-regulatory provisions of the Act. It would require the Commonwealth Government to develop regulations under the Act specifying the liable parties and setting the minimum outcomes and operational requirements for approved co-regulatory arrangements (which liable parties are obliged to adhere to under the Act). The administrators of approved arrangements would have flexibility regarding how requirements and outcomes are achieved. </w:t>
      </w:r>
    </w:p>
    <w:p w14:paraId="6FEB84E6" w14:textId="77777777" w:rsidR="00030089" w:rsidRPr="00F702E2" w:rsidRDefault="00030089" w:rsidP="00030089">
      <w:pPr>
        <w:pStyle w:val="Default"/>
        <w:rPr>
          <w:sz w:val="24"/>
          <w:szCs w:val="24"/>
        </w:rPr>
      </w:pPr>
      <w:r w:rsidRPr="00F702E2">
        <w:rPr>
          <w:sz w:val="24"/>
          <w:szCs w:val="24"/>
        </w:rPr>
        <w:t xml:space="preserve">Option 2A does not take into account the unique barriers the NT faces in terms of increasing its recycling rates such as a: </w:t>
      </w:r>
    </w:p>
    <w:p w14:paraId="395666F6" w14:textId="77777777" w:rsidR="00030089" w:rsidRPr="00F702E2" w:rsidRDefault="00030089" w:rsidP="00030089">
      <w:pPr>
        <w:pStyle w:val="Default"/>
        <w:numPr>
          <w:ilvl w:val="0"/>
          <w:numId w:val="33"/>
        </w:numPr>
        <w:rPr>
          <w:sz w:val="24"/>
          <w:szCs w:val="24"/>
        </w:rPr>
      </w:pPr>
      <w:r w:rsidRPr="00F702E2">
        <w:rPr>
          <w:sz w:val="24"/>
          <w:szCs w:val="24"/>
        </w:rPr>
        <w:t>small population relative to a large land mass;</w:t>
      </w:r>
    </w:p>
    <w:p w14:paraId="42B8CB80" w14:textId="77777777" w:rsidR="00030089" w:rsidRPr="00F702E2" w:rsidRDefault="00030089" w:rsidP="00030089">
      <w:pPr>
        <w:pStyle w:val="Default"/>
        <w:numPr>
          <w:ilvl w:val="0"/>
          <w:numId w:val="33"/>
        </w:numPr>
        <w:rPr>
          <w:sz w:val="24"/>
          <w:szCs w:val="24"/>
        </w:rPr>
      </w:pPr>
      <w:r w:rsidRPr="00F702E2">
        <w:rPr>
          <w:sz w:val="24"/>
          <w:szCs w:val="24"/>
        </w:rPr>
        <w:t>dispersed, remote population;</w:t>
      </w:r>
    </w:p>
    <w:p w14:paraId="4663C910" w14:textId="77777777" w:rsidR="00030089" w:rsidRPr="00F702E2" w:rsidRDefault="00030089" w:rsidP="00030089">
      <w:pPr>
        <w:pStyle w:val="Default"/>
        <w:numPr>
          <w:ilvl w:val="0"/>
          <w:numId w:val="33"/>
        </w:numPr>
        <w:rPr>
          <w:sz w:val="24"/>
          <w:szCs w:val="24"/>
        </w:rPr>
      </w:pPr>
      <w:r w:rsidRPr="00F702E2">
        <w:rPr>
          <w:sz w:val="24"/>
          <w:szCs w:val="24"/>
        </w:rPr>
        <w:t>significantly undeveloped recycling industry; and</w:t>
      </w:r>
    </w:p>
    <w:p w14:paraId="7D25434D" w14:textId="77777777" w:rsidR="00030089" w:rsidRPr="00F702E2" w:rsidRDefault="00030089" w:rsidP="00030089">
      <w:pPr>
        <w:pStyle w:val="Default"/>
        <w:numPr>
          <w:ilvl w:val="0"/>
          <w:numId w:val="33"/>
        </w:numPr>
        <w:rPr>
          <w:sz w:val="24"/>
          <w:szCs w:val="24"/>
        </w:rPr>
      </w:pPr>
      <w:r w:rsidRPr="00F702E2">
        <w:rPr>
          <w:sz w:val="24"/>
          <w:szCs w:val="24"/>
        </w:rPr>
        <w:t>limited kerbside collection services (Darwin and Palmerston only).</w:t>
      </w:r>
    </w:p>
    <w:p w14:paraId="1993CEAC" w14:textId="77777777" w:rsidR="00030089" w:rsidRPr="00F702E2" w:rsidRDefault="00030089" w:rsidP="00030089">
      <w:pPr>
        <w:pStyle w:val="Default"/>
        <w:rPr>
          <w:sz w:val="24"/>
          <w:szCs w:val="24"/>
        </w:rPr>
      </w:pPr>
      <w:r w:rsidRPr="00F702E2">
        <w:rPr>
          <w:sz w:val="24"/>
          <w:szCs w:val="24"/>
        </w:rPr>
        <w:t xml:space="preserve">It was these considerations that lead to the NT’s decision not to become party to the APC. </w:t>
      </w:r>
    </w:p>
    <w:p w14:paraId="566C4CF6" w14:textId="77777777" w:rsidR="00030089" w:rsidRPr="00F702E2" w:rsidRDefault="00030089" w:rsidP="00030089">
      <w:pPr>
        <w:pStyle w:val="Default"/>
        <w:jc w:val="left"/>
        <w:rPr>
          <w:sz w:val="24"/>
          <w:szCs w:val="24"/>
        </w:rPr>
      </w:pPr>
      <w:r w:rsidRPr="00F702E2">
        <w:rPr>
          <w:sz w:val="24"/>
          <w:szCs w:val="24"/>
        </w:rPr>
        <w:t>Table 4.35 presents a cost benefit analysis for the Packaging Impact CRIS Option 2A: co-regulatory stewardship. Table 4.36 presents the non market benefits for the Packaging Impacts CRIS Option Two A: co-regulatory stewardship.</w:t>
      </w:r>
    </w:p>
    <w:p w14:paraId="13D16737" w14:textId="77777777" w:rsidR="00030089" w:rsidRPr="00682556" w:rsidRDefault="00030089" w:rsidP="00030089">
      <w:pPr>
        <w:pStyle w:val="Caption"/>
        <w:keepNext/>
        <w:rPr>
          <w:noProof/>
          <w:color w:val="auto"/>
        </w:rPr>
      </w:pPr>
      <w:r w:rsidRPr="00682556">
        <w:rPr>
          <w:noProof/>
          <w:color w:val="auto"/>
        </w:rPr>
        <w:lastRenderedPageBreak/>
        <w:fldChar w:fldCharType="begin"/>
      </w:r>
      <w:r w:rsidRPr="00682556">
        <w:rPr>
          <w:noProof/>
          <w:color w:val="auto"/>
        </w:rPr>
        <w:instrText xml:space="preserve"> SEQ Figure \* ARABIC </w:instrText>
      </w:r>
      <w:r w:rsidRPr="00682556">
        <w:rPr>
          <w:noProof/>
          <w:color w:val="auto"/>
        </w:rPr>
        <w:fldChar w:fldCharType="separate"/>
      </w:r>
      <w:bookmarkStart w:id="316" w:name="_Toc353562527"/>
      <w:r w:rsidR="00740026">
        <w:rPr>
          <w:noProof/>
          <w:color w:val="auto"/>
        </w:rPr>
        <w:t>46</w:t>
      </w:r>
      <w:r w:rsidRPr="00682556">
        <w:rPr>
          <w:noProof/>
          <w:color w:val="auto"/>
        </w:rPr>
        <w:fldChar w:fldCharType="end"/>
      </w:r>
      <w:r w:rsidRPr="00682556">
        <w:rPr>
          <w:noProof/>
          <w:color w:val="auto"/>
        </w:rPr>
        <w:t xml:space="preserve"> Table 4.3</w:t>
      </w:r>
      <w:r>
        <w:rPr>
          <w:noProof/>
          <w:color w:val="auto"/>
        </w:rPr>
        <w:t>5</w:t>
      </w:r>
      <w:r w:rsidRPr="00682556">
        <w:rPr>
          <w:noProof/>
          <w:color w:val="auto"/>
        </w:rPr>
        <w:t>: Market costs and benefits of the operation of co-regulatory Stewardship over a 25 year analysis period</w:t>
      </w:r>
      <w:bookmarkEnd w:id="3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673"/>
      </w:tblGrid>
      <w:tr w:rsidR="00030089" w:rsidRPr="003D324F" w14:paraId="438BE9C6" w14:textId="77777777" w:rsidTr="008547F7">
        <w:trPr>
          <w:tblHeader/>
        </w:trPr>
        <w:tc>
          <w:tcPr>
            <w:tcW w:w="3245" w:type="dxa"/>
            <w:shd w:val="pct10" w:color="auto" w:fill="auto"/>
          </w:tcPr>
          <w:p w14:paraId="63716765" w14:textId="77777777" w:rsidR="00030089" w:rsidRPr="00884EAE" w:rsidRDefault="00030089" w:rsidP="008547F7">
            <w:pPr>
              <w:rPr>
                <w:rFonts w:ascii="Arial" w:hAnsi="Arial" w:cs="Arial"/>
                <w:b/>
                <w:sz w:val="18"/>
                <w:szCs w:val="18"/>
              </w:rPr>
            </w:pPr>
            <w:r w:rsidRPr="00884EAE">
              <w:rPr>
                <w:rFonts w:ascii="Arial" w:hAnsi="Arial" w:cs="Arial"/>
                <w:b/>
                <w:sz w:val="18"/>
                <w:szCs w:val="18"/>
              </w:rPr>
              <w:t>Description of Market Costs / Benefits</w:t>
            </w:r>
          </w:p>
        </w:tc>
        <w:tc>
          <w:tcPr>
            <w:tcW w:w="2673" w:type="dxa"/>
            <w:shd w:val="pct10" w:color="auto" w:fill="auto"/>
          </w:tcPr>
          <w:p w14:paraId="1098734C" w14:textId="77777777" w:rsidR="00030089" w:rsidRPr="00884EAE" w:rsidRDefault="00030089" w:rsidP="008547F7">
            <w:pPr>
              <w:jc w:val="right"/>
              <w:rPr>
                <w:rFonts w:ascii="Arial" w:hAnsi="Arial" w:cs="Arial"/>
                <w:b/>
                <w:sz w:val="18"/>
                <w:szCs w:val="18"/>
              </w:rPr>
            </w:pPr>
            <w:r w:rsidRPr="000729A4">
              <w:rPr>
                <w:rFonts w:ascii="Arial" w:hAnsi="Arial" w:cs="Arial"/>
                <w:b/>
                <w:sz w:val="18"/>
                <w:szCs w:val="18"/>
              </w:rPr>
              <w:t>NT signs the APC</w:t>
            </w:r>
          </w:p>
        </w:tc>
      </w:tr>
      <w:tr w:rsidR="00030089" w:rsidRPr="003D324F" w14:paraId="040CA1AA" w14:textId="77777777" w:rsidTr="008547F7">
        <w:trPr>
          <w:trHeight w:hRule="exact" w:val="454"/>
        </w:trPr>
        <w:tc>
          <w:tcPr>
            <w:tcW w:w="3245" w:type="dxa"/>
            <w:shd w:val="clear" w:color="auto" w:fill="auto"/>
          </w:tcPr>
          <w:p w14:paraId="69942F7D" w14:textId="77777777" w:rsidR="00030089" w:rsidRPr="001505FD" w:rsidRDefault="00030089" w:rsidP="008547F7">
            <w:pPr>
              <w:rPr>
                <w:rFonts w:ascii="Arial" w:hAnsi="Arial" w:cs="Arial"/>
                <w:b/>
                <w:sz w:val="18"/>
                <w:szCs w:val="18"/>
              </w:rPr>
            </w:pPr>
            <w:r w:rsidRPr="001505FD">
              <w:rPr>
                <w:rFonts w:ascii="Arial" w:hAnsi="Arial" w:cs="Arial"/>
                <w:b/>
                <w:sz w:val="18"/>
                <w:szCs w:val="18"/>
              </w:rPr>
              <w:t>Costs</w:t>
            </w:r>
          </w:p>
        </w:tc>
        <w:tc>
          <w:tcPr>
            <w:tcW w:w="2673" w:type="dxa"/>
            <w:shd w:val="clear" w:color="auto" w:fill="auto"/>
          </w:tcPr>
          <w:p w14:paraId="74EEB116" w14:textId="77777777" w:rsidR="00030089" w:rsidRPr="001505FD" w:rsidRDefault="00030089" w:rsidP="008547F7">
            <w:pPr>
              <w:jc w:val="right"/>
              <w:rPr>
                <w:rFonts w:ascii="Arial" w:hAnsi="Arial" w:cs="Arial"/>
                <w:sz w:val="18"/>
                <w:szCs w:val="18"/>
              </w:rPr>
            </w:pPr>
          </w:p>
        </w:tc>
      </w:tr>
      <w:tr w:rsidR="00030089" w:rsidRPr="003D324F" w14:paraId="5300B07D" w14:textId="77777777" w:rsidTr="008547F7">
        <w:trPr>
          <w:trHeight w:hRule="exact" w:val="454"/>
        </w:trPr>
        <w:tc>
          <w:tcPr>
            <w:tcW w:w="3245" w:type="dxa"/>
            <w:shd w:val="clear" w:color="auto" w:fill="auto"/>
            <w:vAlign w:val="center"/>
          </w:tcPr>
          <w:p w14:paraId="73A2B638" w14:textId="77777777" w:rsidR="00030089" w:rsidRPr="001505FD" w:rsidRDefault="00030089" w:rsidP="008547F7">
            <w:pPr>
              <w:rPr>
                <w:rFonts w:ascii="Arial" w:hAnsi="Arial" w:cs="Arial"/>
                <w:sz w:val="18"/>
                <w:szCs w:val="18"/>
              </w:rPr>
            </w:pPr>
            <w:r>
              <w:rPr>
                <w:rFonts w:ascii="Arial" w:hAnsi="Arial" w:cs="Arial"/>
                <w:sz w:val="18"/>
                <w:szCs w:val="18"/>
              </w:rPr>
              <w:t>S</w:t>
            </w:r>
            <w:r w:rsidRPr="001505FD">
              <w:rPr>
                <w:rFonts w:ascii="Arial" w:hAnsi="Arial" w:cs="Arial"/>
                <w:sz w:val="18"/>
                <w:szCs w:val="18"/>
              </w:rPr>
              <w:t>cheme design and implementation</w:t>
            </w:r>
          </w:p>
        </w:tc>
        <w:tc>
          <w:tcPr>
            <w:tcW w:w="2673" w:type="dxa"/>
            <w:shd w:val="clear" w:color="auto" w:fill="auto"/>
            <w:vAlign w:val="center"/>
          </w:tcPr>
          <w:p w14:paraId="44357CC7" w14:textId="77777777" w:rsidR="00030089" w:rsidRPr="001505FD" w:rsidRDefault="00030089" w:rsidP="008547F7">
            <w:pPr>
              <w:jc w:val="right"/>
              <w:rPr>
                <w:rFonts w:ascii="Arial" w:hAnsi="Arial" w:cs="Arial"/>
                <w:sz w:val="18"/>
                <w:szCs w:val="18"/>
              </w:rPr>
            </w:pPr>
            <w:r>
              <w:rPr>
                <w:rFonts w:ascii="Arial" w:hAnsi="Arial" w:cs="Arial"/>
                <w:sz w:val="18"/>
                <w:szCs w:val="18"/>
              </w:rPr>
              <w:t>$3 000 000</w:t>
            </w:r>
          </w:p>
        </w:tc>
      </w:tr>
      <w:tr w:rsidR="00030089" w:rsidRPr="003D324F" w14:paraId="10A96F96" w14:textId="77777777" w:rsidTr="008547F7">
        <w:trPr>
          <w:trHeight w:hRule="exact" w:val="454"/>
        </w:trPr>
        <w:tc>
          <w:tcPr>
            <w:tcW w:w="3245" w:type="dxa"/>
            <w:shd w:val="clear" w:color="auto" w:fill="auto"/>
            <w:vAlign w:val="center"/>
          </w:tcPr>
          <w:p w14:paraId="5C7F8F37" w14:textId="77777777" w:rsidR="00030089" w:rsidRPr="001505FD" w:rsidRDefault="00030089" w:rsidP="008547F7">
            <w:pPr>
              <w:rPr>
                <w:rFonts w:ascii="Arial" w:hAnsi="Arial" w:cs="Arial"/>
                <w:sz w:val="18"/>
                <w:szCs w:val="18"/>
              </w:rPr>
            </w:pPr>
            <w:r>
              <w:rPr>
                <w:rFonts w:ascii="Arial" w:hAnsi="Arial" w:cs="Arial"/>
                <w:sz w:val="18"/>
                <w:szCs w:val="18"/>
              </w:rPr>
              <w:t>S</w:t>
            </w:r>
            <w:r w:rsidRPr="001505FD">
              <w:rPr>
                <w:rFonts w:ascii="Arial" w:hAnsi="Arial" w:cs="Arial"/>
                <w:sz w:val="18"/>
                <w:szCs w:val="18"/>
              </w:rPr>
              <w:t>cheme operation and compliance</w:t>
            </w:r>
          </w:p>
        </w:tc>
        <w:tc>
          <w:tcPr>
            <w:tcW w:w="2673" w:type="dxa"/>
            <w:shd w:val="clear" w:color="auto" w:fill="auto"/>
            <w:vAlign w:val="center"/>
          </w:tcPr>
          <w:p w14:paraId="24A608B9" w14:textId="77777777" w:rsidR="00030089" w:rsidRPr="001505FD" w:rsidRDefault="00030089" w:rsidP="008547F7">
            <w:pPr>
              <w:jc w:val="right"/>
              <w:rPr>
                <w:rFonts w:ascii="Arial" w:hAnsi="Arial" w:cs="Arial"/>
                <w:sz w:val="18"/>
                <w:szCs w:val="18"/>
              </w:rPr>
            </w:pPr>
            <w:r>
              <w:rPr>
                <w:rFonts w:ascii="Arial" w:hAnsi="Arial" w:cs="Arial"/>
                <w:sz w:val="18"/>
                <w:szCs w:val="18"/>
              </w:rPr>
              <w:t>$16 000 000</w:t>
            </w:r>
          </w:p>
        </w:tc>
      </w:tr>
      <w:tr w:rsidR="00030089" w:rsidRPr="003D324F" w14:paraId="13E613D0" w14:textId="77777777" w:rsidTr="008547F7">
        <w:trPr>
          <w:trHeight w:hRule="exact" w:val="454"/>
        </w:trPr>
        <w:tc>
          <w:tcPr>
            <w:tcW w:w="3245" w:type="dxa"/>
            <w:shd w:val="clear" w:color="auto" w:fill="auto"/>
            <w:vAlign w:val="center"/>
          </w:tcPr>
          <w:p w14:paraId="4F2A80D1" w14:textId="77777777" w:rsidR="00030089" w:rsidRPr="001505FD" w:rsidRDefault="00030089" w:rsidP="008547F7">
            <w:pPr>
              <w:rPr>
                <w:rFonts w:ascii="Arial" w:hAnsi="Arial" w:cs="Arial"/>
                <w:sz w:val="18"/>
                <w:szCs w:val="18"/>
              </w:rPr>
            </w:pPr>
            <w:r>
              <w:rPr>
                <w:rFonts w:ascii="Arial" w:hAnsi="Arial" w:cs="Arial"/>
                <w:sz w:val="18"/>
                <w:szCs w:val="18"/>
              </w:rPr>
              <w:t>Avoided kerbside costs</w:t>
            </w:r>
          </w:p>
        </w:tc>
        <w:tc>
          <w:tcPr>
            <w:tcW w:w="2673" w:type="dxa"/>
            <w:shd w:val="clear" w:color="auto" w:fill="auto"/>
            <w:vAlign w:val="center"/>
          </w:tcPr>
          <w:p w14:paraId="2C9CBC07" w14:textId="77777777" w:rsidR="00030089" w:rsidRPr="001505FD" w:rsidRDefault="00030089" w:rsidP="008547F7">
            <w:pPr>
              <w:jc w:val="right"/>
              <w:rPr>
                <w:rFonts w:ascii="Arial" w:hAnsi="Arial" w:cs="Arial"/>
                <w:sz w:val="18"/>
                <w:szCs w:val="18"/>
              </w:rPr>
            </w:pPr>
            <w:r>
              <w:rPr>
                <w:rFonts w:ascii="Arial" w:hAnsi="Arial" w:cs="Arial"/>
                <w:sz w:val="18"/>
                <w:szCs w:val="18"/>
              </w:rPr>
              <w:t>$135 000 000</w:t>
            </w:r>
          </w:p>
        </w:tc>
      </w:tr>
      <w:tr w:rsidR="00030089" w:rsidRPr="003D324F" w14:paraId="6E2EF4DC" w14:textId="77777777" w:rsidTr="008547F7">
        <w:trPr>
          <w:trHeight w:hRule="exact" w:val="454"/>
        </w:trPr>
        <w:tc>
          <w:tcPr>
            <w:tcW w:w="3245" w:type="dxa"/>
            <w:shd w:val="clear" w:color="auto" w:fill="auto"/>
            <w:vAlign w:val="center"/>
          </w:tcPr>
          <w:p w14:paraId="7C92E009" w14:textId="77777777" w:rsidR="00030089" w:rsidRPr="001505FD" w:rsidRDefault="00030089" w:rsidP="008547F7">
            <w:pPr>
              <w:rPr>
                <w:rFonts w:ascii="Arial" w:hAnsi="Arial" w:cs="Arial"/>
                <w:sz w:val="18"/>
                <w:szCs w:val="18"/>
              </w:rPr>
            </w:pPr>
            <w:r>
              <w:rPr>
                <w:rFonts w:ascii="Arial" w:hAnsi="Arial" w:cs="Arial"/>
                <w:sz w:val="18"/>
                <w:szCs w:val="18"/>
              </w:rPr>
              <w:t>H</w:t>
            </w:r>
            <w:r w:rsidRPr="001505FD">
              <w:rPr>
                <w:rFonts w:ascii="Arial" w:hAnsi="Arial" w:cs="Arial"/>
                <w:sz w:val="18"/>
                <w:szCs w:val="18"/>
              </w:rPr>
              <w:t>ousehold participation costs</w:t>
            </w:r>
          </w:p>
        </w:tc>
        <w:tc>
          <w:tcPr>
            <w:tcW w:w="2673" w:type="dxa"/>
            <w:shd w:val="clear" w:color="auto" w:fill="auto"/>
            <w:vAlign w:val="center"/>
          </w:tcPr>
          <w:p w14:paraId="29A9B26E" w14:textId="77777777" w:rsidR="00030089" w:rsidRPr="001505FD" w:rsidRDefault="00030089" w:rsidP="008547F7">
            <w:pPr>
              <w:jc w:val="right"/>
              <w:rPr>
                <w:rFonts w:ascii="Arial" w:hAnsi="Arial" w:cs="Arial"/>
                <w:sz w:val="18"/>
                <w:szCs w:val="18"/>
              </w:rPr>
            </w:pPr>
            <w:r>
              <w:rPr>
                <w:rFonts w:ascii="Arial" w:hAnsi="Arial" w:cs="Arial"/>
                <w:sz w:val="18"/>
                <w:szCs w:val="18"/>
              </w:rPr>
              <w:t>$83 000 000</w:t>
            </w:r>
          </w:p>
        </w:tc>
      </w:tr>
      <w:tr w:rsidR="00030089" w:rsidRPr="003D324F" w14:paraId="4561A500" w14:textId="77777777" w:rsidTr="008547F7">
        <w:trPr>
          <w:trHeight w:hRule="exact" w:val="454"/>
        </w:trPr>
        <w:tc>
          <w:tcPr>
            <w:tcW w:w="3245" w:type="dxa"/>
            <w:shd w:val="clear" w:color="auto" w:fill="auto"/>
            <w:vAlign w:val="center"/>
          </w:tcPr>
          <w:p w14:paraId="1A748007" w14:textId="77777777" w:rsidR="00030089" w:rsidRPr="001505FD" w:rsidRDefault="00030089" w:rsidP="008547F7">
            <w:pPr>
              <w:rPr>
                <w:rFonts w:ascii="Arial" w:hAnsi="Arial" w:cs="Arial"/>
                <w:sz w:val="18"/>
                <w:szCs w:val="18"/>
              </w:rPr>
            </w:pPr>
            <w:r>
              <w:rPr>
                <w:rFonts w:ascii="Arial" w:hAnsi="Arial" w:cs="Arial"/>
                <w:sz w:val="18"/>
                <w:szCs w:val="18"/>
              </w:rPr>
              <w:t>Business participation costs</w:t>
            </w:r>
          </w:p>
        </w:tc>
        <w:tc>
          <w:tcPr>
            <w:tcW w:w="2673" w:type="dxa"/>
            <w:shd w:val="clear" w:color="auto" w:fill="auto"/>
            <w:vAlign w:val="center"/>
          </w:tcPr>
          <w:p w14:paraId="026059CC" w14:textId="77777777" w:rsidR="00030089" w:rsidRDefault="00030089" w:rsidP="008547F7">
            <w:pPr>
              <w:jc w:val="right"/>
              <w:rPr>
                <w:rFonts w:ascii="Arial" w:hAnsi="Arial" w:cs="Arial"/>
                <w:sz w:val="18"/>
                <w:szCs w:val="18"/>
              </w:rPr>
            </w:pPr>
            <w:r>
              <w:rPr>
                <w:rFonts w:ascii="Arial" w:hAnsi="Arial" w:cs="Arial"/>
                <w:sz w:val="18"/>
                <w:szCs w:val="18"/>
              </w:rPr>
              <w:t>$20 000 000</w:t>
            </w:r>
          </w:p>
        </w:tc>
      </w:tr>
      <w:tr w:rsidR="00030089" w:rsidRPr="003D324F" w14:paraId="0FBBC9E3" w14:textId="77777777" w:rsidTr="008547F7">
        <w:trPr>
          <w:trHeight w:hRule="exact" w:val="454"/>
        </w:trPr>
        <w:tc>
          <w:tcPr>
            <w:tcW w:w="3245" w:type="dxa"/>
            <w:shd w:val="clear" w:color="auto" w:fill="auto"/>
            <w:vAlign w:val="center"/>
          </w:tcPr>
          <w:p w14:paraId="4E03CC31" w14:textId="77777777" w:rsidR="00030089" w:rsidRPr="00B72093" w:rsidRDefault="00030089" w:rsidP="008547F7">
            <w:pPr>
              <w:rPr>
                <w:rFonts w:ascii="Arial" w:hAnsi="Arial" w:cs="Arial"/>
                <w:b/>
                <w:sz w:val="18"/>
                <w:szCs w:val="18"/>
              </w:rPr>
            </w:pPr>
            <w:r>
              <w:rPr>
                <w:rFonts w:ascii="Arial" w:hAnsi="Arial" w:cs="Arial"/>
                <w:b/>
                <w:sz w:val="18"/>
                <w:szCs w:val="18"/>
              </w:rPr>
              <w:t>T</w:t>
            </w:r>
            <w:r w:rsidRPr="00B72093">
              <w:rPr>
                <w:rFonts w:ascii="Arial" w:hAnsi="Arial" w:cs="Arial"/>
                <w:b/>
                <w:sz w:val="18"/>
                <w:szCs w:val="18"/>
              </w:rPr>
              <w:t xml:space="preserve">otal </w:t>
            </w:r>
            <w:r>
              <w:rPr>
                <w:rFonts w:ascii="Arial" w:hAnsi="Arial" w:cs="Arial"/>
                <w:b/>
                <w:sz w:val="18"/>
                <w:szCs w:val="18"/>
              </w:rPr>
              <w:t>C</w:t>
            </w:r>
            <w:r w:rsidRPr="00B72093">
              <w:rPr>
                <w:rFonts w:ascii="Arial" w:hAnsi="Arial" w:cs="Arial"/>
                <w:b/>
                <w:sz w:val="18"/>
                <w:szCs w:val="18"/>
              </w:rPr>
              <w:t>osts</w:t>
            </w:r>
          </w:p>
        </w:tc>
        <w:tc>
          <w:tcPr>
            <w:tcW w:w="2673" w:type="dxa"/>
            <w:shd w:val="clear" w:color="auto" w:fill="auto"/>
            <w:vAlign w:val="center"/>
          </w:tcPr>
          <w:p w14:paraId="02BD4075" w14:textId="77777777" w:rsidR="00030089" w:rsidRDefault="00030089" w:rsidP="008547F7">
            <w:pPr>
              <w:jc w:val="right"/>
              <w:rPr>
                <w:rFonts w:ascii="Arial" w:hAnsi="Arial" w:cs="Arial"/>
                <w:b/>
                <w:sz w:val="18"/>
                <w:szCs w:val="18"/>
              </w:rPr>
            </w:pPr>
            <w:r>
              <w:rPr>
                <w:rFonts w:ascii="Arial" w:hAnsi="Arial" w:cs="Arial"/>
                <w:b/>
                <w:sz w:val="18"/>
                <w:szCs w:val="18"/>
              </w:rPr>
              <w:t>$257 000 000</w:t>
            </w:r>
            <w:r>
              <w:rPr>
                <w:rStyle w:val="FootnoteReference"/>
                <w:rFonts w:ascii="Arial" w:hAnsi="Arial"/>
                <w:b/>
                <w:sz w:val="18"/>
                <w:szCs w:val="18"/>
              </w:rPr>
              <w:footnoteReference w:id="41"/>
            </w:r>
          </w:p>
          <w:p w14:paraId="315E7503" w14:textId="77777777" w:rsidR="00030089" w:rsidRPr="007F734B" w:rsidRDefault="00030089" w:rsidP="008547F7">
            <w:pPr>
              <w:jc w:val="right"/>
              <w:rPr>
                <w:rFonts w:ascii="Arial" w:hAnsi="Arial" w:cs="Arial"/>
                <w:b/>
                <w:color w:val="FF0000"/>
                <w:sz w:val="18"/>
                <w:szCs w:val="18"/>
              </w:rPr>
            </w:pPr>
          </w:p>
        </w:tc>
      </w:tr>
      <w:tr w:rsidR="00030089" w:rsidRPr="003D324F" w14:paraId="4D3C42BB" w14:textId="77777777" w:rsidTr="008547F7">
        <w:trPr>
          <w:trHeight w:hRule="exact" w:val="454"/>
        </w:trPr>
        <w:tc>
          <w:tcPr>
            <w:tcW w:w="3245" w:type="dxa"/>
            <w:shd w:val="clear" w:color="auto" w:fill="auto"/>
            <w:vAlign w:val="center"/>
          </w:tcPr>
          <w:p w14:paraId="323CD31F" w14:textId="77777777" w:rsidR="00030089" w:rsidRPr="001505FD" w:rsidRDefault="00030089" w:rsidP="008547F7">
            <w:pPr>
              <w:rPr>
                <w:rFonts w:ascii="Arial" w:hAnsi="Arial" w:cs="Arial"/>
                <w:b/>
                <w:sz w:val="18"/>
                <w:szCs w:val="18"/>
              </w:rPr>
            </w:pPr>
            <w:r w:rsidRPr="001505FD">
              <w:rPr>
                <w:rFonts w:ascii="Arial" w:hAnsi="Arial" w:cs="Arial"/>
                <w:b/>
                <w:sz w:val="18"/>
                <w:szCs w:val="18"/>
              </w:rPr>
              <w:t>Benefits</w:t>
            </w:r>
          </w:p>
        </w:tc>
        <w:tc>
          <w:tcPr>
            <w:tcW w:w="2673" w:type="dxa"/>
            <w:shd w:val="clear" w:color="auto" w:fill="auto"/>
            <w:vAlign w:val="center"/>
          </w:tcPr>
          <w:p w14:paraId="627C14F1" w14:textId="77777777" w:rsidR="00030089" w:rsidRPr="001505FD" w:rsidRDefault="00030089" w:rsidP="008547F7">
            <w:pPr>
              <w:jc w:val="right"/>
              <w:rPr>
                <w:rFonts w:ascii="Arial" w:hAnsi="Arial" w:cs="Arial"/>
                <w:sz w:val="18"/>
                <w:szCs w:val="18"/>
              </w:rPr>
            </w:pPr>
          </w:p>
        </w:tc>
      </w:tr>
      <w:tr w:rsidR="00030089" w:rsidRPr="003D324F" w14:paraId="4D63386D" w14:textId="77777777" w:rsidTr="008547F7">
        <w:trPr>
          <w:trHeight w:hRule="exact" w:val="454"/>
        </w:trPr>
        <w:tc>
          <w:tcPr>
            <w:tcW w:w="3245" w:type="dxa"/>
            <w:shd w:val="clear" w:color="auto" w:fill="auto"/>
            <w:vAlign w:val="center"/>
          </w:tcPr>
          <w:p w14:paraId="1BD8F054" w14:textId="77777777" w:rsidR="00030089" w:rsidRPr="001505FD" w:rsidRDefault="00030089" w:rsidP="008547F7">
            <w:pPr>
              <w:rPr>
                <w:rFonts w:ascii="Arial" w:hAnsi="Arial" w:cs="Arial"/>
                <w:sz w:val="18"/>
                <w:szCs w:val="18"/>
              </w:rPr>
            </w:pPr>
            <w:r>
              <w:rPr>
                <w:rFonts w:ascii="Arial" w:hAnsi="Arial" w:cs="Arial"/>
                <w:sz w:val="18"/>
                <w:szCs w:val="18"/>
              </w:rPr>
              <w:t>M</w:t>
            </w:r>
            <w:r w:rsidRPr="001505FD">
              <w:rPr>
                <w:rFonts w:ascii="Arial" w:hAnsi="Arial" w:cs="Arial"/>
                <w:sz w:val="18"/>
                <w:szCs w:val="18"/>
              </w:rPr>
              <w:t>arket value of resources</w:t>
            </w:r>
          </w:p>
        </w:tc>
        <w:tc>
          <w:tcPr>
            <w:tcW w:w="2673" w:type="dxa"/>
            <w:shd w:val="clear" w:color="auto" w:fill="auto"/>
            <w:vAlign w:val="center"/>
          </w:tcPr>
          <w:p w14:paraId="6C888BAC" w14:textId="77777777" w:rsidR="00030089" w:rsidRPr="001505FD" w:rsidRDefault="00030089" w:rsidP="008547F7">
            <w:pPr>
              <w:jc w:val="right"/>
              <w:rPr>
                <w:rFonts w:ascii="Arial" w:hAnsi="Arial" w:cs="Arial"/>
                <w:sz w:val="18"/>
                <w:szCs w:val="18"/>
              </w:rPr>
            </w:pPr>
            <w:r>
              <w:rPr>
                <w:rFonts w:ascii="Arial" w:hAnsi="Arial" w:cs="Arial"/>
                <w:sz w:val="18"/>
                <w:szCs w:val="18"/>
              </w:rPr>
              <w:t>$152 000 000</w:t>
            </w:r>
          </w:p>
        </w:tc>
      </w:tr>
      <w:tr w:rsidR="00030089" w:rsidRPr="003D324F" w14:paraId="4FDBA426" w14:textId="77777777" w:rsidTr="008547F7">
        <w:trPr>
          <w:trHeight w:hRule="exact" w:val="454"/>
        </w:trPr>
        <w:tc>
          <w:tcPr>
            <w:tcW w:w="3245" w:type="dxa"/>
            <w:shd w:val="clear" w:color="auto" w:fill="auto"/>
            <w:vAlign w:val="center"/>
          </w:tcPr>
          <w:p w14:paraId="7278797F" w14:textId="77777777" w:rsidR="00030089" w:rsidRPr="001505FD" w:rsidRDefault="00030089" w:rsidP="008547F7">
            <w:pPr>
              <w:rPr>
                <w:rFonts w:ascii="Arial" w:hAnsi="Arial" w:cs="Arial"/>
                <w:sz w:val="18"/>
                <w:szCs w:val="18"/>
              </w:rPr>
            </w:pPr>
            <w:r>
              <w:rPr>
                <w:rFonts w:ascii="Arial" w:hAnsi="Arial" w:cs="Arial"/>
                <w:sz w:val="18"/>
                <w:szCs w:val="18"/>
              </w:rPr>
              <w:t>A</w:t>
            </w:r>
            <w:r w:rsidRPr="001505FD">
              <w:rPr>
                <w:rFonts w:ascii="Arial" w:hAnsi="Arial" w:cs="Arial"/>
                <w:sz w:val="18"/>
                <w:szCs w:val="18"/>
              </w:rPr>
              <w:t xml:space="preserve">voided </w:t>
            </w:r>
            <w:r>
              <w:rPr>
                <w:rFonts w:ascii="Arial" w:hAnsi="Arial" w:cs="Arial"/>
                <w:sz w:val="18"/>
                <w:szCs w:val="18"/>
              </w:rPr>
              <w:t>regulatory cost</w:t>
            </w:r>
          </w:p>
        </w:tc>
        <w:tc>
          <w:tcPr>
            <w:tcW w:w="2673" w:type="dxa"/>
            <w:shd w:val="clear" w:color="auto" w:fill="auto"/>
            <w:vAlign w:val="center"/>
          </w:tcPr>
          <w:p w14:paraId="12D9FD6B" w14:textId="77777777" w:rsidR="00030089" w:rsidRPr="001505FD" w:rsidRDefault="00030089" w:rsidP="008547F7">
            <w:pPr>
              <w:jc w:val="right"/>
              <w:rPr>
                <w:rFonts w:ascii="Arial" w:hAnsi="Arial" w:cs="Arial"/>
                <w:sz w:val="18"/>
                <w:szCs w:val="18"/>
              </w:rPr>
            </w:pPr>
            <w:r>
              <w:rPr>
                <w:rFonts w:ascii="Arial" w:hAnsi="Arial" w:cs="Arial"/>
                <w:sz w:val="18"/>
                <w:szCs w:val="18"/>
              </w:rPr>
              <w:t>$35 000 000</w:t>
            </w:r>
          </w:p>
        </w:tc>
      </w:tr>
      <w:tr w:rsidR="00030089" w:rsidRPr="003D324F" w14:paraId="3E3AFB18" w14:textId="77777777" w:rsidTr="008547F7">
        <w:trPr>
          <w:trHeight w:hRule="exact" w:val="454"/>
        </w:trPr>
        <w:tc>
          <w:tcPr>
            <w:tcW w:w="3245" w:type="dxa"/>
            <w:shd w:val="clear" w:color="auto" w:fill="auto"/>
            <w:vAlign w:val="center"/>
          </w:tcPr>
          <w:p w14:paraId="38351B13" w14:textId="77777777" w:rsidR="00030089" w:rsidRPr="001505FD" w:rsidRDefault="00030089" w:rsidP="008547F7">
            <w:pPr>
              <w:rPr>
                <w:rFonts w:ascii="Arial" w:hAnsi="Arial" w:cs="Arial"/>
                <w:sz w:val="18"/>
                <w:szCs w:val="18"/>
              </w:rPr>
            </w:pPr>
            <w:r>
              <w:rPr>
                <w:rFonts w:ascii="Arial" w:hAnsi="Arial" w:cs="Arial"/>
                <w:sz w:val="18"/>
                <w:szCs w:val="18"/>
              </w:rPr>
              <w:t>A</w:t>
            </w:r>
            <w:r w:rsidRPr="001505FD">
              <w:rPr>
                <w:rFonts w:ascii="Arial" w:hAnsi="Arial" w:cs="Arial"/>
                <w:sz w:val="18"/>
                <w:szCs w:val="18"/>
              </w:rPr>
              <w:t>voided landfill operating costs</w:t>
            </w:r>
          </w:p>
        </w:tc>
        <w:tc>
          <w:tcPr>
            <w:tcW w:w="2673" w:type="dxa"/>
            <w:shd w:val="clear" w:color="auto" w:fill="auto"/>
            <w:vAlign w:val="center"/>
          </w:tcPr>
          <w:p w14:paraId="685C7680" w14:textId="77777777" w:rsidR="00030089" w:rsidRPr="001505FD" w:rsidRDefault="00030089" w:rsidP="008547F7">
            <w:pPr>
              <w:jc w:val="right"/>
              <w:rPr>
                <w:rFonts w:ascii="Arial" w:hAnsi="Arial" w:cs="Arial"/>
                <w:sz w:val="18"/>
                <w:szCs w:val="18"/>
              </w:rPr>
            </w:pPr>
            <w:r>
              <w:rPr>
                <w:rFonts w:ascii="Arial" w:hAnsi="Arial" w:cs="Arial"/>
                <w:sz w:val="18"/>
                <w:szCs w:val="18"/>
              </w:rPr>
              <w:t>$31 000 000</w:t>
            </w:r>
          </w:p>
        </w:tc>
      </w:tr>
      <w:tr w:rsidR="00030089" w:rsidRPr="003D324F" w14:paraId="108F7B78" w14:textId="77777777" w:rsidTr="008547F7">
        <w:trPr>
          <w:trHeight w:hRule="exact" w:val="454"/>
        </w:trPr>
        <w:tc>
          <w:tcPr>
            <w:tcW w:w="3245" w:type="dxa"/>
            <w:shd w:val="clear" w:color="auto" w:fill="auto"/>
            <w:vAlign w:val="center"/>
          </w:tcPr>
          <w:p w14:paraId="77BFA573" w14:textId="77777777" w:rsidR="00030089" w:rsidRPr="001505FD" w:rsidRDefault="00030089" w:rsidP="008547F7">
            <w:pPr>
              <w:rPr>
                <w:rFonts w:ascii="Arial" w:hAnsi="Arial" w:cs="Arial"/>
                <w:sz w:val="18"/>
                <w:szCs w:val="18"/>
              </w:rPr>
            </w:pPr>
            <w:r>
              <w:rPr>
                <w:rFonts w:ascii="Arial" w:hAnsi="Arial" w:cs="Arial"/>
                <w:sz w:val="18"/>
                <w:szCs w:val="18"/>
              </w:rPr>
              <w:t>Avoided litter clean-</w:t>
            </w:r>
            <w:r w:rsidRPr="001505FD">
              <w:rPr>
                <w:rFonts w:ascii="Arial" w:hAnsi="Arial" w:cs="Arial"/>
                <w:sz w:val="18"/>
                <w:szCs w:val="18"/>
              </w:rPr>
              <w:t>up</w:t>
            </w:r>
            <w:r>
              <w:rPr>
                <w:rFonts w:ascii="Arial" w:hAnsi="Arial" w:cs="Arial"/>
                <w:sz w:val="18"/>
                <w:szCs w:val="18"/>
              </w:rPr>
              <w:t xml:space="preserve"> </w:t>
            </w:r>
            <w:r w:rsidRPr="001505FD">
              <w:rPr>
                <w:rFonts w:ascii="Arial" w:hAnsi="Arial" w:cs="Arial"/>
                <w:sz w:val="18"/>
                <w:szCs w:val="18"/>
              </w:rPr>
              <w:t>costs</w:t>
            </w:r>
          </w:p>
        </w:tc>
        <w:tc>
          <w:tcPr>
            <w:tcW w:w="2673" w:type="dxa"/>
            <w:shd w:val="clear" w:color="auto" w:fill="auto"/>
            <w:vAlign w:val="center"/>
          </w:tcPr>
          <w:p w14:paraId="0E3B35E6" w14:textId="77777777" w:rsidR="00030089" w:rsidRPr="001505FD" w:rsidRDefault="00030089" w:rsidP="008547F7">
            <w:pPr>
              <w:jc w:val="right"/>
              <w:rPr>
                <w:rFonts w:ascii="Arial" w:hAnsi="Arial" w:cs="Arial"/>
                <w:sz w:val="18"/>
                <w:szCs w:val="18"/>
              </w:rPr>
            </w:pPr>
            <w:r>
              <w:rPr>
                <w:rFonts w:ascii="Arial" w:hAnsi="Arial" w:cs="Arial"/>
                <w:sz w:val="18"/>
                <w:szCs w:val="18"/>
              </w:rPr>
              <w:t>$56 000 000</w:t>
            </w:r>
          </w:p>
        </w:tc>
      </w:tr>
      <w:tr w:rsidR="00030089" w:rsidRPr="003D324F" w14:paraId="4761219A" w14:textId="77777777" w:rsidTr="008547F7">
        <w:trPr>
          <w:trHeight w:hRule="exact" w:val="454"/>
        </w:trPr>
        <w:tc>
          <w:tcPr>
            <w:tcW w:w="3245" w:type="dxa"/>
            <w:shd w:val="clear" w:color="auto" w:fill="auto"/>
            <w:vAlign w:val="center"/>
          </w:tcPr>
          <w:p w14:paraId="6B8065EF" w14:textId="77777777" w:rsidR="00030089" w:rsidRPr="001505FD" w:rsidRDefault="00030089" w:rsidP="008547F7">
            <w:pPr>
              <w:rPr>
                <w:rFonts w:ascii="Arial" w:hAnsi="Arial" w:cs="Arial"/>
                <w:sz w:val="18"/>
                <w:szCs w:val="18"/>
              </w:rPr>
            </w:pPr>
            <w:r>
              <w:rPr>
                <w:rFonts w:ascii="Arial" w:hAnsi="Arial" w:cs="Arial"/>
                <w:sz w:val="18"/>
                <w:szCs w:val="18"/>
              </w:rPr>
              <w:t>A</w:t>
            </w:r>
            <w:r w:rsidRPr="001505FD">
              <w:rPr>
                <w:rFonts w:ascii="Arial" w:hAnsi="Arial" w:cs="Arial"/>
                <w:sz w:val="18"/>
                <w:szCs w:val="18"/>
              </w:rPr>
              <w:t xml:space="preserve">voided </w:t>
            </w:r>
            <w:r>
              <w:rPr>
                <w:rFonts w:ascii="Arial" w:hAnsi="Arial" w:cs="Arial"/>
                <w:sz w:val="18"/>
                <w:szCs w:val="18"/>
              </w:rPr>
              <w:t>landfill externalities</w:t>
            </w:r>
          </w:p>
        </w:tc>
        <w:tc>
          <w:tcPr>
            <w:tcW w:w="2673" w:type="dxa"/>
            <w:shd w:val="clear" w:color="auto" w:fill="auto"/>
            <w:vAlign w:val="center"/>
          </w:tcPr>
          <w:p w14:paraId="37D37CA2" w14:textId="77777777" w:rsidR="00030089" w:rsidRPr="001505FD" w:rsidRDefault="00030089" w:rsidP="008547F7">
            <w:pPr>
              <w:jc w:val="right"/>
              <w:rPr>
                <w:rFonts w:ascii="Arial" w:hAnsi="Arial" w:cs="Arial"/>
                <w:sz w:val="18"/>
                <w:szCs w:val="18"/>
              </w:rPr>
            </w:pPr>
            <w:r>
              <w:rPr>
                <w:rFonts w:ascii="Arial" w:hAnsi="Arial" w:cs="Arial"/>
                <w:sz w:val="18"/>
                <w:szCs w:val="18"/>
              </w:rPr>
              <w:t>$30 000 000</w:t>
            </w:r>
          </w:p>
        </w:tc>
      </w:tr>
      <w:tr w:rsidR="00030089" w:rsidRPr="003D324F" w14:paraId="5FC2051F" w14:textId="77777777" w:rsidTr="008547F7">
        <w:trPr>
          <w:trHeight w:hRule="exact" w:val="454"/>
        </w:trPr>
        <w:tc>
          <w:tcPr>
            <w:tcW w:w="3245" w:type="dxa"/>
            <w:shd w:val="clear" w:color="auto" w:fill="auto"/>
            <w:vAlign w:val="center"/>
          </w:tcPr>
          <w:p w14:paraId="7452E71C" w14:textId="77777777" w:rsidR="00030089" w:rsidRPr="00B72093" w:rsidRDefault="00030089" w:rsidP="008547F7">
            <w:pPr>
              <w:rPr>
                <w:rFonts w:ascii="Arial" w:hAnsi="Arial" w:cs="Arial"/>
                <w:b/>
                <w:sz w:val="18"/>
                <w:szCs w:val="18"/>
              </w:rPr>
            </w:pPr>
            <w:r>
              <w:rPr>
                <w:rFonts w:ascii="Arial" w:hAnsi="Arial" w:cs="Arial"/>
                <w:b/>
                <w:sz w:val="18"/>
                <w:szCs w:val="18"/>
              </w:rPr>
              <w:t>T</w:t>
            </w:r>
            <w:r w:rsidRPr="00B72093">
              <w:rPr>
                <w:rFonts w:ascii="Arial" w:hAnsi="Arial" w:cs="Arial"/>
                <w:b/>
                <w:sz w:val="18"/>
                <w:szCs w:val="18"/>
              </w:rPr>
              <w:t xml:space="preserve">otal </w:t>
            </w:r>
            <w:r>
              <w:rPr>
                <w:rFonts w:ascii="Arial" w:hAnsi="Arial" w:cs="Arial"/>
                <w:b/>
                <w:sz w:val="18"/>
                <w:szCs w:val="18"/>
              </w:rPr>
              <w:t>B</w:t>
            </w:r>
            <w:r w:rsidRPr="00B72093">
              <w:rPr>
                <w:rFonts w:ascii="Arial" w:hAnsi="Arial" w:cs="Arial"/>
                <w:b/>
                <w:sz w:val="18"/>
                <w:szCs w:val="18"/>
              </w:rPr>
              <w:t>enefits</w:t>
            </w:r>
          </w:p>
        </w:tc>
        <w:tc>
          <w:tcPr>
            <w:tcW w:w="2673" w:type="dxa"/>
            <w:shd w:val="clear" w:color="auto" w:fill="auto"/>
            <w:vAlign w:val="center"/>
          </w:tcPr>
          <w:p w14:paraId="2B791908" w14:textId="77777777" w:rsidR="00030089" w:rsidRPr="00B72093" w:rsidRDefault="00030089" w:rsidP="008547F7">
            <w:pPr>
              <w:jc w:val="right"/>
              <w:rPr>
                <w:rFonts w:ascii="Arial" w:hAnsi="Arial" w:cs="Arial"/>
                <w:b/>
                <w:sz w:val="18"/>
                <w:szCs w:val="18"/>
              </w:rPr>
            </w:pPr>
            <w:r>
              <w:rPr>
                <w:rFonts w:ascii="Arial" w:hAnsi="Arial" w:cs="Arial"/>
                <w:b/>
                <w:sz w:val="18"/>
                <w:szCs w:val="18"/>
              </w:rPr>
              <w:t>$304 000 000</w:t>
            </w:r>
          </w:p>
        </w:tc>
      </w:tr>
      <w:tr w:rsidR="00030089" w:rsidRPr="003D324F" w14:paraId="37E26EE0" w14:textId="77777777" w:rsidTr="008547F7">
        <w:trPr>
          <w:trHeight w:hRule="exact" w:val="454"/>
        </w:trPr>
        <w:tc>
          <w:tcPr>
            <w:tcW w:w="3245" w:type="dxa"/>
            <w:shd w:val="clear" w:color="auto" w:fill="auto"/>
            <w:vAlign w:val="center"/>
          </w:tcPr>
          <w:p w14:paraId="314B5F76" w14:textId="77777777" w:rsidR="00030089" w:rsidRPr="001505FD" w:rsidRDefault="00030089" w:rsidP="008547F7">
            <w:pPr>
              <w:rPr>
                <w:rFonts w:ascii="Arial" w:hAnsi="Arial" w:cs="Arial"/>
                <w:sz w:val="18"/>
                <w:szCs w:val="18"/>
              </w:rPr>
            </w:pPr>
            <w:r w:rsidRPr="001505FD">
              <w:rPr>
                <w:rFonts w:ascii="Arial" w:hAnsi="Arial" w:cs="Arial"/>
                <w:b/>
                <w:sz w:val="18"/>
                <w:szCs w:val="18"/>
              </w:rPr>
              <w:t>N</w:t>
            </w:r>
            <w:r>
              <w:rPr>
                <w:rFonts w:ascii="Arial" w:hAnsi="Arial" w:cs="Arial"/>
                <w:b/>
                <w:sz w:val="18"/>
                <w:szCs w:val="18"/>
              </w:rPr>
              <w:t xml:space="preserve">et </w:t>
            </w:r>
            <w:r w:rsidRPr="001505FD">
              <w:rPr>
                <w:rFonts w:ascii="Arial" w:hAnsi="Arial" w:cs="Arial"/>
                <w:b/>
                <w:sz w:val="18"/>
                <w:szCs w:val="18"/>
              </w:rPr>
              <w:t>P</w:t>
            </w:r>
            <w:r>
              <w:rPr>
                <w:rFonts w:ascii="Arial" w:hAnsi="Arial" w:cs="Arial"/>
                <w:b/>
                <w:sz w:val="18"/>
                <w:szCs w:val="18"/>
              </w:rPr>
              <w:t xml:space="preserve">resent </w:t>
            </w:r>
            <w:r w:rsidRPr="001505FD">
              <w:rPr>
                <w:rFonts w:ascii="Arial" w:hAnsi="Arial" w:cs="Arial"/>
                <w:b/>
                <w:sz w:val="18"/>
                <w:szCs w:val="18"/>
              </w:rPr>
              <w:t>V</w:t>
            </w:r>
            <w:r>
              <w:rPr>
                <w:rFonts w:ascii="Arial" w:hAnsi="Arial" w:cs="Arial"/>
                <w:b/>
                <w:sz w:val="18"/>
                <w:szCs w:val="18"/>
              </w:rPr>
              <w:t>alue</w:t>
            </w:r>
            <w:r w:rsidRPr="001505FD">
              <w:rPr>
                <w:rFonts w:ascii="Arial" w:hAnsi="Arial" w:cs="Arial"/>
                <w:b/>
                <w:sz w:val="18"/>
                <w:szCs w:val="18"/>
              </w:rPr>
              <w:t xml:space="preserve"> </w:t>
            </w:r>
          </w:p>
        </w:tc>
        <w:tc>
          <w:tcPr>
            <w:tcW w:w="2673" w:type="dxa"/>
            <w:shd w:val="clear" w:color="auto" w:fill="auto"/>
            <w:vAlign w:val="center"/>
          </w:tcPr>
          <w:p w14:paraId="339A0C9B" w14:textId="77777777" w:rsidR="00030089" w:rsidRPr="00C064A2" w:rsidRDefault="00030089" w:rsidP="008547F7">
            <w:pPr>
              <w:jc w:val="right"/>
              <w:rPr>
                <w:rFonts w:ascii="Arial" w:hAnsi="Arial" w:cs="Arial"/>
                <w:b/>
                <w:color w:val="FF0000"/>
                <w:sz w:val="18"/>
                <w:szCs w:val="18"/>
              </w:rPr>
            </w:pPr>
            <w:r>
              <w:rPr>
                <w:rFonts w:ascii="Arial" w:hAnsi="Arial" w:cs="Arial"/>
                <w:b/>
                <w:sz w:val="18"/>
                <w:szCs w:val="18"/>
              </w:rPr>
              <w:t>$47 000 000</w:t>
            </w:r>
            <w:r>
              <w:rPr>
                <w:rFonts w:ascii="Arial" w:hAnsi="Arial" w:cs="Arial"/>
                <w:b/>
                <w:sz w:val="18"/>
                <w:szCs w:val="18"/>
              </w:rPr>
              <w:br/>
            </w:r>
          </w:p>
        </w:tc>
      </w:tr>
    </w:tbl>
    <w:p w14:paraId="04C455AE" w14:textId="77777777" w:rsidR="00030089" w:rsidRPr="00185672" w:rsidRDefault="00030089" w:rsidP="00030089">
      <w:pPr>
        <w:rPr>
          <w:rFonts w:ascii="Arial" w:hAnsi="Arial" w:cs="Arial"/>
          <w:b/>
          <w:szCs w:val="28"/>
        </w:rPr>
      </w:pPr>
      <w:r>
        <w:rPr>
          <w:rFonts w:ascii="Arial" w:hAnsi="Arial" w:cs="Arial"/>
          <w:b/>
          <w:szCs w:val="28"/>
        </w:rPr>
        <w:t xml:space="preserve"> </w:t>
      </w:r>
    </w:p>
    <w:p w14:paraId="7B17A091"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317" w:name="_Toc353562528"/>
      <w:r w:rsidR="00740026">
        <w:rPr>
          <w:noProof/>
          <w:color w:val="auto"/>
        </w:rPr>
        <w:t>47</w:t>
      </w:r>
      <w:r w:rsidRPr="00682556">
        <w:rPr>
          <w:noProof/>
          <w:color w:val="auto"/>
        </w:rPr>
        <w:fldChar w:fldCharType="end"/>
      </w:r>
      <w:r w:rsidRPr="00682556">
        <w:rPr>
          <w:noProof/>
          <w:color w:val="auto"/>
        </w:rPr>
        <w:t xml:space="preserve"> Table 4.3</w:t>
      </w:r>
      <w:r>
        <w:rPr>
          <w:noProof/>
          <w:color w:val="auto"/>
        </w:rPr>
        <w:t>6</w:t>
      </w:r>
      <w:r w:rsidRPr="00682556">
        <w:rPr>
          <w:noProof/>
          <w:color w:val="auto"/>
        </w:rPr>
        <w:t>: Non-market benefits of the operation of co-regulatory Stewardship over a 25 year analysis period</w:t>
      </w:r>
      <w:bookmarkEnd w:id="3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61"/>
        <w:gridCol w:w="2693"/>
      </w:tblGrid>
      <w:tr w:rsidR="00030089" w:rsidRPr="00C064A2" w14:paraId="75661EA4" w14:textId="77777777" w:rsidTr="008547F7">
        <w:trPr>
          <w:trHeight w:hRule="exact" w:val="454"/>
        </w:trPr>
        <w:tc>
          <w:tcPr>
            <w:tcW w:w="3261" w:type="dxa"/>
            <w:shd w:val="pct10" w:color="auto" w:fill="FFFFFF" w:themeFill="background1"/>
          </w:tcPr>
          <w:p w14:paraId="5477C8E5" w14:textId="77777777" w:rsidR="00030089" w:rsidRPr="00C064A2" w:rsidRDefault="00030089" w:rsidP="008547F7">
            <w:pPr>
              <w:rPr>
                <w:rFonts w:ascii="Arial" w:hAnsi="Arial" w:cs="Arial"/>
                <w:b/>
                <w:sz w:val="18"/>
                <w:szCs w:val="18"/>
              </w:rPr>
            </w:pPr>
          </w:p>
        </w:tc>
        <w:tc>
          <w:tcPr>
            <w:tcW w:w="2693" w:type="dxa"/>
            <w:shd w:val="pct10" w:color="auto" w:fill="FFFFFF" w:themeFill="background1"/>
          </w:tcPr>
          <w:p w14:paraId="1262DA87" w14:textId="77777777" w:rsidR="00030089" w:rsidRPr="001505FD" w:rsidRDefault="00030089" w:rsidP="008547F7">
            <w:pPr>
              <w:jc w:val="right"/>
              <w:rPr>
                <w:rFonts w:ascii="Arial" w:hAnsi="Arial" w:cs="Arial"/>
                <w:b/>
                <w:sz w:val="18"/>
                <w:szCs w:val="18"/>
              </w:rPr>
            </w:pPr>
            <w:r>
              <w:rPr>
                <w:rFonts w:ascii="Arial" w:hAnsi="Arial" w:cs="Arial"/>
                <w:b/>
                <w:sz w:val="18"/>
                <w:szCs w:val="18"/>
              </w:rPr>
              <w:t xml:space="preserve">SCEW Option 1A values </w:t>
            </w:r>
          </w:p>
        </w:tc>
      </w:tr>
      <w:tr w:rsidR="00030089" w:rsidRPr="001505FD" w14:paraId="0060EF1D" w14:textId="77777777" w:rsidTr="008547F7">
        <w:trPr>
          <w:trHeight w:hRule="exact" w:val="454"/>
        </w:trPr>
        <w:tc>
          <w:tcPr>
            <w:tcW w:w="5954" w:type="dxa"/>
            <w:gridSpan w:val="2"/>
            <w:shd w:val="clear" w:color="auto" w:fill="FFFFFF" w:themeFill="background1"/>
          </w:tcPr>
          <w:p w14:paraId="69B28338" w14:textId="77777777" w:rsidR="00030089" w:rsidRPr="00C064A2" w:rsidRDefault="00030089" w:rsidP="008547F7">
            <w:pPr>
              <w:rPr>
                <w:rFonts w:ascii="Arial" w:hAnsi="Arial" w:cs="Arial"/>
                <w:b/>
                <w:sz w:val="18"/>
                <w:szCs w:val="18"/>
              </w:rPr>
            </w:pPr>
            <w:r>
              <w:rPr>
                <w:rFonts w:ascii="Arial" w:hAnsi="Arial" w:cs="Arial"/>
                <w:b/>
                <w:sz w:val="18"/>
                <w:szCs w:val="18"/>
              </w:rPr>
              <w:t>Non-market benefits</w:t>
            </w:r>
          </w:p>
        </w:tc>
      </w:tr>
      <w:tr w:rsidR="00030089" w:rsidRPr="001505FD" w14:paraId="5D7F920F" w14:textId="77777777" w:rsidTr="008547F7">
        <w:trPr>
          <w:trHeight w:hRule="exact" w:val="454"/>
        </w:trPr>
        <w:tc>
          <w:tcPr>
            <w:tcW w:w="3261" w:type="dxa"/>
            <w:shd w:val="clear" w:color="auto" w:fill="FFFFFF" w:themeFill="background1"/>
          </w:tcPr>
          <w:p w14:paraId="21C1D100" w14:textId="77777777" w:rsidR="00030089" w:rsidRPr="001505FD" w:rsidRDefault="00030089" w:rsidP="008547F7">
            <w:pPr>
              <w:rPr>
                <w:rFonts w:ascii="Arial" w:hAnsi="Arial" w:cs="Arial"/>
                <w:sz w:val="18"/>
                <w:szCs w:val="18"/>
              </w:rPr>
            </w:pPr>
            <w:r>
              <w:rPr>
                <w:rFonts w:ascii="Arial" w:hAnsi="Arial" w:cs="Arial"/>
                <w:sz w:val="18"/>
                <w:szCs w:val="18"/>
              </w:rPr>
              <w:t>W</w:t>
            </w:r>
            <w:r w:rsidRPr="001505FD">
              <w:rPr>
                <w:rFonts w:ascii="Arial" w:hAnsi="Arial" w:cs="Arial"/>
                <w:sz w:val="18"/>
                <w:szCs w:val="18"/>
              </w:rPr>
              <w:t>illingness to pay calculation</w:t>
            </w:r>
          </w:p>
        </w:tc>
        <w:tc>
          <w:tcPr>
            <w:tcW w:w="2693" w:type="dxa"/>
            <w:shd w:val="clear" w:color="auto" w:fill="FFFFFF" w:themeFill="background1"/>
          </w:tcPr>
          <w:p w14:paraId="237BBFF3" w14:textId="77777777" w:rsidR="00030089" w:rsidRPr="005724C0" w:rsidRDefault="00030089" w:rsidP="008547F7">
            <w:pPr>
              <w:jc w:val="right"/>
              <w:rPr>
                <w:rFonts w:ascii="Arial" w:hAnsi="Arial" w:cs="Arial"/>
                <w:sz w:val="18"/>
                <w:szCs w:val="18"/>
              </w:rPr>
            </w:pPr>
            <w:r w:rsidRPr="005724C0">
              <w:rPr>
                <w:rFonts w:ascii="Arial" w:hAnsi="Arial" w:cs="Arial"/>
                <w:sz w:val="18"/>
                <w:szCs w:val="18"/>
              </w:rPr>
              <w:t>$295 000 000</w:t>
            </w:r>
          </w:p>
        </w:tc>
      </w:tr>
      <w:tr w:rsidR="00030089" w:rsidRPr="001505FD" w14:paraId="6B30E635" w14:textId="77777777" w:rsidTr="008547F7">
        <w:trPr>
          <w:trHeight w:hRule="exact" w:val="454"/>
        </w:trPr>
        <w:tc>
          <w:tcPr>
            <w:tcW w:w="3261" w:type="dxa"/>
            <w:shd w:val="clear" w:color="auto" w:fill="FFFFFF" w:themeFill="background1"/>
          </w:tcPr>
          <w:p w14:paraId="02133FEA" w14:textId="77777777" w:rsidR="00030089" w:rsidRPr="001505FD" w:rsidRDefault="00030089" w:rsidP="008547F7">
            <w:pPr>
              <w:rPr>
                <w:rFonts w:ascii="Arial" w:hAnsi="Arial" w:cs="Arial"/>
                <w:b/>
                <w:sz w:val="18"/>
                <w:szCs w:val="18"/>
              </w:rPr>
            </w:pPr>
            <w:r>
              <w:rPr>
                <w:rFonts w:ascii="Arial" w:hAnsi="Arial" w:cs="Arial"/>
                <w:b/>
                <w:sz w:val="18"/>
                <w:szCs w:val="18"/>
              </w:rPr>
              <w:t>T</w:t>
            </w:r>
            <w:r w:rsidRPr="001505FD">
              <w:rPr>
                <w:rFonts w:ascii="Arial" w:hAnsi="Arial" w:cs="Arial"/>
                <w:b/>
                <w:sz w:val="18"/>
                <w:szCs w:val="18"/>
              </w:rPr>
              <w:t>otal non-market benefits</w:t>
            </w:r>
          </w:p>
        </w:tc>
        <w:tc>
          <w:tcPr>
            <w:tcW w:w="2693" w:type="dxa"/>
            <w:shd w:val="clear" w:color="auto" w:fill="FFFFFF" w:themeFill="background1"/>
          </w:tcPr>
          <w:p w14:paraId="3787AE27" w14:textId="77777777" w:rsidR="00030089" w:rsidRPr="005724C0" w:rsidRDefault="00030089" w:rsidP="008547F7">
            <w:pPr>
              <w:jc w:val="right"/>
              <w:rPr>
                <w:rFonts w:ascii="Arial" w:hAnsi="Arial" w:cs="Arial"/>
                <w:b/>
                <w:sz w:val="18"/>
                <w:szCs w:val="18"/>
              </w:rPr>
            </w:pPr>
            <w:r w:rsidRPr="005724C0">
              <w:rPr>
                <w:rFonts w:ascii="Arial" w:hAnsi="Arial" w:cs="Arial"/>
                <w:b/>
                <w:sz w:val="18"/>
                <w:szCs w:val="18"/>
              </w:rPr>
              <w:t>$295 000 000</w:t>
            </w:r>
          </w:p>
        </w:tc>
      </w:tr>
    </w:tbl>
    <w:p w14:paraId="4DFC8081" w14:textId="01226335" w:rsidR="00F702E2" w:rsidRDefault="00F702E2" w:rsidP="00030089">
      <w:pPr>
        <w:pStyle w:val="Default"/>
      </w:pPr>
    </w:p>
    <w:p w14:paraId="6ADABB70" w14:textId="77777777" w:rsidR="00030089" w:rsidRDefault="00030089" w:rsidP="00030089">
      <w:pPr>
        <w:pStyle w:val="ListParagraph"/>
        <w:numPr>
          <w:ilvl w:val="2"/>
          <w:numId w:val="3"/>
        </w:numPr>
        <w:spacing w:after="200" w:line="360" w:lineRule="auto"/>
        <w:ind w:left="709" w:hanging="709"/>
        <w:contextualSpacing w:val="0"/>
        <w:outlineLvl w:val="2"/>
        <w:rPr>
          <w:rFonts w:ascii="Arial" w:hAnsi="Arial" w:cs="Arial"/>
          <w:b/>
          <w:szCs w:val="28"/>
        </w:rPr>
      </w:pPr>
      <w:bookmarkStart w:id="318" w:name="_Toc353562560"/>
      <w:r w:rsidRPr="005326DD">
        <w:rPr>
          <w:rFonts w:ascii="Arial" w:hAnsi="Arial" w:cs="Arial"/>
          <w:b/>
          <w:szCs w:val="28"/>
        </w:rPr>
        <w:t>National Impacts</w:t>
      </w:r>
      <w:bookmarkEnd w:id="318"/>
    </w:p>
    <w:p w14:paraId="6455AB13" w14:textId="77777777" w:rsidR="00030089" w:rsidRPr="00F702E2" w:rsidRDefault="00030089" w:rsidP="00030089">
      <w:pPr>
        <w:pStyle w:val="Default"/>
        <w:rPr>
          <w:sz w:val="24"/>
          <w:szCs w:val="24"/>
        </w:rPr>
      </w:pPr>
      <w:r w:rsidRPr="00F702E2">
        <w:rPr>
          <w:sz w:val="24"/>
          <w:szCs w:val="24"/>
        </w:rPr>
        <w:t>Table 4.37 qualitatively identifies the primary parties to which costs and benefits quantified as part of this cost benefit analysis are likely to accrue in the first instance. Table 4.37 demonstrates that only scheme operation and compliance costs have a national impact.</w:t>
      </w:r>
    </w:p>
    <w:p w14:paraId="4590ED9D" w14:textId="77777777" w:rsidR="00030089" w:rsidRPr="00682556" w:rsidRDefault="00030089" w:rsidP="00030089">
      <w:pPr>
        <w:pStyle w:val="Caption"/>
        <w:keepNext/>
        <w:rPr>
          <w:noProof/>
          <w:color w:val="auto"/>
        </w:rPr>
      </w:pPr>
      <w:r w:rsidRPr="00682556">
        <w:rPr>
          <w:noProof/>
          <w:color w:val="auto"/>
        </w:rPr>
        <w:lastRenderedPageBreak/>
        <w:fldChar w:fldCharType="begin"/>
      </w:r>
      <w:r w:rsidRPr="00682556">
        <w:rPr>
          <w:noProof/>
          <w:color w:val="auto"/>
        </w:rPr>
        <w:instrText xml:space="preserve"> SEQ Figure \* ARABIC </w:instrText>
      </w:r>
      <w:r w:rsidRPr="00682556">
        <w:rPr>
          <w:noProof/>
          <w:color w:val="auto"/>
        </w:rPr>
        <w:fldChar w:fldCharType="separate"/>
      </w:r>
      <w:bookmarkStart w:id="319" w:name="_Toc353562529"/>
      <w:r w:rsidR="00740026">
        <w:rPr>
          <w:noProof/>
          <w:color w:val="auto"/>
        </w:rPr>
        <w:t>48</w:t>
      </w:r>
      <w:r w:rsidRPr="00682556">
        <w:rPr>
          <w:noProof/>
          <w:color w:val="auto"/>
        </w:rPr>
        <w:fldChar w:fldCharType="end"/>
      </w:r>
      <w:r w:rsidRPr="00682556">
        <w:rPr>
          <w:noProof/>
          <w:color w:val="auto"/>
        </w:rPr>
        <w:t xml:space="preserve"> Table 4.3</w:t>
      </w:r>
      <w:r>
        <w:rPr>
          <w:noProof/>
          <w:color w:val="auto"/>
        </w:rPr>
        <w:t>7</w:t>
      </w:r>
      <w:r w:rsidRPr="00682556">
        <w:rPr>
          <w:noProof/>
          <w:color w:val="auto"/>
        </w:rPr>
        <w:t>: Costs and benefits of NT CDS</w:t>
      </w:r>
      <w:bookmarkEnd w:id="319"/>
    </w:p>
    <w:tbl>
      <w:tblPr>
        <w:tblStyle w:val="TableGrid"/>
        <w:tblW w:w="0" w:type="auto"/>
        <w:tblLook w:val="04A0" w:firstRow="1" w:lastRow="0" w:firstColumn="1" w:lastColumn="0" w:noHBand="0" w:noVBand="1"/>
      </w:tblPr>
      <w:tblGrid>
        <w:gridCol w:w="1848"/>
        <w:gridCol w:w="1848"/>
        <w:gridCol w:w="1848"/>
        <w:gridCol w:w="1849"/>
        <w:gridCol w:w="1849"/>
      </w:tblGrid>
      <w:tr w:rsidR="00030089" w:rsidRPr="0045172B" w14:paraId="5B3F1D42" w14:textId="77777777" w:rsidTr="008547F7">
        <w:trPr>
          <w:trHeight w:hRule="exact" w:val="510"/>
          <w:tblHeader/>
        </w:trPr>
        <w:tc>
          <w:tcPr>
            <w:tcW w:w="1848" w:type="dxa"/>
            <w:shd w:val="pct10" w:color="auto" w:fill="auto"/>
          </w:tcPr>
          <w:p w14:paraId="63F88796" w14:textId="77777777" w:rsidR="00030089" w:rsidRPr="0045172B" w:rsidRDefault="00030089" w:rsidP="008547F7">
            <w:pPr>
              <w:pStyle w:val="Default"/>
              <w:rPr>
                <w:b/>
                <w:sz w:val="18"/>
                <w:szCs w:val="18"/>
              </w:rPr>
            </w:pPr>
          </w:p>
        </w:tc>
        <w:tc>
          <w:tcPr>
            <w:tcW w:w="1848" w:type="dxa"/>
            <w:shd w:val="pct10" w:color="auto" w:fill="auto"/>
          </w:tcPr>
          <w:p w14:paraId="50766061" w14:textId="77777777" w:rsidR="00030089" w:rsidRPr="0045172B" w:rsidRDefault="00030089" w:rsidP="008547F7">
            <w:pPr>
              <w:pStyle w:val="Default"/>
              <w:rPr>
                <w:b/>
                <w:sz w:val="18"/>
                <w:szCs w:val="18"/>
              </w:rPr>
            </w:pPr>
            <w:r w:rsidRPr="0045172B">
              <w:rPr>
                <w:b/>
                <w:sz w:val="18"/>
                <w:szCs w:val="18"/>
              </w:rPr>
              <w:t>Option 1</w:t>
            </w:r>
          </w:p>
        </w:tc>
        <w:tc>
          <w:tcPr>
            <w:tcW w:w="1848" w:type="dxa"/>
            <w:shd w:val="pct10" w:color="auto" w:fill="auto"/>
          </w:tcPr>
          <w:p w14:paraId="685C4FBD" w14:textId="77777777" w:rsidR="00030089" w:rsidRPr="0045172B" w:rsidRDefault="00030089" w:rsidP="008547F7">
            <w:pPr>
              <w:pStyle w:val="Default"/>
              <w:rPr>
                <w:b/>
                <w:sz w:val="18"/>
                <w:szCs w:val="18"/>
              </w:rPr>
            </w:pPr>
            <w:r w:rsidRPr="0045172B">
              <w:rPr>
                <w:b/>
                <w:sz w:val="18"/>
                <w:szCs w:val="18"/>
              </w:rPr>
              <w:t>Option 2</w:t>
            </w:r>
          </w:p>
        </w:tc>
        <w:tc>
          <w:tcPr>
            <w:tcW w:w="1849" w:type="dxa"/>
            <w:shd w:val="pct10" w:color="auto" w:fill="auto"/>
          </w:tcPr>
          <w:p w14:paraId="386BF215" w14:textId="77777777" w:rsidR="00030089" w:rsidRPr="0045172B" w:rsidRDefault="00030089" w:rsidP="008547F7">
            <w:pPr>
              <w:pStyle w:val="Default"/>
              <w:rPr>
                <w:b/>
                <w:sz w:val="18"/>
                <w:szCs w:val="18"/>
              </w:rPr>
            </w:pPr>
            <w:r w:rsidRPr="0045172B">
              <w:rPr>
                <w:b/>
                <w:sz w:val="18"/>
                <w:szCs w:val="18"/>
              </w:rPr>
              <w:t>Option 3</w:t>
            </w:r>
          </w:p>
        </w:tc>
        <w:tc>
          <w:tcPr>
            <w:tcW w:w="1849" w:type="dxa"/>
            <w:shd w:val="pct10" w:color="auto" w:fill="auto"/>
          </w:tcPr>
          <w:p w14:paraId="2032E31A" w14:textId="77777777" w:rsidR="00030089" w:rsidRPr="0045172B" w:rsidRDefault="00030089" w:rsidP="008547F7">
            <w:pPr>
              <w:pStyle w:val="Default"/>
              <w:rPr>
                <w:b/>
                <w:sz w:val="18"/>
                <w:szCs w:val="18"/>
              </w:rPr>
            </w:pPr>
            <w:r w:rsidRPr="0045172B">
              <w:rPr>
                <w:b/>
                <w:sz w:val="18"/>
                <w:szCs w:val="18"/>
              </w:rPr>
              <w:t>Option 4</w:t>
            </w:r>
          </w:p>
        </w:tc>
      </w:tr>
      <w:tr w:rsidR="00030089" w:rsidRPr="0045172B" w14:paraId="3BF4F1C9" w14:textId="77777777" w:rsidTr="008547F7">
        <w:trPr>
          <w:trHeight w:hRule="exact" w:val="851"/>
        </w:trPr>
        <w:tc>
          <w:tcPr>
            <w:tcW w:w="1848" w:type="dxa"/>
          </w:tcPr>
          <w:p w14:paraId="1F524B63" w14:textId="77777777" w:rsidR="00030089" w:rsidRPr="0045172B" w:rsidRDefault="00030089" w:rsidP="008547F7">
            <w:pPr>
              <w:pStyle w:val="Default"/>
              <w:jc w:val="left"/>
              <w:rPr>
                <w:sz w:val="18"/>
                <w:szCs w:val="18"/>
              </w:rPr>
            </w:pPr>
            <w:r>
              <w:rPr>
                <w:sz w:val="18"/>
                <w:szCs w:val="18"/>
              </w:rPr>
              <w:t>S</w:t>
            </w:r>
            <w:r w:rsidRPr="0045172B">
              <w:rPr>
                <w:sz w:val="18"/>
                <w:szCs w:val="18"/>
              </w:rPr>
              <w:t>cheme design and implementation costs</w:t>
            </w:r>
          </w:p>
        </w:tc>
        <w:tc>
          <w:tcPr>
            <w:tcW w:w="1848" w:type="dxa"/>
          </w:tcPr>
          <w:p w14:paraId="3322E9B6" w14:textId="77777777" w:rsidR="00030089" w:rsidRPr="0045172B" w:rsidRDefault="00030089" w:rsidP="008547F7">
            <w:pPr>
              <w:pStyle w:val="Default"/>
              <w:jc w:val="left"/>
              <w:rPr>
                <w:rFonts w:eastAsiaTheme="majorEastAsia"/>
                <w:b/>
                <w:bCs/>
                <w:sz w:val="18"/>
                <w:szCs w:val="18"/>
              </w:rPr>
            </w:pPr>
            <w:r w:rsidRPr="0045172B">
              <w:rPr>
                <w:sz w:val="18"/>
                <w:szCs w:val="18"/>
              </w:rPr>
              <w:t>NT</w:t>
            </w:r>
            <w:r>
              <w:rPr>
                <w:sz w:val="18"/>
                <w:szCs w:val="18"/>
              </w:rPr>
              <w:t xml:space="preserve"> G</w:t>
            </w:r>
            <w:r w:rsidRPr="0045172B">
              <w:rPr>
                <w:sz w:val="18"/>
                <w:szCs w:val="18"/>
              </w:rPr>
              <w:t>overnment</w:t>
            </w:r>
          </w:p>
        </w:tc>
        <w:tc>
          <w:tcPr>
            <w:tcW w:w="1848" w:type="dxa"/>
          </w:tcPr>
          <w:p w14:paraId="5D6CAF4D" w14:textId="77777777" w:rsidR="00030089" w:rsidRPr="0045172B" w:rsidRDefault="00030089" w:rsidP="008547F7">
            <w:pPr>
              <w:pStyle w:val="Default"/>
              <w:jc w:val="left"/>
              <w:rPr>
                <w:sz w:val="18"/>
                <w:szCs w:val="18"/>
              </w:rPr>
            </w:pPr>
            <w:r w:rsidRPr="0045172B">
              <w:rPr>
                <w:sz w:val="18"/>
                <w:szCs w:val="18"/>
              </w:rPr>
              <w:t xml:space="preserve">NT </w:t>
            </w:r>
            <w:r>
              <w:rPr>
                <w:sz w:val="18"/>
                <w:szCs w:val="18"/>
              </w:rPr>
              <w:t>G</w:t>
            </w:r>
            <w:r w:rsidRPr="0045172B">
              <w:rPr>
                <w:sz w:val="18"/>
                <w:szCs w:val="18"/>
              </w:rPr>
              <w:t>overnment</w:t>
            </w:r>
          </w:p>
        </w:tc>
        <w:tc>
          <w:tcPr>
            <w:tcW w:w="1849" w:type="dxa"/>
          </w:tcPr>
          <w:p w14:paraId="2D8E020D" w14:textId="77777777" w:rsidR="00030089" w:rsidRPr="0045172B" w:rsidRDefault="00030089" w:rsidP="008547F7">
            <w:pPr>
              <w:pStyle w:val="Default"/>
              <w:jc w:val="left"/>
              <w:rPr>
                <w:sz w:val="18"/>
                <w:szCs w:val="18"/>
              </w:rPr>
            </w:pPr>
            <w:r w:rsidRPr="0045172B">
              <w:rPr>
                <w:sz w:val="18"/>
                <w:szCs w:val="18"/>
              </w:rPr>
              <w:t xml:space="preserve">NT </w:t>
            </w:r>
            <w:r>
              <w:rPr>
                <w:sz w:val="18"/>
                <w:szCs w:val="18"/>
              </w:rPr>
              <w:t>G</w:t>
            </w:r>
            <w:r w:rsidRPr="0045172B">
              <w:rPr>
                <w:sz w:val="18"/>
                <w:szCs w:val="18"/>
              </w:rPr>
              <w:t>overnment</w:t>
            </w:r>
          </w:p>
        </w:tc>
        <w:tc>
          <w:tcPr>
            <w:tcW w:w="1849" w:type="dxa"/>
          </w:tcPr>
          <w:p w14:paraId="3BF187D6" w14:textId="77777777" w:rsidR="00030089" w:rsidRPr="0045172B" w:rsidRDefault="00030089" w:rsidP="008547F7">
            <w:pPr>
              <w:pStyle w:val="Default"/>
              <w:jc w:val="left"/>
              <w:rPr>
                <w:sz w:val="18"/>
                <w:szCs w:val="18"/>
              </w:rPr>
            </w:pPr>
            <w:r w:rsidRPr="0045172B">
              <w:rPr>
                <w:sz w:val="18"/>
                <w:szCs w:val="18"/>
              </w:rPr>
              <w:t xml:space="preserve">NT </w:t>
            </w:r>
            <w:r>
              <w:rPr>
                <w:sz w:val="18"/>
                <w:szCs w:val="18"/>
              </w:rPr>
              <w:t>G</w:t>
            </w:r>
            <w:r w:rsidRPr="0045172B">
              <w:rPr>
                <w:sz w:val="18"/>
                <w:szCs w:val="18"/>
              </w:rPr>
              <w:t>overnment</w:t>
            </w:r>
          </w:p>
        </w:tc>
      </w:tr>
      <w:tr w:rsidR="00030089" w:rsidRPr="0045172B" w14:paraId="215122EA" w14:textId="77777777" w:rsidTr="008547F7">
        <w:trPr>
          <w:trHeight w:hRule="exact" w:val="851"/>
        </w:trPr>
        <w:tc>
          <w:tcPr>
            <w:tcW w:w="1848" w:type="dxa"/>
            <w:shd w:val="clear" w:color="auto" w:fill="auto"/>
          </w:tcPr>
          <w:p w14:paraId="3EEC8C14" w14:textId="77777777" w:rsidR="00030089" w:rsidRPr="0045172B" w:rsidRDefault="00030089" w:rsidP="008547F7">
            <w:pPr>
              <w:pStyle w:val="Default"/>
              <w:jc w:val="left"/>
              <w:rPr>
                <w:rFonts w:eastAsiaTheme="majorEastAsia"/>
                <w:bCs/>
                <w:sz w:val="18"/>
                <w:szCs w:val="18"/>
              </w:rPr>
            </w:pPr>
            <w:r>
              <w:rPr>
                <w:sz w:val="18"/>
                <w:szCs w:val="18"/>
              </w:rPr>
              <w:t>S</w:t>
            </w:r>
            <w:r w:rsidRPr="0045172B">
              <w:rPr>
                <w:sz w:val="18"/>
                <w:szCs w:val="18"/>
              </w:rPr>
              <w:t>cheme operation and compliance costs</w:t>
            </w:r>
          </w:p>
        </w:tc>
        <w:tc>
          <w:tcPr>
            <w:tcW w:w="1848" w:type="dxa"/>
            <w:shd w:val="clear" w:color="auto" w:fill="auto"/>
          </w:tcPr>
          <w:p w14:paraId="13C6AFDD" w14:textId="77777777" w:rsidR="00030089" w:rsidRPr="0045172B" w:rsidRDefault="00030089" w:rsidP="008547F7">
            <w:pPr>
              <w:pStyle w:val="Default"/>
              <w:jc w:val="left"/>
              <w:rPr>
                <w:sz w:val="18"/>
                <w:szCs w:val="18"/>
              </w:rPr>
            </w:pPr>
            <w:r>
              <w:rPr>
                <w:sz w:val="18"/>
                <w:szCs w:val="18"/>
              </w:rPr>
              <w:t>N</w:t>
            </w:r>
            <w:r w:rsidRPr="0045172B">
              <w:rPr>
                <w:sz w:val="18"/>
                <w:szCs w:val="18"/>
              </w:rPr>
              <w:t>ational beverage industry</w:t>
            </w:r>
          </w:p>
        </w:tc>
        <w:tc>
          <w:tcPr>
            <w:tcW w:w="1848" w:type="dxa"/>
            <w:shd w:val="clear" w:color="auto" w:fill="auto"/>
          </w:tcPr>
          <w:p w14:paraId="48556788" w14:textId="77777777" w:rsidR="00030089" w:rsidRPr="0045172B" w:rsidRDefault="00030089" w:rsidP="008547F7">
            <w:pPr>
              <w:pStyle w:val="Default"/>
              <w:jc w:val="left"/>
              <w:rPr>
                <w:sz w:val="18"/>
                <w:szCs w:val="18"/>
              </w:rPr>
            </w:pPr>
            <w:r>
              <w:rPr>
                <w:sz w:val="18"/>
                <w:szCs w:val="18"/>
              </w:rPr>
              <w:t>N</w:t>
            </w:r>
            <w:r w:rsidRPr="0045172B">
              <w:rPr>
                <w:sz w:val="18"/>
                <w:szCs w:val="18"/>
              </w:rPr>
              <w:t>ational beverage industry</w:t>
            </w:r>
          </w:p>
        </w:tc>
        <w:tc>
          <w:tcPr>
            <w:tcW w:w="1849" w:type="dxa"/>
            <w:shd w:val="clear" w:color="auto" w:fill="auto"/>
          </w:tcPr>
          <w:p w14:paraId="0F71B9BB" w14:textId="77777777" w:rsidR="00030089" w:rsidRPr="0045172B" w:rsidRDefault="00030089" w:rsidP="008547F7">
            <w:pPr>
              <w:pStyle w:val="Default"/>
              <w:jc w:val="left"/>
              <w:rPr>
                <w:sz w:val="18"/>
                <w:szCs w:val="18"/>
              </w:rPr>
            </w:pPr>
            <w:r>
              <w:rPr>
                <w:sz w:val="18"/>
                <w:szCs w:val="18"/>
              </w:rPr>
              <w:t>N</w:t>
            </w:r>
            <w:r w:rsidRPr="0045172B">
              <w:rPr>
                <w:sz w:val="18"/>
                <w:szCs w:val="18"/>
              </w:rPr>
              <w:t>ational beverage industry</w:t>
            </w:r>
          </w:p>
        </w:tc>
        <w:tc>
          <w:tcPr>
            <w:tcW w:w="1849" w:type="dxa"/>
            <w:shd w:val="clear" w:color="auto" w:fill="auto"/>
          </w:tcPr>
          <w:p w14:paraId="18EEEEF0" w14:textId="77777777" w:rsidR="00030089" w:rsidRPr="0045172B" w:rsidRDefault="00030089" w:rsidP="008547F7">
            <w:pPr>
              <w:pStyle w:val="Default"/>
              <w:jc w:val="left"/>
              <w:rPr>
                <w:sz w:val="18"/>
                <w:szCs w:val="18"/>
              </w:rPr>
            </w:pPr>
            <w:r>
              <w:rPr>
                <w:sz w:val="18"/>
                <w:szCs w:val="18"/>
              </w:rPr>
              <w:t>N</w:t>
            </w:r>
            <w:r w:rsidRPr="0045172B">
              <w:rPr>
                <w:sz w:val="18"/>
                <w:szCs w:val="18"/>
              </w:rPr>
              <w:t>ational beverage industry</w:t>
            </w:r>
          </w:p>
        </w:tc>
      </w:tr>
      <w:tr w:rsidR="00030089" w:rsidRPr="0045172B" w14:paraId="35C319A1" w14:textId="77777777" w:rsidTr="008547F7">
        <w:trPr>
          <w:trHeight w:hRule="exact" w:val="851"/>
        </w:trPr>
        <w:tc>
          <w:tcPr>
            <w:tcW w:w="1848" w:type="dxa"/>
          </w:tcPr>
          <w:p w14:paraId="40B5278D" w14:textId="77777777" w:rsidR="00030089" w:rsidRPr="0045172B" w:rsidRDefault="00030089" w:rsidP="008547F7">
            <w:pPr>
              <w:pStyle w:val="Default"/>
              <w:jc w:val="left"/>
              <w:rPr>
                <w:rFonts w:eastAsiaTheme="majorEastAsia"/>
                <w:bCs/>
                <w:sz w:val="18"/>
                <w:szCs w:val="18"/>
              </w:rPr>
            </w:pPr>
            <w:r>
              <w:rPr>
                <w:sz w:val="18"/>
                <w:szCs w:val="18"/>
              </w:rPr>
              <w:t>B</w:t>
            </w:r>
            <w:r w:rsidRPr="0045172B">
              <w:rPr>
                <w:sz w:val="18"/>
                <w:szCs w:val="18"/>
              </w:rPr>
              <w:t>usiness participation costs</w:t>
            </w:r>
          </w:p>
        </w:tc>
        <w:tc>
          <w:tcPr>
            <w:tcW w:w="1848" w:type="dxa"/>
            <w:vAlign w:val="center"/>
          </w:tcPr>
          <w:p w14:paraId="00BB1D13" w14:textId="77777777" w:rsidR="00030089" w:rsidRPr="0045172B" w:rsidRDefault="00030089" w:rsidP="008547F7">
            <w:pPr>
              <w:pStyle w:val="Default"/>
              <w:jc w:val="left"/>
              <w:rPr>
                <w:sz w:val="18"/>
                <w:szCs w:val="18"/>
              </w:rPr>
            </w:pPr>
            <w:r w:rsidRPr="0045172B">
              <w:rPr>
                <w:sz w:val="18"/>
                <w:szCs w:val="18"/>
              </w:rPr>
              <w:t>NT households</w:t>
            </w:r>
          </w:p>
        </w:tc>
        <w:tc>
          <w:tcPr>
            <w:tcW w:w="1848" w:type="dxa"/>
            <w:vAlign w:val="center"/>
          </w:tcPr>
          <w:p w14:paraId="25571501" w14:textId="77777777" w:rsidR="00030089" w:rsidRPr="0045172B" w:rsidRDefault="00030089" w:rsidP="008547F7">
            <w:pPr>
              <w:pStyle w:val="Default"/>
              <w:jc w:val="left"/>
              <w:rPr>
                <w:sz w:val="18"/>
                <w:szCs w:val="18"/>
              </w:rPr>
            </w:pPr>
            <w:r w:rsidRPr="0045172B">
              <w:rPr>
                <w:sz w:val="18"/>
                <w:szCs w:val="18"/>
              </w:rPr>
              <w:t>NT households</w:t>
            </w:r>
          </w:p>
        </w:tc>
        <w:tc>
          <w:tcPr>
            <w:tcW w:w="1849" w:type="dxa"/>
            <w:vAlign w:val="center"/>
          </w:tcPr>
          <w:p w14:paraId="18CD9C90" w14:textId="77777777" w:rsidR="00030089" w:rsidRPr="0045172B" w:rsidRDefault="00030089" w:rsidP="008547F7">
            <w:pPr>
              <w:pStyle w:val="Default"/>
              <w:jc w:val="left"/>
              <w:rPr>
                <w:sz w:val="18"/>
                <w:szCs w:val="18"/>
              </w:rPr>
            </w:pPr>
            <w:r w:rsidRPr="0045172B">
              <w:rPr>
                <w:sz w:val="18"/>
                <w:szCs w:val="18"/>
              </w:rPr>
              <w:t>NT households</w:t>
            </w:r>
          </w:p>
        </w:tc>
        <w:tc>
          <w:tcPr>
            <w:tcW w:w="1849" w:type="dxa"/>
          </w:tcPr>
          <w:p w14:paraId="22FBED16" w14:textId="77777777" w:rsidR="00030089" w:rsidRPr="0045172B" w:rsidRDefault="00030089" w:rsidP="008547F7">
            <w:pPr>
              <w:pStyle w:val="Default"/>
              <w:jc w:val="left"/>
              <w:rPr>
                <w:sz w:val="18"/>
                <w:szCs w:val="18"/>
              </w:rPr>
            </w:pPr>
            <w:r w:rsidRPr="0045172B">
              <w:rPr>
                <w:sz w:val="18"/>
                <w:szCs w:val="18"/>
              </w:rPr>
              <w:t>NT households</w:t>
            </w:r>
          </w:p>
        </w:tc>
      </w:tr>
      <w:tr w:rsidR="00030089" w:rsidRPr="0045172B" w14:paraId="3D2BFA0B" w14:textId="77777777" w:rsidTr="008547F7">
        <w:trPr>
          <w:trHeight w:hRule="exact" w:val="851"/>
        </w:trPr>
        <w:tc>
          <w:tcPr>
            <w:tcW w:w="1848" w:type="dxa"/>
          </w:tcPr>
          <w:p w14:paraId="18BB1344" w14:textId="77777777" w:rsidR="00030089" w:rsidRPr="0045172B" w:rsidRDefault="00030089" w:rsidP="008547F7">
            <w:pPr>
              <w:pStyle w:val="Default"/>
              <w:jc w:val="left"/>
              <w:rPr>
                <w:rFonts w:eastAsiaTheme="majorEastAsia"/>
                <w:bCs/>
                <w:sz w:val="18"/>
                <w:szCs w:val="18"/>
              </w:rPr>
            </w:pPr>
            <w:r>
              <w:rPr>
                <w:sz w:val="18"/>
                <w:szCs w:val="18"/>
              </w:rPr>
              <w:t>H</w:t>
            </w:r>
            <w:r w:rsidRPr="0045172B">
              <w:rPr>
                <w:sz w:val="18"/>
                <w:szCs w:val="18"/>
              </w:rPr>
              <w:t>ousehold participation costs</w:t>
            </w:r>
          </w:p>
        </w:tc>
        <w:tc>
          <w:tcPr>
            <w:tcW w:w="1848" w:type="dxa"/>
            <w:vAlign w:val="center"/>
          </w:tcPr>
          <w:p w14:paraId="5BDEC46F" w14:textId="77777777" w:rsidR="00030089" w:rsidRPr="0045172B" w:rsidRDefault="00030089" w:rsidP="008547F7">
            <w:pPr>
              <w:pStyle w:val="Default"/>
              <w:jc w:val="left"/>
              <w:rPr>
                <w:sz w:val="18"/>
                <w:szCs w:val="18"/>
              </w:rPr>
            </w:pPr>
            <w:r w:rsidRPr="0045172B">
              <w:rPr>
                <w:sz w:val="18"/>
                <w:szCs w:val="18"/>
              </w:rPr>
              <w:t>NT businesses</w:t>
            </w:r>
          </w:p>
        </w:tc>
        <w:tc>
          <w:tcPr>
            <w:tcW w:w="1848" w:type="dxa"/>
            <w:vAlign w:val="center"/>
          </w:tcPr>
          <w:p w14:paraId="0C22C107" w14:textId="77777777" w:rsidR="00030089" w:rsidRPr="0045172B" w:rsidRDefault="00030089" w:rsidP="008547F7">
            <w:pPr>
              <w:pStyle w:val="Default"/>
              <w:jc w:val="left"/>
              <w:rPr>
                <w:sz w:val="18"/>
                <w:szCs w:val="18"/>
              </w:rPr>
            </w:pPr>
            <w:r w:rsidRPr="0045172B">
              <w:rPr>
                <w:sz w:val="18"/>
                <w:szCs w:val="18"/>
              </w:rPr>
              <w:t>NT businesses</w:t>
            </w:r>
          </w:p>
        </w:tc>
        <w:tc>
          <w:tcPr>
            <w:tcW w:w="1849" w:type="dxa"/>
            <w:vAlign w:val="center"/>
          </w:tcPr>
          <w:p w14:paraId="2C53CFD5" w14:textId="77777777" w:rsidR="00030089" w:rsidRPr="0045172B" w:rsidRDefault="00030089" w:rsidP="008547F7">
            <w:pPr>
              <w:pStyle w:val="Default"/>
              <w:jc w:val="left"/>
              <w:rPr>
                <w:sz w:val="18"/>
                <w:szCs w:val="18"/>
              </w:rPr>
            </w:pPr>
            <w:r w:rsidRPr="0045172B">
              <w:rPr>
                <w:sz w:val="18"/>
                <w:szCs w:val="18"/>
              </w:rPr>
              <w:t>NT businesses</w:t>
            </w:r>
          </w:p>
        </w:tc>
        <w:tc>
          <w:tcPr>
            <w:tcW w:w="1849" w:type="dxa"/>
            <w:vAlign w:val="center"/>
          </w:tcPr>
          <w:p w14:paraId="2658F140" w14:textId="77777777" w:rsidR="00030089" w:rsidRPr="0045172B" w:rsidRDefault="00030089" w:rsidP="008547F7">
            <w:pPr>
              <w:pStyle w:val="Default"/>
              <w:jc w:val="left"/>
              <w:rPr>
                <w:sz w:val="18"/>
                <w:szCs w:val="18"/>
              </w:rPr>
            </w:pPr>
            <w:r w:rsidRPr="0045172B">
              <w:rPr>
                <w:sz w:val="18"/>
                <w:szCs w:val="18"/>
              </w:rPr>
              <w:t>NT businesses</w:t>
            </w:r>
          </w:p>
        </w:tc>
      </w:tr>
      <w:tr w:rsidR="00030089" w:rsidRPr="0045172B" w14:paraId="43240027" w14:textId="77777777" w:rsidTr="008547F7">
        <w:trPr>
          <w:trHeight w:hRule="exact" w:val="851"/>
        </w:trPr>
        <w:tc>
          <w:tcPr>
            <w:tcW w:w="1848" w:type="dxa"/>
          </w:tcPr>
          <w:p w14:paraId="5B245102" w14:textId="77777777" w:rsidR="00030089" w:rsidRPr="0045172B" w:rsidRDefault="00030089" w:rsidP="008547F7">
            <w:pPr>
              <w:pStyle w:val="Default"/>
              <w:jc w:val="left"/>
              <w:rPr>
                <w:sz w:val="18"/>
                <w:szCs w:val="18"/>
              </w:rPr>
            </w:pPr>
            <w:r>
              <w:rPr>
                <w:sz w:val="18"/>
                <w:szCs w:val="18"/>
              </w:rPr>
              <w:t>M</w:t>
            </w:r>
            <w:r w:rsidRPr="0045172B">
              <w:rPr>
                <w:sz w:val="18"/>
                <w:szCs w:val="18"/>
              </w:rPr>
              <w:t>arket value of resources</w:t>
            </w:r>
          </w:p>
        </w:tc>
        <w:tc>
          <w:tcPr>
            <w:tcW w:w="1848" w:type="dxa"/>
            <w:vAlign w:val="center"/>
          </w:tcPr>
          <w:p w14:paraId="1B44B1D7" w14:textId="77777777" w:rsidR="00030089" w:rsidRPr="0045172B" w:rsidRDefault="00030089" w:rsidP="008547F7">
            <w:pPr>
              <w:pStyle w:val="Default"/>
              <w:jc w:val="left"/>
              <w:rPr>
                <w:sz w:val="18"/>
                <w:szCs w:val="18"/>
              </w:rPr>
            </w:pPr>
            <w:r w:rsidRPr="0045172B">
              <w:rPr>
                <w:sz w:val="18"/>
                <w:szCs w:val="18"/>
              </w:rPr>
              <w:t>NT recyclers</w:t>
            </w:r>
          </w:p>
        </w:tc>
        <w:tc>
          <w:tcPr>
            <w:tcW w:w="1848" w:type="dxa"/>
            <w:vAlign w:val="center"/>
          </w:tcPr>
          <w:p w14:paraId="35673F1A" w14:textId="77777777" w:rsidR="00030089" w:rsidRPr="0045172B" w:rsidRDefault="00030089" w:rsidP="008547F7">
            <w:pPr>
              <w:pStyle w:val="Default"/>
              <w:jc w:val="left"/>
              <w:rPr>
                <w:sz w:val="18"/>
                <w:szCs w:val="18"/>
              </w:rPr>
            </w:pPr>
            <w:r w:rsidRPr="0045172B">
              <w:rPr>
                <w:sz w:val="18"/>
                <w:szCs w:val="18"/>
              </w:rPr>
              <w:t>NT recyclers</w:t>
            </w:r>
          </w:p>
        </w:tc>
        <w:tc>
          <w:tcPr>
            <w:tcW w:w="1849" w:type="dxa"/>
            <w:vAlign w:val="center"/>
          </w:tcPr>
          <w:p w14:paraId="54EC928C" w14:textId="77777777" w:rsidR="00030089" w:rsidRPr="0045172B" w:rsidRDefault="00030089" w:rsidP="008547F7">
            <w:pPr>
              <w:pStyle w:val="Default"/>
              <w:jc w:val="left"/>
              <w:rPr>
                <w:sz w:val="18"/>
                <w:szCs w:val="18"/>
              </w:rPr>
            </w:pPr>
            <w:r w:rsidRPr="0045172B">
              <w:rPr>
                <w:sz w:val="18"/>
                <w:szCs w:val="18"/>
              </w:rPr>
              <w:t>NT recyclers</w:t>
            </w:r>
          </w:p>
        </w:tc>
        <w:tc>
          <w:tcPr>
            <w:tcW w:w="1849" w:type="dxa"/>
            <w:vAlign w:val="center"/>
          </w:tcPr>
          <w:p w14:paraId="12BEF75A" w14:textId="77777777" w:rsidR="00030089" w:rsidRPr="0045172B" w:rsidRDefault="00030089" w:rsidP="008547F7">
            <w:pPr>
              <w:pStyle w:val="Default"/>
              <w:jc w:val="left"/>
              <w:rPr>
                <w:sz w:val="18"/>
                <w:szCs w:val="18"/>
              </w:rPr>
            </w:pPr>
            <w:r w:rsidRPr="0045172B">
              <w:rPr>
                <w:sz w:val="18"/>
                <w:szCs w:val="18"/>
              </w:rPr>
              <w:t>NT recyclers</w:t>
            </w:r>
          </w:p>
        </w:tc>
      </w:tr>
      <w:tr w:rsidR="00030089" w:rsidRPr="0045172B" w14:paraId="47AEB701" w14:textId="77777777" w:rsidTr="008547F7">
        <w:trPr>
          <w:trHeight w:hRule="exact" w:val="851"/>
        </w:trPr>
        <w:tc>
          <w:tcPr>
            <w:tcW w:w="1848" w:type="dxa"/>
            <w:vAlign w:val="center"/>
          </w:tcPr>
          <w:p w14:paraId="5726A472" w14:textId="77777777" w:rsidR="00030089" w:rsidRPr="0045172B" w:rsidRDefault="00030089" w:rsidP="008547F7">
            <w:pPr>
              <w:pStyle w:val="Default"/>
              <w:jc w:val="left"/>
              <w:rPr>
                <w:sz w:val="18"/>
                <w:szCs w:val="18"/>
              </w:rPr>
            </w:pPr>
            <w:r>
              <w:rPr>
                <w:sz w:val="18"/>
                <w:szCs w:val="18"/>
              </w:rPr>
              <w:t>Avoided Kerbside costs</w:t>
            </w:r>
          </w:p>
        </w:tc>
        <w:tc>
          <w:tcPr>
            <w:tcW w:w="1848" w:type="dxa"/>
            <w:vAlign w:val="center"/>
          </w:tcPr>
          <w:p w14:paraId="007F7FD0" w14:textId="77777777" w:rsidR="00030089" w:rsidRPr="0045172B" w:rsidRDefault="00030089" w:rsidP="008547F7">
            <w:pPr>
              <w:pStyle w:val="Default"/>
              <w:jc w:val="left"/>
              <w:rPr>
                <w:sz w:val="18"/>
                <w:szCs w:val="18"/>
              </w:rPr>
            </w:pPr>
            <w:r>
              <w:rPr>
                <w:sz w:val="18"/>
                <w:szCs w:val="18"/>
              </w:rPr>
              <w:t xml:space="preserve">NT </w:t>
            </w:r>
            <w:r w:rsidRPr="0045172B">
              <w:rPr>
                <w:sz w:val="18"/>
                <w:szCs w:val="18"/>
              </w:rPr>
              <w:t>local</w:t>
            </w:r>
            <w:r>
              <w:rPr>
                <w:sz w:val="18"/>
                <w:szCs w:val="18"/>
              </w:rPr>
              <w:t xml:space="preserve"> </w:t>
            </w:r>
            <w:r w:rsidRPr="0045172B">
              <w:rPr>
                <w:sz w:val="18"/>
                <w:szCs w:val="18"/>
              </w:rPr>
              <w:t>gov</w:t>
            </w:r>
            <w:r>
              <w:rPr>
                <w:sz w:val="18"/>
                <w:szCs w:val="18"/>
              </w:rPr>
              <w:t>t</w:t>
            </w:r>
            <w:r w:rsidRPr="0045172B">
              <w:rPr>
                <w:sz w:val="18"/>
                <w:szCs w:val="18"/>
              </w:rPr>
              <w:t xml:space="preserve"> / NT recyclers</w:t>
            </w:r>
          </w:p>
        </w:tc>
        <w:tc>
          <w:tcPr>
            <w:tcW w:w="1848" w:type="dxa"/>
            <w:vAlign w:val="center"/>
          </w:tcPr>
          <w:p w14:paraId="3656EC3C" w14:textId="77777777" w:rsidR="00030089" w:rsidRPr="0045172B" w:rsidRDefault="00030089" w:rsidP="008547F7">
            <w:pPr>
              <w:rPr>
                <w:rFonts w:ascii="Arial" w:hAnsi="Arial" w:cs="Arial"/>
                <w:sz w:val="18"/>
                <w:szCs w:val="18"/>
              </w:rPr>
            </w:pPr>
            <w:r w:rsidRPr="0045172B">
              <w:rPr>
                <w:rFonts w:ascii="Arial" w:hAnsi="Arial" w:cs="Arial"/>
                <w:sz w:val="18"/>
                <w:szCs w:val="18"/>
              </w:rPr>
              <w:t>NT local govt / NT recyclers</w:t>
            </w:r>
          </w:p>
        </w:tc>
        <w:tc>
          <w:tcPr>
            <w:tcW w:w="1849" w:type="dxa"/>
            <w:vAlign w:val="center"/>
          </w:tcPr>
          <w:p w14:paraId="3FB190F1" w14:textId="77777777" w:rsidR="00030089" w:rsidRPr="0045172B" w:rsidRDefault="00030089" w:rsidP="008547F7">
            <w:pPr>
              <w:rPr>
                <w:rFonts w:ascii="Arial" w:hAnsi="Arial" w:cs="Arial"/>
                <w:sz w:val="18"/>
                <w:szCs w:val="18"/>
              </w:rPr>
            </w:pPr>
            <w:r w:rsidRPr="0045172B">
              <w:rPr>
                <w:rFonts w:ascii="Arial" w:hAnsi="Arial" w:cs="Arial"/>
                <w:sz w:val="18"/>
                <w:szCs w:val="18"/>
              </w:rPr>
              <w:t>NT local govt / NT recyclers</w:t>
            </w:r>
          </w:p>
        </w:tc>
        <w:tc>
          <w:tcPr>
            <w:tcW w:w="1849" w:type="dxa"/>
            <w:vAlign w:val="center"/>
          </w:tcPr>
          <w:p w14:paraId="1A123602" w14:textId="77777777" w:rsidR="00030089" w:rsidRPr="0045172B" w:rsidRDefault="00030089" w:rsidP="008547F7">
            <w:pPr>
              <w:rPr>
                <w:rFonts w:ascii="Arial" w:hAnsi="Arial" w:cs="Arial"/>
                <w:sz w:val="18"/>
                <w:szCs w:val="18"/>
              </w:rPr>
            </w:pPr>
            <w:r w:rsidRPr="0045172B">
              <w:rPr>
                <w:rFonts w:ascii="Arial" w:hAnsi="Arial" w:cs="Arial"/>
                <w:sz w:val="18"/>
                <w:szCs w:val="18"/>
              </w:rPr>
              <w:t>NT local govt / NT recyclers</w:t>
            </w:r>
          </w:p>
        </w:tc>
      </w:tr>
      <w:tr w:rsidR="00030089" w:rsidRPr="0045172B" w14:paraId="51432E73" w14:textId="77777777" w:rsidTr="008547F7">
        <w:trPr>
          <w:trHeight w:hRule="exact" w:val="851"/>
        </w:trPr>
        <w:tc>
          <w:tcPr>
            <w:tcW w:w="1848" w:type="dxa"/>
          </w:tcPr>
          <w:p w14:paraId="14AF77C2" w14:textId="77777777" w:rsidR="00030089" w:rsidRPr="0045172B" w:rsidRDefault="00030089" w:rsidP="008547F7">
            <w:pPr>
              <w:pStyle w:val="Default"/>
              <w:jc w:val="left"/>
              <w:rPr>
                <w:sz w:val="18"/>
                <w:szCs w:val="18"/>
              </w:rPr>
            </w:pPr>
            <w:r>
              <w:rPr>
                <w:sz w:val="18"/>
                <w:szCs w:val="18"/>
              </w:rPr>
              <w:t>A</w:t>
            </w:r>
            <w:r w:rsidRPr="0045172B">
              <w:rPr>
                <w:sz w:val="18"/>
                <w:szCs w:val="18"/>
              </w:rPr>
              <w:t>voided regulatory costs</w:t>
            </w:r>
          </w:p>
        </w:tc>
        <w:tc>
          <w:tcPr>
            <w:tcW w:w="1848" w:type="dxa"/>
            <w:vAlign w:val="center"/>
          </w:tcPr>
          <w:p w14:paraId="2A921183" w14:textId="77777777" w:rsidR="00030089" w:rsidRPr="0045172B" w:rsidRDefault="00030089" w:rsidP="008547F7">
            <w:pPr>
              <w:pStyle w:val="Default"/>
              <w:jc w:val="left"/>
              <w:rPr>
                <w:sz w:val="18"/>
                <w:szCs w:val="18"/>
              </w:rPr>
            </w:pPr>
            <w:r w:rsidRPr="0045172B">
              <w:rPr>
                <w:sz w:val="18"/>
                <w:szCs w:val="18"/>
              </w:rPr>
              <w:t>NA</w:t>
            </w:r>
          </w:p>
        </w:tc>
        <w:tc>
          <w:tcPr>
            <w:tcW w:w="1848" w:type="dxa"/>
            <w:vAlign w:val="center"/>
          </w:tcPr>
          <w:p w14:paraId="40B6A5BB" w14:textId="77777777" w:rsidR="00030089" w:rsidRPr="0045172B" w:rsidRDefault="00030089" w:rsidP="008547F7">
            <w:pPr>
              <w:pStyle w:val="Default"/>
              <w:jc w:val="left"/>
              <w:rPr>
                <w:sz w:val="18"/>
                <w:szCs w:val="18"/>
              </w:rPr>
            </w:pPr>
            <w:r w:rsidRPr="0045172B">
              <w:rPr>
                <w:sz w:val="18"/>
                <w:szCs w:val="18"/>
              </w:rPr>
              <w:t>State governments</w:t>
            </w:r>
          </w:p>
        </w:tc>
        <w:tc>
          <w:tcPr>
            <w:tcW w:w="1849" w:type="dxa"/>
            <w:vAlign w:val="center"/>
          </w:tcPr>
          <w:p w14:paraId="3A00DA4A" w14:textId="77777777" w:rsidR="00030089" w:rsidRPr="0045172B" w:rsidRDefault="00030089" w:rsidP="008547F7">
            <w:pPr>
              <w:pStyle w:val="Default"/>
              <w:jc w:val="left"/>
              <w:rPr>
                <w:sz w:val="18"/>
                <w:szCs w:val="18"/>
              </w:rPr>
            </w:pPr>
            <w:r w:rsidRPr="0045172B">
              <w:rPr>
                <w:sz w:val="18"/>
                <w:szCs w:val="18"/>
              </w:rPr>
              <w:t>NA</w:t>
            </w:r>
          </w:p>
        </w:tc>
        <w:tc>
          <w:tcPr>
            <w:tcW w:w="1849" w:type="dxa"/>
            <w:vAlign w:val="center"/>
          </w:tcPr>
          <w:p w14:paraId="4DC31D2D" w14:textId="77777777" w:rsidR="00030089" w:rsidRPr="0045172B" w:rsidRDefault="00030089" w:rsidP="008547F7">
            <w:pPr>
              <w:pStyle w:val="Default"/>
              <w:jc w:val="left"/>
              <w:rPr>
                <w:sz w:val="18"/>
                <w:szCs w:val="18"/>
              </w:rPr>
            </w:pPr>
            <w:r w:rsidRPr="0045172B">
              <w:rPr>
                <w:sz w:val="18"/>
                <w:szCs w:val="18"/>
              </w:rPr>
              <w:t>State governments</w:t>
            </w:r>
          </w:p>
        </w:tc>
      </w:tr>
      <w:tr w:rsidR="00030089" w:rsidRPr="0045172B" w14:paraId="3DA12146" w14:textId="77777777" w:rsidTr="008547F7">
        <w:trPr>
          <w:trHeight w:hRule="exact" w:val="851"/>
        </w:trPr>
        <w:tc>
          <w:tcPr>
            <w:tcW w:w="1848" w:type="dxa"/>
          </w:tcPr>
          <w:p w14:paraId="1959C939" w14:textId="77777777" w:rsidR="00030089" w:rsidRPr="0045172B" w:rsidRDefault="00030089" w:rsidP="008547F7">
            <w:pPr>
              <w:pStyle w:val="Default"/>
              <w:jc w:val="left"/>
              <w:rPr>
                <w:sz w:val="18"/>
                <w:szCs w:val="18"/>
              </w:rPr>
            </w:pPr>
            <w:r>
              <w:rPr>
                <w:sz w:val="18"/>
                <w:szCs w:val="18"/>
              </w:rPr>
              <w:t>A</w:t>
            </w:r>
            <w:r w:rsidRPr="0045172B">
              <w:rPr>
                <w:sz w:val="18"/>
                <w:szCs w:val="18"/>
              </w:rPr>
              <w:t>voided landfill operating costs</w:t>
            </w:r>
          </w:p>
        </w:tc>
        <w:tc>
          <w:tcPr>
            <w:tcW w:w="1848" w:type="dxa"/>
            <w:vAlign w:val="center"/>
          </w:tcPr>
          <w:p w14:paraId="24894236" w14:textId="77777777" w:rsidR="00030089" w:rsidRPr="0045172B" w:rsidRDefault="00030089" w:rsidP="008547F7">
            <w:pPr>
              <w:pStyle w:val="Default"/>
              <w:jc w:val="left"/>
              <w:rPr>
                <w:sz w:val="18"/>
                <w:szCs w:val="18"/>
              </w:rPr>
            </w:pPr>
            <w:r>
              <w:rPr>
                <w:sz w:val="18"/>
                <w:szCs w:val="18"/>
              </w:rPr>
              <w:t>NT local govt</w:t>
            </w:r>
          </w:p>
        </w:tc>
        <w:tc>
          <w:tcPr>
            <w:tcW w:w="1848" w:type="dxa"/>
            <w:vAlign w:val="center"/>
          </w:tcPr>
          <w:p w14:paraId="40BDD56D" w14:textId="77777777" w:rsidR="00030089" w:rsidRPr="0045172B" w:rsidRDefault="00030089" w:rsidP="008547F7">
            <w:pPr>
              <w:pStyle w:val="Default"/>
              <w:jc w:val="left"/>
              <w:rPr>
                <w:sz w:val="18"/>
                <w:szCs w:val="18"/>
              </w:rPr>
            </w:pPr>
            <w:r>
              <w:rPr>
                <w:sz w:val="18"/>
                <w:szCs w:val="18"/>
              </w:rPr>
              <w:t>NT local govt</w:t>
            </w:r>
          </w:p>
        </w:tc>
        <w:tc>
          <w:tcPr>
            <w:tcW w:w="1849" w:type="dxa"/>
            <w:vAlign w:val="center"/>
          </w:tcPr>
          <w:p w14:paraId="4DB19F32" w14:textId="77777777" w:rsidR="00030089" w:rsidRPr="0045172B" w:rsidRDefault="00030089" w:rsidP="008547F7">
            <w:pPr>
              <w:pStyle w:val="Default"/>
              <w:jc w:val="left"/>
              <w:rPr>
                <w:sz w:val="18"/>
                <w:szCs w:val="18"/>
              </w:rPr>
            </w:pPr>
            <w:r>
              <w:rPr>
                <w:sz w:val="18"/>
                <w:szCs w:val="18"/>
              </w:rPr>
              <w:t>NT local govt</w:t>
            </w:r>
          </w:p>
        </w:tc>
        <w:tc>
          <w:tcPr>
            <w:tcW w:w="1849" w:type="dxa"/>
            <w:vAlign w:val="center"/>
          </w:tcPr>
          <w:p w14:paraId="323530E2" w14:textId="77777777" w:rsidR="00030089" w:rsidRPr="0045172B" w:rsidRDefault="00030089" w:rsidP="008547F7">
            <w:pPr>
              <w:pStyle w:val="Default"/>
              <w:jc w:val="left"/>
              <w:rPr>
                <w:sz w:val="18"/>
                <w:szCs w:val="18"/>
              </w:rPr>
            </w:pPr>
            <w:r>
              <w:rPr>
                <w:sz w:val="18"/>
                <w:szCs w:val="18"/>
              </w:rPr>
              <w:t>NT local govt</w:t>
            </w:r>
          </w:p>
        </w:tc>
      </w:tr>
      <w:tr w:rsidR="00030089" w:rsidRPr="0045172B" w14:paraId="2301F109" w14:textId="77777777" w:rsidTr="008547F7">
        <w:trPr>
          <w:trHeight w:hRule="exact" w:val="851"/>
        </w:trPr>
        <w:tc>
          <w:tcPr>
            <w:tcW w:w="1848" w:type="dxa"/>
          </w:tcPr>
          <w:p w14:paraId="698645BB" w14:textId="77777777" w:rsidR="00030089" w:rsidRPr="0045172B" w:rsidRDefault="00030089" w:rsidP="008547F7">
            <w:pPr>
              <w:pStyle w:val="Default"/>
              <w:jc w:val="left"/>
              <w:rPr>
                <w:sz w:val="18"/>
                <w:szCs w:val="18"/>
              </w:rPr>
            </w:pPr>
            <w:r>
              <w:rPr>
                <w:sz w:val="18"/>
                <w:szCs w:val="18"/>
              </w:rPr>
              <w:t>A</w:t>
            </w:r>
            <w:r w:rsidRPr="0045172B">
              <w:rPr>
                <w:sz w:val="18"/>
                <w:szCs w:val="18"/>
              </w:rPr>
              <w:t>voided litter clean up costs</w:t>
            </w:r>
          </w:p>
        </w:tc>
        <w:tc>
          <w:tcPr>
            <w:tcW w:w="1848" w:type="dxa"/>
            <w:vAlign w:val="center"/>
          </w:tcPr>
          <w:p w14:paraId="5F2E05D3" w14:textId="77777777" w:rsidR="00030089" w:rsidRPr="0045172B" w:rsidRDefault="00030089" w:rsidP="008547F7">
            <w:pPr>
              <w:pStyle w:val="Default"/>
              <w:jc w:val="left"/>
              <w:rPr>
                <w:sz w:val="18"/>
                <w:szCs w:val="18"/>
              </w:rPr>
            </w:pPr>
            <w:r>
              <w:rPr>
                <w:sz w:val="18"/>
                <w:szCs w:val="18"/>
              </w:rPr>
              <w:t>NT local govt</w:t>
            </w:r>
            <w:r w:rsidRPr="0045172B">
              <w:rPr>
                <w:sz w:val="18"/>
                <w:szCs w:val="18"/>
              </w:rPr>
              <w:t>/ NT Government</w:t>
            </w:r>
          </w:p>
        </w:tc>
        <w:tc>
          <w:tcPr>
            <w:tcW w:w="1848" w:type="dxa"/>
            <w:vAlign w:val="center"/>
          </w:tcPr>
          <w:p w14:paraId="03A26944" w14:textId="77777777" w:rsidR="00030089" w:rsidRPr="0045172B" w:rsidRDefault="00030089" w:rsidP="008547F7">
            <w:pPr>
              <w:pStyle w:val="Default"/>
              <w:jc w:val="left"/>
              <w:rPr>
                <w:sz w:val="18"/>
                <w:szCs w:val="18"/>
              </w:rPr>
            </w:pPr>
            <w:r>
              <w:rPr>
                <w:sz w:val="18"/>
                <w:szCs w:val="18"/>
              </w:rPr>
              <w:t>NT local govt</w:t>
            </w:r>
            <w:r w:rsidRPr="0045172B">
              <w:rPr>
                <w:sz w:val="18"/>
                <w:szCs w:val="18"/>
              </w:rPr>
              <w:t>/ NT Government Government</w:t>
            </w:r>
          </w:p>
        </w:tc>
        <w:tc>
          <w:tcPr>
            <w:tcW w:w="1849" w:type="dxa"/>
            <w:vAlign w:val="center"/>
          </w:tcPr>
          <w:p w14:paraId="08AD019D" w14:textId="77777777" w:rsidR="00030089" w:rsidRPr="0045172B" w:rsidRDefault="00030089" w:rsidP="008547F7">
            <w:pPr>
              <w:pStyle w:val="Default"/>
              <w:jc w:val="left"/>
              <w:rPr>
                <w:sz w:val="18"/>
                <w:szCs w:val="18"/>
              </w:rPr>
            </w:pPr>
            <w:r>
              <w:rPr>
                <w:sz w:val="18"/>
                <w:szCs w:val="18"/>
              </w:rPr>
              <w:t>NT local govt</w:t>
            </w:r>
            <w:r w:rsidRPr="0045172B">
              <w:rPr>
                <w:sz w:val="18"/>
                <w:szCs w:val="18"/>
              </w:rPr>
              <w:t>/ NT Government Government</w:t>
            </w:r>
          </w:p>
        </w:tc>
        <w:tc>
          <w:tcPr>
            <w:tcW w:w="1849" w:type="dxa"/>
            <w:vAlign w:val="center"/>
          </w:tcPr>
          <w:p w14:paraId="7023A871" w14:textId="77777777" w:rsidR="00030089" w:rsidRPr="0045172B" w:rsidRDefault="00030089" w:rsidP="008547F7">
            <w:pPr>
              <w:pStyle w:val="Default"/>
              <w:jc w:val="left"/>
              <w:rPr>
                <w:sz w:val="18"/>
                <w:szCs w:val="18"/>
              </w:rPr>
            </w:pPr>
            <w:r>
              <w:rPr>
                <w:sz w:val="18"/>
                <w:szCs w:val="18"/>
              </w:rPr>
              <w:t>NT local govt</w:t>
            </w:r>
            <w:r w:rsidRPr="0045172B">
              <w:rPr>
                <w:sz w:val="18"/>
                <w:szCs w:val="18"/>
              </w:rPr>
              <w:t>/ NT Government Government</w:t>
            </w:r>
          </w:p>
        </w:tc>
      </w:tr>
      <w:tr w:rsidR="00030089" w:rsidRPr="0045172B" w14:paraId="08F3B0DA" w14:textId="77777777" w:rsidTr="008547F7">
        <w:trPr>
          <w:trHeight w:hRule="exact" w:val="851"/>
        </w:trPr>
        <w:tc>
          <w:tcPr>
            <w:tcW w:w="1848" w:type="dxa"/>
          </w:tcPr>
          <w:p w14:paraId="1C88B506" w14:textId="77777777" w:rsidR="00030089" w:rsidRPr="0045172B" w:rsidRDefault="00030089" w:rsidP="008547F7">
            <w:pPr>
              <w:pStyle w:val="Default"/>
              <w:jc w:val="left"/>
              <w:rPr>
                <w:sz w:val="18"/>
                <w:szCs w:val="18"/>
              </w:rPr>
            </w:pPr>
            <w:r>
              <w:rPr>
                <w:sz w:val="18"/>
                <w:szCs w:val="18"/>
              </w:rPr>
              <w:t>A</w:t>
            </w:r>
            <w:r w:rsidRPr="0045172B">
              <w:rPr>
                <w:sz w:val="18"/>
                <w:szCs w:val="18"/>
              </w:rPr>
              <w:t>voided landfill externalities costs</w:t>
            </w:r>
          </w:p>
        </w:tc>
        <w:tc>
          <w:tcPr>
            <w:tcW w:w="1848" w:type="dxa"/>
            <w:vAlign w:val="center"/>
          </w:tcPr>
          <w:p w14:paraId="439556FC" w14:textId="77777777" w:rsidR="00030089" w:rsidRPr="0045172B" w:rsidRDefault="00030089" w:rsidP="008547F7">
            <w:pPr>
              <w:pStyle w:val="Default"/>
              <w:jc w:val="left"/>
              <w:rPr>
                <w:sz w:val="18"/>
                <w:szCs w:val="18"/>
              </w:rPr>
            </w:pPr>
            <w:r>
              <w:rPr>
                <w:sz w:val="18"/>
                <w:szCs w:val="18"/>
              </w:rPr>
              <w:t>NT local govt</w:t>
            </w:r>
          </w:p>
        </w:tc>
        <w:tc>
          <w:tcPr>
            <w:tcW w:w="1848" w:type="dxa"/>
            <w:vAlign w:val="center"/>
          </w:tcPr>
          <w:p w14:paraId="5336D70A" w14:textId="77777777" w:rsidR="00030089" w:rsidRPr="0045172B" w:rsidRDefault="00030089" w:rsidP="008547F7">
            <w:pPr>
              <w:pStyle w:val="Default"/>
              <w:jc w:val="left"/>
              <w:rPr>
                <w:sz w:val="18"/>
                <w:szCs w:val="18"/>
              </w:rPr>
            </w:pPr>
            <w:r>
              <w:rPr>
                <w:sz w:val="18"/>
                <w:szCs w:val="18"/>
              </w:rPr>
              <w:t>NT local govt</w:t>
            </w:r>
          </w:p>
        </w:tc>
        <w:tc>
          <w:tcPr>
            <w:tcW w:w="1849" w:type="dxa"/>
            <w:vAlign w:val="center"/>
          </w:tcPr>
          <w:p w14:paraId="79E47E22" w14:textId="77777777" w:rsidR="00030089" w:rsidRPr="0045172B" w:rsidRDefault="00030089" w:rsidP="008547F7">
            <w:pPr>
              <w:pStyle w:val="Default"/>
              <w:jc w:val="left"/>
              <w:rPr>
                <w:sz w:val="18"/>
                <w:szCs w:val="18"/>
              </w:rPr>
            </w:pPr>
            <w:r>
              <w:rPr>
                <w:sz w:val="18"/>
                <w:szCs w:val="18"/>
              </w:rPr>
              <w:t>NT local govt</w:t>
            </w:r>
          </w:p>
        </w:tc>
        <w:tc>
          <w:tcPr>
            <w:tcW w:w="1849" w:type="dxa"/>
            <w:vAlign w:val="center"/>
          </w:tcPr>
          <w:p w14:paraId="4DC7E6F2" w14:textId="77777777" w:rsidR="00030089" w:rsidRPr="0045172B" w:rsidRDefault="00030089" w:rsidP="008547F7">
            <w:pPr>
              <w:pStyle w:val="Default"/>
              <w:jc w:val="left"/>
              <w:rPr>
                <w:sz w:val="18"/>
                <w:szCs w:val="18"/>
              </w:rPr>
            </w:pPr>
            <w:r>
              <w:rPr>
                <w:sz w:val="18"/>
                <w:szCs w:val="18"/>
              </w:rPr>
              <w:t>NT local govt</w:t>
            </w:r>
          </w:p>
        </w:tc>
      </w:tr>
    </w:tbl>
    <w:p w14:paraId="07D453FF" w14:textId="77777777" w:rsidR="00030089" w:rsidRPr="003E6EFE" w:rsidRDefault="00030089" w:rsidP="00030089">
      <w:pPr>
        <w:pStyle w:val="Default"/>
        <w:rPr>
          <w:sz w:val="24"/>
          <w:szCs w:val="24"/>
        </w:rPr>
      </w:pPr>
      <w:r>
        <w:br/>
      </w:r>
      <w:r w:rsidRPr="003E6EFE">
        <w:rPr>
          <w:sz w:val="24"/>
          <w:szCs w:val="24"/>
        </w:rPr>
        <w:t>Table 4.38 indicates the value of scheme operation and compliance costs for each option and for each Australian jurisdiction. The Table is indicative only, as the NT Government is not party to data on individual beverage company’s market share. Market share data was expressly requested of beverage companies but not supplied by them. The national impacts have therefore been distributed according to the number of beverage companies found in each state. This distribution appears to be consistent with the location of major beverage companies. The distribution of major companies is estimated to be as follows: 25% of market share to Coca Cola Amatil (NSW), 15% to CUB (VIC), 10% to Schweppes (VIC).</w:t>
      </w:r>
    </w:p>
    <w:p w14:paraId="77A704F9" w14:textId="77777777" w:rsidR="00030089" w:rsidRPr="003E6EFE" w:rsidRDefault="00030089" w:rsidP="00030089">
      <w:pPr>
        <w:pStyle w:val="Default"/>
        <w:rPr>
          <w:sz w:val="24"/>
          <w:szCs w:val="24"/>
        </w:rPr>
      </w:pPr>
      <w:r w:rsidRPr="003E6EFE">
        <w:rPr>
          <w:sz w:val="24"/>
          <w:szCs w:val="24"/>
        </w:rPr>
        <w:lastRenderedPageBreak/>
        <w:t xml:space="preserve">It should be noted that the major beverage companies have openly increased their prices in the Northern Territory to cover the costs of the NT CDS. Therefore, scheme operation and compliance costs for Options One and Three are ultimately passed onto NT consumers.  </w:t>
      </w:r>
    </w:p>
    <w:p w14:paraId="3FF3A899" w14:textId="77777777" w:rsidR="00030089" w:rsidRPr="00682556" w:rsidRDefault="00030089" w:rsidP="00030089">
      <w:pPr>
        <w:pStyle w:val="Caption"/>
        <w:keepNext/>
        <w:rPr>
          <w:noProof/>
          <w:color w:val="auto"/>
        </w:rPr>
      </w:pPr>
      <w:r w:rsidRPr="00682556">
        <w:rPr>
          <w:noProof/>
          <w:color w:val="auto"/>
        </w:rPr>
        <w:t xml:space="preserve"> </w:t>
      </w: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320" w:name="_Toc353562530"/>
      <w:r w:rsidR="00740026">
        <w:rPr>
          <w:noProof/>
          <w:color w:val="auto"/>
        </w:rPr>
        <w:t>49</w:t>
      </w:r>
      <w:r w:rsidRPr="00682556">
        <w:rPr>
          <w:noProof/>
          <w:color w:val="auto"/>
        </w:rPr>
        <w:fldChar w:fldCharType="end"/>
      </w:r>
      <w:r w:rsidRPr="00682556">
        <w:rPr>
          <w:noProof/>
          <w:color w:val="auto"/>
        </w:rPr>
        <w:t xml:space="preserve"> Table 4.3</w:t>
      </w:r>
      <w:r>
        <w:rPr>
          <w:noProof/>
          <w:color w:val="auto"/>
        </w:rPr>
        <w:t>8</w:t>
      </w:r>
      <w:r w:rsidRPr="00682556">
        <w:rPr>
          <w:noProof/>
          <w:color w:val="auto"/>
        </w:rPr>
        <w:t xml:space="preserve"> Total scheme operation and compliance costs borne by beverage industry nationally ($, discounted; over 25 years)</w:t>
      </w:r>
      <w:bookmarkEnd w:id="320"/>
    </w:p>
    <w:tbl>
      <w:tblPr>
        <w:tblStyle w:val="TableGrid"/>
        <w:tblW w:w="0" w:type="auto"/>
        <w:tblLook w:val="04A0" w:firstRow="1" w:lastRow="0" w:firstColumn="1" w:lastColumn="0" w:noHBand="0" w:noVBand="1"/>
      </w:tblPr>
      <w:tblGrid>
        <w:gridCol w:w="1307"/>
        <w:gridCol w:w="1298"/>
        <w:gridCol w:w="1417"/>
        <w:gridCol w:w="1630"/>
        <w:gridCol w:w="1197"/>
        <w:gridCol w:w="1196"/>
        <w:gridCol w:w="1197"/>
      </w:tblGrid>
      <w:tr w:rsidR="00030089" w:rsidRPr="003756B1" w14:paraId="5091537D" w14:textId="77777777" w:rsidTr="008547F7">
        <w:trPr>
          <w:trHeight w:hRule="exact" w:val="1361"/>
        </w:trPr>
        <w:tc>
          <w:tcPr>
            <w:tcW w:w="1307" w:type="dxa"/>
            <w:shd w:val="pct10" w:color="auto" w:fill="auto"/>
          </w:tcPr>
          <w:p w14:paraId="0197C203" w14:textId="77777777" w:rsidR="00030089" w:rsidRPr="003756B1" w:rsidRDefault="00030089" w:rsidP="008547F7">
            <w:pPr>
              <w:rPr>
                <w:rFonts w:ascii="Arial" w:hAnsi="Arial" w:cs="Arial"/>
                <w:b/>
                <w:bCs/>
                <w:color w:val="000000"/>
                <w:sz w:val="18"/>
                <w:szCs w:val="18"/>
              </w:rPr>
            </w:pPr>
          </w:p>
        </w:tc>
        <w:tc>
          <w:tcPr>
            <w:tcW w:w="1298" w:type="dxa"/>
            <w:shd w:val="pct10" w:color="auto" w:fill="auto"/>
          </w:tcPr>
          <w:p w14:paraId="35FAAB0E" w14:textId="77777777" w:rsidR="00030089" w:rsidRPr="003756B1" w:rsidRDefault="00030089" w:rsidP="008547F7">
            <w:pPr>
              <w:pStyle w:val="Default"/>
              <w:jc w:val="right"/>
              <w:rPr>
                <w:b/>
                <w:sz w:val="18"/>
                <w:szCs w:val="18"/>
              </w:rPr>
            </w:pPr>
            <w:r w:rsidRPr="003756B1">
              <w:rPr>
                <w:b/>
                <w:sz w:val="18"/>
                <w:szCs w:val="18"/>
              </w:rPr>
              <w:t>Number of beverage companies</w:t>
            </w:r>
          </w:p>
        </w:tc>
        <w:tc>
          <w:tcPr>
            <w:tcW w:w="1417" w:type="dxa"/>
            <w:shd w:val="pct10" w:color="auto" w:fill="auto"/>
          </w:tcPr>
          <w:p w14:paraId="6C811A3E" w14:textId="77777777" w:rsidR="00030089" w:rsidRPr="003756B1" w:rsidRDefault="00030089" w:rsidP="008547F7">
            <w:pPr>
              <w:pStyle w:val="Default"/>
              <w:jc w:val="right"/>
              <w:rPr>
                <w:b/>
                <w:sz w:val="18"/>
                <w:szCs w:val="18"/>
              </w:rPr>
            </w:pPr>
            <w:r w:rsidRPr="003756B1">
              <w:rPr>
                <w:b/>
                <w:sz w:val="18"/>
                <w:szCs w:val="18"/>
              </w:rPr>
              <w:t>%</w:t>
            </w:r>
            <w:r>
              <w:rPr>
                <w:b/>
                <w:sz w:val="18"/>
                <w:szCs w:val="18"/>
              </w:rPr>
              <w:t xml:space="preserve"> of </w:t>
            </w:r>
            <w:r w:rsidRPr="003756B1">
              <w:rPr>
                <w:b/>
                <w:sz w:val="18"/>
                <w:szCs w:val="18"/>
              </w:rPr>
              <w:t>beverage companies in state</w:t>
            </w:r>
          </w:p>
        </w:tc>
        <w:tc>
          <w:tcPr>
            <w:tcW w:w="1630" w:type="dxa"/>
            <w:shd w:val="pct10" w:color="auto" w:fill="auto"/>
          </w:tcPr>
          <w:p w14:paraId="2FD89FE1" w14:textId="77777777" w:rsidR="00030089" w:rsidRPr="003756B1" w:rsidRDefault="00030089" w:rsidP="008547F7">
            <w:pPr>
              <w:pStyle w:val="Default"/>
              <w:jc w:val="right"/>
              <w:rPr>
                <w:b/>
                <w:sz w:val="18"/>
                <w:szCs w:val="18"/>
              </w:rPr>
            </w:pPr>
            <w:r w:rsidRPr="003756B1">
              <w:rPr>
                <w:b/>
                <w:sz w:val="18"/>
                <w:szCs w:val="18"/>
              </w:rPr>
              <w:t>Option 1</w:t>
            </w:r>
          </w:p>
        </w:tc>
        <w:tc>
          <w:tcPr>
            <w:tcW w:w="1197" w:type="dxa"/>
            <w:shd w:val="pct10" w:color="auto" w:fill="auto"/>
          </w:tcPr>
          <w:p w14:paraId="247A4F09" w14:textId="77777777" w:rsidR="00030089" w:rsidRPr="003756B1" w:rsidRDefault="00030089" w:rsidP="008547F7">
            <w:pPr>
              <w:pStyle w:val="Default"/>
              <w:jc w:val="right"/>
              <w:rPr>
                <w:b/>
                <w:sz w:val="18"/>
                <w:szCs w:val="18"/>
              </w:rPr>
            </w:pPr>
            <w:r w:rsidRPr="003756B1">
              <w:rPr>
                <w:b/>
                <w:sz w:val="18"/>
                <w:szCs w:val="18"/>
              </w:rPr>
              <w:t>Option 2</w:t>
            </w:r>
          </w:p>
        </w:tc>
        <w:tc>
          <w:tcPr>
            <w:tcW w:w="1196" w:type="dxa"/>
            <w:shd w:val="pct10" w:color="auto" w:fill="auto"/>
          </w:tcPr>
          <w:p w14:paraId="0336CD03" w14:textId="77777777" w:rsidR="00030089" w:rsidRPr="003756B1" w:rsidRDefault="00030089" w:rsidP="008547F7">
            <w:pPr>
              <w:pStyle w:val="Default"/>
              <w:jc w:val="right"/>
              <w:rPr>
                <w:b/>
                <w:sz w:val="18"/>
                <w:szCs w:val="18"/>
              </w:rPr>
            </w:pPr>
            <w:r w:rsidRPr="003756B1">
              <w:rPr>
                <w:b/>
                <w:sz w:val="18"/>
                <w:szCs w:val="18"/>
              </w:rPr>
              <w:t>Option 3</w:t>
            </w:r>
          </w:p>
        </w:tc>
        <w:tc>
          <w:tcPr>
            <w:tcW w:w="1197" w:type="dxa"/>
            <w:shd w:val="pct10" w:color="auto" w:fill="auto"/>
          </w:tcPr>
          <w:p w14:paraId="68639D2A" w14:textId="77777777" w:rsidR="00030089" w:rsidRPr="003756B1" w:rsidRDefault="00030089" w:rsidP="008547F7">
            <w:pPr>
              <w:pStyle w:val="Default"/>
              <w:jc w:val="right"/>
              <w:rPr>
                <w:b/>
                <w:sz w:val="18"/>
                <w:szCs w:val="18"/>
              </w:rPr>
            </w:pPr>
            <w:r w:rsidRPr="003756B1">
              <w:rPr>
                <w:b/>
                <w:sz w:val="18"/>
                <w:szCs w:val="18"/>
              </w:rPr>
              <w:t>Option 4</w:t>
            </w:r>
          </w:p>
        </w:tc>
      </w:tr>
      <w:tr w:rsidR="00030089" w:rsidRPr="003756B1" w14:paraId="6F35698F" w14:textId="77777777" w:rsidTr="008547F7">
        <w:trPr>
          <w:trHeight w:hRule="exact" w:val="1145"/>
        </w:trPr>
        <w:tc>
          <w:tcPr>
            <w:tcW w:w="1307" w:type="dxa"/>
            <w:vAlign w:val="center"/>
          </w:tcPr>
          <w:p w14:paraId="723CBD38" w14:textId="77777777" w:rsidR="00030089" w:rsidRPr="003756B1" w:rsidRDefault="00030089" w:rsidP="008547F7">
            <w:pPr>
              <w:pStyle w:val="Default"/>
              <w:jc w:val="left"/>
              <w:rPr>
                <w:b/>
                <w:sz w:val="18"/>
                <w:szCs w:val="18"/>
              </w:rPr>
            </w:pPr>
            <w:r>
              <w:rPr>
                <w:b/>
                <w:sz w:val="18"/>
                <w:szCs w:val="18"/>
              </w:rPr>
              <w:t>Total o</w:t>
            </w:r>
            <w:r w:rsidRPr="003756B1">
              <w:rPr>
                <w:b/>
                <w:sz w:val="18"/>
                <w:szCs w:val="18"/>
              </w:rPr>
              <w:t xml:space="preserve">peration </w:t>
            </w:r>
            <w:r>
              <w:rPr>
                <w:b/>
                <w:sz w:val="18"/>
                <w:szCs w:val="18"/>
              </w:rPr>
              <w:t>&amp;</w:t>
            </w:r>
            <w:r w:rsidRPr="003756B1">
              <w:rPr>
                <w:b/>
                <w:sz w:val="18"/>
                <w:szCs w:val="18"/>
              </w:rPr>
              <w:t xml:space="preserve"> compliance costs</w:t>
            </w:r>
          </w:p>
        </w:tc>
        <w:tc>
          <w:tcPr>
            <w:tcW w:w="1298" w:type="dxa"/>
            <w:vAlign w:val="center"/>
          </w:tcPr>
          <w:p w14:paraId="1F34133E" w14:textId="77777777" w:rsidR="00030089" w:rsidRPr="003756B1" w:rsidRDefault="00030089" w:rsidP="008547F7">
            <w:pPr>
              <w:jc w:val="right"/>
              <w:rPr>
                <w:rFonts w:ascii="Arial" w:hAnsi="Arial" w:cs="Arial"/>
                <w:bCs/>
                <w:color w:val="000000"/>
                <w:sz w:val="18"/>
                <w:szCs w:val="18"/>
              </w:rPr>
            </w:pPr>
          </w:p>
        </w:tc>
        <w:tc>
          <w:tcPr>
            <w:tcW w:w="1417" w:type="dxa"/>
            <w:vAlign w:val="center"/>
          </w:tcPr>
          <w:p w14:paraId="2BD2FBC7" w14:textId="77777777" w:rsidR="00030089" w:rsidRPr="003756B1" w:rsidRDefault="00030089" w:rsidP="008547F7">
            <w:pPr>
              <w:jc w:val="right"/>
              <w:rPr>
                <w:rFonts w:ascii="Arial" w:hAnsi="Arial" w:cs="Arial"/>
                <w:bCs/>
                <w:color w:val="000000"/>
                <w:sz w:val="18"/>
                <w:szCs w:val="18"/>
              </w:rPr>
            </w:pPr>
          </w:p>
        </w:tc>
        <w:tc>
          <w:tcPr>
            <w:tcW w:w="1630" w:type="dxa"/>
            <w:vAlign w:val="center"/>
          </w:tcPr>
          <w:p w14:paraId="5811DB5B"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$13</w:t>
            </w:r>
            <w:r w:rsidRPr="00A52EAF">
              <w:rPr>
                <w:rFonts w:ascii="Arial" w:hAnsi="Arial" w:cs="Arial"/>
                <w:color w:val="000000"/>
                <w:sz w:val="16"/>
                <w:szCs w:val="16"/>
              </w:rPr>
              <w:t xml:space="preserve"> </w:t>
            </w:r>
            <w:r w:rsidRPr="00792CEC">
              <w:rPr>
                <w:rFonts w:ascii="Arial" w:hAnsi="Arial" w:cs="Arial"/>
                <w:color w:val="000000"/>
                <w:sz w:val="16"/>
                <w:szCs w:val="16"/>
              </w:rPr>
              <w:t>568</w:t>
            </w:r>
            <w:r w:rsidRPr="00A52EAF">
              <w:rPr>
                <w:rFonts w:ascii="Arial" w:hAnsi="Arial" w:cs="Arial"/>
                <w:color w:val="000000"/>
                <w:sz w:val="16"/>
                <w:szCs w:val="16"/>
              </w:rPr>
              <w:t xml:space="preserve"> </w:t>
            </w:r>
            <w:r w:rsidRPr="00792CEC">
              <w:rPr>
                <w:rFonts w:ascii="Arial" w:hAnsi="Arial" w:cs="Arial"/>
                <w:color w:val="000000"/>
                <w:sz w:val="16"/>
                <w:szCs w:val="16"/>
              </w:rPr>
              <w:t>795</w:t>
            </w:r>
          </w:p>
        </w:tc>
        <w:tc>
          <w:tcPr>
            <w:tcW w:w="1197" w:type="dxa"/>
            <w:vAlign w:val="center"/>
          </w:tcPr>
          <w:p w14:paraId="401918A3"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$43 830 000</w:t>
            </w:r>
          </w:p>
        </w:tc>
        <w:tc>
          <w:tcPr>
            <w:tcW w:w="1196" w:type="dxa"/>
            <w:vAlign w:val="center"/>
          </w:tcPr>
          <w:p w14:paraId="1DD2F23E"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$27</w:t>
            </w:r>
            <w:r w:rsidRPr="00A52EAF">
              <w:rPr>
                <w:rFonts w:ascii="Arial" w:hAnsi="Arial" w:cs="Arial"/>
                <w:color w:val="000000"/>
                <w:sz w:val="16"/>
                <w:szCs w:val="16"/>
              </w:rPr>
              <w:t xml:space="preserve"> </w:t>
            </w:r>
            <w:r w:rsidRPr="00792CEC">
              <w:rPr>
                <w:rFonts w:ascii="Arial" w:hAnsi="Arial" w:cs="Arial"/>
                <w:color w:val="000000"/>
                <w:sz w:val="16"/>
                <w:szCs w:val="16"/>
              </w:rPr>
              <w:t>137</w:t>
            </w:r>
            <w:r w:rsidRPr="00A52EAF">
              <w:rPr>
                <w:rFonts w:ascii="Arial" w:hAnsi="Arial" w:cs="Arial"/>
                <w:color w:val="000000"/>
                <w:sz w:val="16"/>
                <w:szCs w:val="16"/>
              </w:rPr>
              <w:t xml:space="preserve"> </w:t>
            </w:r>
            <w:r w:rsidRPr="00792CEC">
              <w:rPr>
                <w:rFonts w:ascii="Arial" w:hAnsi="Arial" w:cs="Arial"/>
                <w:color w:val="000000"/>
                <w:sz w:val="16"/>
                <w:szCs w:val="16"/>
              </w:rPr>
              <w:t>590</w:t>
            </w:r>
          </w:p>
        </w:tc>
        <w:tc>
          <w:tcPr>
            <w:tcW w:w="1197" w:type="dxa"/>
            <w:vAlign w:val="center"/>
          </w:tcPr>
          <w:p w14:paraId="40A403DF"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$160 000</w:t>
            </w:r>
          </w:p>
        </w:tc>
      </w:tr>
      <w:tr w:rsidR="00030089" w:rsidRPr="003756B1" w14:paraId="66C6C096" w14:textId="77777777" w:rsidTr="008547F7">
        <w:trPr>
          <w:trHeight w:hRule="exact" w:val="510"/>
        </w:trPr>
        <w:tc>
          <w:tcPr>
            <w:tcW w:w="1307" w:type="dxa"/>
            <w:vAlign w:val="center"/>
          </w:tcPr>
          <w:p w14:paraId="6F1F9433" w14:textId="77777777" w:rsidR="00030089" w:rsidRPr="003756B1" w:rsidRDefault="00030089" w:rsidP="008547F7">
            <w:pPr>
              <w:pStyle w:val="Default"/>
              <w:jc w:val="left"/>
              <w:rPr>
                <w:b/>
                <w:sz w:val="18"/>
                <w:szCs w:val="18"/>
              </w:rPr>
            </w:pPr>
            <w:r w:rsidRPr="003756B1">
              <w:rPr>
                <w:b/>
                <w:sz w:val="18"/>
                <w:szCs w:val="18"/>
              </w:rPr>
              <w:t>NSW</w:t>
            </w:r>
          </w:p>
        </w:tc>
        <w:tc>
          <w:tcPr>
            <w:tcW w:w="1298" w:type="dxa"/>
            <w:vAlign w:val="center"/>
          </w:tcPr>
          <w:p w14:paraId="29854F1B" w14:textId="77777777" w:rsidR="00030089" w:rsidRPr="003756B1" w:rsidRDefault="00030089" w:rsidP="008547F7">
            <w:pPr>
              <w:jc w:val="right"/>
              <w:rPr>
                <w:rFonts w:ascii="Arial" w:hAnsi="Arial" w:cs="Arial"/>
                <w:bCs/>
                <w:color w:val="000000"/>
                <w:sz w:val="18"/>
                <w:szCs w:val="18"/>
              </w:rPr>
            </w:pPr>
            <w:r w:rsidRPr="003756B1">
              <w:rPr>
                <w:rFonts w:ascii="Arial" w:hAnsi="Arial" w:cs="Arial"/>
                <w:color w:val="000000"/>
                <w:sz w:val="18"/>
                <w:szCs w:val="18"/>
              </w:rPr>
              <w:t>56</w:t>
            </w:r>
          </w:p>
        </w:tc>
        <w:tc>
          <w:tcPr>
            <w:tcW w:w="1417" w:type="dxa"/>
            <w:vAlign w:val="center"/>
          </w:tcPr>
          <w:p w14:paraId="7A388BE8" w14:textId="77777777" w:rsidR="00030089" w:rsidRPr="003756B1" w:rsidRDefault="00030089" w:rsidP="008547F7">
            <w:pPr>
              <w:jc w:val="right"/>
              <w:rPr>
                <w:rFonts w:ascii="Arial" w:hAnsi="Arial" w:cs="Arial"/>
                <w:bCs/>
                <w:color w:val="000000"/>
                <w:sz w:val="18"/>
                <w:szCs w:val="18"/>
              </w:rPr>
            </w:pPr>
            <w:r w:rsidRPr="003756B1">
              <w:rPr>
                <w:rFonts w:ascii="Arial" w:hAnsi="Arial" w:cs="Arial"/>
                <w:color w:val="000000"/>
                <w:sz w:val="18"/>
                <w:szCs w:val="18"/>
              </w:rPr>
              <w:t>37</w:t>
            </w:r>
          </w:p>
        </w:tc>
        <w:tc>
          <w:tcPr>
            <w:tcW w:w="1630" w:type="dxa"/>
            <w:vAlign w:val="center"/>
          </w:tcPr>
          <w:p w14:paraId="665C3FF6" w14:textId="77777777" w:rsidR="00030089" w:rsidRDefault="00030089" w:rsidP="008547F7">
            <w:pPr>
              <w:jc w:val="center"/>
              <w:rPr>
                <w:rFonts w:ascii="Arial" w:hAnsi="Arial" w:cs="Arial"/>
                <w:bCs/>
                <w:color w:val="000000"/>
                <w:sz w:val="16"/>
                <w:szCs w:val="16"/>
              </w:rPr>
            </w:pPr>
            <w:r w:rsidRPr="00A52EAF">
              <w:rPr>
                <w:rFonts w:ascii="Arial" w:hAnsi="Arial" w:cs="Arial"/>
                <w:color w:val="000000"/>
                <w:sz w:val="16"/>
                <w:szCs w:val="16"/>
              </w:rPr>
              <w:t>$</w:t>
            </w:r>
            <w:r w:rsidRPr="00792CEC">
              <w:rPr>
                <w:rFonts w:ascii="Arial" w:hAnsi="Arial" w:cs="Arial"/>
                <w:color w:val="000000"/>
                <w:sz w:val="16"/>
                <w:szCs w:val="16"/>
              </w:rPr>
              <w:t>4</w:t>
            </w:r>
            <w:r w:rsidRPr="00A52EAF">
              <w:rPr>
                <w:rFonts w:ascii="Arial" w:hAnsi="Arial" w:cs="Arial"/>
                <w:color w:val="000000"/>
                <w:sz w:val="16"/>
                <w:szCs w:val="16"/>
              </w:rPr>
              <w:t xml:space="preserve"> </w:t>
            </w:r>
            <w:r w:rsidRPr="00792CEC">
              <w:rPr>
                <w:rFonts w:ascii="Arial" w:hAnsi="Arial" w:cs="Arial"/>
                <w:color w:val="000000"/>
                <w:sz w:val="16"/>
                <w:szCs w:val="16"/>
              </w:rPr>
              <w:t>999</w:t>
            </w:r>
            <w:r w:rsidRPr="00A52EAF">
              <w:rPr>
                <w:rFonts w:ascii="Arial" w:hAnsi="Arial" w:cs="Arial"/>
                <w:color w:val="000000"/>
                <w:sz w:val="16"/>
                <w:szCs w:val="16"/>
              </w:rPr>
              <w:t xml:space="preserve"> </w:t>
            </w:r>
            <w:r w:rsidRPr="00792CEC">
              <w:rPr>
                <w:rFonts w:ascii="Arial" w:hAnsi="Arial" w:cs="Arial"/>
                <w:color w:val="000000"/>
                <w:sz w:val="16"/>
                <w:szCs w:val="16"/>
              </w:rPr>
              <w:t>030</w:t>
            </w:r>
          </w:p>
        </w:tc>
        <w:tc>
          <w:tcPr>
            <w:tcW w:w="1197" w:type="dxa"/>
            <w:vAlign w:val="center"/>
          </w:tcPr>
          <w:p w14:paraId="7C0EA3CB"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$16 147 895</w:t>
            </w:r>
          </w:p>
        </w:tc>
        <w:tc>
          <w:tcPr>
            <w:tcW w:w="1196" w:type="dxa"/>
            <w:vAlign w:val="center"/>
          </w:tcPr>
          <w:p w14:paraId="58AEA45F" w14:textId="77777777" w:rsidR="00030089" w:rsidRDefault="00030089" w:rsidP="008547F7">
            <w:pPr>
              <w:jc w:val="center"/>
              <w:rPr>
                <w:rFonts w:ascii="Arial" w:hAnsi="Arial" w:cs="Arial"/>
                <w:bCs/>
                <w:color w:val="000000"/>
                <w:sz w:val="16"/>
                <w:szCs w:val="16"/>
              </w:rPr>
            </w:pPr>
            <w:r w:rsidRPr="00A52EAF">
              <w:rPr>
                <w:rFonts w:ascii="Arial" w:hAnsi="Arial" w:cs="Arial"/>
                <w:color w:val="000000"/>
                <w:sz w:val="16"/>
                <w:szCs w:val="16"/>
              </w:rPr>
              <w:t>$</w:t>
            </w:r>
            <w:r w:rsidRPr="00792CEC">
              <w:rPr>
                <w:rFonts w:ascii="Arial" w:hAnsi="Arial" w:cs="Arial"/>
                <w:color w:val="000000"/>
                <w:sz w:val="16"/>
                <w:szCs w:val="16"/>
              </w:rPr>
              <w:t>9</w:t>
            </w:r>
            <w:r w:rsidRPr="00A52EAF">
              <w:rPr>
                <w:rFonts w:ascii="Arial" w:hAnsi="Arial" w:cs="Arial"/>
                <w:color w:val="000000"/>
                <w:sz w:val="16"/>
                <w:szCs w:val="16"/>
              </w:rPr>
              <w:t xml:space="preserve"> </w:t>
            </w:r>
            <w:r w:rsidRPr="00792CEC">
              <w:rPr>
                <w:rFonts w:ascii="Arial" w:hAnsi="Arial" w:cs="Arial"/>
                <w:color w:val="000000"/>
                <w:sz w:val="16"/>
                <w:szCs w:val="16"/>
              </w:rPr>
              <w:t>998</w:t>
            </w:r>
            <w:r w:rsidRPr="00A52EAF">
              <w:rPr>
                <w:rFonts w:ascii="Arial" w:hAnsi="Arial" w:cs="Arial"/>
                <w:color w:val="000000"/>
                <w:sz w:val="16"/>
                <w:szCs w:val="16"/>
              </w:rPr>
              <w:t xml:space="preserve"> </w:t>
            </w:r>
            <w:r w:rsidRPr="00792CEC">
              <w:rPr>
                <w:rFonts w:ascii="Arial" w:hAnsi="Arial" w:cs="Arial"/>
                <w:color w:val="000000"/>
                <w:sz w:val="16"/>
                <w:szCs w:val="16"/>
              </w:rPr>
              <w:t>060</w:t>
            </w:r>
          </w:p>
        </w:tc>
        <w:tc>
          <w:tcPr>
            <w:tcW w:w="1197" w:type="dxa"/>
            <w:vAlign w:val="center"/>
          </w:tcPr>
          <w:p w14:paraId="3EE4B37E"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$58 947</w:t>
            </w:r>
          </w:p>
        </w:tc>
      </w:tr>
      <w:tr w:rsidR="00030089" w:rsidRPr="003756B1" w14:paraId="5F0864B2" w14:textId="77777777" w:rsidTr="008547F7">
        <w:trPr>
          <w:trHeight w:hRule="exact" w:val="510"/>
        </w:trPr>
        <w:tc>
          <w:tcPr>
            <w:tcW w:w="1307" w:type="dxa"/>
            <w:vAlign w:val="center"/>
          </w:tcPr>
          <w:p w14:paraId="71D73632" w14:textId="77777777" w:rsidR="00030089" w:rsidRPr="003756B1" w:rsidRDefault="00030089" w:rsidP="008547F7">
            <w:pPr>
              <w:pStyle w:val="Default"/>
              <w:jc w:val="left"/>
              <w:rPr>
                <w:b/>
                <w:sz w:val="18"/>
                <w:szCs w:val="18"/>
              </w:rPr>
            </w:pPr>
            <w:r w:rsidRPr="003756B1">
              <w:rPr>
                <w:b/>
                <w:sz w:val="18"/>
                <w:szCs w:val="18"/>
              </w:rPr>
              <w:t>VIC</w:t>
            </w:r>
          </w:p>
        </w:tc>
        <w:tc>
          <w:tcPr>
            <w:tcW w:w="1298" w:type="dxa"/>
            <w:vAlign w:val="center"/>
          </w:tcPr>
          <w:p w14:paraId="68471818" w14:textId="77777777" w:rsidR="00030089" w:rsidRPr="003756B1" w:rsidRDefault="00030089" w:rsidP="008547F7">
            <w:pPr>
              <w:jc w:val="right"/>
              <w:rPr>
                <w:rFonts w:ascii="Arial" w:hAnsi="Arial" w:cs="Arial"/>
                <w:bCs/>
                <w:color w:val="000000"/>
                <w:sz w:val="18"/>
                <w:szCs w:val="18"/>
              </w:rPr>
            </w:pPr>
            <w:r w:rsidRPr="003756B1">
              <w:rPr>
                <w:rFonts w:ascii="Arial" w:hAnsi="Arial" w:cs="Arial"/>
                <w:color w:val="000000"/>
                <w:sz w:val="18"/>
                <w:szCs w:val="18"/>
              </w:rPr>
              <w:t>47</w:t>
            </w:r>
          </w:p>
        </w:tc>
        <w:tc>
          <w:tcPr>
            <w:tcW w:w="1417" w:type="dxa"/>
            <w:vAlign w:val="center"/>
          </w:tcPr>
          <w:p w14:paraId="0A743B32" w14:textId="77777777" w:rsidR="00030089" w:rsidRPr="003756B1" w:rsidRDefault="00030089" w:rsidP="008547F7">
            <w:pPr>
              <w:jc w:val="right"/>
              <w:rPr>
                <w:rFonts w:ascii="Arial" w:hAnsi="Arial" w:cs="Arial"/>
                <w:bCs/>
                <w:color w:val="000000"/>
                <w:sz w:val="18"/>
                <w:szCs w:val="18"/>
              </w:rPr>
            </w:pPr>
            <w:r w:rsidRPr="003756B1">
              <w:rPr>
                <w:rFonts w:ascii="Arial" w:hAnsi="Arial" w:cs="Arial"/>
                <w:color w:val="000000"/>
                <w:sz w:val="18"/>
                <w:szCs w:val="18"/>
              </w:rPr>
              <w:t>31</w:t>
            </w:r>
          </w:p>
        </w:tc>
        <w:tc>
          <w:tcPr>
            <w:tcW w:w="1630" w:type="dxa"/>
            <w:vAlign w:val="center"/>
          </w:tcPr>
          <w:p w14:paraId="280FA4EA" w14:textId="77777777" w:rsidR="00030089" w:rsidRDefault="00030089" w:rsidP="008547F7">
            <w:pPr>
              <w:jc w:val="center"/>
              <w:rPr>
                <w:rFonts w:ascii="Arial" w:hAnsi="Arial" w:cs="Arial"/>
                <w:bCs/>
                <w:color w:val="000000"/>
                <w:sz w:val="16"/>
                <w:szCs w:val="16"/>
              </w:rPr>
            </w:pPr>
            <w:r w:rsidRPr="00A52EAF">
              <w:rPr>
                <w:rFonts w:ascii="Arial" w:hAnsi="Arial" w:cs="Arial"/>
                <w:color w:val="000000"/>
                <w:sz w:val="16"/>
                <w:szCs w:val="16"/>
              </w:rPr>
              <w:t>$</w:t>
            </w:r>
            <w:r w:rsidRPr="00792CEC">
              <w:rPr>
                <w:rFonts w:ascii="Arial" w:hAnsi="Arial" w:cs="Arial"/>
                <w:color w:val="000000"/>
                <w:sz w:val="16"/>
                <w:szCs w:val="16"/>
              </w:rPr>
              <w:t>4</w:t>
            </w:r>
            <w:r w:rsidRPr="00A52EAF">
              <w:rPr>
                <w:rFonts w:ascii="Arial" w:hAnsi="Arial" w:cs="Arial"/>
                <w:color w:val="000000"/>
                <w:sz w:val="16"/>
                <w:szCs w:val="16"/>
              </w:rPr>
              <w:t xml:space="preserve"> </w:t>
            </w:r>
            <w:r w:rsidRPr="00792CEC">
              <w:rPr>
                <w:rFonts w:ascii="Arial" w:hAnsi="Arial" w:cs="Arial"/>
                <w:color w:val="000000"/>
                <w:sz w:val="16"/>
                <w:szCs w:val="16"/>
              </w:rPr>
              <w:t>195</w:t>
            </w:r>
            <w:r w:rsidRPr="00A52EAF">
              <w:rPr>
                <w:rFonts w:ascii="Arial" w:hAnsi="Arial" w:cs="Arial"/>
                <w:color w:val="000000"/>
                <w:sz w:val="16"/>
                <w:szCs w:val="16"/>
              </w:rPr>
              <w:t xml:space="preserve"> </w:t>
            </w:r>
            <w:r w:rsidRPr="00792CEC">
              <w:rPr>
                <w:rFonts w:ascii="Arial" w:hAnsi="Arial" w:cs="Arial"/>
                <w:color w:val="000000"/>
                <w:sz w:val="16"/>
                <w:szCs w:val="16"/>
              </w:rPr>
              <w:t>614</w:t>
            </w:r>
          </w:p>
        </w:tc>
        <w:tc>
          <w:tcPr>
            <w:tcW w:w="1197" w:type="dxa"/>
            <w:vAlign w:val="center"/>
          </w:tcPr>
          <w:p w14:paraId="7B365DE0"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$13 552 697</w:t>
            </w:r>
          </w:p>
        </w:tc>
        <w:tc>
          <w:tcPr>
            <w:tcW w:w="1196" w:type="dxa"/>
            <w:vAlign w:val="center"/>
          </w:tcPr>
          <w:p w14:paraId="6FBC5568" w14:textId="77777777" w:rsidR="00030089" w:rsidRDefault="00030089" w:rsidP="008547F7">
            <w:pPr>
              <w:jc w:val="center"/>
              <w:rPr>
                <w:rFonts w:ascii="Arial" w:hAnsi="Arial" w:cs="Arial"/>
                <w:bCs/>
                <w:color w:val="000000"/>
                <w:sz w:val="16"/>
                <w:szCs w:val="16"/>
              </w:rPr>
            </w:pPr>
            <w:r w:rsidRPr="00A52EAF">
              <w:rPr>
                <w:rFonts w:ascii="Arial" w:hAnsi="Arial" w:cs="Arial"/>
                <w:color w:val="000000"/>
                <w:sz w:val="16"/>
                <w:szCs w:val="16"/>
              </w:rPr>
              <w:t>$</w:t>
            </w:r>
            <w:r w:rsidRPr="00792CEC">
              <w:rPr>
                <w:rFonts w:ascii="Arial" w:hAnsi="Arial" w:cs="Arial"/>
                <w:color w:val="000000"/>
                <w:sz w:val="16"/>
                <w:szCs w:val="16"/>
              </w:rPr>
              <w:t>8</w:t>
            </w:r>
            <w:r w:rsidRPr="00A52EAF">
              <w:rPr>
                <w:rFonts w:ascii="Arial" w:hAnsi="Arial" w:cs="Arial"/>
                <w:color w:val="000000"/>
                <w:sz w:val="16"/>
                <w:szCs w:val="16"/>
              </w:rPr>
              <w:t xml:space="preserve"> </w:t>
            </w:r>
            <w:r w:rsidRPr="00792CEC">
              <w:rPr>
                <w:rFonts w:ascii="Arial" w:hAnsi="Arial" w:cs="Arial"/>
                <w:color w:val="000000"/>
                <w:sz w:val="16"/>
                <w:szCs w:val="16"/>
              </w:rPr>
              <w:t>391</w:t>
            </w:r>
            <w:r w:rsidRPr="00A52EAF">
              <w:rPr>
                <w:rFonts w:ascii="Arial" w:hAnsi="Arial" w:cs="Arial"/>
                <w:color w:val="000000"/>
                <w:sz w:val="16"/>
                <w:szCs w:val="16"/>
              </w:rPr>
              <w:t xml:space="preserve"> </w:t>
            </w:r>
            <w:r w:rsidRPr="00792CEC">
              <w:rPr>
                <w:rFonts w:ascii="Arial" w:hAnsi="Arial" w:cs="Arial"/>
                <w:color w:val="000000"/>
                <w:sz w:val="16"/>
                <w:szCs w:val="16"/>
              </w:rPr>
              <w:t>229</w:t>
            </w:r>
          </w:p>
        </w:tc>
        <w:tc>
          <w:tcPr>
            <w:tcW w:w="1197" w:type="dxa"/>
            <w:vAlign w:val="center"/>
          </w:tcPr>
          <w:p w14:paraId="27255A5D"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$49 474</w:t>
            </w:r>
          </w:p>
        </w:tc>
      </w:tr>
      <w:tr w:rsidR="00030089" w:rsidRPr="003756B1" w14:paraId="1644D5EB" w14:textId="77777777" w:rsidTr="008547F7">
        <w:trPr>
          <w:trHeight w:hRule="exact" w:val="510"/>
        </w:trPr>
        <w:tc>
          <w:tcPr>
            <w:tcW w:w="1307" w:type="dxa"/>
            <w:vAlign w:val="center"/>
          </w:tcPr>
          <w:p w14:paraId="600BE25E" w14:textId="77777777" w:rsidR="00030089" w:rsidRPr="003756B1" w:rsidRDefault="00030089" w:rsidP="008547F7">
            <w:pPr>
              <w:pStyle w:val="Default"/>
              <w:jc w:val="left"/>
              <w:rPr>
                <w:b/>
                <w:sz w:val="18"/>
                <w:szCs w:val="18"/>
              </w:rPr>
            </w:pPr>
            <w:r w:rsidRPr="003756B1">
              <w:rPr>
                <w:b/>
                <w:sz w:val="18"/>
                <w:szCs w:val="18"/>
              </w:rPr>
              <w:t>SA</w:t>
            </w:r>
          </w:p>
        </w:tc>
        <w:tc>
          <w:tcPr>
            <w:tcW w:w="1298" w:type="dxa"/>
            <w:vAlign w:val="center"/>
          </w:tcPr>
          <w:p w14:paraId="42F82AF5" w14:textId="77777777" w:rsidR="00030089" w:rsidRPr="003756B1" w:rsidRDefault="00030089" w:rsidP="008547F7">
            <w:pPr>
              <w:jc w:val="right"/>
              <w:rPr>
                <w:rFonts w:ascii="Arial" w:hAnsi="Arial" w:cs="Arial"/>
                <w:bCs/>
                <w:color w:val="000000"/>
                <w:sz w:val="18"/>
                <w:szCs w:val="18"/>
              </w:rPr>
            </w:pPr>
            <w:r w:rsidRPr="003756B1">
              <w:rPr>
                <w:rFonts w:ascii="Arial" w:hAnsi="Arial" w:cs="Arial"/>
                <w:color w:val="000000"/>
                <w:sz w:val="18"/>
                <w:szCs w:val="18"/>
              </w:rPr>
              <w:t>29</w:t>
            </w:r>
          </w:p>
        </w:tc>
        <w:tc>
          <w:tcPr>
            <w:tcW w:w="1417" w:type="dxa"/>
            <w:vAlign w:val="center"/>
          </w:tcPr>
          <w:p w14:paraId="4594C7AE" w14:textId="77777777" w:rsidR="00030089" w:rsidRPr="003756B1" w:rsidRDefault="00030089" w:rsidP="008547F7">
            <w:pPr>
              <w:jc w:val="right"/>
              <w:rPr>
                <w:rFonts w:ascii="Arial" w:hAnsi="Arial" w:cs="Arial"/>
                <w:bCs/>
                <w:color w:val="000000"/>
                <w:sz w:val="18"/>
                <w:szCs w:val="18"/>
              </w:rPr>
            </w:pPr>
            <w:r w:rsidRPr="003756B1">
              <w:rPr>
                <w:rFonts w:ascii="Arial" w:hAnsi="Arial" w:cs="Arial"/>
                <w:color w:val="000000"/>
                <w:sz w:val="18"/>
                <w:szCs w:val="18"/>
              </w:rPr>
              <w:t>19</w:t>
            </w:r>
          </w:p>
        </w:tc>
        <w:tc>
          <w:tcPr>
            <w:tcW w:w="1630" w:type="dxa"/>
            <w:vAlign w:val="center"/>
          </w:tcPr>
          <w:p w14:paraId="77BD2D68" w14:textId="77777777" w:rsidR="00030089" w:rsidRDefault="00030089" w:rsidP="008547F7">
            <w:pPr>
              <w:jc w:val="center"/>
              <w:rPr>
                <w:rFonts w:ascii="Arial" w:hAnsi="Arial" w:cs="Arial"/>
                <w:bCs/>
                <w:color w:val="000000"/>
                <w:sz w:val="16"/>
                <w:szCs w:val="16"/>
              </w:rPr>
            </w:pPr>
            <w:r w:rsidRPr="00A52EAF">
              <w:rPr>
                <w:rFonts w:ascii="Arial" w:hAnsi="Arial" w:cs="Arial"/>
                <w:color w:val="000000"/>
                <w:sz w:val="16"/>
                <w:szCs w:val="16"/>
              </w:rPr>
              <w:t>$</w:t>
            </w:r>
            <w:r w:rsidRPr="00792CEC">
              <w:rPr>
                <w:rFonts w:ascii="Arial" w:hAnsi="Arial" w:cs="Arial"/>
                <w:color w:val="000000"/>
                <w:sz w:val="16"/>
                <w:szCs w:val="16"/>
              </w:rPr>
              <w:t>2</w:t>
            </w:r>
            <w:r w:rsidRPr="00A52EAF">
              <w:rPr>
                <w:rFonts w:ascii="Arial" w:hAnsi="Arial" w:cs="Arial"/>
                <w:color w:val="000000"/>
                <w:sz w:val="16"/>
                <w:szCs w:val="16"/>
              </w:rPr>
              <w:t xml:space="preserve"> </w:t>
            </w:r>
            <w:r w:rsidRPr="00792CEC">
              <w:rPr>
                <w:rFonts w:ascii="Arial" w:hAnsi="Arial" w:cs="Arial"/>
                <w:color w:val="000000"/>
                <w:sz w:val="16"/>
                <w:szCs w:val="16"/>
              </w:rPr>
              <w:t>588</w:t>
            </w:r>
            <w:r w:rsidRPr="00A52EAF">
              <w:rPr>
                <w:rFonts w:ascii="Arial" w:hAnsi="Arial" w:cs="Arial"/>
                <w:color w:val="000000"/>
                <w:sz w:val="16"/>
                <w:szCs w:val="16"/>
              </w:rPr>
              <w:t xml:space="preserve"> </w:t>
            </w:r>
            <w:r w:rsidRPr="00792CEC">
              <w:rPr>
                <w:rFonts w:ascii="Arial" w:hAnsi="Arial" w:cs="Arial"/>
                <w:color w:val="000000"/>
                <w:sz w:val="16"/>
                <w:szCs w:val="16"/>
              </w:rPr>
              <w:t>783</w:t>
            </w:r>
          </w:p>
        </w:tc>
        <w:tc>
          <w:tcPr>
            <w:tcW w:w="1197" w:type="dxa"/>
            <w:vAlign w:val="center"/>
          </w:tcPr>
          <w:p w14:paraId="2F83EEC3"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$8 362 303</w:t>
            </w:r>
          </w:p>
        </w:tc>
        <w:tc>
          <w:tcPr>
            <w:tcW w:w="1196" w:type="dxa"/>
            <w:vAlign w:val="center"/>
          </w:tcPr>
          <w:p w14:paraId="736B6B9B" w14:textId="77777777" w:rsidR="00030089" w:rsidRDefault="00030089" w:rsidP="008547F7">
            <w:pPr>
              <w:jc w:val="center"/>
              <w:rPr>
                <w:rFonts w:ascii="Arial" w:hAnsi="Arial" w:cs="Arial"/>
                <w:bCs/>
                <w:color w:val="000000"/>
                <w:sz w:val="16"/>
                <w:szCs w:val="16"/>
              </w:rPr>
            </w:pPr>
            <w:r w:rsidRPr="00A52EAF">
              <w:rPr>
                <w:rFonts w:ascii="Arial" w:hAnsi="Arial" w:cs="Arial"/>
                <w:color w:val="000000"/>
                <w:sz w:val="16"/>
                <w:szCs w:val="16"/>
              </w:rPr>
              <w:t>$</w:t>
            </w:r>
            <w:r w:rsidRPr="00792CEC">
              <w:rPr>
                <w:rFonts w:ascii="Arial" w:hAnsi="Arial" w:cs="Arial"/>
                <w:color w:val="000000"/>
                <w:sz w:val="16"/>
                <w:szCs w:val="16"/>
              </w:rPr>
              <w:t>5</w:t>
            </w:r>
            <w:r w:rsidRPr="00A52EAF">
              <w:rPr>
                <w:rFonts w:ascii="Arial" w:hAnsi="Arial" w:cs="Arial"/>
                <w:color w:val="000000"/>
                <w:sz w:val="16"/>
                <w:szCs w:val="16"/>
              </w:rPr>
              <w:t xml:space="preserve"> </w:t>
            </w:r>
            <w:r w:rsidRPr="00792CEC">
              <w:rPr>
                <w:rFonts w:ascii="Arial" w:hAnsi="Arial" w:cs="Arial"/>
                <w:color w:val="000000"/>
                <w:sz w:val="16"/>
                <w:szCs w:val="16"/>
              </w:rPr>
              <w:t>177</w:t>
            </w:r>
            <w:r w:rsidRPr="00A52EAF">
              <w:rPr>
                <w:rFonts w:ascii="Arial" w:hAnsi="Arial" w:cs="Arial"/>
                <w:color w:val="000000"/>
                <w:sz w:val="16"/>
                <w:szCs w:val="16"/>
              </w:rPr>
              <w:t xml:space="preserve"> </w:t>
            </w:r>
            <w:r w:rsidRPr="00792CEC">
              <w:rPr>
                <w:rFonts w:ascii="Arial" w:hAnsi="Arial" w:cs="Arial"/>
                <w:color w:val="000000"/>
                <w:sz w:val="16"/>
                <w:szCs w:val="16"/>
              </w:rPr>
              <w:t>567</w:t>
            </w:r>
          </w:p>
        </w:tc>
        <w:tc>
          <w:tcPr>
            <w:tcW w:w="1197" w:type="dxa"/>
            <w:vAlign w:val="center"/>
          </w:tcPr>
          <w:p w14:paraId="7B0BFF0F"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$30 526</w:t>
            </w:r>
          </w:p>
        </w:tc>
      </w:tr>
      <w:tr w:rsidR="00030089" w:rsidRPr="003756B1" w14:paraId="1F519482" w14:textId="77777777" w:rsidTr="008547F7">
        <w:trPr>
          <w:trHeight w:hRule="exact" w:val="510"/>
        </w:trPr>
        <w:tc>
          <w:tcPr>
            <w:tcW w:w="1307" w:type="dxa"/>
            <w:vAlign w:val="center"/>
          </w:tcPr>
          <w:p w14:paraId="69CF4866" w14:textId="77777777" w:rsidR="00030089" w:rsidRPr="003756B1" w:rsidRDefault="00030089" w:rsidP="008547F7">
            <w:pPr>
              <w:pStyle w:val="Default"/>
              <w:jc w:val="left"/>
              <w:rPr>
                <w:b/>
                <w:sz w:val="18"/>
                <w:szCs w:val="18"/>
              </w:rPr>
            </w:pPr>
            <w:r w:rsidRPr="003756B1">
              <w:rPr>
                <w:b/>
                <w:sz w:val="18"/>
                <w:szCs w:val="18"/>
              </w:rPr>
              <w:t>QLD</w:t>
            </w:r>
          </w:p>
        </w:tc>
        <w:tc>
          <w:tcPr>
            <w:tcW w:w="1298" w:type="dxa"/>
            <w:vAlign w:val="center"/>
          </w:tcPr>
          <w:p w14:paraId="50195B74" w14:textId="77777777" w:rsidR="00030089" w:rsidRPr="003756B1" w:rsidRDefault="00030089" w:rsidP="008547F7">
            <w:pPr>
              <w:jc w:val="right"/>
              <w:rPr>
                <w:rFonts w:ascii="Arial" w:hAnsi="Arial" w:cs="Arial"/>
                <w:bCs/>
                <w:color w:val="000000"/>
                <w:sz w:val="18"/>
                <w:szCs w:val="18"/>
              </w:rPr>
            </w:pPr>
            <w:r w:rsidRPr="003756B1">
              <w:rPr>
                <w:rFonts w:ascii="Arial" w:hAnsi="Arial" w:cs="Arial"/>
                <w:color w:val="000000"/>
                <w:sz w:val="18"/>
                <w:szCs w:val="18"/>
              </w:rPr>
              <w:t>10</w:t>
            </w:r>
          </w:p>
        </w:tc>
        <w:tc>
          <w:tcPr>
            <w:tcW w:w="1417" w:type="dxa"/>
            <w:vAlign w:val="center"/>
          </w:tcPr>
          <w:p w14:paraId="77D64847" w14:textId="77777777" w:rsidR="00030089" w:rsidRPr="003756B1" w:rsidRDefault="00030089" w:rsidP="008547F7">
            <w:pPr>
              <w:jc w:val="right"/>
              <w:rPr>
                <w:rFonts w:ascii="Arial" w:hAnsi="Arial" w:cs="Arial"/>
                <w:bCs/>
                <w:color w:val="000000"/>
                <w:sz w:val="18"/>
                <w:szCs w:val="18"/>
              </w:rPr>
            </w:pPr>
            <w:r w:rsidRPr="003756B1">
              <w:rPr>
                <w:rFonts w:ascii="Arial" w:hAnsi="Arial" w:cs="Arial"/>
                <w:color w:val="000000"/>
                <w:sz w:val="18"/>
                <w:szCs w:val="18"/>
              </w:rPr>
              <w:t>7</w:t>
            </w:r>
          </w:p>
        </w:tc>
        <w:tc>
          <w:tcPr>
            <w:tcW w:w="1630" w:type="dxa"/>
            <w:vAlign w:val="center"/>
          </w:tcPr>
          <w:p w14:paraId="729FD582" w14:textId="77777777" w:rsidR="00030089" w:rsidRDefault="00030089" w:rsidP="008547F7">
            <w:pPr>
              <w:jc w:val="center"/>
              <w:rPr>
                <w:rFonts w:ascii="Arial" w:hAnsi="Arial" w:cs="Arial"/>
                <w:bCs/>
                <w:color w:val="000000"/>
                <w:sz w:val="16"/>
                <w:szCs w:val="16"/>
              </w:rPr>
            </w:pPr>
            <w:r w:rsidRPr="00A52EAF">
              <w:rPr>
                <w:rFonts w:ascii="Arial" w:hAnsi="Arial" w:cs="Arial"/>
                <w:color w:val="000000"/>
                <w:sz w:val="16"/>
                <w:szCs w:val="16"/>
              </w:rPr>
              <w:t>$</w:t>
            </w:r>
            <w:r w:rsidRPr="00792CEC">
              <w:rPr>
                <w:rFonts w:ascii="Arial" w:hAnsi="Arial" w:cs="Arial"/>
                <w:color w:val="000000"/>
                <w:sz w:val="16"/>
                <w:szCs w:val="16"/>
              </w:rPr>
              <w:t>892</w:t>
            </w:r>
            <w:r w:rsidRPr="00A52EAF">
              <w:rPr>
                <w:rFonts w:ascii="Arial" w:hAnsi="Arial" w:cs="Arial"/>
                <w:color w:val="000000"/>
                <w:sz w:val="16"/>
                <w:szCs w:val="16"/>
              </w:rPr>
              <w:t xml:space="preserve"> </w:t>
            </w:r>
            <w:r w:rsidRPr="00792CEC">
              <w:rPr>
                <w:rFonts w:ascii="Arial" w:hAnsi="Arial" w:cs="Arial"/>
                <w:color w:val="000000"/>
                <w:sz w:val="16"/>
                <w:szCs w:val="16"/>
              </w:rPr>
              <w:t>684</w:t>
            </w:r>
          </w:p>
        </w:tc>
        <w:tc>
          <w:tcPr>
            <w:tcW w:w="1197" w:type="dxa"/>
            <w:vAlign w:val="center"/>
          </w:tcPr>
          <w:p w14:paraId="78CED6E2"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$2 883 553</w:t>
            </w:r>
          </w:p>
        </w:tc>
        <w:tc>
          <w:tcPr>
            <w:tcW w:w="1196" w:type="dxa"/>
            <w:vAlign w:val="center"/>
          </w:tcPr>
          <w:p w14:paraId="32168347" w14:textId="77777777" w:rsidR="00030089" w:rsidRDefault="00030089" w:rsidP="008547F7">
            <w:pPr>
              <w:jc w:val="center"/>
              <w:rPr>
                <w:rFonts w:ascii="Arial" w:hAnsi="Arial" w:cs="Arial"/>
                <w:bCs/>
                <w:color w:val="000000"/>
                <w:sz w:val="16"/>
                <w:szCs w:val="16"/>
              </w:rPr>
            </w:pPr>
            <w:r w:rsidRPr="00A52EAF">
              <w:rPr>
                <w:rFonts w:ascii="Arial" w:hAnsi="Arial" w:cs="Arial"/>
                <w:color w:val="000000"/>
                <w:sz w:val="16"/>
                <w:szCs w:val="16"/>
              </w:rPr>
              <w:t>$</w:t>
            </w:r>
            <w:r w:rsidRPr="00792CEC">
              <w:rPr>
                <w:rFonts w:ascii="Arial" w:hAnsi="Arial" w:cs="Arial"/>
                <w:color w:val="000000"/>
                <w:sz w:val="16"/>
                <w:szCs w:val="16"/>
              </w:rPr>
              <w:t>1</w:t>
            </w:r>
            <w:r w:rsidRPr="00A52EAF">
              <w:rPr>
                <w:rFonts w:ascii="Arial" w:hAnsi="Arial" w:cs="Arial"/>
                <w:color w:val="000000"/>
                <w:sz w:val="16"/>
                <w:szCs w:val="16"/>
              </w:rPr>
              <w:t xml:space="preserve"> </w:t>
            </w:r>
            <w:r w:rsidRPr="00792CEC">
              <w:rPr>
                <w:rFonts w:ascii="Arial" w:hAnsi="Arial" w:cs="Arial"/>
                <w:color w:val="000000"/>
                <w:sz w:val="16"/>
                <w:szCs w:val="16"/>
              </w:rPr>
              <w:t>785</w:t>
            </w:r>
            <w:r w:rsidRPr="00A52EAF">
              <w:rPr>
                <w:rFonts w:ascii="Arial" w:hAnsi="Arial" w:cs="Arial"/>
                <w:color w:val="000000"/>
                <w:sz w:val="16"/>
                <w:szCs w:val="16"/>
              </w:rPr>
              <w:t xml:space="preserve"> </w:t>
            </w:r>
            <w:r w:rsidRPr="00792CEC">
              <w:rPr>
                <w:rFonts w:ascii="Arial" w:hAnsi="Arial" w:cs="Arial"/>
                <w:color w:val="000000"/>
                <w:sz w:val="16"/>
                <w:szCs w:val="16"/>
              </w:rPr>
              <w:t>368</w:t>
            </w:r>
          </w:p>
        </w:tc>
        <w:tc>
          <w:tcPr>
            <w:tcW w:w="1197" w:type="dxa"/>
            <w:vAlign w:val="center"/>
          </w:tcPr>
          <w:p w14:paraId="24B71948"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$10 526</w:t>
            </w:r>
          </w:p>
        </w:tc>
      </w:tr>
      <w:tr w:rsidR="00030089" w:rsidRPr="003756B1" w14:paraId="65A8AEB7" w14:textId="77777777" w:rsidTr="008547F7">
        <w:trPr>
          <w:trHeight w:hRule="exact" w:val="510"/>
        </w:trPr>
        <w:tc>
          <w:tcPr>
            <w:tcW w:w="1307" w:type="dxa"/>
            <w:vAlign w:val="center"/>
          </w:tcPr>
          <w:p w14:paraId="17BAFF4B" w14:textId="77777777" w:rsidR="00030089" w:rsidRPr="003756B1" w:rsidRDefault="00030089" w:rsidP="008547F7">
            <w:pPr>
              <w:pStyle w:val="Default"/>
              <w:jc w:val="left"/>
              <w:rPr>
                <w:b/>
                <w:sz w:val="18"/>
                <w:szCs w:val="18"/>
              </w:rPr>
            </w:pPr>
            <w:r w:rsidRPr="003756B1">
              <w:rPr>
                <w:b/>
                <w:sz w:val="18"/>
                <w:szCs w:val="18"/>
              </w:rPr>
              <w:t>WA</w:t>
            </w:r>
          </w:p>
        </w:tc>
        <w:tc>
          <w:tcPr>
            <w:tcW w:w="1298" w:type="dxa"/>
            <w:vAlign w:val="center"/>
          </w:tcPr>
          <w:p w14:paraId="7BE09F55" w14:textId="77777777" w:rsidR="00030089" w:rsidRPr="003756B1" w:rsidRDefault="00030089" w:rsidP="008547F7">
            <w:pPr>
              <w:jc w:val="right"/>
              <w:rPr>
                <w:rFonts w:ascii="Arial" w:hAnsi="Arial" w:cs="Arial"/>
                <w:bCs/>
                <w:color w:val="000000"/>
                <w:sz w:val="18"/>
                <w:szCs w:val="18"/>
              </w:rPr>
            </w:pPr>
            <w:r w:rsidRPr="003756B1">
              <w:rPr>
                <w:rFonts w:ascii="Arial" w:hAnsi="Arial" w:cs="Arial"/>
                <w:color w:val="000000"/>
                <w:sz w:val="18"/>
                <w:szCs w:val="18"/>
              </w:rPr>
              <w:t>9</w:t>
            </w:r>
          </w:p>
        </w:tc>
        <w:tc>
          <w:tcPr>
            <w:tcW w:w="1417" w:type="dxa"/>
            <w:vAlign w:val="center"/>
          </w:tcPr>
          <w:p w14:paraId="734D7DD5" w14:textId="77777777" w:rsidR="00030089" w:rsidRPr="003756B1" w:rsidRDefault="00030089" w:rsidP="008547F7">
            <w:pPr>
              <w:jc w:val="right"/>
              <w:rPr>
                <w:rFonts w:ascii="Arial" w:hAnsi="Arial" w:cs="Arial"/>
                <w:bCs/>
                <w:color w:val="000000"/>
                <w:sz w:val="18"/>
                <w:szCs w:val="18"/>
              </w:rPr>
            </w:pPr>
            <w:r w:rsidRPr="003756B1">
              <w:rPr>
                <w:rFonts w:ascii="Arial" w:hAnsi="Arial" w:cs="Arial"/>
                <w:color w:val="000000"/>
                <w:sz w:val="18"/>
                <w:szCs w:val="18"/>
              </w:rPr>
              <w:t>6</w:t>
            </w:r>
          </w:p>
        </w:tc>
        <w:tc>
          <w:tcPr>
            <w:tcW w:w="1630" w:type="dxa"/>
            <w:vAlign w:val="center"/>
          </w:tcPr>
          <w:p w14:paraId="7EE13B40" w14:textId="77777777" w:rsidR="00030089" w:rsidRDefault="00030089" w:rsidP="008547F7">
            <w:pPr>
              <w:jc w:val="center"/>
              <w:rPr>
                <w:rFonts w:ascii="Arial" w:hAnsi="Arial" w:cs="Arial"/>
                <w:bCs/>
                <w:color w:val="000000"/>
                <w:sz w:val="16"/>
                <w:szCs w:val="16"/>
              </w:rPr>
            </w:pPr>
            <w:r w:rsidRPr="00A52EAF">
              <w:rPr>
                <w:rFonts w:ascii="Arial" w:hAnsi="Arial" w:cs="Arial"/>
                <w:color w:val="000000"/>
                <w:sz w:val="16"/>
                <w:szCs w:val="16"/>
              </w:rPr>
              <w:t>$</w:t>
            </w:r>
            <w:r w:rsidRPr="00792CEC">
              <w:rPr>
                <w:rFonts w:ascii="Arial" w:hAnsi="Arial" w:cs="Arial"/>
                <w:color w:val="000000"/>
                <w:sz w:val="16"/>
                <w:szCs w:val="16"/>
              </w:rPr>
              <w:t>803</w:t>
            </w:r>
            <w:r w:rsidRPr="00A52EAF">
              <w:rPr>
                <w:rFonts w:ascii="Arial" w:hAnsi="Arial" w:cs="Arial"/>
                <w:color w:val="000000"/>
                <w:sz w:val="16"/>
                <w:szCs w:val="16"/>
              </w:rPr>
              <w:t xml:space="preserve"> </w:t>
            </w:r>
            <w:r w:rsidRPr="00792CEC">
              <w:rPr>
                <w:rFonts w:ascii="Arial" w:hAnsi="Arial" w:cs="Arial"/>
                <w:color w:val="000000"/>
                <w:sz w:val="16"/>
                <w:szCs w:val="16"/>
              </w:rPr>
              <w:t>416</w:t>
            </w:r>
          </w:p>
        </w:tc>
        <w:tc>
          <w:tcPr>
            <w:tcW w:w="1197" w:type="dxa"/>
            <w:vAlign w:val="center"/>
          </w:tcPr>
          <w:p w14:paraId="21AB1597"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$2 595 197</w:t>
            </w:r>
          </w:p>
        </w:tc>
        <w:tc>
          <w:tcPr>
            <w:tcW w:w="1196" w:type="dxa"/>
            <w:vAlign w:val="center"/>
          </w:tcPr>
          <w:p w14:paraId="3B6807C4" w14:textId="77777777" w:rsidR="00030089" w:rsidRDefault="00030089" w:rsidP="008547F7">
            <w:pPr>
              <w:jc w:val="center"/>
              <w:rPr>
                <w:rFonts w:ascii="Arial" w:hAnsi="Arial" w:cs="Arial"/>
                <w:bCs/>
                <w:color w:val="000000"/>
                <w:sz w:val="16"/>
                <w:szCs w:val="16"/>
              </w:rPr>
            </w:pPr>
            <w:r w:rsidRPr="00A52EAF">
              <w:rPr>
                <w:rFonts w:ascii="Arial" w:hAnsi="Arial" w:cs="Arial"/>
                <w:color w:val="000000"/>
                <w:sz w:val="16"/>
                <w:szCs w:val="16"/>
              </w:rPr>
              <w:t>$</w:t>
            </w:r>
            <w:r w:rsidRPr="00792CEC">
              <w:rPr>
                <w:rFonts w:ascii="Arial" w:hAnsi="Arial" w:cs="Arial"/>
                <w:color w:val="000000"/>
                <w:sz w:val="16"/>
                <w:szCs w:val="16"/>
              </w:rPr>
              <w:t>1</w:t>
            </w:r>
            <w:r w:rsidRPr="00A52EAF">
              <w:rPr>
                <w:rFonts w:ascii="Arial" w:hAnsi="Arial" w:cs="Arial"/>
                <w:color w:val="000000"/>
                <w:sz w:val="16"/>
                <w:szCs w:val="16"/>
              </w:rPr>
              <w:t xml:space="preserve"> </w:t>
            </w:r>
            <w:r w:rsidRPr="00792CEC">
              <w:rPr>
                <w:rFonts w:ascii="Arial" w:hAnsi="Arial" w:cs="Arial"/>
                <w:color w:val="000000"/>
                <w:sz w:val="16"/>
                <w:szCs w:val="16"/>
              </w:rPr>
              <w:t>606</w:t>
            </w:r>
            <w:r w:rsidRPr="00A52EAF">
              <w:rPr>
                <w:rFonts w:ascii="Arial" w:hAnsi="Arial" w:cs="Arial"/>
                <w:color w:val="000000"/>
                <w:sz w:val="16"/>
                <w:szCs w:val="16"/>
              </w:rPr>
              <w:t xml:space="preserve"> </w:t>
            </w:r>
            <w:r w:rsidRPr="00792CEC">
              <w:rPr>
                <w:rFonts w:ascii="Arial" w:hAnsi="Arial" w:cs="Arial"/>
                <w:color w:val="000000"/>
                <w:sz w:val="16"/>
                <w:szCs w:val="16"/>
              </w:rPr>
              <w:t>831</w:t>
            </w:r>
          </w:p>
        </w:tc>
        <w:tc>
          <w:tcPr>
            <w:tcW w:w="1197" w:type="dxa"/>
            <w:vAlign w:val="center"/>
          </w:tcPr>
          <w:p w14:paraId="20FEAFBD"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$9 474</w:t>
            </w:r>
          </w:p>
        </w:tc>
      </w:tr>
      <w:tr w:rsidR="00030089" w:rsidRPr="003756B1" w14:paraId="00F62137" w14:textId="77777777" w:rsidTr="008547F7">
        <w:trPr>
          <w:trHeight w:hRule="exact" w:val="510"/>
        </w:trPr>
        <w:tc>
          <w:tcPr>
            <w:tcW w:w="1307" w:type="dxa"/>
            <w:vAlign w:val="center"/>
          </w:tcPr>
          <w:p w14:paraId="13438025" w14:textId="77777777" w:rsidR="00030089" w:rsidRPr="003756B1" w:rsidRDefault="00030089" w:rsidP="008547F7">
            <w:pPr>
              <w:pStyle w:val="Default"/>
              <w:jc w:val="left"/>
              <w:rPr>
                <w:b/>
                <w:sz w:val="18"/>
                <w:szCs w:val="18"/>
              </w:rPr>
            </w:pPr>
            <w:r w:rsidRPr="003756B1">
              <w:rPr>
                <w:b/>
                <w:sz w:val="18"/>
                <w:szCs w:val="18"/>
              </w:rPr>
              <w:t>NT</w:t>
            </w:r>
          </w:p>
        </w:tc>
        <w:tc>
          <w:tcPr>
            <w:tcW w:w="1298" w:type="dxa"/>
            <w:vAlign w:val="center"/>
          </w:tcPr>
          <w:p w14:paraId="1F97C0DE" w14:textId="77777777" w:rsidR="00030089" w:rsidRPr="003756B1" w:rsidRDefault="00030089" w:rsidP="008547F7">
            <w:pPr>
              <w:jc w:val="right"/>
              <w:rPr>
                <w:rFonts w:ascii="Arial" w:hAnsi="Arial" w:cs="Arial"/>
                <w:bCs/>
                <w:color w:val="000000"/>
                <w:sz w:val="18"/>
                <w:szCs w:val="18"/>
              </w:rPr>
            </w:pPr>
            <w:r w:rsidRPr="003756B1">
              <w:rPr>
                <w:rFonts w:ascii="Arial" w:hAnsi="Arial" w:cs="Arial"/>
                <w:color w:val="000000"/>
                <w:sz w:val="18"/>
                <w:szCs w:val="18"/>
              </w:rPr>
              <w:t>1</w:t>
            </w:r>
          </w:p>
        </w:tc>
        <w:tc>
          <w:tcPr>
            <w:tcW w:w="1417" w:type="dxa"/>
            <w:vAlign w:val="center"/>
          </w:tcPr>
          <w:p w14:paraId="1BCECBAF" w14:textId="77777777" w:rsidR="00030089" w:rsidRPr="003756B1" w:rsidRDefault="00030089" w:rsidP="008547F7">
            <w:pPr>
              <w:jc w:val="right"/>
              <w:rPr>
                <w:rFonts w:ascii="Arial" w:hAnsi="Arial" w:cs="Arial"/>
                <w:bCs/>
                <w:color w:val="000000"/>
                <w:sz w:val="18"/>
                <w:szCs w:val="18"/>
              </w:rPr>
            </w:pPr>
            <w:r w:rsidRPr="003756B1">
              <w:rPr>
                <w:rFonts w:ascii="Arial" w:hAnsi="Arial" w:cs="Arial"/>
                <w:color w:val="000000"/>
                <w:sz w:val="18"/>
                <w:szCs w:val="18"/>
              </w:rPr>
              <w:t>1</w:t>
            </w:r>
          </w:p>
        </w:tc>
        <w:tc>
          <w:tcPr>
            <w:tcW w:w="1630" w:type="dxa"/>
            <w:vAlign w:val="center"/>
          </w:tcPr>
          <w:p w14:paraId="6768B38A" w14:textId="77777777" w:rsidR="00030089" w:rsidRDefault="00030089" w:rsidP="008547F7">
            <w:pPr>
              <w:jc w:val="center"/>
              <w:rPr>
                <w:rFonts w:ascii="Arial" w:hAnsi="Arial" w:cs="Arial"/>
                <w:bCs/>
                <w:color w:val="000000"/>
                <w:sz w:val="16"/>
                <w:szCs w:val="16"/>
              </w:rPr>
            </w:pPr>
            <w:r w:rsidRPr="00A52EAF">
              <w:rPr>
                <w:rFonts w:ascii="Arial" w:hAnsi="Arial" w:cs="Arial"/>
                <w:color w:val="000000"/>
                <w:sz w:val="16"/>
                <w:szCs w:val="16"/>
              </w:rPr>
              <w:t>$</w:t>
            </w:r>
            <w:r w:rsidRPr="00792CEC">
              <w:rPr>
                <w:rFonts w:ascii="Arial" w:hAnsi="Arial" w:cs="Arial"/>
                <w:color w:val="000000"/>
                <w:sz w:val="16"/>
                <w:szCs w:val="16"/>
              </w:rPr>
              <w:t>89</w:t>
            </w:r>
            <w:r w:rsidRPr="00A52EAF">
              <w:rPr>
                <w:rFonts w:ascii="Arial" w:hAnsi="Arial" w:cs="Arial"/>
                <w:color w:val="000000"/>
                <w:sz w:val="16"/>
                <w:szCs w:val="16"/>
              </w:rPr>
              <w:t xml:space="preserve"> </w:t>
            </w:r>
            <w:r w:rsidRPr="00792CEC">
              <w:rPr>
                <w:rFonts w:ascii="Arial" w:hAnsi="Arial" w:cs="Arial"/>
                <w:color w:val="000000"/>
                <w:sz w:val="16"/>
                <w:szCs w:val="16"/>
              </w:rPr>
              <w:t>268</w:t>
            </w:r>
          </w:p>
        </w:tc>
        <w:tc>
          <w:tcPr>
            <w:tcW w:w="1197" w:type="dxa"/>
            <w:vAlign w:val="center"/>
          </w:tcPr>
          <w:p w14:paraId="36BCB376"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$288 355</w:t>
            </w:r>
          </w:p>
        </w:tc>
        <w:tc>
          <w:tcPr>
            <w:tcW w:w="1196" w:type="dxa"/>
            <w:vAlign w:val="center"/>
          </w:tcPr>
          <w:p w14:paraId="003D9927" w14:textId="77777777" w:rsidR="00030089" w:rsidRDefault="00030089" w:rsidP="008547F7">
            <w:pPr>
              <w:jc w:val="center"/>
              <w:rPr>
                <w:rFonts w:ascii="Arial" w:hAnsi="Arial" w:cs="Arial"/>
                <w:bCs/>
                <w:color w:val="000000"/>
                <w:sz w:val="16"/>
                <w:szCs w:val="16"/>
              </w:rPr>
            </w:pPr>
            <w:r w:rsidRPr="00A52EAF">
              <w:rPr>
                <w:rFonts w:ascii="Arial" w:hAnsi="Arial" w:cs="Arial"/>
                <w:color w:val="000000"/>
                <w:sz w:val="16"/>
                <w:szCs w:val="16"/>
              </w:rPr>
              <w:t>$</w:t>
            </w:r>
            <w:r w:rsidRPr="00792CEC">
              <w:rPr>
                <w:rFonts w:ascii="Arial" w:hAnsi="Arial" w:cs="Arial"/>
                <w:color w:val="000000"/>
                <w:sz w:val="16"/>
                <w:szCs w:val="16"/>
              </w:rPr>
              <w:t>178</w:t>
            </w:r>
            <w:r w:rsidRPr="00A52EAF">
              <w:rPr>
                <w:rFonts w:ascii="Arial" w:hAnsi="Arial" w:cs="Arial"/>
                <w:color w:val="000000"/>
                <w:sz w:val="16"/>
                <w:szCs w:val="16"/>
              </w:rPr>
              <w:t xml:space="preserve"> </w:t>
            </w:r>
            <w:r w:rsidRPr="00792CEC">
              <w:rPr>
                <w:rFonts w:ascii="Arial" w:hAnsi="Arial" w:cs="Arial"/>
                <w:color w:val="000000"/>
                <w:sz w:val="16"/>
                <w:szCs w:val="16"/>
              </w:rPr>
              <w:t>537</w:t>
            </w:r>
          </w:p>
        </w:tc>
        <w:tc>
          <w:tcPr>
            <w:tcW w:w="1197" w:type="dxa"/>
            <w:vAlign w:val="center"/>
          </w:tcPr>
          <w:p w14:paraId="56291421"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$1 053</w:t>
            </w:r>
          </w:p>
        </w:tc>
      </w:tr>
      <w:tr w:rsidR="00030089" w:rsidRPr="003756B1" w14:paraId="77E987C4" w14:textId="77777777" w:rsidTr="008547F7">
        <w:trPr>
          <w:trHeight w:hRule="exact" w:val="510"/>
        </w:trPr>
        <w:tc>
          <w:tcPr>
            <w:tcW w:w="1307" w:type="dxa"/>
            <w:vAlign w:val="center"/>
          </w:tcPr>
          <w:p w14:paraId="7D64FA11" w14:textId="77777777" w:rsidR="00030089" w:rsidRPr="003756B1" w:rsidRDefault="00030089" w:rsidP="008547F7">
            <w:pPr>
              <w:pStyle w:val="Default"/>
              <w:jc w:val="left"/>
              <w:rPr>
                <w:b/>
                <w:sz w:val="18"/>
                <w:szCs w:val="18"/>
              </w:rPr>
            </w:pPr>
            <w:r w:rsidRPr="003756B1">
              <w:rPr>
                <w:b/>
                <w:sz w:val="18"/>
                <w:szCs w:val="18"/>
              </w:rPr>
              <w:t>ACT</w:t>
            </w:r>
          </w:p>
        </w:tc>
        <w:tc>
          <w:tcPr>
            <w:tcW w:w="1298" w:type="dxa"/>
            <w:vAlign w:val="center"/>
          </w:tcPr>
          <w:p w14:paraId="25DA5C22" w14:textId="77777777" w:rsidR="00030089" w:rsidRPr="003756B1" w:rsidRDefault="00030089" w:rsidP="008547F7">
            <w:pPr>
              <w:jc w:val="right"/>
              <w:rPr>
                <w:rFonts w:ascii="Arial" w:hAnsi="Arial" w:cs="Arial"/>
                <w:bCs/>
                <w:color w:val="000000"/>
                <w:sz w:val="18"/>
                <w:szCs w:val="18"/>
              </w:rPr>
            </w:pPr>
            <w:r w:rsidRPr="003756B1">
              <w:rPr>
                <w:rFonts w:ascii="Arial" w:hAnsi="Arial" w:cs="Arial"/>
                <w:color w:val="000000"/>
                <w:sz w:val="18"/>
                <w:szCs w:val="18"/>
              </w:rPr>
              <w:t>0</w:t>
            </w:r>
          </w:p>
        </w:tc>
        <w:tc>
          <w:tcPr>
            <w:tcW w:w="1417" w:type="dxa"/>
            <w:vAlign w:val="center"/>
          </w:tcPr>
          <w:p w14:paraId="450D5041" w14:textId="77777777" w:rsidR="00030089" w:rsidRPr="003756B1" w:rsidRDefault="00030089" w:rsidP="008547F7">
            <w:pPr>
              <w:jc w:val="right"/>
              <w:rPr>
                <w:rFonts w:ascii="Arial" w:hAnsi="Arial" w:cs="Arial"/>
                <w:bCs/>
                <w:color w:val="000000"/>
                <w:sz w:val="18"/>
                <w:szCs w:val="18"/>
              </w:rPr>
            </w:pPr>
            <w:r w:rsidRPr="003756B1">
              <w:rPr>
                <w:rFonts w:ascii="Arial" w:hAnsi="Arial" w:cs="Arial"/>
                <w:color w:val="000000"/>
                <w:sz w:val="18"/>
                <w:szCs w:val="18"/>
              </w:rPr>
              <w:t>0</w:t>
            </w:r>
          </w:p>
        </w:tc>
        <w:tc>
          <w:tcPr>
            <w:tcW w:w="1630" w:type="dxa"/>
            <w:vAlign w:val="center"/>
          </w:tcPr>
          <w:p w14:paraId="2ACCA787"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0</w:t>
            </w:r>
          </w:p>
        </w:tc>
        <w:tc>
          <w:tcPr>
            <w:tcW w:w="1197" w:type="dxa"/>
            <w:vAlign w:val="center"/>
          </w:tcPr>
          <w:p w14:paraId="0843BEB0"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0</w:t>
            </w:r>
          </w:p>
        </w:tc>
        <w:tc>
          <w:tcPr>
            <w:tcW w:w="1196" w:type="dxa"/>
            <w:vAlign w:val="center"/>
          </w:tcPr>
          <w:p w14:paraId="29F714D8"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0</w:t>
            </w:r>
          </w:p>
        </w:tc>
        <w:tc>
          <w:tcPr>
            <w:tcW w:w="1197" w:type="dxa"/>
            <w:vAlign w:val="center"/>
          </w:tcPr>
          <w:p w14:paraId="06E77113" w14:textId="77777777" w:rsidR="00030089" w:rsidRDefault="00030089" w:rsidP="008547F7">
            <w:pPr>
              <w:jc w:val="center"/>
              <w:rPr>
                <w:rFonts w:ascii="Arial" w:hAnsi="Arial" w:cs="Arial"/>
                <w:bCs/>
                <w:color w:val="000000"/>
                <w:sz w:val="16"/>
                <w:szCs w:val="16"/>
              </w:rPr>
            </w:pPr>
            <w:r w:rsidRPr="00792CEC">
              <w:rPr>
                <w:rFonts w:ascii="Arial" w:hAnsi="Arial" w:cs="Arial"/>
                <w:color w:val="000000"/>
                <w:sz w:val="16"/>
                <w:szCs w:val="16"/>
              </w:rPr>
              <w:t>0</w:t>
            </w:r>
          </w:p>
        </w:tc>
      </w:tr>
      <w:tr w:rsidR="00030089" w:rsidRPr="003756B1" w14:paraId="0775CA3F" w14:textId="77777777" w:rsidTr="008547F7">
        <w:trPr>
          <w:trHeight w:hRule="exact" w:val="510"/>
        </w:trPr>
        <w:tc>
          <w:tcPr>
            <w:tcW w:w="1307" w:type="dxa"/>
            <w:vAlign w:val="center"/>
          </w:tcPr>
          <w:p w14:paraId="550A6E4D" w14:textId="77777777" w:rsidR="00030089" w:rsidRPr="003756B1" w:rsidRDefault="00030089" w:rsidP="008547F7">
            <w:pPr>
              <w:pStyle w:val="Default"/>
              <w:jc w:val="left"/>
              <w:rPr>
                <w:b/>
                <w:sz w:val="18"/>
                <w:szCs w:val="18"/>
              </w:rPr>
            </w:pPr>
            <w:r w:rsidRPr="003756B1">
              <w:rPr>
                <w:b/>
                <w:sz w:val="18"/>
                <w:szCs w:val="18"/>
              </w:rPr>
              <w:t xml:space="preserve">TOTAL   </w:t>
            </w:r>
          </w:p>
        </w:tc>
        <w:tc>
          <w:tcPr>
            <w:tcW w:w="1298" w:type="dxa"/>
            <w:vAlign w:val="center"/>
          </w:tcPr>
          <w:p w14:paraId="0C3662CE" w14:textId="77777777" w:rsidR="00030089" w:rsidRPr="003756B1" w:rsidRDefault="00030089" w:rsidP="008547F7">
            <w:pPr>
              <w:jc w:val="right"/>
              <w:rPr>
                <w:rFonts w:ascii="Arial" w:hAnsi="Arial" w:cs="Arial"/>
                <w:color w:val="000000"/>
                <w:sz w:val="18"/>
                <w:szCs w:val="18"/>
              </w:rPr>
            </w:pPr>
            <w:r w:rsidRPr="003756B1">
              <w:rPr>
                <w:rFonts w:ascii="Arial" w:hAnsi="Arial" w:cs="Arial"/>
                <w:bCs/>
                <w:color w:val="000000"/>
                <w:sz w:val="18"/>
                <w:szCs w:val="18"/>
              </w:rPr>
              <w:t>152</w:t>
            </w:r>
          </w:p>
        </w:tc>
        <w:tc>
          <w:tcPr>
            <w:tcW w:w="1417" w:type="dxa"/>
            <w:vAlign w:val="center"/>
          </w:tcPr>
          <w:p w14:paraId="1D7942B8" w14:textId="77777777" w:rsidR="00030089" w:rsidRPr="003756B1" w:rsidRDefault="00030089" w:rsidP="008547F7">
            <w:pPr>
              <w:jc w:val="right"/>
              <w:rPr>
                <w:rFonts w:ascii="Arial" w:hAnsi="Arial" w:cs="Arial"/>
                <w:color w:val="000000"/>
                <w:sz w:val="18"/>
                <w:szCs w:val="18"/>
              </w:rPr>
            </w:pPr>
            <w:r w:rsidRPr="003756B1">
              <w:rPr>
                <w:rFonts w:ascii="Arial" w:hAnsi="Arial" w:cs="Arial"/>
                <w:bCs/>
                <w:color w:val="000000"/>
                <w:sz w:val="18"/>
                <w:szCs w:val="18"/>
              </w:rPr>
              <w:t>100</w:t>
            </w:r>
          </w:p>
        </w:tc>
        <w:tc>
          <w:tcPr>
            <w:tcW w:w="1630" w:type="dxa"/>
            <w:vAlign w:val="center"/>
          </w:tcPr>
          <w:p w14:paraId="50014411" w14:textId="77777777" w:rsidR="00030089" w:rsidRDefault="00030089" w:rsidP="008547F7">
            <w:pPr>
              <w:jc w:val="center"/>
              <w:rPr>
                <w:rFonts w:ascii="Arial" w:hAnsi="Arial" w:cs="Arial"/>
                <w:b/>
                <w:bCs/>
                <w:color w:val="000000"/>
                <w:sz w:val="16"/>
                <w:szCs w:val="16"/>
              </w:rPr>
            </w:pPr>
            <w:r w:rsidRPr="00A52EAF">
              <w:rPr>
                <w:rFonts w:ascii="Arial" w:hAnsi="Arial" w:cs="Arial"/>
                <w:color w:val="000000"/>
                <w:sz w:val="16"/>
                <w:szCs w:val="16"/>
              </w:rPr>
              <w:t>$</w:t>
            </w:r>
            <w:r w:rsidRPr="00792CEC">
              <w:rPr>
                <w:rFonts w:ascii="Arial" w:hAnsi="Arial" w:cs="Arial"/>
                <w:b/>
                <w:bCs/>
                <w:color w:val="000000"/>
                <w:sz w:val="16"/>
                <w:szCs w:val="16"/>
              </w:rPr>
              <w:t>13</w:t>
            </w:r>
            <w:r w:rsidRPr="00A52EAF">
              <w:rPr>
                <w:rFonts w:ascii="Arial" w:hAnsi="Arial" w:cs="Arial"/>
                <w:b/>
                <w:bCs/>
                <w:color w:val="000000"/>
                <w:sz w:val="16"/>
                <w:szCs w:val="16"/>
              </w:rPr>
              <w:t xml:space="preserve"> </w:t>
            </w:r>
            <w:r w:rsidRPr="00792CEC">
              <w:rPr>
                <w:rFonts w:ascii="Arial" w:hAnsi="Arial" w:cs="Arial"/>
                <w:b/>
                <w:bCs/>
                <w:color w:val="000000"/>
                <w:sz w:val="16"/>
                <w:szCs w:val="16"/>
              </w:rPr>
              <w:t>568</w:t>
            </w:r>
            <w:r w:rsidRPr="00A52EAF">
              <w:rPr>
                <w:rFonts w:ascii="Arial" w:hAnsi="Arial" w:cs="Arial"/>
                <w:b/>
                <w:bCs/>
                <w:color w:val="000000"/>
                <w:sz w:val="16"/>
                <w:szCs w:val="16"/>
              </w:rPr>
              <w:t xml:space="preserve"> </w:t>
            </w:r>
            <w:r w:rsidRPr="00792CEC">
              <w:rPr>
                <w:rFonts w:ascii="Arial" w:hAnsi="Arial" w:cs="Arial"/>
                <w:b/>
                <w:bCs/>
                <w:color w:val="000000"/>
                <w:sz w:val="16"/>
                <w:szCs w:val="16"/>
              </w:rPr>
              <w:t>795</w:t>
            </w:r>
          </w:p>
          <w:p w14:paraId="5B9D14FE" w14:textId="77777777" w:rsidR="00030089" w:rsidRDefault="00030089" w:rsidP="008547F7">
            <w:pPr>
              <w:jc w:val="center"/>
              <w:rPr>
                <w:rFonts w:ascii="Arial" w:hAnsi="Arial" w:cs="Arial"/>
                <w:color w:val="000000"/>
                <w:sz w:val="16"/>
                <w:szCs w:val="16"/>
              </w:rPr>
            </w:pPr>
          </w:p>
        </w:tc>
        <w:tc>
          <w:tcPr>
            <w:tcW w:w="1197" w:type="dxa"/>
            <w:vAlign w:val="center"/>
          </w:tcPr>
          <w:p w14:paraId="343B45CA" w14:textId="77777777" w:rsidR="00030089" w:rsidRDefault="00030089" w:rsidP="008547F7">
            <w:pPr>
              <w:jc w:val="center"/>
              <w:rPr>
                <w:rFonts w:ascii="Arial" w:hAnsi="Arial" w:cs="Arial"/>
                <w:color w:val="000000"/>
                <w:sz w:val="16"/>
                <w:szCs w:val="16"/>
              </w:rPr>
            </w:pPr>
          </w:p>
        </w:tc>
        <w:tc>
          <w:tcPr>
            <w:tcW w:w="1196" w:type="dxa"/>
            <w:vAlign w:val="center"/>
          </w:tcPr>
          <w:p w14:paraId="60F13757" w14:textId="77777777" w:rsidR="00030089" w:rsidRDefault="00030089" w:rsidP="008547F7">
            <w:pPr>
              <w:jc w:val="center"/>
              <w:rPr>
                <w:rFonts w:ascii="Arial" w:hAnsi="Arial" w:cs="Arial"/>
                <w:color w:val="000000"/>
                <w:sz w:val="16"/>
                <w:szCs w:val="16"/>
              </w:rPr>
            </w:pPr>
            <w:r w:rsidRPr="00A52EAF">
              <w:rPr>
                <w:rFonts w:ascii="Arial" w:hAnsi="Arial" w:cs="Arial"/>
                <w:color w:val="000000"/>
                <w:sz w:val="16"/>
                <w:szCs w:val="16"/>
              </w:rPr>
              <w:t>$</w:t>
            </w:r>
            <w:r w:rsidRPr="00792CEC">
              <w:rPr>
                <w:rFonts w:ascii="Arial" w:hAnsi="Arial" w:cs="Arial"/>
                <w:b/>
                <w:bCs/>
                <w:color w:val="000000"/>
                <w:sz w:val="16"/>
                <w:szCs w:val="16"/>
              </w:rPr>
              <w:t>27</w:t>
            </w:r>
            <w:r w:rsidRPr="00A52EAF">
              <w:rPr>
                <w:rFonts w:ascii="Arial" w:hAnsi="Arial" w:cs="Arial"/>
                <w:b/>
                <w:bCs/>
                <w:color w:val="000000"/>
                <w:sz w:val="16"/>
                <w:szCs w:val="16"/>
              </w:rPr>
              <w:t xml:space="preserve"> </w:t>
            </w:r>
            <w:r w:rsidRPr="00792CEC">
              <w:rPr>
                <w:rFonts w:ascii="Arial" w:hAnsi="Arial" w:cs="Arial"/>
                <w:b/>
                <w:bCs/>
                <w:color w:val="000000"/>
                <w:sz w:val="16"/>
                <w:szCs w:val="16"/>
              </w:rPr>
              <w:t>137</w:t>
            </w:r>
            <w:r w:rsidRPr="00A52EAF">
              <w:rPr>
                <w:rFonts w:ascii="Arial" w:hAnsi="Arial" w:cs="Arial"/>
                <w:b/>
                <w:bCs/>
                <w:color w:val="000000"/>
                <w:sz w:val="16"/>
                <w:szCs w:val="16"/>
              </w:rPr>
              <w:t xml:space="preserve"> </w:t>
            </w:r>
            <w:r w:rsidRPr="00792CEC">
              <w:rPr>
                <w:rFonts w:ascii="Arial" w:hAnsi="Arial" w:cs="Arial"/>
                <w:b/>
                <w:bCs/>
                <w:color w:val="000000"/>
                <w:sz w:val="16"/>
                <w:szCs w:val="16"/>
              </w:rPr>
              <w:t>590</w:t>
            </w:r>
          </w:p>
        </w:tc>
        <w:tc>
          <w:tcPr>
            <w:tcW w:w="1197" w:type="dxa"/>
            <w:vAlign w:val="center"/>
          </w:tcPr>
          <w:p w14:paraId="20E4E018" w14:textId="77777777" w:rsidR="00030089" w:rsidRDefault="00030089" w:rsidP="008547F7">
            <w:pPr>
              <w:jc w:val="center"/>
              <w:rPr>
                <w:rFonts w:ascii="Arial" w:hAnsi="Arial" w:cs="Arial"/>
                <w:color w:val="000000"/>
                <w:sz w:val="16"/>
                <w:szCs w:val="16"/>
              </w:rPr>
            </w:pPr>
          </w:p>
        </w:tc>
      </w:tr>
    </w:tbl>
    <w:p w14:paraId="4CDC77FA" w14:textId="77777777" w:rsidR="00030089" w:rsidRPr="00B102CF" w:rsidRDefault="00030089" w:rsidP="00030089">
      <w:pPr>
        <w:pStyle w:val="ListParagraph"/>
        <w:pageBreakBefore/>
        <w:numPr>
          <w:ilvl w:val="0"/>
          <w:numId w:val="3"/>
        </w:numPr>
        <w:spacing w:after="200" w:line="360" w:lineRule="auto"/>
        <w:ind w:left="357" w:hanging="357"/>
        <w:contextualSpacing w:val="0"/>
        <w:outlineLvl w:val="0"/>
        <w:rPr>
          <w:rFonts w:ascii="Arial" w:hAnsi="Arial" w:cs="Arial"/>
          <w:b/>
          <w:szCs w:val="28"/>
        </w:rPr>
      </w:pPr>
      <w:bookmarkStart w:id="321" w:name="_Toc353562561"/>
      <w:r w:rsidRPr="00B102CF">
        <w:rPr>
          <w:rFonts w:ascii="Arial" w:hAnsi="Arial" w:cs="Arial"/>
          <w:b/>
          <w:szCs w:val="28"/>
        </w:rPr>
        <w:lastRenderedPageBreak/>
        <w:t>Consultation</w:t>
      </w:r>
      <w:bookmarkEnd w:id="315"/>
      <w:bookmarkEnd w:id="321"/>
    </w:p>
    <w:p w14:paraId="40F3884A" w14:textId="77777777" w:rsidR="00030089" w:rsidRPr="00FE611A" w:rsidRDefault="00030089" w:rsidP="00030089">
      <w:pPr>
        <w:pStyle w:val="ListParagraph"/>
        <w:numPr>
          <w:ilvl w:val="1"/>
          <w:numId w:val="3"/>
        </w:numPr>
        <w:spacing w:after="200" w:line="360" w:lineRule="auto"/>
        <w:ind w:left="567" w:hanging="573"/>
        <w:outlineLvl w:val="1"/>
        <w:rPr>
          <w:rFonts w:ascii="Arial" w:hAnsi="Arial" w:cs="Arial"/>
          <w:b/>
          <w:szCs w:val="28"/>
        </w:rPr>
      </w:pPr>
      <w:bookmarkStart w:id="322" w:name="_Toc346008392"/>
      <w:bookmarkStart w:id="323" w:name="_Toc353562562"/>
      <w:r w:rsidRPr="00FE611A">
        <w:rPr>
          <w:rFonts w:ascii="Arial" w:hAnsi="Arial" w:cs="Arial"/>
          <w:b/>
          <w:szCs w:val="28"/>
        </w:rPr>
        <w:t>Consultation Regulation Impact Statement</w:t>
      </w:r>
      <w:bookmarkEnd w:id="322"/>
      <w:bookmarkEnd w:id="323"/>
    </w:p>
    <w:p w14:paraId="59C049E3" w14:textId="77777777" w:rsidR="00030089" w:rsidRPr="003E6EFE" w:rsidRDefault="00030089" w:rsidP="00030089">
      <w:pPr>
        <w:pStyle w:val="Style1"/>
        <w:rPr>
          <w:sz w:val="24"/>
          <w:szCs w:val="24"/>
        </w:rPr>
      </w:pPr>
      <w:bookmarkStart w:id="324" w:name="_Toc345576335"/>
      <w:bookmarkStart w:id="325" w:name="_Toc345576559"/>
      <w:bookmarkStart w:id="326" w:name="_Toc345576626"/>
      <w:bookmarkStart w:id="327" w:name="_Toc345926515"/>
      <w:bookmarkStart w:id="328" w:name="_Toc345926714"/>
      <w:bookmarkStart w:id="329" w:name="_Toc345936760"/>
      <w:bookmarkStart w:id="330" w:name="_Toc345941039"/>
      <w:bookmarkStart w:id="331" w:name="_Toc345941163"/>
      <w:bookmarkStart w:id="332" w:name="_Toc345941234"/>
      <w:bookmarkStart w:id="333" w:name="_Toc345941299"/>
      <w:bookmarkStart w:id="334" w:name="_Toc345941364"/>
      <w:bookmarkStart w:id="335" w:name="_Toc345941429"/>
      <w:bookmarkStart w:id="336" w:name="_Toc345941493"/>
      <w:bookmarkStart w:id="337" w:name="_Toc345941558"/>
      <w:bookmarkStart w:id="338" w:name="_Toc345941622"/>
      <w:bookmarkStart w:id="339" w:name="_Toc345941684"/>
      <w:bookmarkStart w:id="340" w:name="_Toc345941746"/>
      <w:bookmarkStart w:id="341" w:name="_Toc345942755"/>
      <w:bookmarkStart w:id="342" w:name="_Toc345944369"/>
      <w:bookmarkStart w:id="343" w:name="_Toc346006102"/>
      <w:bookmarkStart w:id="344" w:name="_Toc346008393"/>
      <w:bookmarkStart w:id="345" w:name="_Toc346195764"/>
      <w:bookmarkStart w:id="346" w:name="_Toc346282827"/>
      <w:bookmarkStart w:id="347" w:name="_Toc346288463"/>
      <w:bookmarkStart w:id="348" w:name="_Toc346288850"/>
      <w:bookmarkStart w:id="349" w:name="_Toc346522547"/>
      <w:bookmarkStart w:id="350" w:name="_Toc346524973"/>
      <w:bookmarkStart w:id="351" w:name="_Toc346525367"/>
      <w:bookmarkStart w:id="352" w:name="_Toc346525762"/>
      <w:bookmarkStart w:id="353" w:name="_Toc346527666"/>
      <w:bookmarkStart w:id="354" w:name="_Toc346528579"/>
      <w:bookmarkStart w:id="355" w:name="_Toc346528973"/>
      <w:bookmarkStart w:id="356" w:name="_Toc346549266"/>
      <w:bookmarkStart w:id="357" w:name="_Toc346549665"/>
      <w:bookmarkStart w:id="358" w:name="_Toc346550060"/>
      <w:bookmarkStart w:id="359" w:name="_Toc346713819"/>
      <w:bookmarkStart w:id="360" w:name="_Toc346714221"/>
      <w:bookmarkStart w:id="361" w:name="_Toc346714621"/>
      <w:bookmarkStart w:id="362" w:name="_Toc346715019"/>
      <w:bookmarkStart w:id="363" w:name="_Toc346715416"/>
      <w:bookmarkStart w:id="364" w:name="_Toc346715812"/>
      <w:bookmarkStart w:id="365" w:name="_Toc346797567"/>
      <w:bookmarkStart w:id="366" w:name="_Toc346798045"/>
      <w:bookmarkStart w:id="367" w:name="_Toc346798472"/>
      <w:bookmarkStart w:id="368" w:name="_Toc346801335"/>
      <w:bookmarkStart w:id="369" w:name="_Toc347752771"/>
      <w:bookmarkStart w:id="370" w:name="_Toc347929388"/>
      <w:bookmarkStart w:id="371" w:name="_Toc348095598"/>
      <w:bookmarkStart w:id="372" w:name="_Toc348103082"/>
      <w:bookmarkStart w:id="373" w:name="_Toc348103183"/>
      <w:bookmarkStart w:id="374" w:name="_Toc348103307"/>
      <w:bookmarkStart w:id="375" w:name="_Toc348103440"/>
      <w:bookmarkStart w:id="376" w:name="_Toc348103507"/>
      <w:bookmarkStart w:id="377" w:name="_Toc348103637"/>
      <w:bookmarkStart w:id="378" w:name="_Toc348335012"/>
      <w:bookmarkStart w:id="379" w:name="_Toc348335108"/>
      <w:bookmarkStart w:id="380" w:name="_Toc348335192"/>
      <w:bookmarkStart w:id="381" w:name="_Toc348335263"/>
      <w:bookmarkStart w:id="382" w:name="_Toc348335691"/>
      <w:bookmarkStart w:id="383" w:name="_Toc348336376"/>
      <w:bookmarkStart w:id="384" w:name="_Toc348336444"/>
      <w:bookmarkStart w:id="385" w:name="_Toc348336759"/>
      <w:bookmarkStart w:id="386" w:name="_Toc348337127"/>
      <w:bookmarkStart w:id="387" w:name="_Toc348337335"/>
      <w:bookmarkStart w:id="388" w:name="_Toc348354612"/>
      <w:bookmarkStart w:id="389" w:name="_Toc348354654"/>
      <w:bookmarkStart w:id="390" w:name="_Toc348354696"/>
      <w:bookmarkStart w:id="391" w:name="_Toc348354784"/>
      <w:bookmarkStart w:id="392" w:name="_Toc348354841"/>
      <w:bookmarkStart w:id="393" w:name="_Toc348684193"/>
      <w:bookmarkStart w:id="394" w:name="_Toc348684331"/>
      <w:bookmarkStart w:id="395" w:name="_Toc348684374"/>
      <w:bookmarkStart w:id="396" w:name="_Toc348699664"/>
      <w:bookmarkStart w:id="397" w:name="_Toc348702922"/>
      <w:bookmarkStart w:id="398" w:name="_Toc348702987"/>
      <w:bookmarkStart w:id="399" w:name="_Toc348703030"/>
      <w:bookmarkStart w:id="400" w:name="_Toc348703071"/>
      <w:bookmarkStart w:id="401" w:name="_Toc348703758"/>
      <w:bookmarkStart w:id="402" w:name="_Toc348964981"/>
      <w:bookmarkStart w:id="403" w:name="_Toc348965073"/>
      <w:bookmarkStart w:id="404" w:name="_Toc348965119"/>
      <w:bookmarkStart w:id="405" w:name="_Toc348965162"/>
      <w:bookmarkStart w:id="406" w:name="_Toc349223478"/>
      <w:bookmarkStart w:id="407" w:name="_Toc349724025"/>
      <w:bookmarkStart w:id="408" w:name="_Toc349817473"/>
      <w:bookmarkStart w:id="409" w:name="_Toc349831722"/>
      <w:bookmarkStart w:id="410" w:name="_Toc345576336"/>
      <w:bookmarkStart w:id="411" w:name="_Toc345576560"/>
      <w:bookmarkStart w:id="412" w:name="_Toc345576627"/>
      <w:bookmarkStart w:id="413" w:name="_Toc345926516"/>
      <w:bookmarkStart w:id="414" w:name="_Toc345926715"/>
      <w:bookmarkStart w:id="415" w:name="_Toc345936761"/>
      <w:bookmarkStart w:id="416" w:name="_Toc345941040"/>
      <w:bookmarkStart w:id="417" w:name="_Toc345941164"/>
      <w:bookmarkStart w:id="418" w:name="_Toc345941235"/>
      <w:bookmarkStart w:id="419" w:name="_Toc345941300"/>
      <w:bookmarkStart w:id="420" w:name="_Toc345941365"/>
      <w:bookmarkStart w:id="421" w:name="_Toc345941430"/>
      <w:bookmarkStart w:id="422" w:name="_Toc345941494"/>
      <w:bookmarkStart w:id="423" w:name="_Toc345941559"/>
      <w:bookmarkStart w:id="424" w:name="_Toc345941623"/>
      <w:bookmarkStart w:id="425" w:name="_Toc345941685"/>
      <w:bookmarkStart w:id="426" w:name="_Toc345941747"/>
      <w:bookmarkStart w:id="427" w:name="_Toc345942756"/>
      <w:bookmarkStart w:id="428" w:name="_Toc345944370"/>
      <w:bookmarkStart w:id="429" w:name="_Toc346006103"/>
      <w:bookmarkStart w:id="430" w:name="_Toc346008394"/>
      <w:bookmarkStart w:id="431" w:name="_Toc346195765"/>
      <w:bookmarkStart w:id="432" w:name="_Toc346282828"/>
      <w:bookmarkStart w:id="433" w:name="_Toc346288464"/>
      <w:bookmarkStart w:id="434" w:name="_Toc346288851"/>
      <w:bookmarkStart w:id="435" w:name="_Toc346522548"/>
      <w:bookmarkStart w:id="436" w:name="_Toc346524974"/>
      <w:bookmarkStart w:id="437" w:name="_Toc346525368"/>
      <w:bookmarkStart w:id="438" w:name="_Toc346525763"/>
      <w:bookmarkStart w:id="439" w:name="_Toc346527667"/>
      <w:bookmarkStart w:id="440" w:name="_Toc346528580"/>
      <w:bookmarkStart w:id="441" w:name="_Toc346528974"/>
      <w:bookmarkStart w:id="442" w:name="_Toc346549267"/>
      <w:bookmarkStart w:id="443" w:name="_Toc346549666"/>
      <w:bookmarkStart w:id="444" w:name="_Toc346550061"/>
      <w:bookmarkStart w:id="445" w:name="_Toc346713820"/>
      <w:bookmarkStart w:id="446" w:name="_Toc346714222"/>
      <w:bookmarkStart w:id="447" w:name="_Toc346714622"/>
      <w:bookmarkStart w:id="448" w:name="_Toc346715020"/>
      <w:bookmarkStart w:id="449" w:name="_Toc346715417"/>
      <w:bookmarkStart w:id="450" w:name="_Toc346715813"/>
      <w:bookmarkStart w:id="451" w:name="_Toc346797568"/>
      <w:bookmarkStart w:id="452" w:name="_Toc346798046"/>
      <w:bookmarkStart w:id="453" w:name="_Toc346798473"/>
      <w:bookmarkStart w:id="454" w:name="_Toc346801336"/>
      <w:bookmarkStart w:id="455" w:name="_Toc347752772"/>
      <w:bookmarkStart w:id="456" w:name="_Toc347929389"/>
      <w:bookmarkStart w:id="457" w:name="_Toc348095599"/>
      <w:bookmarkStart w:id="458" w:name="_Toc348103083"/>
      <w:bookmarkStart w:id="459" w:name="_Toc348103184"/>
      <w:bookmarkStart w:id="460" w:name="_Toc348103308"/>
      <w:bookmarkStart w:id="461" w:name="_Toc348103441"/>
      <w:bookmarkStart w:id="462" w:name="_Toc348103508"/>
      <w:bookmarkStart w:id="463" w:name="_Toc348103638"/>
      <w:bookmarkStart w:id="464" w:name="_Toc348335013"/>
      <w:bookmarkStart w:id="465" w:name="_Toc348335109"/>
      <w:bookmarkStart w:id="466" w:name="_Toc348335193"/>
      <w:bookmarkStart w:id="467" w:name="_Toc348335264"/>
      <w:bookmarkStart w:id="468" w:name="_Toc348335692"/>
      <w:bookmarkStart w:id="469" w:name="_Toc348336377"/>
      <w:bookmarkStart w:id="470" w:name="_Toc348336445"/>
      <w:bookmarkStart w:id="471" w:name="_Toc348336760"/>
      <w:bookmarkStart w:id="472" w:name="_Toc348337128"/>
      <w:bookmarkStart w:id="473" w:name="_Toc348337336"/>
      <w:bookmarkStart w:id="474" w:name="_Toc348354613"/>
      <w:bookmarkStart w:id="475" w:name="_Toc348354655"/>
      <w:bookmarkStart w:id="476" w:name="_Toc348354697"/>
      <w:bookmarkStart w:id="477" w:name="_Toc348354785"/>
      <w:bookmarkStart w:id="478" w:name="_Toc348354842"/>
      <w:bookmarkStart w:id="479" w:name="_Toc348684194"/>
      <w:bookmarkStart w:id="480" w:name="_Toc348684332"/>
      <w:bookmarkStart w:id="481" w:name="_Toc348684375"/>
      <w:bookmarkStart w:id="482" w:name="_Toc348699665"/>
      <w:bookmarkStart w:id="483" w:name="_Toc348702923"/>
      <w:bookmarkStart w:id="484" w:name="_Toc348702988"/>
      <w:bookmarkStart w:id="485" w:name="_Toc348703031"/>
      <w:bookmarkStart w:id="486" w:name="_Toc348703072"/>
      <w:bookmarkStart w:id="487" w:name="_Toc348703759"/>
      <w:bookmarkStart w:id="488" w:name="_Toc348964982"/>
      <w:bookmarkStart w:id="489" w:name="_Toc348965074"/>
      <w:bookmarkStart w:id="490" w:name="_Toc348965120"/>
      <w:bookmarkStart w:id="491" w:name="_Toc348965163"/>
      <w:bookmarkStart w:id="492" w:name="_Toc349223479"/>
      <w:bookmarkStart w:id="493" w:name="_Toc349724026"/>
      <w:bookmarkStart w:id="494" w:name="_Toc349817474"/>
      <w:bookmarkStart w:id="495" w:name="_Toc3498317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3E6EFE">
        <w:rPr>
          <w:sz w:val="24"/>
          <w:szCs w:val="24"/>
        </w:rPr>
        <w:t>The Northern Territory Consultation Regulation Impact Statement (NT CRIS) was released on 1 November 2012 for a four week consultation period, inviting submissions from all interested parties by 3 December 2012.</w:t>
      </w:r>
    </w:p>
    <w:p w14:paraId="40DF5C7C" w14:textId="77777777" w:rsidR="00030089" w:rsidRPr="003E6EFE" w:rsidRDefault="00030089" w:rsidP="00030089">
      <w:pPr>
        <w:pStyle w:val="Style1"/>
        <w:rPr>
          <w:rFonts w:eastAsia="Times New Roman"/>
          <w:sz w:val="24"/>
          <w:szCs w:val="24"/>
          <w:lang w:val="en-AU" w:bidi="ar-SA"/>
        </w:rPr>
      </w:pPr>
      <w:r w:rsidRPr="003E6EFE">
        <w:rPr>
          <w:rFonts w:eastAsia="Times New Roman"/>
          <w:sz w:val="24"/>
          <w:szCs w:val="24"/>
          <w:lang w:val="en-AU" w:bidi="ar-SA"/>
        </w:rPr>
        <w:t>The NT CRIS outlined the issue of resource recovery in the NT and discussed the introduction of a CDS to combat these issues. The NT CRIS examined the following four options:</w:t>
      </w:r>
    </w:p>
    <w:p w14:paraId="53EBE4C7" w14:textId="77777777" w:rsidR="00030089" w:rsidRPr="003E6EFE" w:rsidRDefault="00030089" w:rsidP="00030089">
      <w:pPr>
        <w:pStyle w:val="Style1"/>
        <w:numPr>
          <w:ilvl w:val="0"/>
          <w:numId w:val="6"/>
        </w:numPr>
        <w:rPr>
          <w:rFonts w:eastAsia="Times New Roman"/>
          <w:sz w:val="24"/>
          <w:szCs w:val="24"/>
          <w:lang w:val="en-AU" w:bidi="ar-SA"/>
        </w:rPr>
      </w:pPr>
      <w:r w:rsidRPr="003E6EFE">
        <w:rPr>
          <w:rFonts w:eastAsia="Times New Roman"/>
          <w:sz w:val="24"/>
          <w:szCs w:val="24"/>
          <w:lang w:val="en-AU" w:bidi="ar-SA"/>
        </w:rPr>
        <w:t>allowing the temporary exemption to expire;</w:t>
      </w:r>
    </w:p>
    <w:p w14:paraId="1BB47711" w14:textId="77777777" w:rsidR="00030089" w:rsidRPr="003E6EFE" w:rsidRDefault="00030089" w:rsidP="00030089">
      <w:pPr>
        <w:pStyle w:val="Style1"/>
        <w:numPr>
          <w:ilvl w:val="0"/>
          <w:numId w:val="6"/>
        </w:numPr>
        <w:rPr>
          <w:rFonts w:eastAsia="Times New Roman"/>
          <w:sz w:val="24"/>
          <w:szCs w:val="24"/>
          <w:lang w:val="en-AU" w:bidi="ar-SA"/>
        </w:rPr>
      </w:pPr>
      <w:r w:rsidRPr="003E6EFE">
        <w:rPr>
          <w:rFonts w:eastAsia="Times New Roman"/>
          <w:sz w:val="24"/>
          <w:szCs w:val="24"/>
          <w:lang w:val="en-AU" w:bidi="ar-SA"/>
        </w:rPr>
        <w:t>replacing the NT CDS with a national CDS;</w:t>
      </w:r>
    </w:p>
    <w:p w14:paraId="754899AB" w14:textId="77777777" w:rsidR="00030089" w:rsidRPr="003E6EFE" w:rsidRDefault="00030089" w:rsidP="00030089">
      <w:pPr>
        <w:pStyle w:val="Style1"/>
        <w:numPr>
          <w:ilvl w:val="0"/>
          <w:numId w:val="6"/>
        </w:numPr>
        <w:rPr>
          <w:rFonts w:eastAsia="Times New Roman"/>
          <w:sz w:val="24"/>
          <w:szCs w:val="24"/>
          <w:lang w:val="en-AU" w:bidi="ar-SA"/>
        </w:rPr>
      </w:pPr>
      <w:r w:rsidRPr="003E6EFE">
        <w:rPr>
          <w:rFonts w:eastAsia="Times New Roman"/>
          <w:sz w:val="24"/>
          <w:szCs w:val="24"/>
          <w:lang w:val="en-AU" w:bidi="ar-SA"/>
        </w:rPr>
        <w:t xml:space="preserve">seeking approval from the relevant Ministerial Council for a permanent exemption from the </w:t>
      </w:r>
      <w:r w:rsidRPr="003E6EFE">
        <w:rPr>
          <w:rFonts w:eastAsia="Times New Roman"/>
          <w:i/>
          <w:sz w:val="24"/>
          <w:szCs w:val="24"/>
          <w:lang w:val="en-AU" w:bidi="ar-SA"/>
        </w:rPr>
        <w:t>Mutual Recognition Act</w:t>
      </w:r>
      <w:r w:rsidRPr="003E6EFE">
        <w:rPr>
          <w:rFonts w:eastAsia="Times New Roman"/>
          <w:sz w:val="24"/>
          <w:szCs w:val="24"/>
          <w:lang w:val="en-AU" w:bidi="ar-SA"/>
        </w:rPr>
        <w:t xml:space="preserve"> and </w:t>
      </w:r>
      <w:r w:rsidRPr="003E6EFE">
        <w:rPr>
          <w:rFonts w:eastAsia="Times New Roman"/>
          <w:i/>
          <w:sz w:val="24"/>
          <w:szCs w:val="24"/>
          <w:lang w:val="en-AU" w:bidi="ar-SA"/>
        </w:rPr>
        <w:t>Trans Tasman Mutual Recognition Act</w:t>
      </w:r>
      <w:r w:rsidRPr="003E6EFE">
        <w:rPr>
          <w:rFonts w:eastAsia="Times New Roman"/>
          <w:sz w:val="24"/>
          <w:szCs w:val="24"/>
          <w:lang w:val="en-AU" w:bidi="ar-SA"/>
        </w:rPr>
        <w:t>; and</w:t>
      </w:r>
    </w:p>
    <w:p w14:paraId="7D3C34CC" w14:textId="77777777" w:rsidR="00030089" w:rsidRPr="003E6EFE" w:rsidRDefault="00030089" w:rsidP="00030089">
      <w:pPr>
        <w:pStyle w:val="Style1"/>
        <w:numPr>
          <w:ilvl w:val="0"/>
          <w:numId w:val="6"/>
        </w:numPr>
        <w:rPr>
          <w:rFonts w:eastAsia="Times New Roman"/>
          <w:sz w:val="24"/>
          <w:szCs w:val="24"/>
          <w:lang w:val="en-AU" w:bidi="ar-SA"/>
        </w:rPr>
      </w:pPr>
      <w:r w:rsidRPr="003E6EFE">
        <w:rPr>
          <w:rFonts w:eastAsia="Times New Roman"/>
          <w:sz w:val="24"/>
          <w:szCs w:val="24"/>
          <w:lang w:val="en-AU" w:bidi="ar-SA"/>
        </w:rPr>
        <w:t>replacing the NT CDS with a less trade-restrictive alternative.</w:t>
      </w:r>
    </w:p>
    <w:p w14:paraId="09C263BC" w14:textId="77777777" w:rsidR="00030089" w:rsidRPr="003E6EFE" w:rsidRDefault="00030089" w:rsidP="00030089">
      <w:pPr>
        <w:pStyle w:val="ListParagraph"/>
        <w:numPr>
          <w:ilvl w:val="1"/>
          <w:numId w:val="7"/>
        </w:numPr>
        <w:spacing w:after="200" w:line="360" w:lineRule="auto"/>
        <w:contextualSpacing w:val="0"/>
        <w:jc w:val="both"/>
        <w:outlineLvl w:val="1"/>
        <w:rPr>
          <w:rFonts w:ascii="Arial" w:hAnsi="Arial" w:cs="Arial"/>
          <w:b/>
          <w:vanish/>
          <w:szCs w:val="24"/>
        </w:rPr>
      </w:pPr>
      <w:bookmarkStart w:id="496" w:name="_Toc345576337"/>
      <w:bookmarkStart w:id="497" w:name="_Toc345576561"/>
      <w:bookmarkStart w:id="498" w:name="_Toc345576628"/>
      <w:bookmarkStart w:id="499" w:name="_Toc345926517"/>
      <w:bookmarkStart w:id="500" w:name="_Toc345926716"/>
      <w:bookmarkStart w:id="501" w:name="_Toc345936762"/>
      <w:bookmarkStart w:id="502" w:name="_Toc345941041"/>
      <w:bookmarkStart w:id="503" w:name="_Toc345941165"/>
      <w:bookmarkStart w:id="504" w:name="_Toc345941236"/>
      <w:bookmarkStart w:id="505" w:name="_Toc345941301"/>
      <w:bookmarkStart w:id="506" w:name="_Toc345941366"/>
      <w:bookmarkStart w:id="507" w:name="_Toc345941431"/>
      <w:bookmarkStart w:id="508" w:name="_Toc345941495"/>
      <w:bookmarkStart w:id="509" w:name="_Toc345941560"/>
      <w:bookmarkStart w:id="510" w:name="_Toc345941624"/>
      <w:bookmarkStart w:id="511" w:name="_Toc345941686"/>
      <w:bookmarkStart w:id="512" w:name="_Toc345941748"/>
      <w:bookmarkStart w:id="513" w:name="_Toc345942757"/>
      <w:bookmarkStart w:id="514" w:name="_Toc345944371"/>
      <w:bookmarkStart w:id="515" w:name="_Toc346006104"/>
      <w:bookmarkStart w:id="516" w:name="_Toc346008395"/>
      <w:bookmarkStart w:id="517" w:name="_Toc346195766"/>
      <w:bookmarkStart w:id="518" w:name="_Toc346282829"/>
      <w:bookmarkStart w:id="519" w:name="_Toc346288465"/>
      <w:bookmarkStart w:id="520" w:name="_Toc346288852"/>
      <w:bookmarkStart w:id="521" w:name="_Toc346522549"/>
      <w:bookmarkStart w:id="522" w:name="_Toc346524975"/>
      <w:bookmarkStart w:id="523" w:name="_Toc346525369"/>
      <w:bookmarkStart w:id="524" w:name="_Toc346525764"/>
      <w:bookmarkStart w:id="525" w:name="_Toc346527668"/>
      <w:bookmarkStart w:id="526" w:name="_Toc346528581"/>
      <w:bookmarkStart w:id="527" w:name="_Toc346528975"/>
      <w:bookmarkStart w:id="528" w:name="_Toc346549268"/>
      <w:bookmarkStart w:id="529" w:name="_Toc346549667"/>
      <w:bookmarkStart w:id="530" w:name="_Toc346550062"/>
      <w:bookmarkStart w:id="531" w:name="_Toc346713821"/>
      <w:bookmarkStart w:id="532" w:name="_Toc346714223"/>
      <w:bookmarkStart w:id="533" w:name="_Toc346714623"/>
      <w:bookmarkStart w:id="534" w:name="_Toc346715021"/>
      <w:bookmarkStart w:id="535" w:name="_Toc346715418"/>
      <w:bookmarkStart w:id="536" w:name="_Toc346715814"/>
      <w:bookmarkStart w:id="537" w:name="_Toc346797569"/>
      <w:bookmarkStart w:id="538" w:name="_Toc346798047"/>
      <w:bookmarkStart w:id="539" w:name="_Toc346798474"/>
      <w:bookmarkStart w:id="540" w:name="_Toc346801337"/>
      <w:bookmarkStart w:id="541" w:name="_Toc347752773"/>
      <w:bookmarkStart w:id="542" w:name="_Toc347929390"/>
      <w:bookmarkStart w:id="543" w:name="_Toc345576338"/>
      <w:bookmarkStart w:id="544" w:name="_Toc345576562"/>
      <w:bookmarkStart w:id="545" w:name="_Toc345576629"/>
      <w:bookmarkStart w:id="546" w:name="_Toc345926518"/>
      <w:bookmarkStart w:id="547" w:name="_Toc345926717"/>
      <w:bookmarkStart w:id="548" w:name="_Toc345936763"/>
      <w:bookmarkStart w:id="549" w:name="_Toc345941042"/>
      <w:bookmarkStart w:id="550" w:name="_Toc345941166"/>
      <w:bookmarkStart w:id="551" w:name="_Toc345941237"/>
      <w:bookmarkStart w:id="552" w:name="_Toc345941302"/>
      <w:bookmarkStart w:id="553" w:name="_Toc345941367"/>
      <w:bookmarkStart w:id="554" w:name="_Toc345941432"/>
      <w:bookmarkStart w:id="555" w:name="_Toc345941496"/>
      <w:bookmarkStart w:id="556" w:name="_Toc345941561"/>
      <w:bookmarkStart w:id="557" w:name="_Toc345941625"/>
      <w:bookmarkStart w:id="558" w:name="_Toc345941687"/>
      <w:bookmarkStart w:id="559" w:name="_Toc345941749"/>
      <w:bookmarkStart w:id="560" w:name="_Toc345942758"/>
      <w:bookmarkStart w:id="561" w:name="_Toc345944372"/>
      <w:bookmarkStart w:id="562" w:name="_Toc346006105"/>
      <w:bookmarkStart w:id="563" w:name="_Toc346008396"/>
      <w:bookmarkStart w:id="564" w:name="_Toc346195767"/>
      <w:bookmarkStart w:id="565" w:name="_Toc346282830"/>
      <w:bookmarkStart w:id="566" w:name="_Toc346288466"/>
      <w:bookmarkStart w:id="567" w:name="_Toc346288853"/>
      <w:bookmarkStart w:id="568" w:name="_Toc346522550"/>
      <w:bookmarkStart w:id="569" w:name="_Toc346524976"/>
      <w:bookmarkStart w:id="570" w:name="_Toc346525370"/>
      <w:bookmarkStart w:id="571" w:name="_Toc346525765"/>
      <w:bookmarkStart w:id="572" w:name="_Toc346527669"/>
      <w:bookmarkStart w:id="573" w:name="_Toc346528582"/>
      <w:bookmarkStart w:id="574" w:name="_Toc346528976"/>
      <w:bookmarkStart w:id="575" w:name="_Toc346549269"/>
      <w:bookmarkStart w:id="576" w:name="_Toc346549668"/>
      <w:bookmarkStart w:id="577" w:name="_Toc346550063"/>
      <w:bookmarkStart w:id="578" w:name="_Toc346713822"/>
      <w:bookmarkStart w:id="579" w:name="_Toc346714224"/>
      <w:bookmarkStart w:id="580" w:name="_Toc346714624"/>
      <w:bookmarkStart w:id="581" w:name="_Toc346715022"/>
      <w:bookmarkStart w:id="582" w:name="_Toc346715419"/>
      <w:bookmarkStart w:id="583" w:name="_Toc346715815"/>
      <w:bookmarkStart w:id="584" w:name="_Toc346797570"/>
      <w:bookmarkStart w:id="585" w:name="_Toc346798048"/>
      <w:bookmarkStart w:id="586" w:name="_Toc346798475"/>
      <w:bookmarkStart w:id="587" w:name="_Toc346801338"/>
      <w:bookmarkStart w:id="588" w:name="_Toc347752774"/>
      <w:bookmarkStart w:id="589" w:name="_Toc347929391"/>
      <w:bookmarkStart w:id="590" w:name="_Toc348095600"/>
      <w:bookmarkStart w:id="591" w:name="_Toc348103084"/>
      <w:bookmarkStart w:id="592" w:name="_Toc348103185"/>
      <w:bookmarkStart w:id="593" w:name="_Toc348103309"/>
      <w:bookmarkStart w:id="594" w:name="_Toc348103442"/>
      <w:bookmarkStart w:id="595" w:name="_Toc348103509"/>
      <w:bookmarkStart w:id="596" w:name="_Toc348103639"/>
      <w:bookmarkStart w:id="597" w:name="_Toc348335014"/>
      <w:bookmarkStart w:id="598" w:name="_Toc348335110"/>
      <w:bookmarkStart w:id="599" w:name="_Toc348335194"/>
      <w:bookmarkStart w:id="600" w:name="_Toc348335265"/>
      <w:bookmarkStart w:id="601" w:name="_Toc348335693"/>
      <w:bookmarkStart w:id="602" w:name="_Toc348336378"/>
      <w:bookmarkStart w:id="603" w:name="_Toc348336446"/>
      <w:bookmarkStart w:id="604" w:name="_Toc348336761"/>
      <w:bookmarkStart w:id="605" w:name="_Toc348337129"/>
      <w:bookmarkStart w:id="606" w:name="_Toc348337337"/>
      <w:bookmarkStart w:id="607" w:name="_Toc348354614"/>
      <w:bookmarkStart w:id="608" w:name="_Toc348354656"/>
      <w:bookmarkStart w:id="609" w:name="_Toc348354698"/>
      <w:bookmarkStart w:id="610" w:name="_Toc348354786"/>
      <w:bookmarkStart w:id="611" w:name="_Toc348354843"/>
      <w:bookmarkStart w:id="612" w:name="_Toc348684195"/>
      <w:bookmarkStart w:id="613" w:name="_Toc348684333"/>
      <w:bookmarkStart w:id="614" w:name="_Toc348684376"/>
      <w:bookmarkStart w:id="615" w:name="_Toc348699666"/>
      <w:bookmarkStart w:id="616" w:name="_Toc348702924"/>
      <w:bookmarkStart w:id="617" w:name="_Toc348702989"/>
      <w:bookmarkStart w:id="618" w:name="_Toc348703032"/>
      <w:bookmarkStart w:id="619" w:name="_Toc348703073"/>
      <w:bookmarkStart w:id="620" w:name="_Toc348703760"/>
      <w:bookmarkStart w:id="621" w:name="_Toc348964983"/>
      <w:bookmarkStart w:id="622" w:name="_Toc348965075"/>
      <w:bookmarkStart w:id="623" w:name="_Toc348965121"/>
      <w:bookmarkStart w:id="624" w:name="_Toc348965164"/>
      <w:bookmarkStart w:id="625" w:name="_Toc349223480"/>
      <w:bookmarkStart w:id="626" w:name="_Toc349724027"/>
      <w:bookmarkStart w:id="627" w:name="_Toc349817475"/>
      <w:bookmarkStart w:id="628" w:name="_Toc349831724"/>
      <w:bookmarkStart w:id="629" w:name="_Toc351458868"/>
      <w:bookmarkStart w:id="630" w:name="_Toc351459104"/>
      <w:bookmarkStart w:id="631" w:name="_Toc351459188"/>
      <w:bookmarkStart w:id="632" w:name="_Toc351459230"/>
      <w:bookmarkStart w:id="633" w:name="_Toc351459278"/>
      <w:bookmarkStart w:id="634" w:name="_Toc351459344"/>
      <w:bookmarkStart w:id="635" w:name="_Toc351459419"/>
      <w:bookmarkStart w:id="636" w:name="_Toc351463514"/>
      <w:bookmarkStart w:id="637" w:name="_Toc351979178"/>
      <w:bookmarkStart w:id="638" w:name="_Toc351980331"/>
      <w:bookmarkStart w:id="639" w:name="_Toc352071005"/>
      <w:bookmarkStart w:id="640" w:name="_Toc352071178"/>
      <w:bookmarkStart w:id="641" w:name="_Toc352183938"/>
      <w:bookmarkStart w:id="642" w:name="_Toc352240157"/>
      <w:bookmarkStart w:id="643" w:name="_Toc352244922"/>
      <w:bookmarkStart w:id="644" w:name="_Toc352251873"/>
      <w:bookmarkStart w:id="645" w:name="_Toc352254256"/>
      <w:bookmarkStart w:id="646" w:name="_Toc353554425"/>
      <w:bookmarkStart w:id="647" w:name="_Toc353562563"/>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0178CCE3" w14:textId="77777777" w:rsidR="00030089" w:rsidRPr="003E6EFE" w:rsidRDefault="00030089" w:rsidP="00030089">
      <w:pPr>
        <w:pStyle w:val="ListParagraph"/>
        <w:numPr>
          <w:ilvl w:val="1"/>
          <w:numId w:val="3"/>
        </w:numPr>
        <w:spacing w:after="200" w:line="360" w:lineRule="auto"/>
        <w:ind w:left="567" w:hanging="573"/>
        <w:jc w:val="both"/>
        <w:outlineLvl w:val="1"/>
        <w:rPr>
          <w:rFonts w:ascii="Arial" w:hAnsi="Arial" w:cs="Arial"/>
          <w:b/>
          <w:szCs w:val="24"/>
        </w:rPr>
      </w:pPr>
      <w:bookmarkStart w:id="648" w:name="_Toc346008397"/>
      <w:bookmarkStart w:id="649" w:name="_Toc353562564"/>
      <w:r w:rsidRPr="003E6EFE">
        <w:rPr>
          <w:rFonts w:ascii="Arial" w:hAnsi="Arial" w:cs="Arial"/>
          <w:b/>
          <w:szCs w:val="24"/>
        </w:rPr>
        <w:t>Submissions</w:t>
      </w:r>
      <w:bookmarkEnd w:id="648"/>
      <w:bookmarkEnd w:id="649"/>
    </w:p>
    <w:p w14:paraId="1258CCAD" w14:textId="77777777" w:rsidR="00030089" w:rsidRPr="003E6EFE" w:rsidRDefault="00030089" w:rsidP="00030089">
      <w:pPr>
        <w:pStyle w:val="Style1"/>
        <w:rPr>
          <w:sz w:val="24"/>
          <w:szCs w:val="24"/>
        </w:rPr>
      </w:pPr>
      <w:r w:rsidRPr="003E6EFE">
        <w:rPr>
          <w:sz w:val="24"/>
          <w:szCs w:val="24"/>
        </w:rPr>
        <w:t>A total of 16 submissions were received in response to the CRIS. These are summarised in Table 5.1.</w:t>
      </w:r>
    </w:p>
    <w:p w14:paraId="73B0C2C4"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650" w:name="_Toc353562531"/>
      <w:r w:rsidR="00740026">
        <w:rPr>
          <w:noProof/>
          <w:color w:val="auto"/>
        </w:rPr>
        <w:t>50</w:t>
      </w:r>
      <w:r w:rsidRPr="00682556">
        <w:rPr>
          <w:noProof/>
          <w:color w:val="auto"/>
        </w:rPr>
        <w:fldChar w:fldCharType="end"/>
      </w:r>
      <w:r w:rsidRPr="00682556">
        <w:rPr>
          <w:noProof/>
          <w:color w:val="auto"/>
        </w:rPr>
        <w:t xml:space="preserve"> Table 5.1: Summary of Submissions</w:t>
      </w:r>
      <w:bookmarkEnd w:id="650"/>
      <w:r w:rsidRPr="00682556">
        <w:rPr>
          <w:noProof/>
          <w:color w:val="auto"/>
        </w:rPr>
        <w:t xml:space="preserve">  </w:t>
      </w:r>
    </w:p>
    <w:tbl>
      <w:tblPr>
        <w:tblStyle w:val="TableGrid"/>
        <w:tblW w:w="9640" w:type="dxa"/>
        <w:tblLayout w:type="fixed"/>
        <w:tblLook w:val="04A0" w:firstRow="1" w:lastRow="0" w:firstColumn="1" w:lastColumn="0" w:noHBand="0" w:noVBand="1"/>
      </w:tblPr>
      <w:tblGrid>
        <w:gridCol w:w="534"/>
        <w:gridCol w:w="1559"/>
        <w:gridCol w:w="2727"/>
        <w:gridCol w:w="1984"/>
        <w:gridCol w:w="2836"/>
      </w:tblGrid>
      <w:tr w:rsidR="00030089" w:rsidRPr="00A903AA" w14:paraId="51D20A76" w14:textId="77777777" w:rsidTr="008547F7">
        <w:trPr>
          <w:tblHeader/>
        </w:trPr>
        <w:tc>
          <w:tcPr>
            <w:tcW w:w="534" w:type="dxa"/>
            <w:shd w:val="pct10" w:color="auto" w:fill="auto"/>
          </w:tcPr>
          <w:p w14:paraId="5F2CCE34" w14:textId="77777777" w:rsidR="00030089" w:rsidRPr="00A903AA" w:rsidRDefault="00030089" w:rsidP="008547F7">
            <w:pPr>
              <w:pStyle w:val="NoSpacing"/>
              <w:keepNext/>
              <w:spacing w:line="360" w:lineRule="auto"/>
              <w:rPr>
                <w:b/>
                <w:sz w:val="16"/>
                <w:szCs w:val="16"/>
              </w:rPr>
            </w:pPr>
          </w:p>
        </w:tc>
        <w:tc>
          <w:tcPr>
            <w:tcW w:w="1559" w:type="dxa"/>
            <w:shd w:val="pct10" w:color="auto" w:fill="auto"/>
          </w:tcPr>
          <w:p w14:paraId="54EF7FD3" w14:textId="77777777" w:rsidR="00030089" w:rsidRPr="00A903AA" w:rsidRDefault="00030089" w:rsidP="008547F7">
            <w:pPr>
              <w:pStyle w:val="NoSpacing"/>
              <w:keepNext/>
              <w:spacing w:line="360" w:lineRule="auto"/>
              <w:rPr>
                <w:b/>
                <w:sz w:val="16"/>
                <w:szCs w:val="16"/>
              </w:rPr>
            </w:pPr>
            <w:r w:rsidRPr="00A903AA">
              <w:rPr>
                <w:rFonts w:ascii="Arial" w:hAnsi="Arial" w:cs="Arial"/>
                <w:b/>
                <w:sz w:val="16"/>
                <w:szCs w:val="16"/>
              </w:rPr>
              <w:t>Organisation</w:t>
            </w:r>
          </w:p>
        </w:tc>
        <w:tc>
          <w:tcPr>
            <w:tcW w:w="2727" w:type="dxa"/>
            <w:shd w:val="pct10" w:color="auto" w:fill="auto"/>
          </w:tcPr>
          <w:p w14:paraId="0307A0D1" w14:textId="77777777" w:rsidR="00030089" w:rsidRPr="00A903AA" w:rsidRDefault="00030089" w:rsidP="008547F7">
            <w:pPr>
              <w:pStyle w:val="NoSpacing"/>
              <w:keepNext/>
              <w:spacing w:line="360" w:lineRule="auto"/>
              <w:rPr>
                <w:rFonts w:ascii="Arial" w:hAnsi="Arial" w:cs="Arial"/>
                <w:b/>
                <w:sz w:val="16"/>
                <w:szCs w:val="16"/>
              </w:rPr>
            </w:pPr>
            <w:r w:rsidRPr="00A903AA">
              <w:rPr>
                <w:rFonts w:ascii="Arial" w:hAnsi="Arial" w:cs="Arial"/>
                <w:b/>
                <w:sz w:val="16"/>
                <w:szCs w:val="16"/>
              </w:rPr>
              <w:t>Description</w:t>
            </w:r>
          </w:p>
        </w:tc>
        <w:tc>
          <w:tcPr>
            <w:tcW w:w="1984" w:type="dxa"/>
            <w:shd w:val="pct10" w:color="auto" w:fill="auto"/>
          </w:tcPr>
          <w:p w14:paraId="56B11943" w14:textId="77777777" w:rsidR="00030089" w:rsidRPr="00A903AA" w:rsidRDefault="00030089" w:rsidP="008547F7">
            <w:pPr>
              <w:pStyle w:val="NoSpacing"/>
              <w:keepNext/>
              <w:spacing w:line="360" w:lineRule="auto"/>
              <w:rPr>
                <w:b/>
                <w:sz w:val="16"/>
                <w:szCs w:val="16"/>
              </w:rPr>
            </w:pPr>
            <w:r w:rsidRPr="00A903AA">
              <w:rPr>
                <w:rFonts w:ascii="Arial" w:hAnsi="Arial" w:cs="Arial"/>
                <w:b/>
                <w:sz w:val="16"/>
                <w:szCs w:val="16"/>
              </w:rPr>
              <w:t xml:space="preserve">Type of </w:t>
            </w:r>
            <w:r>
              <w:rPr>
                <w:rFonts w:ascii="Arial" w:hAnsi="Arial" w:cs="Arial"/>
                <w:b/>
                <w:sz w:val="16"/>
                <w:szCs w:val="16"/>
              </w:rPr>
              <w:t>b</w:t>
            </w:r>
            <w:r w:rsidRPr="00A903AA">
              <w:rPr>
                <w:rFonts w:ascii="Arial" w:hAnsi="Arial" w:cs="Arial"/>
                <w:b/>
                <w:sz w:val="16"/>
                <w:szCs w:val="16"/>
              </w:rPr>
              <w:t>ody</w:t>
            </w:r>
          </w:p>
        </w:tc>
        <w:tc>
          <w:tcPr>
            <w:tcW w:w="2836" w:type="dxa"/>
            <w:shd w:val="pct10" w:color="auto" w:fill="auto"/>
          </w:tcPr>
          <w:p w14:paraId="6323070B" w14:textId="77777777" w:rsidR="00030089" w:rsidRPr="00A903AA" w:rsidRDefault="00030089" w:rsidP="008547F7">
            <w:pPr>
              <w:pStyle w:val="NoSpacing"/>
              <w:keepNext/>
              <w:spacing w:line="360" w:lineRule="auto"/>
              <w:rPr>
                <w:rFonts w:ascii="Arial" w:hAnsi="Arial" w:cs="Arial"/>
                <w:b/>
                <w:sz w:val="16"/>
                <w:szCs w:val="16"/>
              </w:rPr>
            </w:pPr>
            <w:r w:rsidRPr="00A903AA">
              <w:rPr>
                <w:rFonts w:ascii="Arial" w:hAnsi="Arial" w:cs="Arial"/>
                <w:b/>
                <w:sz w:val="16"/>
                <w:szCs w:val="16"/>
              </w:rPr>
              <w:t xml:space="preserve">Preferred </w:t>
            </w:r>
            <w:r>
              <w:rPr>
                <w:rFonts w:ascii="Arial" w:hAnsi="Arial" w:cs="Arial"/>
                <w:b/>
                <w:sz w:val="16"/>
                <w:szCs w:val="16"/>
              </w:rPr>
              <w:t>o</w:t>
            </w:r>
            <w:r w:rsidRPr="00A903AA">
              <w:rPr>
                <w:rFonts w:ascii="Arial" w:hAnsi="Arial" w:cs="Arial"/>
                <w:b/>
                <w:sz w:val="16"/>
                <w:szCs w:val="16"/>
              </w:rPr>
              <w:t xml:space="preserve">ption (or alternative) </w:t>
            </w:r>
          </w:p>
        </w:tc>
      </w:tr>
      <w:tr w:rsidR="00030089" w:rsidRPr="00A903AA" w14:paraId="536AD3E7" w14:textId="77777777" w:rsidTr="008547F7">
        <w:tc>
          <w:tcPr>
            <w:tcW w:w="534" w:type="dxa"/>
          </w:tcPr>
          <w:p w14:paraId="01E82611"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1</w:t>
            </w:r>
          </w:p>
        </w:tc>
        <w:tc>
          <w:tcPr>
            <w:tcW w:w="1559" w:type="dxa"/>
          </w:tcPr>
          <w:p w14:paraId="4208FB72"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Australian Beverages Council</w:t>
            </w:r>
          </w:p>
        </w:tc>
        <w:tc>
          <w:tcPr>
            <w:tcW w:w="2727" w:type="dxa"/>
          </w:tcPr>
          <w:p w14:paraId="6DA310C4"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Represents the $7 billion non-alcoholic beverage industry. </w:t>
            </w:r>
          </w:p>
          <w:p w14:paraId="23C72392" w14:textId="77777777" w:rsidR="00030089" w:rsidRPr="00A903AA" w:rsidRDefault="00030089" w:rsidP="008547F7">
            <w:pPr>
              <w:pStyle w:val="NoSpacing"/>
              <w:spacing w:line="360" w:lineRule="auto"/>
              <w:rPr>
                <w:rFonts w:ascii="Arial" w:hAnsi="Arial" w:cs="Arial"/>
                <w:sz w:val="16"/>
                <w:szCs w:val="16"/>
              </w:rPr>
            </w:pPr>
          </w:p>
        </w:tc>
        <w:tc>
          <w:tcPr>
            <w:tcW w:w="1984" w:type="dxa"/>
          </w:tcPr>
          <w:p w14:paraId="29AC4EF7"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 xml:space="preserve">Industry body representing beverage manufacturers </w:t>
            </w:r>
          </w:p>
        </w:tc>
        <w:tc>
          <w:tcPr>
            <w:tcW w:w="2836" w:type="dxa"/>
          </w:tcPr>
          <w:p w14:paraId="525E12AD"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None of the options canvassed nominated as preferred. </w:t>
            </w:r>
          </w:p>
          <w:p w14:paraId="7DFF527B"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Requested more data. </w:t>
            </w:r>
          </w:p>
          <w:p w14:paraId="470C3E81"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Favoured NT signing of the Australian Packaging Covenant (APC)</w:t>
            </w:r>
            <w:r>
              <w:rPr>
                <w:rFonts w:ascii="Arial" w:hAnsi="Arial" w:cs="Arial"/>
                <w:color w:val="000000"/>
                <w:sz w:val="16"/>
                <w:szCs w:val="16"/>
              </w:rPr>
              <w:t>.</w:t>
            </w:r>
            <w:r w:rsidRPr="00A903AA">
              <w:rPr>
                <w:rFonts w:ascii="Arial" w:hAnsi="Arial" w:cs="Arial"/>
                <w:color w:val="000000"/>
                <w:sz w:val="16"/>
                <w:szCs w:val="16"/>
              </w:rPr>
              <w:t xml:space="preserve"> </w:t>
            </w:r>
          </w:p>
          <w:p w14:paraId="3BC6C470"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Stated that ‘Should the Act be found to be unlawful then industry would desist in complying with the requirements of any voluntary scheme.</w:t>
            </w:r>
          </w:p>
        </w:tc>
      </w:tr>
    </w:tbl>
    <w:p w14:paraId="4FA0FB88" w14:textId="77777777" w:rsidR="003E6EFE" w:rsidRDefault="003E6EFE">
      <w:r>
        <w:br w:type="page"/>
      </w:r>
    </w:p>
    <w:tbl>
      <w:tblPr>
        <w:tblStyle w:val="TableGrid"/>
        <w:tblW w:w="9640" w:type="dxa"/>
        <w:tblLayout w:type="fixed"/>
        <w:tblLook w:val="04A0" w:firstRow="1" w:lastRow="0" w:firstColumn="1" w:lastColumn="0" w:noHBand="0" w:noVBand="1"/>
      </w:tblPr>
      <w:tblGrid>
        <w:gridCol w:w="534"/>
        <w:gridCol w:w="1559"/>
        <w:gridCol w:w="2727"/>
        <w:gridCol w:w="1984"/>
        <w:gridCol w:w="2836"/>
      </w:tblGrid>
      <w:tr w:rsidR="00030089" w:rsidRPr="00A903AA" w14:paraId="22792C68" w14:textId="77777777" w:rsidTr="008547F7">
        <w:tc>
          <w:tcPr>
            <w:tcW w:w="534" w:type="dxa"/>
          </w:tcPr>
          <w:p w14:paraId="44502F3E" w14:textId="0692FA82" w:rsidR="00030089" w:rsidRPr="00A903AA" w:rsidRDefault="00030089" w:rsidP="008547F7">
            <w:pPr>
              <w:pStyle w:val="NoSpacing"/>
              <w:spacing w:line="360" w:lineRule="auto"/>
              <w:rPr>
                <w:sz w:val="16"/>
                <w:szCs w:val="16"/>
              </w:rPr>
            </w:pPr>
            <w:r w:rsidRPr="00A903AA">
              <w:rPr>
                <w:rFonts w:ascii="Arial" w:hAnsi="Arial" w:cs="Arial"/>
                <w:sz w:val="16"/>
                <w:szCs w:val="16"/>
              </w:rPr>
              <w:lastRenderedPageBreak/>
              <w:t>2</w:t>
            </w:r>
          </w:p>
        </w:tc>
        <w:tc>
          <w:tcPr>
            <w:tcW w:w="1559" w:type="dxa"/>
          </w:tcPr>
          <w:p w14:paraId="53312DB2"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Australian Food and Groceries Council</w:t>
            </w:r>
          </w:p>
        </w:tc>
        <w:tc>
          <w:tcPr>
            <w:tcW w:w="2727" w:type="dxa"/>
          </w:tcPr>
          <w:p w14:paraId="20B2ED24"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National organisation representing Australia’s food, drink and grocery manufacturing industry. Membership comprises more than 150 companies, subsidiaries and associates. </w:t>
            </w:r>
          </w:p>
        </w:tc>
        <w:tc>
          <w:tcPr>
            <w:tcW w:w="1984" w:type="dxa"/>
          </w:tcPr>
          <w:p w14:paraId="0B405200"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 xml:space="preserve">Industry body representing food and beverage manufacturers </w:t>
            </w:r>
          </w:p>
        </w:tc>
        <w:tc>
          <w:tcPr>
            <w:tcW w:w="2836" w:type="dxa"/>
          </w:tcPr>
          <w:p w14:paraId="3D968E43"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None of the options canvassed nominated as preferred. </w:t>
            </w:r>
          </w:p>
          <w:p w14:paraId="53DC6606"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Requested more data. </w:t>
            </w:r>
          </w:p>
          <w:p w14:paraId="4942CB2C" w14:textId="77777777" w:rsidR="00030089" w:rsidRPr="00A903AA" w:rsidRDefault="00030089" w:rsidP="008547F7">
            <w:pPr>
              <w:pStyle w:val="NoSpacing"/>
              <w:spacing w:line="360" w:lineRule="auto"/>
              <w:rPr>
                <w:sz w:val="16"/>
                <w:szCs w:val="16"/>
              </w:rPr>
            </w:pPr>
            <w:r w:rsidRPr="00A903AA">
              <w:rPr>
                <w:rFonts w:ascii="Arial" w:hAnsi="Arial" w:cs="Arial"/>
                <w:color w:val="000000"/>
                <w:sz w:val="16"/>
                <w:szCs w:val="16"/>
              </w:rPr>
              <w:t>Favoured NT signing of the APC.  Believes the Act is in ‘substantive conflict’ with the MRA provisions.</w:t>
            </w:r>
          </w:p>
        </w:tc>
      </w:tr>
      <w:tr w:rsidR="00030089" w:rsidRPr="00A903AA" w14:paraId="59D399EF" w14:textId="77777777" w:rsidTr="008547F7">
        <w:tc>
          <w:tcPr>
            <w:tcW w:w="534" w:type="dxa"/>
          </w:tcPr>
          <w:p w14:paraId="1DA947F5"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3</w:t>
            </w:r>
          </w:p>
        </w:tc>
        <w:tc>
          <w:tcPr>
            <w:tcW w:w="1559" w:type="dxa"/>
          </w:tcPr>
          <w:p w14:paraId="023A41FF"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Hoteliers Association of NT</w:t>
            </w:r>
          </w:p>
        </w:tc>
        <w:tc>
          <w:tcPr>
            <w:tcW w:w="2727" w:type="dxa"/>
          </w:tcPr>
          <w:p w14:paraId="10028BC3"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color w:val="000000"/>
                <w:sz w:val="16"/>
                <w:szCs w:val="16"/>
              </w:rPr>
              <w:t>Territory hospitality industry association representing 230 members, associates and sponsors ranging from small country establishments to 5 star hotels as well as complimentary businesses.</w:t>
            </w:r>
          </w:p>
        </w:tc>
        <w:tc>
          <w:tcPr>
            <w:tcW w:w="1984" w:type="dxa"/>
          </w:tcPr>
          <w:p w14:paraId="4CB86D31"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Industry body representing beverage retailers</w:t>
            </w:r>
          </w:p>
        </w:tc>
        <w:tc>
          <w:tcPr>
            <w:tcW w:w="2836" w:type="dxa"/>
          </w:tcPr>
          <w:p w14:paraId="5A41C7DE"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None of the options canvassed nominated as preferred. </w:t>
            </w:r>
          </w:p>
          <w:p w14:paraId="289D6C09"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Requested more data. </w:t>
            </w:r>
          </w:p>
          <w:p w14:paraId="3A466DB0"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Favoured NT signing of the APC.</w:t>
            </w:r>
          </w:p>
          <w:p w14:paraId="3AEAB94D" w14:textId="77777777" w:rsidR="00030089" w:rsidRPr="00A903AA" w:rsidRDefault="00030089" w:rsidP="008547F7">
            <w:pPr>
              <w:pStyle w:val="NoSpacing"/>
              <w:spacing w:line="360" w:lineRule="auto"/>
              <w:rPr>
                <w:rFonts w:ascii="Arial" w:hAnsi="Arial" w:cs="Arial"/>
                <w:sz w:val="16"/>
                <w:szCs w:val="16"/>
              </w:rPr>
            </w:pPr>
          </w:p>
        </w:tc>
      </w:tr>
      <w:tr w:rsidR="00030089" w:rsidRPr="00A903AA" w14:paraId="21154019" w14:textId="77777777" w:rsidTr="008547F7">
        <w:tc>
          <w:tcPr>
            <w:tcW w:w="534" w:type="dxa"/>
          </w:tcPr>
          <w:p w14:paraId="25C5534C"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4</w:t>
            </w:r>
          </w:p>
        </w:tc>
        <w:tc>
          <w:tcPr>
            <w:tcW w:w="1559" w:type="dxa"/>
          </w:tcPr>
          <w:p w14:paraId="1E194C8C"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Liquor Stores Association NT</w:t>
            </w:r>
          </w:p>
        </w:tc>
        <w:tc>
          <w:tcPr>
            <w:tcW w:w="2727" w:type="dxa"/>
          </w:tcPr>
          <w:p w14:paraId="4B9A6AB4"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color w:val="000000"/>
                <w:sz w:val="16"/>
                <w:szCs w:val="16"/>
              </w:rPr>
              <w:t>Represents Retail Liquor Stores across the Northern Territory.</w:t>
            </w:r>
          </w:p>
        </w:tc>
        <w:tc>
          <w:tcPr>
            <w:tcW w:w="1984" w:type="dxa"/>
          </w:tcPr>
          <w:p w14:paraId="7DFC5F0B"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Industry body representing beverage retailers</w:t>
            </w:r>
          </w:p>
        </w:tc>
        <w:tc>
          <w:tcPr>
            <w:tcW w:w="2836" w:type="dxa"/>
          </w:tcPr>
          <w:p w14:paraId="55D7192A"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None of the options canvassed nominated as preferred. </w:t>
            </w:r>
          </w:p>
          <w:p w14:paraId="37ED36F3"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Requested more data. </w:t>
            </w:r>
          </w:p>
          <w:p w14:paraId="2261E830"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Favoured NT signing of the APC.</w:t>
            </w:r>
          </w:p>
        </w:tc>
      </w:tr>
      <w:tr w:rsidR="00030089" w:rsidRPr="00A903AA" w14:paraId="6A813FD5" w14:textId="77777777" w:rsidTr="008547F7">
        <w:tc>
          <w:tcPr>
            <w:tcW w:w="534" w:type="dxa"/>
          </w:tcPr>
          <w:p w14:paraId="4748BD92"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5</w:t>
            </w:r>
          </w:p>
        </w:tc>
        <w:tc>
          <w:tcPr>
            <w:tcW w:w="1559" w:type="dxa"/>
          </w:tcPr>
          <w:p w14:paraId="4C9D769C"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National Packaging Covenant Industry Association</w:t>
            </w:r>
          </w:p>
        </w:tc>
        <w:tc>
          <w:tcPr>
            <w:tcW w:w="2727" w:type="dxa"/>
          </w:tcPr>
          <w:p w14:paraId="4FDC2014"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Peak industry body for packaging representing the interests of industry signatories to the Australian Packaging Covenant.</w:t>
            </w:r>
          </w:p>
        </w:tc>
        <w:tc>
          <w:tcPr>
            <w:tcW w:w="1984" w:type="dxa"/>
          </w:tcPr>
          <w:p w14:paraId="4AC77E33"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Industry body representing food and beverage manufacturers</w:t>
            </w:r>
          </w:p>
        </w:tc>
        <w:tc>
          <w:tcPr>
            <w:tcW w:w="2836" w:type="dxa"/>
          </w:tcPr>
          <w:p w14:paraId="624149AF"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None of the options canvassed nominated as preferred. </w:t>
            </w:r>
          </w:p>
          <w:p w14:paraId="7DB4B2A2"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Requested more data. </w:t>
            </w:r>
          </w:p>
          <w:p w14:paraId="1835FEEB"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Favoured NT signing of the APC.</w:t>
            </w:r>
          </w:p>
        </w:tc>
      </w:tr>
      <w:tr w:rsidR="00030089" w:rsidRPr="00A903AA" w14:paraId="70139CDF" w14:textId="77777777" w:rsidTr="008547F7">
        <w:tc>
          <w:tcPr>
            <w:tcW w:w="534" w:type="dxa"/>
          </w:tcPr>
          <w:p w14:paraId="7B7AACA3"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6</w:t>
            </w:r>
          </w:p>
        </w:tc>
        <w:tc>
          <w:tcPr>
            <w:tcW w:w="1559" w:type="dxa"/>
          </w:tcPr>
          <w:p w14:paraId="2C3DD663"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Coca-Cola Amitil</w:t>
            </w:r>
          </w:p>
        </w:tc>
        <w:tc>
          <w:tcPr>
            <w:tcW w:w="2727" w:type="dxa"/>
          </w:tcPr>
          <w:p w14:paraId="5B566077"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Major manufacturer of non-alcoholic beverages.</w:t>
            </w:r>
          </w:p>
        </w:tc>
        <w:tc>
          <w:tcPr>
            <w:tcW w:w="1984" w:type="dxa"/>
          </w:tcPr>
          <w:p w14:paraId="1BBFA088"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Major beverage manufacturer</w:t>
            </w:r>
          </w:p>
        </w:tc>
        <w:tc>
          <w:tcPr>
            <w:tcW w:w="2836" w:type="dxa"/>
          </w:tcPr>
          <w:p w14:paraId="217E3915"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None of the options canvassed nominated as preferred. </w:t>
            </w:r>
          </w:p>
          <w:p w14:paraId="02608C89"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Requested more data. </w:t>
            </w:r>
          </w:p>
          <w:p w14:paraId="4CFC1632"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Favoured NT signing of the APC. States, ‘</w:t>
            </w:r>
            <w:r w:rsidRPr="00A903AA">
              <w:rPr>
                <w:rFonts w:ascii="Arial" w:hAnsi="Arial" w:cs="Arial"/>
                <w:sz w:val="16"/>
                <w:szCs w:val="16"/>
              </w:rPr>
              <w:t>should the scheme to be found unlawful then industry would not voluntarily comply with the scheme’.</w:t>
            </w:r>
          </w:p>
          <w:p w14:paraId="7DEC5F5E" w14:textId="77777777" w:rsidR="00030089" w:rsidRPr="00A903AA" w:rsidRDefault="00030089" w:rsidP="008547F7">
            <w:pPr>
              <w:pStyle w:val="NoSpacing"/>
              <w:spacing w:line="360" w:lineRule="auto"/>
              <w:rPr>
                <w:rFonts w:ascii="Arial" w:hAnsi="Arial" w:cs="Arial"/>
                <w:sz w:val="16"/>
                <w:szCs w:val="16"/>
              </w:rPr>
            </w:pPr>
          </w:p>
        </w:tc>
      </w:tr>
      <w:tr w:rsidR="00030089" w:rsidRPr="00A903AA" w14:paraId="1E2F16AE" w14:textId="77777777" w:rsidTr="008547F7">
        <w:tc>
          <w:tcPr>
            <w:tcW w:w="534" w:type="dxa"/>
          </w:tcPr>
          <w:p w14:paraId="3B75FD4A"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7</w:t>
            </w:r>
          </w:p>
        </w:tc>
        <w:tc>
          <w:tcPr>
            <w:tcW w:w="1559" w:type="dxa"/>
          </w:tcPr>
          <w:p w14:paraId="3882D77A"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Palmerston City Council</w:t>
            </w:r>
          </w:p>
        </w:tc>
        <w:tc>
          <w:tcPr>
            <w:tcW w:w="2727" w:type="dxa"/>
          </w:tcPr>
          <w:p w14:paraId="0E9123C3"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color w:val="000000"/>
                <w:sz w:val="16"/>
                <w:szCs w:val="16"/>
              </w:rPr>
              <w:t>The City of Palmerston is ‘dedicated to reducing waste and providing quality services’. Palmerston has twice weekly domestic waste collection and fortnightly kerbside recycling collection.</w:t>
            </w:r>
          </w:p>
        </w:tc>
        <w:tc>
          <w:tcPr>
            <w:tcW w:w="1984" w:type="dxa"/>
          </w:tcPr>
          <w:p w14:paraId="7115AB68" w14:textId="77777777" w:rsidR="00030089" w:rsidRPr="00A903AA" w:rsidRDefault="00030089" w:rsidP="008547F7">
            <w:pPr>
              <w:pStyle w:val="NoSpacing"/>
              <w:spacing w:line="360" w:lineRule="auto"/>
              <w:rPr>
                <w:sz w:val="16"/>
                <w:szCs w:val="16"/>
              </w:rPr>
            </w:pPr>
            <w:r w:rsidRPr="00A903AA">
              <w:rPr>
                <w:rFonts w:ascii="Arial" w:hAnsi="Arial" w:cs="Arial"/>
                <w:sz w:val="16"/>
                <w:szCs w:val="16"/>
              </w:rPr>
              <w:t>Local government</w:t>
            </w:r>
          </w:p>
        </w:tc>
        <w:tc>
          <w:tcPr>
            <w:tcW w:w="2836" w:type="dxa"/>
          </w:tcPr>
          <w:p w14:paraId="675D9E21"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Supported NT CDS in general. </w:t>
            </w:r>
          </w:p>
          <w:p w14:paraId="0D8840AB"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None of the options canvassed nominated as preferred. </w:t>
            </w:r>
          </w:p>
          <w:p w14:paraId="3F258A15" w14:textId="77777777" w:rsidR="00030089" w:rsidRPr="00A903AA" w:rsidRDefault="00030089" w:rsidP="008547F7">
            <w:pPr>
              <w:pStyle w:val="NoSpacing"/>
              <w:spacing w:line="360" w:lineRule="auto"/>
              <w:rPr>
                <w:rFonts w:ascii="Arial" w:eastAsiaTheme="minorHAnsi" w:hAnsi="Arial" w:cs="Arial"/>
                <w:color w:val="1F497D" w:themeColor="dark2"/>
                <w:sz w:val="16"/>
                <w:szCs w:val="16"/>
              </w:rPr>
            </w:pPr>
            <w:r>
              <w:rPr>
                <w:rFonts w:ascii="Arial" w:hAnsi="Arial" w:cs="Arial"/>
                <w:sz w:val="16"/>
                <w:szCs w:val="16"/>
              </w:rPr>
              <w:t>W</w:t>
            </w:r>
            <w:r w:rsidRPr="00A903AA">
              <w:rPr>
                <w:rFonts w:ascii="Arial" w:hAnsi="Arial" w:cs="Arial"/>
                <w:sz w:val="16"/>
                <w:szCs w:val="16"/>
              </w:rPr>
              <w:t xml:space="preserve">ill </w:t>
            </w:r>
            <w:r w:rsidRPr="00A903AA">
              <w:rPr>
                <w:rFonts w:ascii="Arial" w:hAnsi="Arial" w:cs="Arial"/>
                <w:color w:val="000000"/>
                <w:sz w:val="16"/>
                <w:szCs w:val="16"/>
              </w:rPr>
              <w:t>support option</w:t>
            </w:r>
            <w:r w:rsidRPr="00A903AA">
              <w:rPr>
                <w:rFonts w:ascii="Arial" w:hAnsi="Arial" w:cs="Arial"/>
                <w:sz w:val="16"/>
                <w:szCs w:val="16"/>
              </w:rPr>
              <w:t xml:space="preserve"> 3 if selected as ‘decision’ if a number of</w:t>
            </w:r>
            <w:r w:rsidRPr="00A903AA">
              <w:rPr>
                <w:rFonts w:ascii="Arial" w:hAnsi="Arial" w:cs="Arial"/>
                <w:color w:val="000000"/>
                <w:sz w:val="16"/>
                <w:szCs w:val="16"/>
              </w:rPr>
              <w:t xml:space="preserve"> </w:t>
            </w:r>
            <w:r w:rsidRPr="00A903AA">
              <w:rPr>
                <w:rFonts w:ascii="Arial" w:hAnsi="Arial" w:cs="Arial"/>
                <w:sz w:val="16"/>
                <w:szCs w:val="16"/>
              </w:rPr>
              <w:t>refinements to the scheme’s operation are introduced.</w:t>
            </w:r>
          </w:p>
        </w:tc>
      </w:tr>
      <w:tr w:rsidR="00030089" w:rsidRPr="00A903AA" w14:paraId="314AB6B9" w14:textId="77777777" w:rsidTr="008547F7">
        <w:tc>
          <w:tcPr>
            <w:tcW w:w="534" w:type="dxa"/>
          </w:tcPr>
          <w:p w14:paraId="0F85DCE4"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8</w:t>
            </w:r>
          </w:p>
        </w:tc>
        <w:tc>
          <w:tcPr>
            <w:tcW w:w="1559" w:type="dxa"/>
          </w:tcPr>
          <w:p w14:paraId="1D77DBD7"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Local Government Association NT</w:t>
            </w:r>
          </w:p>
        </w:tc>
        <w:tc>
          <w:tcPr>
            <w:tcW w:w="2727" w:type="dxa"/>
          </w:tcPr>
          <w:p w14:paraId="1A3985C0"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The peak body representing the interests of, and providing a voice for, the 11 shire and 5 municipal councils in the Northern Territory. </w:t>
            </w:r>
          </w:p>
        </w:tc>
        <w:tc>
          <w:tcPr>
            <w:tcW w:w="1984" w:type="dxa"/>
          </w:tcPr>
          <w:p w14:paraId="2BCCC488"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Local government</w:t>
            </w:r>
          </w:p>
        </w:tc>
        <w:tc>
          <w:tcPr>
            <w:tcW w:w="2836" w:type="dxa"/>
          </w:tcPr>
          <w:p w14:paraId="699C6E92"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 xml:space="preserve">Supported Option 3, </w:t>
            </w:r>
            <w:r>
              <w:rPr>
                <w:rFonts w:ascii="Arial" w:hAnsi="Arial" w:cs="Arial"/>
                <w:sz w:val="16"/>
                <w:szCs w:val="16"/>
              </w:rPr>
              <w:t>p</w:t>
            </w:r>
            <w:r w:rsidRPr="00A903AA">
              <w:rPr>
                <w:rFonts w:ascii="Arial" w:hAnsi="Arial" w:cs="Arial"/>
                <w:sz w:val="16"/>
                <w:szCs w:val="16"/>
              </w:rPr>
              <w:t xml:space="preserve">ermanent </w:t>
            </w:r>
            <w:r>
              <w:rPr>
                <w:rFonts w:ascii="Arial" w:hAnsi="Arial" w:cs="Arial"/>
                <w:sz w:val="16"/>
                <w:szCs w:val="16"/>
              </w:rPr>
              <w:t>e</w:t>
            </w:r>
            <w:r w:rsidRPr="00A903AA">
              <w:rPr>
                <w:rFonts w:ascii="Arial" w:hAnsi="Arial" w:cs="Arial"/>
                <w:sz w:val="16"/>
                <w:szCs w:val="16"/>
              </w:rPr>
              <w:t>xemption of NT CDS from MRA/TTMRA.</w:t>
            </w:r>
          </w:p>
        </w:tc>
      </w:tr>
      <w:tr w:rsidR="00030089" w:rsidRPr="00A903AA" w14:paraId="20152E5D" w14:textId="77777777" w:rsidTr="008547F7">
        <w:tc>
          <w:tcPr>
            <w:tcW w:w="534" w:type="dxa"/>
          </w:tcPr>
          <w:p w14:paraId="1A50AF53"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9</w:t>
            </w:r>
          </w:p>
        </w:tc>
        <w:tc>
          <w:tcPr>
            <w:tcW w:w="1559" w:type="dxa"/>
          </w:tcPr>
          <w:p w14:paraId="2462CE02"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CONFIDENTIAL [Revive Recycling]</w:t>
            </w:r>
          </w:p>
          <w:p w14:paraId="7D85E7CF" w14:textId="77777777" w:rsidR="00030089" w:rsidRPr="00A903AA" w:rsidRDefault="00030089" w:rsidP="008547F7">
            <w:pPr>
              <w:pStyle w:val="NoSpacing"/>
              <w:spacing w:line="360" w:lineRule="auto"/>
              <w:rPr>
                <w:rFonts w:ascii="Arial" w:hAnsi="Arial" w:cs="Arial"/>
                <w:sz w:val="16"/>
                <w:szCs w:val="16"/>
              </w:rPr>
            </w:pPr>
          </w:p>
        </w:tc>
        <w:tc>
          <w:tcPr>
            <w:tcW w:w="2727" w:type="dxa"/>
          </w:tcPr>
          <w:p w14:paraId="151ADC2D" w14:textId="77777777" w:rsidR="00030089" w:rsidRPr="00A903AA" w:rsidRDefault="00030089" w:rsidP="008547F7">
            <w:pPr>
              <w:pStyle w:val="NoSpacing"/>
              <w:spacing w:line="360" w:lineRule="auto"/>
              <w:rPr>
                <w:rFonts w:ascii="Arial" w:hAnsi="Arial" w:cs="Arial"/>
                <w:color w:val="000000"/>
                <w:sz w:val="16"/>
                <w:szCs w:val="16"/>
              </w:rPr>
            </w:pPr>
            <w:r>
              <w:rPr>
                <w:rFonts w:ascii="Arial" w:hAnsi="Arial" w:cs="Arial"/>
                <w:color w:val="000000"/>
                <w:sz w:val="16"/>
                <w:szCs w:val="16"/>
              </w:rPr>
              <w:t>Private company</w:t>
            </w:r>
          </w:p>
        </w:tc>
        <w:tc>
          <w:tcPr>
            <w:tcW w:w="1984" w:type="dxa"/>
          </w:tcPr>
          <w:p w14:paraId="427D5415" w14:textId="77777777" w:rsidR="00030089" w:rsidRPr="00A903AA" w:rsidRDefault="00030089" w:rsidP="008547F7">
            <w:pPr>
              <w:pStyle w:val="NoSpacing"/>
              <w:spacing w:line="360" w:lineRule="auto"/>
              <w:rPr>
                <w:rFonts w:ascii="Arial" w:hAnsi="Arial" w:cs="Arial"/>
                <w:sz w:val="16"/>
                <w:szCs w:val="16"/>
              </w:rPr>
            </w:pPr>
          </w:p>
        </w:tc>
        <w:tc>
          <w:tcPr>
            <w:tcW w:w="2836" w:type="dxa"/>
          </w:tcPr>
          <w:p w14:paraId="5D0F8A23" w14:textId="77777777" w:rsidR="00030089" w:rsidRPr="00A903AA" w:rsidRDefault="00030089" w:rsidP="008547F7">
            <w:pPr>
              <w:pStyle w:val="NoSpacing"/>
              <w:spacing w:line="360" w:lineRule="auto"/>
              <w:rPr>
                <w:rFonts w:ascii="Arial" w:hAnsi="Arial" w:cs="Arial"/>
                <w:color w:val="000000"/>
                <w:sz w:val="16"/>
                <w:szCs w:val="16"/>
              </w:rPr>
            </w:pPr>
            <w:r>
              <w:rPr>
                <w:rFonts w:ascii="Arial" w:hAnsi="Arial" w:cs="Arial"/>
                <w:color w:val="000000"/>
                <w:sz w:val="16"/>
                <w:szCs w:val="16"/>
              </w:rPr>
              <w:t>Endorses Option 3</w:t>
            </w:r>
          </w:p>
          <w:p w14:paraId="383338C2" w14:textId="77777777" w:rsidR="00030089" w:rsidRPr="00A903AA" w:rsidRDefault="00030089" w:rsidP="008547F7">
            <w:pPr>
              <w:pStyle w:val="NoSpacing"/>
              <w:spacing w:line="360" w:lineRule="auto"/>
              <w:rPr>
                <w:rFonts w:ascii="Arial" w:hAnsi="Arial" w:cs="Arial"/>
                <w:sz w:val="16"/>
                <w:szCs w:val="16"/>
              </w:rPr>
            </w:pPr>
          </w:p>
        </w:tc>
      </w:tr>
      <w:tr w:rsidR="00030089" w:rsidRPr="00A903AA" w14:paraId="4452DC95" w14:textId="77777777" w:rsidTr="008547F7">
        <w:tc>
          <w:tcPr>
            <w:tcW w:w="534" w:type="dxa"/>
          </w:tcPr>
          <w:p w14:paraId="67A06EFD"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10</w:t>
            </w:r>
          </w:p>
        </w:tc>
        <w:tc>
          <w:tcPr>
            <w:tcW w:w="1559" w:type="dxa"/>
          </w:tcPr>
          <w:p w14:paraId="10CECB83"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Envirobank</w:t>
            </w:r>
          </w:p>
        </w:tc>
        <w:tc>
          <w:tcPr>
            <w:tcW w:w="2727" w:type="dxa"/>
          </w:tcPr>
          <w:p w14:paraId="68620DC5"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Scheme co-ordinator and depot operator, an NT privately owned company whose long-term objective is ‘to change the face of public place recycling in concert with the Northern Territory Deposit scheme’. </w:t>
            </w:r>
          </w:p>
        </w:tc>
        <w:tc>
          <w:tcPr>
            <w:tcW w:w="1984" w:type="dxa"/>
          </w:tcPr>
          <w:p w14:paraId="14B72CB7"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Collection Depot</w:t>
            </w:r>
          </w:p>
        </w:tc>
        <w:tc>
          <w:tcPr>
            <w:tcW w:w="2836" w:type="dxa"/>
          </w:tcPr>
          <w:p w14:paraId="523B1C68"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None of the options canvassed nominated as preferred. </w:t>
            </w:r>
          </w:p>
          <w:p w14:paraId="40BD96E6" w14:textId="77777777" w:rsidR="00030089" w:rsidRPr="00A903AA" w:rsidRDefault="00030089" w:rsidP="008547F7">
            <w:pPr>
              <w:pStyle w:val="NoSpacing"/>
              <w:spacing w:line="360" w:lineRule="auto"/>
              <w:rPr>
                <w:rFonts w:ascii="Arial" w:hAnsi="Arial" w:cs="Arial"/>
                <w:color w:val="000000"/>
                <w:sz w:val="16"/>
                <w:szCs w:val="16"/>
              </w:rPr>
            </w:pPr>
            <w:r>
              <w:rPr>
                <w:rFonts w:ascii="Arial" w:hAnsi="Arial" w:cs="Arial"/>
                <w:color w:val="000000"/>
                <w:sz w:val="16"/>
                <w:szCs w:val="16"/>
              </w:rPr>
              <w:t>I</w:t>
            </w:r>
            <w:r w:rsidRPr="00A903AA">
              <w:rPr>
                <w:rFonts w:ascii="Arial" w:hAnsi="Arial" w:cs="Arial"/>
                <w:color w:val="000000"/>
                <w:sz w:val="16"/>
                <w:szCs w:val="16"/>
              </w:rPr>
              <w:t xml:space="preserve">ts management ‘commend the NT Government on the introduction of the scheme, and expect that the scheme will continue to flourish’. </w:t>
            </w:r>
          </w:p>
        </w:tc>
      </w:tr>
      <w:tr w:rsidR="00030089" w:rsidRPr="00A903AA" w14:paraId="7D023E27" w14:textId="77777777" w:rsidTr="008547F7">
        <w:trPr>
          <w:trHeight w:val="1596"/>
        </w:trPr>
        <w:tc>
          <w:tcPr>
            <w:tcW w:w="534" w:type="dxa"/>
          </w:tcPr>
          <w:p w14:paraId="39E5109A"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lastRenderedPageBreak/>
              <w:t>11</w:t>
            </w:r>
          </w:p>
        </w:tc>
        <w:tc>
          <w:tcPr>
            <w:tcW w:w="1559" w:type="dxa"/>
          </w:tcPr>
          <w:p w14:paraId="23BAC0EF"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CONFIDENTIAL [Keep Australia Beautiful]</w:t>
            </w:r>
          </w:p>
          <w:p w14:paraId="4E885442" w14:textId="77777777" w:rsidR="00030089" w:rsidRPr="00A903AA" w:rsidRDefault="00030089" w:rsidP="008547F7">
            <w:pPr>
              <w:pStyle w:val="NoSpacing"/>
              <w:spacing w:line="360" w:lineRule="auto"/>
              <w:rPr>
                <w:rFonts w:ascii="Arial" w:hAnsi="Arial" w:cs="Arial"/>
                <w:sz w:val="16"/>
                <w:szCs w:val="16"/>
              </w:rPr>
            </w:pPr>
          </w:p>
        </w:tc>
        <w:tc>
          <w:tcPr>
            <w:tcW w:w="2727" w:type="dxa"/>
          </w:tcPr>
          <w:p w14:paraId="5F155419"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A non government, not for profit organisation </w:t>
            </w:r>
          </w:p>
        </w:tc>
        <w:tc>
          <w:tcPr>
            <w:tcW w:w="1984" w:type="dxa"/>
          </w:tcPr>
          <w:p w14:paraId="5048210B" w14:textId="77777777" w:rsidR="00030089" w:rsidRPr="00A903AA" w:rsidRDefault="00030089" w:rsidP="008547F7">
            <w:pPr>
              <w:pStyle w:val="NoSpacing"/>
              <w:spacing w:line="360" w:lineRule="auto"/>
              <w:rPr>
                <w:rFonts w:ascii="Arial" w:hAnsi="Arial" w:cs="Arial"/>
                <w:sz w:val="16"/>
                <w:szCs w:val="16"/>
              </w:rPr>
            </w:pPr>
          </w:p>
        </w:tc>
        <w:tc>
          <w:tcPr>
            <w:tcW w:w="2836" w:type="dxa"/>
          </w:tcPr>
          <w:p w14:paraId="7A28744A" w14:textId="77777777" w:rsidR="00030089" w:rsidRPr="00A903AA" w:rsidRDefault="00030089" w:rsidP="008547F7">
            <w:pPr>
              <w:pStyle w:val="NoSpacing"/>
              <w:spacing w:line="360" w:lineRule="auto"/>
              <w:rPr>
                <w:rFonts w:ascii="Arial" w:hAnsi="Arial" w:cs="Arial"/>
                <w:sz w:val="16"/>
                <w:szCs w:val="16"/>
              </w:rPr>
            </w:pPr>
            <w:r>
              <w:rPr>
                <w:rFonts w:ascii="Arial" w:hAnsi="Arial" w:cs="Arial"/>
                <w:color w:val="000000"/>
                <w:sz w:val="16"/>
                <w:szCs w:val="16"/>
              </w:rPr>
              <w:t>Supports the NT signing the APC.</w:t>
            </w:r>
          </w:p>
        </w:tc>
      </w:tr>
      <w:tr w:rsidR="00030089" w:rsidRPr="00A903AA" w14:paraId="2A43C4F7" w14:textId="77777777" w:rsidTr="008547F7">
        <w:tc>
          <w:tcPr>
            <w:tcW w:w="534" w:type="dxa"/>
          </w:tcPr>
          <w:p w14:paraId="5A17675C"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12</w:t>
            </w:r>
          </w:p>
        </w:tc>
        <w:tc>
          <w:tcPr>
            <w:tcW w:w="1559" w:type="dxa"/>
          </w:tcPr>
          <w:p w14:paraId="4EE524BD"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Boomerang Alliance</w:t>
            </w:r>
          </w:p>
        </w:tc>
        <w:tc>
          <w:tcPr>
            <w:tcW w:w="2727" w:type="dxa"/>
          </w:tcPr>
          <w:p w14:paraId="47BF4B37"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The Boomerang Alliance is made up of Australia’s 21 leading environment groups. It is committed to promoting recycling and waste elimination.</w:t>
            </w:r>
          </w:p>
          <w:p w14:paraId="10B54DAE" w14:textId="77777777" w:rsidR="00030089" w:rsidRPr="00A903AA" w:rsidRDefault="00030089" w:rsidP="008547F7">
            <w:pPr>
              <w:pStyle w:val="NoSpacing"/>
              <w:spacing w:line="360" w:lineRule="auto"/>
              <w:rPr>
                <w:rFonts w:ascii="Arial" w:hAnsi="Arial" w:cs="Arial"/>
                <w:sz w:val="16"/>
                <w:szCs w:val="16"/>
              </w:rPr>
            </w:pPr>
          </w:p>
        </w:tc>
        <w:tc>
          <w:tcPr>
            <w:tcW w:w="1984" w:type="dxa"/>
          </w:tcPr>
          <w:p w14:paraId="1671D7BE"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Waste peak body</w:t>
            </w:r>
          </w:p>
        </w:tc>
        <w:tc>
          <w:tcPr>
            <w:tcW w:w="2836" w:type="dxa"/>
          </w:tcPr>
          <w:p w14:paraId="286E4B19"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 xml:space="preserve">Supports Option 3, </w:t>
            </w:r>
            <w:r>
              <w:rPr>
                <w:rFonts w:ascii="Arial" w:hAnsi="Arial" w:cs="Arial"/>
                <w:sz w:val="16"/>
                <w:szCs w:val="16"/>
              </w:rPr>
              <w:t>p</w:t>
            </w:r>
            <w:r w:rsidRPr="00A903AA">
              <w:rPr>
                <w:rFonts w:ascii="Arial" w:hAnsi="Arial" w:cs="Arial"/>
                <w:sz w:val="16"/>
                <w:szCs w:val="16"/>
              </w:rPr>
              <w:t xml:space="preserve">ermanent </w:t>
            </w:r>
            <w:r>
              <w:rPr>
                <w:rFonts w:ascii="Arial" w:hAnsi="Arial" w:cs="Arial"/>
                <w:sz w:val="16"/>
                <w:szCs w:val="16"/>
              </w:rPr>
              <w:t>e</w:t>
            </w:r>
            <w:r w:rsidRPr="00A903AA">
              <w:rPr>
                <w:rFonts w:ascii="Arial" w:hAnsi="Arial" w:cs="Arial"/>
                <w:sz w:val="16"/>
                <w:szCs w:val="16"/>
              </w:rPr>
              <w:t>xemption of NT CDS from MRA/TTMRA.</w:t>
            </w:r>
          </w:p>
        </w:tc>
      </w:tr>
      <w:tr w:rsidR="00030089" w:rsidRPr="00A903AA" w14:paraId="406ADEC2" w14:textId="77777777" w:rsidTr="008547F7">
        <w:trPr>
          <w:trHeight w:val="136"/>
        </w:trPr>
        <w:tc>
          <w:tcPr>
            <w:tcW w:w="534" w:type="dxa"/>
          </w:tcPr>
          <w:p w14:paraId="04E80B21"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13</w:t>
            </w:r>
          </w:p>
        </w:tc>
        <w:tc>
          <w:tcPr>
            <w:tcW w:w="1559" w:type="dxa"/>
          </w:tcPr>
          <w:p w14:paraId="54FFAAD5"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Clean Up Australia</w:t>
            </w:r>
          </w:p>
        </w:tc>
        <w:tc>
          <w:tcPr>
            <w:tcW w:w="2727" w:type="dxa"/>
          </w:tcPr>
          <w:p w14:paraId="6F498FE8"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Runs Clean-up Australia Day, the largest community-based environmental event in Australia. Aims to work with communities to clean up and conserve the environment.</w:t>
            </w:r>
          </w:p>
        </w:tc>
        <w:tc>
          <w:tcPr>
            <w:tcW w:w="1984" w:type="dxa"/>
          </w:tcPr>
          <w:p w14:paraId="7422B203"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Waste peak body</w:t>
            </w:r>
          </w:p>
        </w:tc>
        <w:tc>
          <w:tcPr>
            <w:tcW w:w="2836" w:type="dxa"/>
          </w:tcPr>
          <w:p w14:paraId="72140B28"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None of the options canvassed nominated as preferred. </w:t>
            </w:r>
          </w:p>
          <w:p w14:paraId="05FCF74B" w14:textId="77777777" w:rsidR="00030089" w:rsidRPr="00A903AA" w:rsidRDefault="00030089" w:rsidP="008547F7">
            <w:pPr>
              <w:pStyle w:val="NoSpacing"/>
              <w:spacing w:line="360" w:lineRule="auto"/>
              <w:rPr>
                <w:rFonts w:ascii="Arial" w:hAnsi="Arial" w:cs="Arial"/>
                <w:color w:val="000000"/>
                <w:sz w:val="16"/>
                <w:szCs w:val="16"/>
              </w:rPr>
            </w:pPr>
            <w:r>
              <w:rPr>
                <w:rFonts w:ascii="Arial" w:hAnsi="Arial" w:cs="Arial"/>
                <w:color w:val="000000"/>
                <w:sz w:val="16"/>
                <w:szCs w:val="16"/>
              </w:rPr>
              <w:t>S</w:t>
            </w:r>
            <w:r w:rsidRPr="00A903AA">
              <w:rPr>
                <w:rFonts w:ascii="Arial" w:hAnsi="Arial" w:cs="Arial"/>
                <w:color w:val="000000"/>
                <w:sz w:val="16"/>
                <w:szCs w:val="16"/>
              </w:rPr>
              <w:t>upports a container refund scheme for NT ‘and the thousands of tourists who visit the region each year’.</w:t>
            </w:r>
          </w:p>
          <w:p w14:paraId="54A7B22A" w14:textId="77777777" w:rsidR="00030089" w:rsidRPr="00A903AA" w:rsidRDefault="00030089" w:rsidP="008547F7">
            <w:pPr>
              <w:pStyle w:val="NoSpacing"/>
              <w:spacing w:line="360" w:lineRule="auto"/>
              <w:rPr>
                <w:rFonts w:ascii="Arial" w:hAnsi="Arial" w:cs="Arial"/>
                <w:sz w:val="16"/>
                <w:szCs w:val="16"/>
              </w:rPr>
            </w:pPr>
          </w:p>
        </w:tc>
      </w:tr>
      <w:tr w:rsidR="00030089" w:rsidRPr="00A903AA" w14:paraId="6DE80E62" w14:textId="77777777" w:rsidTr="008547F7">
        <w:trPr>
          <w:trHeight w:val="136"/>
        </w:trPr>
        <w:tc>
          <w:tcPr>
            <w:tcW w:w="534" w:type="dxa"/>
          </w:tcPr>
          <w:p w14:paraId="5EF088B9"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14</w:t>
            </w:r>
          </w:p>
        </w:tc>
        <w:tc>
          <w:tcPr>
            <w:tcW w:w="1559" w:type="dxa"/>
          </w:tcPr>
          <w:p w14:paraId="4CBA0FA7"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Rapid Creek Landcare Group</w:t>
            </w:r>
          </w:p>
        </w:tc>
        <w:tc>
          <w:tcPr>
            <w:tcW w:w="2727" w:type="dxa"/>
          </w:tcPr>
          <w:p w14:paraId="18F74978"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Landcare group working to conserve local urban ecosystem.</w:t>
            </w:r>
          </w:p>
        </w:tc>
        <w:tc>
          <w:tcPr>
            <w:tcW w:w="1984" w:type="dxa"/>
          </w:tcPr>
          <w:p w14:paraId="61CA453A"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Environmental NGO</w:t>
            </w:r>
          </w:p>
        </w:tc>
        <w:tc>
          <w:tcPr>
            <w:tcW w:w="2836" w:type="dxa"/>
          </w:tcPr>
          <w:p w14:paraId="27CEAA99" w14:textId="77777777" w:rsidR="00030089" w:rsidRPr="00A903AA" w:rsidRDefault="00030089" w:rsidP="008547F7">
            <w:pPr>
              <w:pStyle w:val="NoSpacing"/>
              <w:spacing w:line="360" w:lineRule="auto"/>
              <w:rPr>
                <w:rFonts w:ascii="Arial" w:hAnsi="Arial" w:cs="Arial"/>
                <w:color w:val="000000"/>
                <w:sz w:val="16"/>
                <w:szCs w:val="16"/>
              </w:rPr>
            </w:pPr>
            <w:r w:rsidRPr="00A903AA">
              <w:rPr>
                <w:rFonts w:ascii="Arial" w:hAnsi="Arial" w:cs="Arial"/>
                <w:color w:val="000000"/>
                <w:sz w:val="16"/>
                <w:szCs w:val="16"/>
              </w:rPr>
              <w:t xml:space="preserve">Supports NT CDS in general. </w:t>
            </w:r>
          </w:p>
          <w:p w14:paraId="3E7371F8" w14:textId="77777777" w:rsidR="00030089" w:rsidRPr="00A903AA" w:rsidRDefault="00030089" w:rsidP="008547F7">
            <w:pPr>
              <w:pStyle w:val="NoSpacing"/>
              <w:spacing w:line="360" w:lineRule="auto"/>
              <w:rPr>
                <w:rFonts w:ascii="Arial" w:hAnsi="Arial" w:cs="Arial"/>
                <w:sz w:val="16"/>
                <w:szCs w:val="16"/>
              </w:rPr>
            </w:pPr>
          </w:p>
        </w:tc>
      </w:tr>
      <w:tr w:rsidR="00030089" w:rsidRPr="00A903AA" w14:paraId="5FF4C18A" w14:textId="77777777" w:rsidTr="008547F7">
        <w:trPr>
          <w:trHeight w:val="136"/>
        </w:trPr>
        <w:tc>
          <w:tcPr>
            <w:tcW w:w="534" w:type="dxa"/>
          </w:tcPr>
          <w:p w14:paraId="7A7CB6E4"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15</w:t>
            </w:r>
          </w:p>
        </w:tc>
        <w:tc>
          <w:tcPr>
            <w:tcW w:w="1559" w:type="dxa"/>
          </w:tcPr>
          <w:p w14:paraId="1D813B3F"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Gerry Woods, MLA NT</w:t>
            </w:r>
          </w:p>
        </w:tc>
        <w:tc>
          <w:tcPr>
            <w:tcW w:w="2727" w:type="dxa"/>
          </w:tcPr>
          <w:p w14:paraId="01CAA174"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Independent member of the NT Legislative Assembly</w:t>
            </w:r>
          </w:p>
        </w:tc>
        <w:tc>
          <w:tcPr>
            <w:tcW w:w="1984" w:type="dxa"/>
          </w:tcPr>
          <w:p w14:paraId="55A09025"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Private party</w:t>
            </w:r>
          </w:p>
        </w:tc>
        <w:tc>
          <w:tcPr>
            <w:tcW w:w="2836" w:type="dxa"/>
          </w:tcPr>
          <w:p w14:paraId="0BC6AD58"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 xml:space="preserve">Supports Option 3, </w:t>
            </w:r>
            <w:r>
              <w:rPr>
                <w:rFonts w:ascii="Arial" w:hAnsi="Arial" w:cs="Arial"/>
                <w:sz w:val="16"/>
                <w:szCs w:val="16"/>
              </w:rPr>
              <w:t>p</w:t>
            </w:r>
            <w:r w:rsidRPr="00A903AA">
              <w:rPr>
                <w:rFonts w:ascii="Arial" w:hAnsi="Arial" w:cs="Arial"/>
                <w:sz w:val="16"/>
                <w:szCs w:val="16"/>
              </w:rPr>
              <w:t xml:space="preserve">ermanent </w:t>
            </w:r>
            <w:r>
              <w:rPr>
                <w:rFonts w:ascii="Arial" w:hAnsi="Arial" w:cs="Arial"/>
                <w:sz w:val="16"/>
                <w:szCs w:val="16"/>
              </w:rPr>
              <w:t>e</w:t>
            </w:r>
            <w:r w:rsidRPr="00A903AA">
              <w:rPr>
                <w:rFonts w:ascii="Arial" w:hAnsi="Arial" w:cs="Arial"/>
                <w:sz w:val="16"/>
                <w:szCs w:val="16"/>
              </w:rPr>
              <w:t>xemption of NT CDS from MRA/TTMRA.</w:t>
            </w:r>
          </w:p>
        </w:tc>
      </w:tr>
      <w:tr w:rsidR="00030089" w:rsidRPr="00A903AA" w14:paraId="5495F9C0" w14:textId="77777777" w:rsidTr="008547F7">
        <w:trPr>
          <w:trHeight w:val="136"/>
        </w:trPr>
        <w:tc>
          <w:tcPr>
            <w:tcW w:w="534" w:type="dxa"/>
          </w:tcPr>
          <w:p w14:paraId="4BB1AA4B"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16</w:t>
            </w:r>
          </w:p>
        </w:tc>
        <w:tc>
          <w:tcPr>
            <w:tcW w:w="1559" w:type="dxa"/>
          </w:tcPr>
          <w:p w14:paraId="79DECCF2"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Cohalan Enterprises</w:t>
            </w:r>
          </w:p>
        </w:tc>
        <w:tc>
          <w:tcPr>
            <w:tcW w:w="2727" w:type="dxa"/>
          </w:tcPr>
          <w:p w14:paraId="7369479D"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Individual / business. Nature of business not stated.</w:t>
            </w:r>
          </w:p>
        </w:tc>
        <w:tc>
          <w:tcPr>
            <w:tcW w:w="1984" w:type="dxa"/>
          </w:tcPr>
          <w:p w14:paraId="28ED3ADD"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sz w:val="16"/>
                <w:szCs w:val="16"/>
              </w:rPr>
              <w:t>Private party</w:t>
            </w:r>
          </w:p>
        </w:tc>
        <w:tc>
          <w:tcPr>
            <w:tcW w:w="2836" w:type="dxa"/>
          </w:tcPr>
          <w:p w14:paraId="2FF7E842" w14:textId="77777777" w:rsidR="00030089" w:rsidRPr="00A903AA" w:rsidRDefault="00030089" w:rsidP="008547F7">
            <w:pPr>
              <w:pStyle w:val="NoSpacing"/>
              <w:spacing w:line="360" w:lineRule="auto"/>
              <w:rPr>
                <w:rFonts w:ascii="Arial" w:hAnsi="Arial" w:cs="Arial"/>
                <w:sz w:val="16"/>
                <w:szCs w:val="16"/>
              </w:rPr>
            </w:pPr>
            <w:r w:rsidRPr="00A903AA">
              <w:rPr>
                <w:rFonts w:ascii="Arial" w:hAnsi="Arial" w:cs="Arial"/>
                <w:color w:val="000000"/>
                <w:sz w:val="16"/>
                <w:szCs w:val="16"/>
              </w:rPr>
              <w:t xml:space="preserve">None of the options canvassed nominated as preferred. </w:t>
            </w:r>
          </w:p>
        </w:tc>
      </w:tr>
    </w:tbl>
    <w:p w14:paraId="189B296C" w14:textId="77777777" w:rsidR="00030089" w:rsidRPr="00FE611A" w:rsidRDefault="00030089" w:rsidP="00030089">
      <w:pPr>
        <w:pStyle w:val="Style1"/>
      </w:pPr>
    </w:p>
    <w:p w14:paraId="1390D294" w14:textId="77777777" w:rsidR="00030089" w:rsidRDefault="00030089" w:rsidP="00030089">
      <w:pPr>
        <w:pStyle w:val="ListParagraph"/>
        <w:numPr>
          <w:ilvl w:val="1"/>
          <w:numId w:val="3"/>
        </w:numPr>
        <w:spacing w:after="200" w:line="360" w:lineRule="auto"/>
        <w:ind w:left="567" w:hanging="573"/>
        <w:outlineLvl w:val="1"/>
        <w:rPr>
          <w:rFonts w:ascii="Arial" w:hAnsi="Arial" w:cs="Arial"/>
          <w:b/>
          <w:szCs w:val="28"/>
        </w:rPr>
      </w:pPr>
      <w:bookmarkStart w:id="651" w:name="_Toc345576340"/>
      <w:bookmarkStart w:id="652" w:name="_Toc345576564"/>
      <w:bookmarkStart w:id="653" w:name="_Toc345576631"/>
      <w:bookmarkStart w:id="654" w:name="_Toc345926520"/>
      <w:bookmarkStart w:id="655" w:name="_Toc345926719"/>
      <w:bookmarkStart w:id="656" w:name="_Toc345936765"/>
      <w:bookmarkStart w:id="657" w:name="_Toc345941044"/>
      <w:bookmarkStart w:id="658" w:name="_Toc345941168"/>
      <w:bookmarkStart w:id="659" w:name="_Toc345941239"/>
      <w:bookmarkStart w:id="660" w:name="_Toc345941304"/>
      <w:bookmarkStart w:id="661" w:name="_Toc345941369"/>
      <w:bookmarkStart w:id="662" w:name="_Toc345941434"/>
      <w:bookmarkStart w:id="663" w:name="_Toc345941498"/>
      <w:bookmarkStart w:id="664" w:name="_Toc345941563"/>
      <w:bookmarkStart w:id="665" w:name="_Toc345941627"/>
      <w:bookmarkStart w:id="666" w:name="_Toc345941689"/>
      <w:bookmarkStart w:id="667" w:name="_Toc345941751"/>
      <w:bookmarkStart w:id="668" w:name="_Toc345942760"/>
      <w:bookmarkStart w:id="669" w:name="_Toc345944374"/>
      <w:bookmarkStart w:id="670" w:name="_Toc346006107"/>
      <w:bookmarkStart w:id="671" w:name="_Toc346008398"/>
      <w:bookmarkStart w:id="672" w:name="_Toc346195769"/>
      <w:bookmarkStart w:id="673" w:name="_Toc346282832"/>
      <w:bookmarkStart w:id="674" w:name="_Toc346288468"/>
      <w:bookmarkStart w:id="675" w:name="_Toc346288855"/>
      <w:bookmarkStart w:id="676" w:name="_Toc346522552"/>
      <w:bookmarkStart w:id="677" w:name="_Toc346524978"/>
      <w:bookmarkStart w:id="678" w:name="_Toc346525372"/>
      <w:bookmarkStart w:id="679" w:name="_Toc346525767"/>
      <w:bookmarkStart w:id="680" w:name="_Toc346527671"/>
      <w:bookmarkStart w:id="681" w:name="_Toc346528584"/>
      <w:bookmarkStart w:id="682" w:name="_Toc346528978"/>
      <w:bookmarkStart w:id="683" w:name="_Toc346549271"/>
      <w:bookmarkStart w:id="684" w:name="_Toc346549670"/>
      <w:bookmarkStart w:id="685" w:name="_Toc346550065"/>
      <w:bookmarkStart w:id="686" w:name="_Toc346713824"/>
      <w:bookmarkStart w:id="687" w:name="_Toc346714226"/>
      <w:bookmarkStart w:id="688" w:name="_Toc346714626"/>
      <w:bookmarkStart w:id="689" w:name="_Toc346715024"/>
      <w:bookmarkStart w:id="690" w:name="_Toc346715421"/>
      <w:bookmarkStart w:id="691" w:name="_Toc346715817"/>
      <w:bookmarkStart w:id="692" w:name="_Toc346797572"/>
      <w:bookmarkStart w:id="693" w:name="_Toc346798050"/>
      <w:bookmarkStart w:id="694" w:name="_Toc346798477"/>
      <w:bookmarkStart w:id="695" w:name="_Toc346801340"/>
      <w:bookmarkStart w:id="696" w:name="_Toc347752776"/>
      <w:bookmarkStart w:id="697" w:name="_Toc347929393"/>
      <w:bookmarkStart w:id="698" w:name="_Toc345576341"/>
      <w:bookmarkStart w:id="699" w:name="_Toc345576565"/>
      <w:bookmarkStart w:id="700" w:name="_Toc345576632"/>
      <w:bookmarkStart w:id="701" w:name="_Toc345926521"/>
      <w:bookmarkStart w:id="702" w:name="_Toc345926720"/>
      <w:bookmarkStart w:id="703" w:name="_Toc345936766"/>
      <w:bookmarkStart w:id="704" w:name="_Toc345941045"/>
      <w:bookmarkStart w:id="705" w:name="_Toc345941169"/>
      <w:bookmarkStart w:id="706" w:name="_Toc345941240"/>
      <w:bookmarkStart w:id="707" w:name="_Toc345941305"/>
      <w:bookmarkStart w:id="708" w:name="_Toc345941370"/>
      <w:bookmarkStart w:id="709" w:name="_Toc345941435"/>
      <w:bookmarkStart w:id="710" w:name="_Toc345941499"/>
      <w:bookmarkStart w:id="711" w:name="_Toc345941564"/>
      <w:bookmarkStart w:id="712" w:name="_Toc345941628"/>
      <w:bookmarkStart w:id="713" w:name="_Toc345941690"/>
      <w:bookmarkStart w:id="714" w:name="_Toc345941752"/>
      <w:bookmarkStart w:id="715" w:name="_Toc345942761"/>
      <w:bookmarkStart w:id="716" w:name="_Toc345944375"/>
      <w:bookmarkStart w:id="717" w:name="_Toc346006108"/>
      <w:bookmarkStart w:id="718" w:name="_Toc346008399"/>
      <w:bookmarkStart w:id="719" w:name="_Toc346195770"/>
      <w:bookmarkStart w:id="720" w:name="_Toc346282833"/>
      <w:bookmarkStart w:id="721" w:name="_Toc346288469"/>
      <w:bookmarkStart w:id="722" w:name="_Toc346288856"/>
      <w:bookmarkStart w:id="723" w:name="_Toc346522553"/>
      <w:bookmarkStart w:id="724" w:name="_Toc346524979"/>
      <w:bookmarkStart w:id="725" w:name="_Toc346525373"/>
      <w:bookmarkStart w:id="726" w:name="_Toc346525768"/>
      <w:bookmarkStart w:id="727" w:name="_Toc346527672"/>
      <w:bookmarkStart w:id="728" w:name="_Toc346528585"/>
      <w:bookmarkStart w:id="729" w:name="_Toc346528979"/>
      <w:bookmarkStart w:id="730" w:name="_Toc346549272"/>
      <w:bookmarkStart w:id="731" w:name="_Toc346549671"/>
      <w:bookmarkStart w:id="732" w:name="_Toc346550066"/>
      <w:bookmarkStart w:id="733" w:name="_Toc346713825"/>
      <w:bookmarkStart w:id="734" w:name="_Toc346714227"/>
      <w:bookmarkStart w:id="735" w:name="_Toc346714627"/>
      <w:bookmarkStart w:id="736" w:name="_Toc346715025"/>
      <w:bookmarkStart w:id="737" w:name="_Toc346715422"/>
      <w:bookmarkStart w:id="738" w:name="_Toc346715818"/>
      <w:bookmarkStart w:id="739" w:name="_Toc346797573"/>
      <w:bookmarkStart w:id="740" w:name="_Toc346798051"/>
      <w:bookmarkStart w:id="741" w:name="_Toc346798478"/>
      <w:bookmarkStart w:id="742" w:name="_Toc346801341"/>
      <w:bookmarkStart w:id="743" w:name="_Toc347752777"/>
      <w:bookmarkStart w:id="744" w:name="_Toc347929394"/>
      <w:bookmarkStart w:id="745" w:name="_Toc348095602"/>
      <w:bookmarkStart w:id="746" w:name="_Toc348103086"/>
      <w:bookmarkStart w:id="747" w:name="_Toc348103187"/>
      <w:bookmarkStart w:id="748" w:name="_Toc348103311"/>
      <w:bookmarkStart w:id="749" w:name="_Toc348103444"/>
      <w:bookmarkStart w:id="750" w:name="_Toc348103511"/>
      <w:bookmarkStart w:id="751" w:name="_Toc348103641"/>
      <w:bookmarkStart w:id="752" w:name="_Toc348335016"/>
      <w:bookmarkStart w:id="753" w:name="_Toc348335112"/>
      <w:bookmarkStart w:id="754" w:name="_Toc348335196"/>
      <w:bookmarkStart w:id="755" w:name="_Toc348335267"/>
      <w:bookmarkStart w:id="756" w:name="_Toc348335695"/>
      <w:bookmarkStart w:id="757" w:name="_Toc348336380"/>
      <w:bookmarkStart w:id="758" w:name="_Toc348336448"/>
      <w:bookmarkStart w:id="759" w:name="_Toc348336763"/>
      <w:bookmarkStart w:id="760" w:name="_Toc348337131"/>
      <w:bookmarkStart w:id="761" w:name="_Toc348337339"/>
      <w:bookmarkStart w:id="762" w:name="_Toc348354616"/>
      <w:bookmarkStart w:id="763" w:name="_Toc348354658"/>
      <w:bookmarkStart w:id="764" w:name="_Toc348354700"/>
      <w:bookmarkStart w:id="765" w:name="_Toc348354788"/>
      <w:bookmarkStart w:id="766" w:name="_Toc348354845"/>
      <w:bookmarkStart w:id="767" w:name="_Toc348684197"/>
      <w:bookmarkStart w:id="768" w:name="_Toc348684335"/>
      <w:bookmarkStart w:id="769" w:name="_Toc348684378"/>
      <w:bookmarkStart w:id="770" w:name="_Toc348699668"/>
      <w:bookmarkStart w:id="771" w:name="_Toc348702926"/>
      <w:bookmarkStart w:id="772" w:name="_Toc348702991"/>
      <w:bookmarkStart w:id="773" w:name="_Toc348703034"/>
      <w:bookmarkStart w:id="774" w:name="_Toc348703075"/>
      <w:bookmarkStart w:id="775" w:name="_Toc348703762"/>
      <w:bookmarkStart w:id="776" w:name="_Toc348964985"/>
      <w:bookmarkStart w:id="777" w:name="_Toc348965077"/>
      <w:bookmarkStart w:id="778" w:name="_Toc348965123"/>
      <w:bookmarkStart w:id="779" w:name="_Toc348965166"/>
      <w:bookmarkStart w:id="780" w:name="_Toc349223482"/>
      <w:bookmarkStart w:id="781" w:name="_Toc349724029"/>
      <w:bookmarkStart w:id="782" w:name="_Toc349817477"/>
      <w:bookmarkStart w:id="783" w:name="_Toc349831726"/>
      <w:bookmarkStart w:id="784" w:name="_Toc346008400"/>
      <w:bookmarkStart w:id="785" w:name="_Toc353562565"/>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FE611A">
        <w:rPr>
          <w:rFonts w:ascii="Arial" w:hAnsi="Arial" w:cs="Arial"/>
          <w:b/>
          <w:szCs w:val="28"/>
        </w:rPr>
        <w:t>Summary of stakeholder comments and responses</w:t>
      </w:r>
      <w:bookmarkEnd w:id="784"/>
      <w:r>
        <w:rPr>
          <w:rFonts w:ascii="Arial" w:hAnsi="Arial" w:cs="Arial"/>
          <w:b/>
          <w:szCs w:val="28"/>
        </w:rPr>
        <w:t xml:space="preserve"> by Northern Territory Government</w:t>
      </w:r>
      <w:bookmarkEnd w:id="785"/>
    </w:p>
    <w:p w14:paraId="35EB300A" w14:textId="77777777" w:rsidR="00030089" w:rsidRDefault="00030089" w:rsidP="00030089">
      <w:pPr>
        <w:spacing w:line="360" w:lineRule="auto"/>
        <w:jc w:val="both"/>
        <w:rPr>
          <w:rFonts w:ascii="Arial" w:hAnsi="Arial" w:cs="Arial"/>
          <w:szCs w:val="28"/>
        </w:rPr>
      </w:pPr>
      <w:r w:rsidRPr="00E62DE8">
        <w:rPr>
          <w:rFonts w:ascii="Arial" w:hAnsi="Arial" w:cs="Arial"/>
          <w:szCs w:val="28"/>
        </w:rPr>
        <w:t xml:space="preserve">In </w:t>
      </w:r>
      <w:r>
        <w:rPr>
          <w:rFonts w:ascii="Arial" w:hAnsi="Arial" w:cs="Arial"/>
          <w:szCs w:val="28"/>
        </w:rPr>
        <w:t xml:space="preserve">developing this summary, the NT Government has identified and responded to the key issues raised by each group of stakeholders. Consequently, not all issues are responded to for each group of stakeholders.  </w:t>
      </w:r>
    </w:p>
    <w:p w14:paraId="1A9EB2EC" w14:textId="77777777" w:rsidR="00030089" w:rsidRPr="00FE611A" w:rsidRDefault="00030089" w:rsidP="00030089">
      <w:pPr>
        <w:pStyle w:val="ListParagraph"/>
        <w:numPr>
          <w:ilvl w:val="2"/>
          <w:numId w:val="3"/>
        </w:numPr>
        <w:spacing w:after="200" w:line="360" w:lineRule="auto"/>
        <w:outlineLvl w:val="2"/>
        <w:rPr>
          <w:rFonts w:ascii="Arial" w:hAnsi="Arial" w:cs="Arial"/>
          <w:b/>
          <w:szCs w:val="28"/>
        </w:rPr>
      </w:pPr>
      <w:bookmarkStart w:id="786" w:name="_Toc346008401"/>
      <w:bookmarkStart w:id="787" w:name="_Toc353562566"/>
      <w:r w:rsidRPr="00FE611A">
        <w:rPr>
          <w:rFonts w:ascii="Arial" w:hAnsi="Arial" w:cs="Arial"/>
          <w:b/>
          <w:szCs w:val="28"/>
        </w:rPr>
        <w:t>Beverage Industry</w:t>
      </w:r>
      <w:bookmarkEnd w:id="786"/>
      <w:bookmarkEnd w:id="787"/>
    </w:p>
    <w:p w14:paraId="5542BF8E" w14:textId="77777777" w:rsidR="00030089" w:rsidRPr="00FE611A" w:rsidRDefault="00030089" w:rsidP="00030089">
      <w:pPr>
        <w:spacing w:line="360" w:lineRule="auto"/>
        <w:jc w:val="both"/>
        <w:rPr>
          <w:rFonts w:ascii="Arial" w:hAnsi="Arial" w:cs="Arial"/>
          <w:szCs w:val="28"/>
        </w:rPr>
      </w:pPr>
      <w:r w:rsidRPr="00FE611A">
        <w:rPr>
          <w:rFonts w:ascii="Arial" w:hAnsi="Arial" w:cs="Arial"/>
          <w:szCs w:val="28"/>
        </w:rPr>
        <w:t>Six submissions represented the views of the beverage industry. These were from:</w:t>
      </w:r>
    </w:p>
    <w:p w14:paraId="7CBB90C9" w14:textId="77777777" w:rsidR="00030089" w:rsidRPr="00FE611A" w:rsidRDefault="00030089" w:rsidP="00030089">
      <w:pPr>
        <w:pStyle w:val="ListParagraph"/>
        <w:numPr>
          <w:ilvl w:val="0"/>
          <w:numId w:val="22"/>
        </w:numPr>
        <w:spacing w:after="200" w:line="360" w:lineRule="auto"/>
        <w:jc w:val="both"/>
        <w:rPr>
          <w:rFonts w:ascii="Arial" w:hAnsi="Arial" w:cs="Arial"/>
          <w:szCs w:val="28"/>
        </w:rPr>
      </w:pPr>
      <w:r w:rsidRPr="00FE611A">
        <w:rPr>
          <w:rFonts w:ascii="Arial" w:hAnsi="Arial" w:cs="Arial"/>
          <w:szCs w:val="28"/>
        </w:rPr>
        <w:t>Australian Beverages Council</w:t>
      </w:r>
      <w:r>
        <w:rPr>
          <w:rFonts w:ascii="Arial" w:hAnsi="Arial" w:cs="Arial"/>
          <w:szCs w:val="28"/>
        </w:rPr>
        <w:t>;</w:t>
      </w:r>
    </w:p>
    <w:p w14:paraId="42AE65EE" w14:textId="77777777" w:rsidR="00030089" w:rsidRPr="00FE611A" w:rsidRDefault="00030089" w:rsidP="00030089">
      <w:pPr>
        <w:pStyle w:val="ListParagraph"/>
        <w:numPr>
          <w:ilvl w:val="0"/>
          <w:numId w:val="22"/>
        </w:numPr>
        <w:spacing w:after="200" w:line="360" w:lineRule="auto"/>
        <w:jc w:val="both"/>
        <w:rPr>
          <w:rFonts w:ascii="Arial" w:hAnsi="Arial" w:cs="Arial"/>
          <w:szCs w:val="28"/>
        </w:rPr>
      </w:pPr>
      <w:r w:rsidRPr="00FE611A">
        <w:rPr>
          <w:rFonts w:ascii="Arial" w:hAnsi="Arial" w:cs="Arial"/>
          <w:szCs w:val="28"/>
        </w:rPr>
        <w:t>Australian Food and Groceries Council (AFGC)</w:t>
      </w:r>
      <w:r>
        <w:rPr>
          <w:rFonts w:ascii="Arial" w:hAnsi="Arial" w:cs="Arial"/>
          <w:szCs w:val="28"/>
        </w:rPr>
        <w:t>;</w:t>
      </w:r>
    </w:p>
    <w:p w14:paraId="37893F7E" w14:textId="77777777" w:rsidR="00030089" w:rsidRPr="00FE611A" w:rsidRDefault="00030089" w:rsidP="00030089">
      <w:pPr>
        <w:pStyle w:val="ListParagraph"/>
        <w:numPr>
          <w:ilvl w:val="0"/>
          <w:numId w:val="22"/>
        </w:numPr>
        <w:spacing w:after="200" w:line="360" w:lineRule="auto"/>
        <w:jc w:val="both"/>
        <w:rPr>
          <w:rFonts w:ascii="Arial" w:hAnsi="Arial" w:cs="Arial"/>
          <w:szCs w:val="28"/>
        </w:rPr>
      </w:pPr>
      <w:r w:rsidRPr="00FE611A">
        <w:rPr>
          <w:rFonts w:ascii="Arial" w:hAnsi="Arial" w:cs="Arial"/>
          <w:szCs w:val="28"/>
        </w:rPr>
        <w:t>Coca-Cola Amatil</w:t>
      </w:r>
      <w:r>
        <w:rPr>
          <w:rFonts w:ascii="Arial" w:hAnsi="Arial" w:cs="Arial"/>
          <w:szCs w:val="28"/>
        </w:rPr>
        <w:t>;</w:t>
      </w:r>
    </w:p>
    <w:p w14:paraId="27558B0F" w14:textId="77777777" w:rsidR="00030089" w:rsidRPr="00FE611A" w:rsidRDefault="00030089" w:rsidP="00030089">
      <w:pPr>
        <w:pStyle w:val="ListParagraph"/>
        <w:numPr>
          <w:ilvl w:val="0"/>
          <w:numId w:val="22"/>
        </w:numPr>
        <w:spacing w:after="200" w:line="360" w:lineRule="auto"/>
        <w:jc w:val="both"/>
        <w:rPr>
          <w:rFonts w:ascii="Arial" w:hAnsi="Arial" w:cs="Arial"/>
          <w:szCs w:val="28"/>
        </w:rPr>
      </w:pPr>
      <w:r w:rsidRPr="00FE611A">
        <w:rPr>
          <w:rFonts w:ascii="Arial" w:hAnsi="Arial" w:cs="Arial"/>
          <w:szCs w:val="28"/>
        </w:rPr>
        <w:t>Hoteliers Association NT</w:t>
      </w:r>
      <w:r>
        <w:rPr>
          <w:rFonts w:ascii="Arial" w:hAnsi="Arial" w:cs="Arial"/>
          <w:szCs w:val="28"/>
        </w:rPr>
        <w:t>;</w:t>
      </w:r>
    </w:p>
    <w:p w14:paraId="17C48077" w14:textId="77777777" w:rsidR="00030089" w:rsidRPr="00FE611A" w:rsidRDefault="00030089" w:rsidP="00030089">
      <w:pPr>
        <w:pStyle w:val="ListParagraph"/>
        <w:numPr>
          <w:ilvl w:val="0"/>
          <w:numId w:val="22"/>
        </w:numPr>
        <w:spacing w:after="200" w:line="360" w:lineRule="auto"/>
        <w:jc w:val="both"/>
        <w:rPr>
          <w:rFonts w:ascii="Arial" w:hAnsi="Arial" w:cs="Arial"/>
          <w:szCs w:val="28"/>
        </w:rPr>
      </w:pPr>
      <w:r w:rsidRPr="00FE611A">
        <w:rPr>
          <w:rFonts w:ascii="Arial" w:hAnsi="Arial" w:cs="Arial"/>
          <w:szCs w:val="28"/>
        </w:rPr>
        <w:t>Liquor Stores Association NT</w:t>
      </w:r>
      <w:r>
        <w:rPr>
          <w:rFonts w:ascii="Arial" w:hAnsi="Arial" w:cs="Arial"/>
          <w:szCs w:val="28"/>
        </w:rPr>
        <w:t>; and</w:t>
      </w:r>
    </w:p>
    <w:p w14:paraId="688109AE" w14:textId="77777777" w:rsidR="00030089" w:rsidRPr="00FE611A" w:rsidRDefault="00030089" w:rsidP="00030089">
      <w:pPr>
        <w:pStyle w:val="ListParagraph"/>
        <w:numPr>
          <w:ilvl w:val="0"/>
          <w:numId w:val="22"/>
        </w:numPr>
        <w:spacing w:after="200" w:line="360" w:lineRule="auto"/>
        <w:jc w:val="both"/>
        <w:rPr>
          <w:rFonts w:ascii="Arial" w:hAnsi="Arial" w:cs="Arial"/>
          <w:szCs w:val="28"/>
        </w:rPr>
      </w:pPr>
      <w:r w:rsidRPr="00FE611A">
        <w:rPr>
          <w:rFonts w:ascii="Arial" w:hAnsi="Arial" w:cs="Arial"/>
          <w:szCs w:val="28"/>
        </w:rPr>
        <w:t>National Packaging Covenant Industry Association (NPCI)</w:t>
      </w:r>
      <w:r>
        <w:rPr>
          <w:rFonts w:ascii="Arial" w:hAnsi="Arial" w:cs="Arial"/>
          <w:szCs w:val="28"/>
        </w:rPr>
        <w:t>.</w:t>
      </w:r>
    </w:p>
    <w:p w14:paraId="395D37BF" w14:textId="77777777" w:rsidR="00030089" w:rsidRPr="00FE611A" w:rsidRDefault="00030089" w:rsidP="00030089">
      <w:pPr>
        <w:spacing w:line="360" w:lineRule="auto"/>
        <w:jc w:val="both"/>
        <w:rPr>
          <w:rFonts w:ascii="Arial" w:hAnsi="Arial" w:cs="Arial"/>
          <w:szCs w:val="28"/>
        </w:rPr>
      </w:pPr>
      <w:r w:rsidRPr="00FE611A">
        <w:rPr>
          <w:rFonts w:ascii="Arial" w:hAnsi="Arial" w:cs="Arial"/>
          <w:b/>
          <w:szCs w:val="28"/>
        </w:rPr>
        <w:lastRenderedPageBreak/>
        <w:t>Preferred Option</w:t>
      </w:r>
      <w:r w:rsidRPr="00FE611A">
        <w:rPr>
          <w:rFonts w:ascii="Arial" w:hAnsi="Arial" w:cs="Arial"/>
          <w:szCs w:val="28"/>
        </w:rPr>
        <w:t xml:space="preserve"> None of the submissions nominated any of the given options as a preference. All expressed the view that recycling and litter reduction in the NT would be best served by the NT signing the Australian Packaging Covenant (APC) rather than a container deposit scheme. Some suggested a ‘report a litterer’ type scheme be introduced in which members of the public might report littering to authorities (as is the case in Victoria, for example).</w:t>
      </w:r>
    </w:p>
    <w:p w14:paraId="48306491" w14:textId="77777777" w:rsidR="00030089" w:rsidRPr="00FE611A" w:rsidRDefault="00030089" w:rsidP="00030089">
      <w:pPr>
        <w:spacing w:line="360" w:lineRule="auto"/>
        <w:jc w:val="both"/>
        <w:rPr>
          <w:rFonts w:ascii="Arial" w:hAnsi="Arial" w:cs="Arial"/>
          <w:i/>
          <w:szCs w:val="28"/>
        </w:rPr>
      </w:pPr>
      <w:r w:rsidRPr="00FE611A">
        <w:rPr>
          <w:rFonts w:ascii="Arial" w:hAnsi="Arial" w:cs="Arial"/>
          <w:b/>
          <w:i/>
          <w:szCs w:val="28"/>
        </w:rPr>
        <w:t xml:space="preserve">Response </w:t>
      </w:r>
      <w:r w:rsidRPr="00FE611A">
        <w:rPr>
          <w:rFonts w:ascii="Arial" w:hAnsi="Arial" w:cs="Arial"/>
          <w:i/>
          <w:szCs w:val="28"/>
        </w:rPr>
        <w:t xml:space="preserve">A costing for the NT signing the APC </w:t>
      </w:r>
      <w:r>
        <w:rPr>
          <w:rFonts w:ascii="Arial" w:hAnsi="Arial" w:cs="Arial"/>
          <w:i/>
          <w:szCs w:val="28"/>
        </w:rPr>
        <w:t>and a</w:t>
      </w:r>
      <w:r w:rsidRPr="00FE611A">
        <w:rPr>
          <w:rFonts w:ascii="Arial" w:hAnsi="Arial" w:cs="Arial"/>
          <w:i/>
          <w:szCs w:val="28"/>
        </w:rPr>
        <w:t xml:space="preserve"> costing for a modified NT Litter Act has been added to Option 4</w:t>
      </w:r>
      <w:r>
        <w:rPr>
          <w:rFonts w:ascii="Arial" w:hAnsi="Arial" w:cs="Arial"/>
          <w:i/>
          <w:szCs w:val="28"/>
        </w:rPr>
        <w:t>.</w:t>
      </w:r>
    </w:p>
    <w:p w14:paraId="038EE1C6" w14:textId="77777777" w:rsidR="00030089" w:rsidRPr="00FE611A" w:rsidRDefault="00030089" w:rsidP="00030089">
      <w:pPr>
        <w:spacing w:line="360" w:lineRule="auto"/>
        <w:jc w:val="both"/>
        <w:rPr>
          <w:rFonts w:ascii="Arial" w:hAnsi="Arial" w:cs="Arial"/>
          <w:szCs w:val="28"/>
        </w:rPr>
      </w:pPr>
      <w:r w:rsidRPr="00FE611A">
        <w:rPr>
          <w:rFonts w:ascii="Arial" w:hAnsi="Arial" w:cs="Arial"/>
          <w:b/>
          <w:szCs w:val="28"/>
        </w:rPr>
        <w:t xml:space="preserve">Data Supplied &amp; Reliance on </w:t>
      </w:r>
      <w:r w:rsidRPr="00C3160B">
        <w:rPr>
          <w:rFonts w:ascii="Arial" w:hAnsi="Arial" w:cs="Arial"/>
          <w:b/>
          <w:szCs w:val="28"/>
        </w:rPr>
        <w:t>Packaging Impacts CRIS</w:t>
      </w:r>
      <w:r w:rsidRPr="00FE611A">
        <w:rPr>
          <w:rFonts w:ascii="Arial" w:hAnsi="Arial" w:cs="Arial"/>
          <w:szCs w:val="28"/>
        </w:rPr>
        <w:t xml:space="preserve"> All submissions representing manufacturers expressed the view that not enough data </w:t>
      </w:r>
      <w:r>
        <w:rPr>
          <w:rFonts w:ascii="Arial" w:hAnsi="Arial" w:cs="Arial"/>
          <w:szCs w:val="28"/>
        </w:rPr>
        <w:t xml:space="preserve">were </w:t>
      </w:r>
      <w:r w:rsidRPr="00FE611A">
        <w:rPr>
          <w:rFonts w:ascii="Arial" w:hAnsi="Arial" w:cs="Arial"/>
          <w:szCs w:val="28"/>
        </w:rPr>
        <w:t xml:space="preserve">supplied in each option’s cost benefit analysis. It was argued that the NT scheme has been in operation for 11 months so ‘accurate cost data </w:t>
      </w:r>
      <w:r>
        <w:rPr>
          <w:rFonts w:ascii="Arial" w:hAnsi="Arial" w:cs="Arial"/>
          <w:szCs w:val="28"/>
        </w:rPr>
        <w:t>is</w:t>
      </w:r>
      <w:r w:rsidRPr="00FE611A">
        <w:rPr>
          <w:rFonts w:ascii="Arial" w:hAnsi="Arial" w:cs="Arial"/>
          <w:szCs w:val="28"/>
        </w:rPr>
        <w:t xml:space="preserve"> available’ and should be used rather than extrapolating from theoretical national data contained in the Packaging Impacts CRIS.</w:t>
      </w:r>
      <w:r>
        <w:rPr>
          <w:rFonts w:ascii="Arial" w:hAnsi="Arial" w:cs="Arial"/>
          <w:szCs w:val="28"/>
        </w:rPr>
        <w:t xml:space="preserve"> </w:t>
      </w:r>
      <w:r w:rsidRPr="00FE611A">
        <w:rPr>
          <w:rFonts w:ascii="Arial" w:hAnsi="Arial" w:cs="Arial"/>
          <w:szCs w:val="28"/>
        </w:rPr>
        <w:t xml:space="preserve">The NPCIA argued that Option 1 consists of another three sub options and that these should be scoped and modelled separately. The Australian Beverage Council criticized use of the Territory’s proportion of the national population as the basis for the use of Packaging Impacts CRIS data and that doing so fails to take into account the additional costs embedded within the Territory’s geographical expanse. The AFGC felt Packaging Impacts CRIS figures inflate the value for recycled glass and the amount of steel used in beverage containers. </w:t>
      </w:r>
    </w:p>
    <w:p w14:paraId="1B782D44" w14:textId="77777777" w:rsidR="00030089" w:rsidRPr="00FE611A" w:rsidRDefault="00030089" w:rsidP="00030089">
      <w:pPr>
        <w:spacing w:line="360" w:lineRule="auto"/>
        <w:jc w:val="both"/>
        <w:rPr>
          <w:rFonts w:ascii="Arial" w:hAnsi="Arial" w:cs="Arial"/>
          <w:i/>
          <w:szCs w:val="28"/>
        </w:rPr>
      </w:pPr>
      <w:r w:rsidRPr="00FE611A">
        <w:rPr>
          <w:rFonts w:ascii="Arial" w:hAnsi="Arial" w:cs="Arial"/>
          <w:b/>
          <w:i/>
          <w:szCs w:val="28"/>
        </w:rPr>
        <w:t xml:space="preserve">Response </w:t>
      </w:r>
      <w:r w:rsidRPr="00FE611A">
        <w:rPr>
          <w:rFonts w:ascii="Arial" w:hAnsi="Arial" w:cs="Arial"/>
          <w:i/>
          <w:szCs w:val="28"/>
        </w:rPr>
        <w:t xml:space="preserve">Further costings have been added to Options 1, 2 and 4. Option 1 has been modified. </w:t>
      </w:r>
    </w:p>
    <w:p w14:paraId="6C6D565A" w14:textId="77777777" w:rsidR="00030089" w:rsidRPr="000236D4" w:rsidRDefault="00030089" w:rsidP="00030089">
      <w:pPr>
        <w:spacing w:line="360" w:lineRule="auto"/>
        <w:jc w:val="both"/>
        <w:rPr>
          <w:rFonts w:ascii="Arial" w:hAnsi="Arial" w:cs="Arial"/>
          <w:i/>
          <w:szCs w:val="24"/>
        </w:rPr>
      </w:pPr>
      <w:r w:rsidRPr="000236D4">
        <w:rPr>
          <w:rFonts w:ascii="Arial" w:hAnsi="Arial" w:cs="Arial"/>
          <w:i/>
          <w:szCs w:val="24"/>
        </w:rPr>
        <w:t xml:space="preserve">The use of the </w:t>
      </w:r>
      <w:r w:rsidRPr="000236D4">
        <w:rPr>
          <w:rFonts w:ascii="Arial" w:hAnsi="Arial" w:cs="Arial"/>
          <w:szCs w:val="24"/>
        </w:rPr>
        <w:t>Packaging Impacts CRIS</w:t>
      </w:r>
      <w:r w:rsidRPr="000236D4">
        <w:rPr>
          <w:rFonts w:ascii="Arial" w:hAnsi="Arial" w:cs="Arial"/>
          <w:i/>
          <w:szCs w:val="24"/>
        </w:rPr>
        <w:t xml:space="preserve"> based estimate of operational costs has been maintained in some places. Any estimate of the operational cost of running the NT CDS over a 25 year term will necessarily be ‘hypothetical’. Definitive, ‘accurate cost data’ pertaining to the long term operational cost of the current NT CDS are not available. Only averaged handling fees paid by coordinators in 2012 are known. These:</w:t>
      </w:r>
    </w:p>
    <w:p w14:paraId="3996B3EE" w14:textId="77777777" w:rsidR="00030089" w:rsidRPr="000236D4" w:rsidRDefault="00030089" w:rsidP="00030089">
      <w:pPr>
        <w:pStyle w:val="ListParagraph"/>
        <w:numPr>
          <w:ilvl w:val="0"/>
          <w:numId w:val="10"/>
        </w:numPr>
        <w:spacing w:after="200" w:line="360" w:lineRule="auto"/>
        <w:jc w:val="both"/>
        <w:rPr>
          <w:rFonts w:ascii="Arial" w:hAnsi="Arial" w:cs="Arial"/>
          <w:i/>
          <w:szCs w:val="24"/>
        </w:rPr>
      </w:pPr>
      <w:r w:rsidRPr="000236D4">
        <w:rPr>
          <w:rFonts w:ascii="Arial" w:hAnsi="Arial" w:cs="Arial"/>
          <w:i/>
          <w:szCs w:val="24"/>
        </w:rPr>
        <w:t xml:space="preserve">may not approximate real costs; </w:t>
      </w:r>
    </w:p>
    <w:p w14:paraId="65818740" w14:textId="77777777" w:rsidR="00030089" w:rsidRPr="000236D4" w:rsidRDefault="00030089" w:rsidP="00030089">
      <w:pPr>
        <w:pStyle w:val="ListParagraph"/>
        <w:numPr>
          <w:ilvl w:val="0"/>
          <w:numId w:val="10"/>
        </w:numPr>
        <w:spacing w:after="200" w:line="360" w:lineRule="auto"/>
        <w:jc w:val="both"/>
        <w:rPr>
          <w:rFonts w:ascii="Arial" w:hAnsi="Arial" w:cs="Arial"/>
          <w:i/>
          <w:szCs w:val="24"/>
        </w:rPr>
      </w:pPr>
      <w:r w:rsidRPr="000236D4">
        <w:rPr>
          <w:rFonts w:ascii="Arial" w:hAnsi="Arial" w:cs="Arial"/>
          <w:i/>
          <w:szCs w:val="24"/>
        </w:rPr>
        <w:t xml:space="preserve">are very unlikely to indicate costs over the long term; and </w:t>
      </w:r>
    </w:p>
    <w:p w14:paraId="352EA1A1" w14:textId="77777777" w:rsidR="00030089" w:rsidRPr="000236D4" w:rsidRDefault="00030089" w:rsidP="00030089">
      <w:pPr>
        <w:pStyle w:val="ListParagraph"/>
        <w:numPr>
          <w:ilvl w:val="0"/>
          <w:numId w:val="10"/>
        </w:numPr>
        <w:spacing w:after="200" w:line="360" w:lineRule="auto"/>
        <w:jc w:val="both"/>
        <w:rPr>
          <w:rFonts w:ascii="Arial" w:hAnsi="Arial" w:cs="Arial"/>
          <w:i/>
          <w:szCs w:val="24"/>
        </w:rPr>
      </w:pPr>
      <w:r w:rsidRPr="000236D4">
        <w:rPr>
          <w:rFonts w:ascii="Arial" w:hAnsi="Arial" w:cs="Arial"/>
          <w:i/>
          <w:szCs w:val="24"/>
        </w:rPr>
        <w:t xml:space="preserve">do not include profits earned by coordinators. </w:t>
      </w:r>
    </w:p>
    <w:p w14:paraId="2B0FDF6E" w14:textId="77777777" w:rsidR="000236D4" w:rsidRPr="000236D4" w:rsidRDefault="000236D4" w:rsidP="00030089">
      <w:pPr>
        <w:spacing w:line="360" w:lineRule="auto"/>
        <w:jc w:val="both"/>
        <w:rPr>
          <w:rFonts w:ascii="Arial" w:hAnsi="Arial" w:cs="Arial"/>
          <w:i/>
          <w:szCs w:val="24"/>
        </w:rPr>
      </w:pPr>
    </w:p>
    <w:p w14:paraId="58FB6F3C" w14:textId="77777777" w:rsidR="00030089" w:rsidRPr="000236D4" w:rsidRDefault="00030089" w:rsidP="00030089">
      <w:pPr>
        <w:spacing w:line="360" w:lineRule="auto"/>
        <w:jc w:val="both"/>
        <w:rPr>
          <w:rFonts w:ascii="Arial" w:hAnsi="Arial" w:cs="Arial"/>
          <w:i/>
          <w:szCs w:val="24"/>
        </w:rPr>
      </w:pPr>
      <w:r w:rsidRPr="000236D4">
        <w:rPr>
          <w:rFonts w:ascii="Arial" w:hAnsi="Arial" w:cs="Arial"/>
          <w:i/>
          <w:szCs w:val="24"/>
        </w:rPr>
        <w:lastRenderedPageBreak/>
        <w:t xml:space="preserve">Further consultation undertaken with collection depots indicates that costs are a matter of contention. Some collection depots believe their costs are not reflected in the handling fee paid to them, while others are satisfied they are and anticipate their costs will reduce significantly in the medium to long term. </w:t>
      </w:r>
    </w:p>
    <w:p w14:paraId="40E73128" w14:textId="77777777" w:rsidR="00030089" w:rsidRPr="000236D4" w:rsidRDefault="00030089" w:rsidP="00030089">
      <w:pPr>
        <w:spacing w:line="360" w:lineRule="auto"/>
        <w:jc w:val="both"/>
        <w:rPr>
          <w:rFonts w:ascii="Arial" w:hAnsi="Arial" w:cs="Arial"/>
          <w:i/>
          <w:szCs w:val="24"/>
        </w:rPr>
      </w:pPr>
      <w:r w:rsidRPr="000236D4">
        <w:rPr>
          <w:rFonts w:ascii="Arial" w:hAnsi="Arial" w:cs="Arial"/>
          <w:i/>
          <w:szCs w:val="24"/>
        </w:rPr>
        <w:t>Handling fees are likely to change in time as the scheme matures, as has been the South Australian and international experience. Inefficiencies undoubtedly exist in the current scheme. The great advantage of a market-operated scheme such as the NT CDS is that market forces are available to drive efficiencies in the medium to longer term.</w:t>
      </w:r>
    </w:p>
    <w:p w14:paraId="005595A4" w14:textId="77777777" w:rsidR="00030089" w:rsidRPr="000236D4" w:rsidRDefault="00030089" w:rsidP="00030089">
      <w:pPr>
        <w:spacing w:line="360" w:lineRule="auto"/>
        <w:jc w:val="both"/>
        <w:rPr>
          <w:rFonts w:ascii="Arial" w:hAnsi="Arial" w:cs="Arial"/>
          <w:i/>
          <w:szCs w:val="24"/>
        </w:rPr>
      </w:pPr>
      <w:r w:rsidRPr="000236D4">
        <w:rPr>
          <w:rFonts w:ascii="Arial" w:hAnsi="Arial" w:cs="Arial"/>
          <w:i/>
          <w:szCs w:val="24"/>
        </w:rPr>
        <w:t xml:space="preserve">Further consultation indicates there has been a wide disparity in the amount of capital investment made by collection depots to date. This is partly a reflection of there being new stakeholders entering into collection depot operations and on the other hand seasoned operators who appreciate the need for sophisticated plant and technologies in order to obtain efficiencies. The level of investment made affects the operational costs incurred in processing containers. Over the medium term, investment as a proportion of overall costs is likely to diminish rapidly. </w:t>
      </w:r>
    </w:p>
    <w:p w14:paraId="6E5A5A57" w14:textId="77777777" w:rsidR="00030089" w:rsidRPr="000236D4" w:rsidRDefault="00030089" w:rsidP="00030089">
      <w:pPr>
        <w:spacing w:line="360" w:lineRule="auto"/>
        <w:jc w:val="both"/>
        <w:rPr>
          <w:rFonts w:ascii="Arial" w:hAnsi="Arial" w:cs="Arial"/>
          <w:i/>
          <w:szCs w:val="24"/>
        </w:rPr>
      </w:pPr>
      <w:r w:rsidRPr="000236D4">
        <w:rPr>
          <w:rFonts w:ascii="Arial" w:hAnsi="Arial" w:cs="Arial"/>
          <w:i/>
          <w:szCs w:val="24"/>
        </w:rPr>
        <w:t>Garry Bull noted in representing Marine Stores to the Senate Inquiry into Container Deposit Schemes in South Australia &amp; the Northern Territory that the scheme has only just begun and can be expected to mature in time</w:t>
      </w:r>
      <w:r w:rsidRPr="000236D4">
        <w:rPr>
          <w:rFonts w:ascii="Arial" w:hAnsi="Arial" w:cs="Arial"/>
          <w:szCs w:val="24"/>
        </w:rPr>
        <w:t>:</w:t>
      </w:r>
    </w:p>
    <w:p w14:paraId="1B48AA6E" w14:textId="77777777" w:rsidR="00030089" w:rsidRPr="000236D4" w:rsidRDefault="00030089" w:rsidP="00030089">
      <w:pPr>
        <w:spacing w:line="360" w:lineRule="auto"/>
        <w:ind w:left="720"/>
        <w:jc w:val="both"/>
        <w:rPr>
          <w:rFonts w:ascii="Arial" w:hAnsi="Arial" w:cs="Arial"/>
          <w:i/>
          <w:szCs w:val="24"/>
        </w:rPr>
      </w:pPr>
      <w:r w:rsidRPr="000236D4">
        <w:rPr>
          <w:rFonts w:ascii="Arial" w:hAnsi="Arial" w:cs="Arial"/>
          <w:szCs w:val="24"/>
        </w:rPr>
        <w:t>“The process by which Marine Stores determines its costs and fee structure for customers is similar to South Australia, with some significant extra factors. These include the need for investment in new infrastructure in the Northern Territory (normally undertaken by the collectors themselves, but in the Northern Territory requiring subsidy by Marine Stores to enable the collectors to remain viable), the lack of maturity in the system and the fact that it is only ten months old and will take time to establish a ‘business as usual’ level.”</w:t>
      </w:r>
      <w:r w:rsidRPr="000236D4">
        <w:rPr>
          <w:rStyle w:val="FootnoteReference"/>
          <w:rFonts w:ascii="Arial" w:hAnsi="Arial"/>
          <w:szCs w:val="24"/>
        </w:rPr>
        <w:footnoteReference w:id="42"/>
      </w:r>
    </w:p>
    <w:p w14:paraId="4DBEF22F" w14:textId="77777777" w:rsidR="00030089" w:rsidRPr="000236D4" w:rsidRDefault="00030089" w:rsidP="00030089">
      <w:pPr>
        <w:spacing w:line="360" w:lineRule="auto"/>
        <w:jc w:val="both"/>
        <w:rPr>
          <w:rFonts w:ascii="Arial" w:hAnsi="Arial" w:cs="Arial"/>
          <w:i/>
          <w:szCs w:val="24"/>
        </w:rPr>
      </w:pPr>
      <w:r w:rsidRPr="000236D4">
        <w:rPr>
          <w:rFonts w:ascii="Arial" w:hAnsi="Arial" w:cs="Arial"/>
          <w:i/>
          <w:szCs w:val="24"/>
        </w:rPr>
        <w:t>Return rates also affect costs. While the return rate is impressively high given the scheme’s infancy, it is still below the 80 per cent redemption rate international and SA schemes demonstrate the scheme has the potential to achieve.</w:t>
      </w:r>
    </w:p>
    <w:p w14:paraId="375F6416" w14:textId="77777777" w:rsidR="000236D4" w:rsidRPr="000236D4" w:rsidRDefault="000236D4">
      <w:pPr>
        <w:rPr>
          <w:rFonts w:ascii="Arial" w:hAnsi="Arial" w:cs="Arial"/>
          <w:i/>
          <w:szCs w:val="24"/>
        </w:rPr>
      </w:pPr>
      <w:r w:rsidRPr="000236D4">
        <w:rPr>
          <w:rFonts w:ascii="Arial" w:hAnsi="Arial" w:cs="Arial"/>
          <w:i/>
          <w:szCs w:val="24"/>
        </w:rPr>
        <w:br w:type="page"/>
      </w:r>
    </w:p>
    <w:p w14:paraId="315DE611" w14:textId="1AFB57AE" w:rsidR="00030089" w:rsidRPr="000236D4" w:rsidRDefault="00030089" w:rsidP="00030089">
      <w:pPr>
        <w:spacing w:line="360" w:lineRule="auto"/>
        <w:jc w:val="both"/>
        <w:rPr>
          <w:rFonts w:ascii="Arial" w:hAnsi="Arial" w:cs="Arial"/>
          <w:i/>
          <w:szCs w:val="24"/>
        </w:rPr>
      </w:pPr>
      <w:r w:rsidRPr="000236D4">
        <w:rPr>
          <w:rFonts w:ascii="Arial" w:hAnsi="Arial" w:cs="Arial"/>
          <w:i/>
          <w:szCs w:val="24"/>
        </w:rPr>
        <w:lastRenderedPageBreak/>
        <w:t xml:space="preserve">Importantly, no alternative estimations of operational cost were provided by the manufacturing industry or its representatives. This was the case despite requests expressly made in the consultation RIS for such estimates in the context of an acknowledgment that the Packaging Impacts CRIS model is hypothetical. Further requests to industry representatives around their estimate of operational costs were subsequently made. Responses were not received. This lack of response is taken as confirmation that securing non-hypothetical ‘accurate cost data’ that definitively determine the cost of a mature NT scheme is in fact problematic. </w:t>
      </w:r>
    </w:p>
    <w:p w14:paraId="7A4FF0B7" w14:textId="77777777" w:rsidR="00030089" w:rsidRPr="000236D4" w:rsidRDefault="00030089" w:rsidP="00030089">
      <w:pPr>
        <w:spacing w:line="360" w:lineRule="auto"/>
        <w:jc w:val="both"/>
        <w:rPr>
          <w:rFonts w:ascii="Arial" w:hAnsi="Arial" w:cs="Arial"/>
          <w:i/>
          <w:szCs w:val="24"/>
        </w:rPr>
      </w:pPr>
      <w:r w:rsidRPr="000236D4">
        <w:rPr>
          <w:rFonts w:ascii="Arial" w:hAnsi="Arial" w:cs="Arial"/>
          <w:i/>
          <w:szCs w:val="24"/>
        </w:rPr>
        <w:t>In terms of the value of resources, other submissions from the waste management sector expressed the view that values were in fact too low. The DRIS now contains higher estimates than did the Consultation RIS.</w:t>
      </w:r>
    </w:p>
    <w:p w14:paraId="67D294D0" w14:textId="77777777" w:rsidR="00030089" w:rsidRPr="000236D4" w:rsidRDefault="00030089" w:rsidP="00030089">
      <w:pPr>
        <w:spacing w:line="360" w:lineRule="auto"/>
        <w:jc w:val="both"/>
        <w:rPr>
          <w:rFonts w:ascii="Arial" w:hAnsi="Arial" w:cs="Arial"/>
          <w:szCs w:val="24"/>
        </w:rPr>
      </w:pPr>
      <w:r w:rsidRPr="000236D4">
        <w:rPr>
          <w:rFonts w:ascii="Arial" w:hAnsi="Arial" w:cs="Arial"/>
          <w:b/>
          <w:szCs w:val="24"/>
        </w:rPr>
        <w:t>Contravention of MRA/TTMRA</w:t>
      </w:r>
      <w:r w:rsidRPr="000236D4">
        <w:rPr>
          <w:rFonts w:ascii="Arial" w:hAnsi="Arial" w:cs="Arial"/>
          <w:szCs w:val="24"/>
        </w:rPr>
        <w:t xml:space="preserve"> Three industry submissions stated that they believed the Act to be in contravention of the MRA and TTMRA. They also expressed the view that if this was legally determined to be the case, the beverage industry would not comply with a voluntary scheme. </w:t>
      </w:r>
    </w:p>
    <w:p w14:paraId="14A3E4D4" w14:textId="77777777" w:rsidR="00030089" w:rsidRPr="000236D4" w:rsidRDefault="00030089" w:rsidP="00030089">
      <w:pPr>
        <w:spacing w:line="360" w:lineRule="auto"/>
        <w:jc w:val="both"/>
        <w:rPr>
          <w:rFonts w:ascii="Arial" w:hAnsi="Arial" w:cs="Arial"/>
          <w:i/>
          <w:szCs w:val="24"/>
        </w:rPr>
      </w:pPr>
      <w:r w:rsidRPr="000236D4">
        <w:rPr>
          <w:rFonts w:ascii="Arial" w:hAnsi="Arial" w:cs="Arial"/>
          <w:b/>
          <w:i/>
          <w:szCs w:val="24"/>
        </w:rPr>
        <w:t xml:space="preserve">Response </w:t>
      </w:r>
      <w:r w:rsidRPr="000236D4">
        <w:rPr>
          <w:rFonts w:ascii="Arial" w:hAnsi="Arial" w:cs="Arial"/>
          <w:i/>
          <w:szCs w:val="24"/>
        </w:rPr>
        <w:t>The NT government is currently involved in a legal case on this matter.</w:t>
      </w:r>
    </w:p>
    <w:p w14:paraId="6E8E56C1" w14:textId="77777777" w:rsidR="00030089" w:rsidRPr="000236D4" w:rsidRDefault="00030089" w:rsidP="00030089">
      <w:pPr>
        <w:spacing w:line="360" w:lineRule="auto"/>
        <w:jc w:val="both"/>
        <w:rPr>
          <w:rFonts w:ascii="Arial" w:hAnsi="Arial" w:cs="Arial"/>
          <w:szCs w:val="24"/>
        </w:rPr>
      </w:pPr>
      <w:r w:rsidRPr="000236D4">
        <w:rPr>
          <w:rFonts w:ascii="Arial" w:hAnsi="Arial" w:cs="Arial"/>
          <w:b/>
          <w:szCs w:val="24"/>
        </w:rPr>
        <w:t xml:space="preserve">Kerbside Issues </w:t>
      </w:r>
      <w:r w:rsidRPr="000236D4">
        <w:rPr>
          <w:rFonts w:ascii="Arial" w:hAnsi="Arial" w:cs="Arial"/>
          <w:szCs w:val="24"/>
        </w:rPr>
        <w:t>The AFGC, NPIC and the ABC requested that further analysis be undertaken on the cost impact of the introduction of the NT CDS on kerbside recycling (e.g. existing local government contracts and Materials Recycling Facility operations) and drop off services provided by local governments in Darwin and Palmerston.</w:t>
      </w:r>
    </w:p>
    <w:p w14:paraId="65A31DBA" w14:textId="77777777" w:rsidR="00030089" w:rsidRPr="000236D4" w:rsidRDefault="00030089" w:rsidP="00030089">
      <w:pPr>
        <w:spacing w:line="360" w:lineRule="auto"/>
        <w:jc w:val="both"/>
        <w:rPr>
          <w:rFonts w:ascii="Arial" w:hAnsi="Arial" w:cs="Arial"/>
          <w:szCs w:val="24"/>
        </w:rPr>
      </w:pPr>
      <w:r w:rsidRPr="000236D4">
        <w:rPr>
          <w:rFonts w:ascii="Arial" w:hAnsi="Arial" w:cs="Arial"/>
          <w:b/>
          <w:i/>
          <w:szCs w:val="24"/>
        </w:rPr>
        <w:t xml:space="preserve">Response </w:t>
      </w:r>
      <w:r w:rsidRPr="000236D4">
        <w:rPr>
          <w:rFonts w:ascii="Arial" w:hAnsi="Arial" w:cs="Arial"/>
          <w:i/>
          <w:szCs w:val="24"/>
        </w:rPr>
        <w:t>New figures for avoided kerbside costs have been added. These are significantly lower than those in the Consultation RIS.</w:t>
      </w:r>
    </w:p>
    <w:p w14:paraId="3DB84CE6" w14:textId="77777777" w:rsidR="00030089" w:rsidRPr="000236D4" w:rsidRDefault="00030089" w:rsidP="00030089">
      <w:pPr>
        <w:spacing w:line="360" w:lineRule="auto"/>
        <w:jc w:val="both"/>
        <w:rPr>
          <w:rFonts w:ascii="Arial" w:hAnsi="Arial" w:cs="Arial"/>
          <w:szCs w:val="24"/>
        </w:rPr>
      </w:pPr>
      <w:r w:rsidRPr="000236D4">
        <w:rPr>
          <w:rFonts w:ascii="Arial" w:hAnsi="Arial" w:cs="Arial"/>
          <w:b/>
          <w:szCs w:val="24"/>
        </w:rPr>
        <w:t xml:space="preserve">Benefit to NT Tourism Sector </w:t>
      </w:r>
      <w:r w:rsidRPr="000236D4">
        <w:rPr>
          <w:rFonts w:ascii="Arial" w:hAnsi="Arial" w:cs="Arial"/>
          <w:szCs w:val="24"/>
        </w:rPr>
        <w:t>The ABC, NPCI and AFGC asserted that there is no economic analysis to base an allotment of a benefit of 0.1% of tourism’s value to the NT economy.</w:t>
      </w:r>
    </w:p>
    <w:p w14:paraId="626AF5B5" w14:textId="77777777" w:rsidR="00030089" w:rsidRPr="000236D4" w:rsidRDefault="00030089" w:rsidP="00030089">
      <w:pPr>
        <w:spacing w:line="360" w:lineRule="auto"/>
        <w:jc w:val="both"/>
        <w:rPr>
          <w:rFonts w:ascii="Arial" w:hAnsi="Arial" w:cs="Arial"/>
          <w:szCs w:val="24"/>
        </w:rPr>
      </w:pPr>
      <w:r w:rsidRPr="000236D4">
        <w:rPr>
          <w:rFonts w:ascii="Arial" w:hAnsi="Arial" w:cs="Arial"/>
          <w:b/>
          <w:i/>
          <w:szCs w:val="24"/>
        </w:rPr>
        <w:t xml:space="preserve">Response </w:t>
      </w:r>
      <w:r w:rsidRPr="000236D4">
        <w:rPr>
          <w:rFonts w:ascii="Arial" w:hAnsi="Arial" w:cs="Arial"/>
          <w:i/>
          <w:szCs w:val="24"/>
        </w:rPr>
        <w:t xml:space="preserve">This figure has been removed. </w:t>
      </w:r>
    </w:p>
    <w:p w14:paraId="3C611F02" w14:textId="77777777" w:rsidR="00030089" w:rsidRPr="000236D4" w:rsidRDefault="00030089" w:rsidP="00030089">
      <w:pPr>
        <w:spacing w:line="360" w:lineRule="auto"/>
        <w:jc w:val="both"/>
        <w:rPr>
          <w:rFonts w:ascii="Arial" w:hAnsi="Arial" w:cs="Arial"/>
          <w:szCs w:val="24"/>
        </w:rPr>
      </w:pPr>
      <w:r w:rsidRPr="000236D4">
        <w:rPr>
          <w:rFonts w:ascii="Arial" w:hAnsi="Arial" w:cs="Arial"/>
          <w:b/>
          <w:szCs w:val="24"/>
        </w:rPr>
        <w:t xml:space="preserve">No Evidence of Positive Impact of NT CDS on Littering </w:t>
      </w:r>
      <w:r w:rsidRPr="000236D4">
        <w:rPr>
          <w:rStyle w:val="Style1Char"/>
          <w:sz w:val="24"/>
          <w:szCs w:val="24"/>
        </w:rPr>
        <w:t>The NPCI</w:t>
      </w:r>
      <w:r w:rsidRPr="000236D4">
        <w:rPr>
          <w:rFonts w:ascii="Arial" w:hAnsi="Arial" w:cs="Arial"/>
          <w:b/>
          <w:szCs w:val="24"/>
        </w:rPr>
        <w:t xml:space="preserve"> </w:t>
      </w:r>
      <w:r w:rsidRPr="000236D4">
        <w:rPr>
          <w:rStyle w:val="Style1Char"/>
          <w:sz w:val="24"/>
          <w:szCs w:val="24"/>
        </w:rPr>
        <w:t>questioned the claim that there is a high uptake of CDS in the NT based on the limited amount of quarterly reports available.</w:t>
      </w:r>
    </w:p>
    <w:p w14:paraId="55F46C90" w14:textId="77777777" w:rsidR="000236D4" w:rsidRPr="000236D4" w:rsidRDefault="000236D4">
      <w:pPr>
        <w:rPr>
          <w:rFonts w:ascii="Arial" w:hAnsi="Arial" w:cs="Arial"/>
          <w:b/>
          <w:i/>
          <w:szCs w:val="24"/>
        </w:rPr>
      </w:pPr>
      <w:r w:rsidRPr="000236D4">
        <w:rPr>
          <w:rFonts w:ascii="Arial" w:hAnsi="Arial" w:cs="Arial"/>
          <w:b/>
          <w:i/>
          <w:szCs w:val="24"/>
        </w:rPr>
        <w:br w:type="page"/>
      </w:r>
    </w:p>
    <w:p w14:paraId="74EF6C09" w14:textId="618F6A78" w:rsidR="00030089" w:rsidRPr="000236D4" w:rsidRDefault="00030089" w:rsidP="00030089">
      <w:pPr>
        <w:spacing w:line="360" w:lineRule="auto"/>
        <w:jc w:val="both"/>
        <w:rPr>
          <w:rFonts w:ascii="Arial" w:hAnsi="Arial" w:cs="Arial"/>
          <w:i/>
          <w:szCs w:val="24"/>
        </w:rPr>
      </w:pPr>
      <w:r w:rsidRPr="000236D4">
        <w:rPr>
          <w:rFonts w:ascii="Arial" w:hAnsi="Arial" w:cs="Arial"/>
          <w:b/>
          <w:i/>
          <w:szCs w:val="24"/>
        </w:rPr>
        <w:lastRenderedPageBreak/>
        <w:t xml:space="preserve">Response </w:t>
      </w:r>
      <w:r w:rsidRPr="000236D4">
        <w:rPr>
          <w:rFonts w:ascii="Arial" w:hAnsi="Arial" w:cs="Arial"/>
          <w:i/>
          <w:szCs w:val="24"/>
        </w:rPr>
        <w:t xml:space="preserve">Data obtained so soon after the scheme’s operation will have limitations. Since the consultation RIS was released two new quarterly reports have been published. This shows a continuing upward trend in returns. The Decision RIS incorporates this new data. </w:t>
      </w:r>
    </w:p>
    <w:p w14:paraId="20108D15" w14:textId="77777777" w:rsidR="00030089" w:rsidRPr="000236D4" w:rsidRDefault="00030089" w:rsidP="00030089">
      <w:pPr>
        <w:spacing w:line="360" w:lineRule="auto"/>
        <w:jc w:val="both"/>
        <w:rPr>
          <w:rFonts w:ascii="Arial" w:hAnsi="Arial" w:cs="Arial"/>
          <w:i/>
          <w:szCs w:val="24"/>
        </w:rPr>
      </w:pPr>
      <w:r w:rsidRPr="000236D4">
        <w:rPr>
          <w:rFonts w:ascii="Arial" w:hAnsi="Arial" w:cs="Arial"/>
          <w:i/>
          <w:szCs w:val="24"/>
        </w:rPr>
        <w:t>Analysis of KAB Annual Results Tabulations data immediately before and during the NT CDS operation show a dramatic reduction in beverage container littering (39%). This analysis has been added to the Decision RIS.</w:t>
      </w:r>
    </w:p>
    <w:p w14:paraId="36012330" w14:textId="77777777" w:rsidR="00030089" w:rsidRPr="000236D4" w:rsidRDefault="00030089" w:rsidP="00030089">
      <w:pPr>
        <w:spacing w:line="360" w:lineRule="auto"/>
        <w:jc w:val="both"/>
        <w:rPr>
          <w:rFonts w:ascii="Arial" w:hAnsi="Arial" w:cs="Arial"/>
          <w:szCs w:val="24"/>
        </w:rPr>
      </w:pPr>
      <w:r w:rsidRPr="000236D4">
        <w:rPr>
          <w:rFonts w:ascii="Arial" w:hAnsi="Arial" w:cs="Arial"/>
          <w:b/>
          <w:szCs w:val="24"/>
        </w:rPr>
        <w:t xml:space="preserve">Use of Willingness to Pay Data </w:t>
      </w:r>
      <w:r w:rsidRPr="000236D4">
        <w:rPr>
          <w:rStyle w:val="Style1Char"/>
          <w:sz w:val="24"/>
          <w:szCs w:val="24"/>
        </w:rPr>
        <w:t>The AFGC argued that the use of national data on consumer willingness-to-pay may not accurately reflect the willingness to pay of Territorians; and that the NT CRIS contained a double counting of benefits, given a value was attributed to both the benefits to the NT tourism sector, and environment and amenity from willingness-to-pay figures. The NPCIA also requested that willingness to pay data be displayed separately from market costs and benefits. The NPCIA also objected to the use of the upper estimate.</w:t>
      </w:r>
    </w:p>
    <w:p w14:paraId="64AFC9FE" w14:textId="77777777" w:rsidR="00030089" w:rsidRPr="000236D4" w:rsidRDefault="00030089" w:rsidP="00030089">
      <w:pPr>
        <w:spacing w:line="360" w:lineRule="auto"/>
        <w:jc w:val="both"/>
        <w:rPr>
          <w:rFonts w:ascii="Arial" w:hAnsi="Arial" w:cs="Arial"/>
          <w:i/>
          <w:szCs w:val="24"/>
        </w:rPr>
      </w:pPr>
      <w:r w:rsidRPr="000236D4">
        <w:rPr>
          <w:rFonts w:ascii="Arial" w:hAnsi="Arial" w:cs="Arial"/>
          <w:b/>
          <w:i/>
          <w:szCs w:val="24"/>
        </w:rPr>
        <w:t xml:space="preserve">Response </w:t>
      </w:r>
      <w:r w:rsidRPr="000236D4">
        <w:rPr>
          <w:rFonts w:ascii="Arial" w:hAnsi="Arial" w:cs="Arial"/>
          <w:i/>
          <w:szCs w:val="24"/>
        </w:rPr>
        <w:t xml:space="preserve">The DRIS maintains that the NT CDS generates an environmental benefit over and above the market value of recycled resources. Willingness-to-pay data are used cautiously and is indicative only. It is not unreasonable to assume that Territorians, as members of the national community, have an outlook </w:t>
      </w:r>
      <w:r w:rsidRPr="000236D4">
        <w:rPr>
          <w:rFonts w:ascii="Arial" w:hAnsi="Arial" w:cs="Arial"/>
          <w:b/>
          <w:i/>
          <w:szCs w:val="24"/>
        </w:rPr>
        <w:t>approximate</w:t>
      </w:r>
      <w:r w:rsidRPr="000236D4">
        <w:rPr>
          <w:rFonts w:ascii="Arial" w:hAnsi="Arial" w:cs="Arial"/>
          <w:i/>
          <w:szCs w:val="24"/>
        </w:rPr>
        <w:t xml:space="preserve"> to that of the national community. Indeed it should be noted that the Territory has a large transitory component to its population and is therefore likely to be more representative of ‘national’ outlook than any other single jurisdiction. Willingness to pay data is now used minimally in the overall assessment.</w:t>
      </w:r>
    </w:p>
    <w:p w14:paraId="46E50225" w14:textId="77777777" w:rsidR="00030089" w:rsidRPr="000236D4" w:rsidRDefault="00030089" w:rsidP="00030089">
      <w:pPr>
        <w:spacing w:line="360" w:lineRule="auto"/>
        <w:jc w:val="both"/>
        <w:rPr>
          <w:rStyle w:val="Style1Char"/>
          <w:sz w:val="24"/>
          <w:szCs w:val="24"/>
        </w:rPr>
      </w:pPr>
      <w:r w:rsidRPr="000236D4">
        <w:rPr>
          <w:rFonts w:ascii="Arial" w:hAnsi="Arial" w:cs="Arial"/>
          <w:b/>
          <w:szCs w:val="24"/>
        </w:rPr>
        <w:t xml:space="preserve">Use of Keep Australia Beautiful Litter Index Data </w:t>
      </w:r>
      <w:r w:rsidRPr="000236D4">
        <w:rPr>
          <w:rStyle w:val="Style1Char"/>
          <w:sz w:val="24"/>
          <w:szCs w:val="24"/>
        </w:rPr>
        <w:t xml:space="preserve">The AFGC, and ABC warned that the KAB </w:t>
      </w:r>
      <w:r w:rsidRPr="000236D4">
        <w:rPr>
          <w:rStyle w:val="Style1Char"/>
          <w:i/>
          <w:sz w:val="24"/>
          <w:szCs w:val="24"/>
        </w:rPr>
        <w:t>Annual Report</w:t>
      </w:r>
      <w:r w:rsidRPr="000236D4">
        <w:rPr>
          <w:rStyle w:val="Style1Char"/>
          <w:sz w:val="24"/>
          <w:szCs w:val="24"/>
        </w:rPr>
        <w:t xml:space="preserve"> cannot be used for comparative purposes between states and territories or adjusted for population densities.</w:t>
      </w:r>
    </w:p>
    <w:p w14:paraId="5A901C5B" w14:textId="77777777" w:rsidR="00030089" w:rsidRPr="000236D4" w:rsidRDefault="00030089" w:rsidP="00030089">
      <w:pPr>
        <w:spacing w:line="360" w:lineRule="auto"/>
        <w:jc w:val="both"/>
        <w:rPr>
          <w:rFonts w:ascii="Arial" w:hAnsi="Arial" w:cs="Arial"/>
          <w:i/>
          <w:szCs w:val="24"/>
        </w:rPr>
      </w:pPr>
      <w:r w:rsidRPr="000236D4">
        <w:rPr>
          <w:rFonts w:ascii="Arial" w:hAnsi="Arial" w:cs="Arial"/>
          <w:b/>
          <w:i/>
          <w:szCs w:val="24"/>
        </w:rPr>
        <w:t>Response</w:t>
      </w:r>
      <w:r w:rsidRPr="000236D4">
        <w:rPr>
          <w:rFonts w:ascii="Arial" w:hAnsi="Arial" w:cs="Arial"/>
          <w:szCs w:val="24"/>
        </w:rPr>
        <w:t xml:space="preserve"> </w:t>
      </w:r>
      <w:r w:rsidRPr="000236D4">
        <w:rPr>
          <w:rFonts w:ascii="Arial" w:hAnsi="Arial" w:cs="Arial"/>
          <w:i/>
          <w:szCs w:val="24"/>
        </w:rPr>
        <w:t xml:space="preserve">Use of these data in this fashion has been removed. The problem of litter and resource recovery in the NT is now discussed in its own right. The following considerations suggest the NT has an issue with resource recovery and characteristics that have the </w:t>
      </w:r>
      <w:r w:rsidRPr="000236D4">
        <w:rPr>
          <w:rFonts w:ascii="Arial" w:hAnsi="Arial" w:cs="Arial"/>
          <w:b/>
          <w:i/>
          <w:szCs w:val="24"/>
        </w:rPr>
        <w:t>potential</w:t>
      </w:r>
      <w:r w:rsidRPr="000236D4">
        <w:rPr>
          <w:rFonts w:ascii="Arial" w:hAnsi="Arial" w:cs="Arial"/>
          <w:i/>
          <w:szCs w:val="24"/>
        </w:rPr>
        <w:t xml:space="preserve"> to increase littering:</w:t>
      </w:r>
    </w:p>
    <w:p w14:paraId="659CC3DF" w14:textId="77777777" w:rsidR="00030089" w:rsidRPr="000236D4" w:rsidRDefault="00030089" w:rsidP="00030089">
      <w:pPr>
        <w:pStyle w:val="ListParagraph"/>
        <w:numPr>
          <w:ilvl w:val="0"/>
          <w:numId w:val="23"/>
        </w:numPr>
        <w:spacing w:after="200" w:line="360" w:lineRule="auto"/>
        <w:jc w:val="both"/>
        <w:rPr>
          <w:rFonts w:ascii="Arial" w:hAnsi="Arial" w:cs="Arial"/>
          <w:i/>
          <w:szCs w:val="24"/>
        </w:rPr>
      </w:pPr>
      <w:r w:rsidRPr="000236D4">
        <w:rPr>
          <w:rFonts w:ascii="Arial" w:hAnsi="Arial" w:cs="Arial"/>
          <w:i/>
          <w:szCs w:val="24"/>
        </w:rPr>
        <w:t>a high proportion of its population is not serviced by kerbside;</w:t>
      </w:r>
    </w:p>
    <w:p w14:paraId="4A1322AB" w14:textId="77777777" w:rsidR="00030089" w:rsidRPr="000236D4" w:rsidRDefault="00030089" w:rsidP="00030089">
      <w:pPr>
        <w:pStyle w:val="ListParagraph"/>
        <w:numPr>
          <w:ilvl w:val="0"/>
          <w:numId w:val="23"/>
        </w:numPr>
        <w:spacing w:after="200" w:line="360" w:lineRule="auto"/>
        <w:jc w:val="both"/>
        <w:rPr>
          <w:rFonts w:ascii="Arial" w:hAnsi="Arial" w:cs="Arial"/>
          <w:i/>
          <w:szCs w:val="24"/>
        </w:rPr>
      </w:pPr>
      <w:r w:rsidRPr="000236D4">
        <w:rPr>
          <w:rFonts w:ascii="Arial" w:hAnsi="Arial" w:cs="Arial"/>
          <w:i/>
          <w:szCs w:val="24"/>
        </w:rPr>
        <w:t>the NT has a higher than national average consumption of alcohol;</w:t>
      </w:r>
    </w:p>
    <w:p w14:paraId="5B25E019" w14:textId="77777777" w:rsidR="00030089" w:rsidRPr="000236D4" w:rsidRDefault="00030089" w:rsidP="00030089">
      <w:pPr>
        <w:pStyle w:val="ListParagraph"/>
        <w:numPr>
          <w:ilvl w:val="0"/>
          <w:numId w:val="23"/>
        </w:numPr>
        <w:spacing w:after="200" w:line="360" w:lineRule="auto"/>
        <w:jc w:val="both"/>
        <w:rPr>
          <w:rFonts w:ascii="Arial" w:hAnsi="Arial" w:cs="Arial"/>
          <w:i/>
          <w:szCs w:val="24"/>
        </w:rPr>
      </w:pPr>
      <w:r w:rsidRPr="000236D4">
        <w:rPr>
          <w:rFonts w:ascii="Arial" w:hAnsi="Arial" w:cs="Arial"/>
          <w:i/>
          <w:szCs w:val="24"/>
        </w:rPr>
        <w:t>the NT ‘lifestyle’ involves a high proportion of outdoor consumption of beverages;</w:t>
      </w:r>
    </w:p>
    <w:p w14:paraId="57130116" w14:textId="77777777" w:rsidR="00030089" w:rsidRPr="000236D4" w:rsidRDefault="00030089" w:rsidP="00030089">
      <w:pPr>
        <w:pStyle w:val="ListParagraph"/>
        <w:numPr>
          <w:ilvl w:val="0"/>
          <w:numId w:val="23"/>
        </w:numPr>
        <w:spacing w:after="200" w:line="360" w:lineRule="auto"/>
        <w:jc w:val="both"/>
        <w:rPr>
          <w:rFonts w:ascii="Arial" w:hAnsi="Arial" w:cs="Arial"/>
          <w:i/>
          <w:szCs w:val="24"/>
        </w:rPr>
      </w:pPr>
      <w:r w:rsidRPr="000236D4">
        <w:rPr>
          <w:rFonts w:ascii="Arial" w:hAnsi="Arial" w:cs="Arial"/>
          <w:i/>
          <w:szCs w:val="24"/>
        </w:rPr>
        <w:lastRenderedPageBreak/>
        <w:t>the NT climate induces a more frequent resort to beverages as a means of rehydration.</w:t>
      </w:r>
    </w:p>
    <w:p w14:paraId="0F1D9950" w14:textId="77777777" w:rsidR="00030089" w:rsidRPr="000236D4" w:rsidRDefault="00030089" w:rsidP="00030089">
      <w:pPr>
        <w:pStyle w:val="ListParagraph"/>
        <w:spacing w:line="360" w:lineRule="auto"/>
        <w:ind w:left="2160"/>
        <w:jc w:val="both"/>
        <w:outlineLvl w:val="1"/>
        <w:rPr>
          <w:rFonts w:ascii="Arial" w:hAnsi="Arial" w:cs="Arial"/>
          <w:i/>
          <w:szCs w:val="24"/>
        </w:rPr>
      </w:pPr>
    </w:p>
    <w:p w14:paraId="7D8F5040" w14:textId="77777777" w:rsidR="00030089" w:rsidRPr="000236D4" w:rsidRDefault="00030089" w:rsidP="00030089">
      <w:pPr>
        <w:pStyle w:val="ListParagraph"/>
        <w:numPr>
          <w:ilvl w:val="2"/>
          <w:numId w:val="3"/>
        </w:numPr>
        <w:spacing w:after="200" w:line="360" w:lineRule="auto"/>
        <w:jc w:val="both"/>
        <w:outlineLvl w:val="2"/>
        <w:rPr>
          <w:rFonts w:ascii="Arial" w:hAnsi="Arial" w:cs="Arial"/>
          <w:b/>
          <w:szCs w:val="24"/>
        </w:rPr>
      </w:pPr>
      <w:bookmarkStart w:id="788" w:name="_Toc346008402"/>
      <w:bookmarkStart w:id="789" w:name="_Toc353562567"/>
      <w:r w:rsidRPr="000236D4">
        <w:rPr>
          <w:rFonts w:ascii="Arial" w:hAnsi="Arial" w:cs="Arial"/>
          <w:b/>
          <w:szCs w:val="24"/>
        </w:rPr>
        <w:t>Local Government</w:t>
      </w:r>
      <w:bookmarkEnd w:id="788"/>
      <w:bookmarkEnd w:id="789"/>
    </w:p>
    <w:p w14:paraId="7E069E4F" w14:textId="77777777" w:rsidR="00030089" w:rsidRPr="000236D4" w:rsidRDefault="00030089" w:rsidP="00030089">
      <w:pPr>
        <w:spacing w:line="360" w:lineRule="auto"/>
        <w:jc w:val="both"/>
        <w:rPr>
          <w:rFonts w:ascii="Arial" w:hAnsi="Arial" w:cs="Arial"/>
          <w:szCs w:val="24"/>
        </w:rPr>
      </w:pPr>
      <w:r w:rsidRPr="000236D4">
        <w:rPr>
          <w:rFonts w:ascii="Arial" w:hAnsi="Arial" w:cs="Arial"/>
          <w:szCs w:val="24"/>
        </w:rPr>
        <w:t>Two submissions represented the views of local government. These were from:</w:t>
      </w:r>
    </w:p>
    <w:p w14:paraId="5EF42EAA" w14:textId="77777777" w:rsidR="00030089" w:rsidRPr="000236D4" w:rsidRDefault="00030089" w:rsidP="00030089">
      <w:pPr>
        <w:pStyle w:val="ListParagraph"/>
        <w:numPr>
          <w:ilvl w:val="0"/>
          <w:numId w:val="24"/>
        </w:numPr>
        <w:spacing w:after="200" w:line="360" w:lineRule="auto"/>
        <w:jc w:val="both"/>
        <w:rPr>
          <w:rFonts w:ascii="Arial" w:hAnsi="Arial" w:cs="Arial"/>
          <w:szCs w:val="24"/>
        </w:rPr>
      </w:pPr>
      <w:r w:rsidRPr="000236D4">
        <w:rPr>
          <w:rFonts w:ascii="Arial" w:hAnsi="Arial" w:cs="Arial"/>
          <w:szCs w:val="24"/>
        </w:rPr>
        <w:t>Local Government Association of the NT (LGANT)</w:t>
      </w:r>
    </w:p>
    <w:p w14:paraId="58AF143C" w14:textId="77777777" w:rsidR="00030089" w:rsidRPr="000236D4" w:rsidRDefault="00030089" w:rsidP="00030089">
      <w:pPr>
        <w:pStyle w:val="ListParagraph"/>
        <w:numPr>
          <w:ilvl w:val="0"/>
          <w:numId w:val="24"/>
        </w:numPr>
        <w:spacing w:after="200" w:line="360" w:lineRule="auto"/>
        <w:jc w:val="both"/>
        <w:rPr>
          <w:rFonts w:ascii="Arial" w:hAnsi="Arial" w:cs="Arial"/>
          <w:szCs w:val="24"/>
        </w:rPr>
      </w:pPr>
      <w:r w:rsidRPr="000236D4">
        <w:rPr>
          <w:rFonts w:ascii="Arial" w:hAnsi="Arial" w:cs="Arial"/>
          <w:szCs w:val="24"/>
        </w:rPr>
        <w:t>Palmerston City Council (PCC)</w:t>
      </w:r>
    </w:p>
    <w:p w14:paraId="4FA831E4" w14:textId="77777777" w:rsidR="00030089" w:rsidRPr="000236D4" w:rsidRDefault="00030089" w:rsidP="00030089">
      <w:pPr>
        <w:spacing w:line="360" w:lineRule="auto"/>
        <w:jc w:val="both"/>
        <w:rPr>
          <w:rFonts w:ascii="Arial" w:hAnsi="Arial" w:cs="Arial"/>
          <w:szCs w:val="24"/>
        </w:rPr>
      </w:pPr>
      <w:r w:rsidRPr="000236D4">
        <w:rPr>
          <w:rFonts w:ascii="Arial" w:hAnsi="Arial" w:cs="Arial"/>
          <w:b/>
          <w:szCs w:val="24"/>
        </w:rPr>
        <w:t>Preferred Option</w:t>
      </w:r>
      <w:r w:rsidRPr="000236D4">
        <w:rPr>
          <w:rFonts w:ascii="Arial" w:hAnsi="Arial" w:cs="Arial"/>
          <w:szCs w:val="24"/>
        </w:rPr>
        <w:t xml:space="preserve"> LGANT supports immediate implementation of Option 3 (the Act gaining exemption from the MRA and TTMRA). LGANT also felt this option was compatible with Option 2 (a national CDS) and also expressed the view that all alternatives explored in Option 4 (less trade restrictive alternatives) were in fact already being undertaken in the NT by local government, the Northern Territory Government and non-government stakeholders and that these should continue into the future alongside the CDS. LGANT supports the principle that those who create waste should take full responsibility for that waste. In the case of industry, LGANT supports the imposition of legislation, regulations and incentive schemes which will ‘compel industry to accept cradle to grave responsibility for the products, waste and litter it produces, at both the production and post consumer stages’. PCC did not nominate a preferred option. However, PCC ‘supports the CDL’ and suggests a number of means by which the scheme’s sustainability might be supported in the event of Option 3 being decided on.</w:t>
      </w:r>
    </w:p>
    <w:p w14:paraId="028EC77B" w14:textId="77777777" w:rsidR="00030089" w:rsidRPr="000236D4" w:rsidRDefault="00030089" w:rsidP="00030089">
      <w:pPr>
        <w:spacing w:line="360" w:lineRule="auto"/>
        <w:jc w:val="both"/>
        <w:rPr>
          <w:b/>
          <w:szCs w:val="24"/>
        </w:rPr>
      </w:pPr>
      <w:r w:rsidRPr="000236D4">
        <w:rPr>
          <w:rFonts w:ascii="Arial" w:hAnsi="Arial" w:cs="Arial"/>
          <w:b/>
          <w:i/>
          <w:szCs w:val="24"/>
        </w:rPr>
        <w:t>Response</w:t>
      </w:r>
      <w:r w:rsidRPr="000236D4">
        <w:rPr>
          <w:rFonts w:ascii="Arial" w:hAnsi="Arial" w:cs="Arial"/>
          <w:i/>
          <w:szCs w:val="24"/>
        </w:rPr>
        <w:t xml:space="preserve"> Option 4 now explores alternatives not currently underway in the Territory. </w:t>
      </w:r>
    </w:p>
    <w:p w14:paraId="3A877062" w14:textId="77777777" w:rsidR="00030089" w:rsidRPr="000236D4" w:rsidRDefault="00030089" w:rsidP="00030089">
      <w:pPr>
        <w:spacing w:line="360" w:lineRule="auto"/>
        <w:jc w:val="both"/>
        <w:rPr>
          <w:rFonts w:ascii="Arial" w:hAnsi="Arial" w:cs="Arial"/>
          <w:color w:val="000000"/>
          <w:szCs w:val="24"/>
        </w:rPr>
      </w:pPr>
      <w:r w:rsidRPr="000236D4">
        <w:rPr>
          <w:rFonts w:ascii="Arial" w:hAnsi="Arial" w:cs="Arial"/>
          <w:b/>
          <w:szCs w:val="24"/>
        </w:rPr>
        <w:t>Data Supplied</w:t>
      </w:r>
      <w:r w:rsidRPr="000236D4">
        <w:rPr>
          <w:rFonts w:ascii="Arial" w:hAnsi="Arial" w:cs="Arial"/>
          <w:szCs w:val="24"/>
        </w:rPr>
        <w:t xml:space="preserve"> LGANT a</w:t>
      </w:r>
      <w:r w:rsidRPr="000236D4">
        <w:rPr>
          <w:rStyle w:val="Style1Char"/>
          <w:sz w:val="24"/>
          <w:szCs w:val="24"/>
        </w:rPr>
        <w:t xml:space="preserve">cknowledging that quantitative “market” information may not be available. LGANT felt qualitative “non-market” indications of costs and benefits should be supplied for each option. LGANT was not in a position to provide an estimation of the cost of operating an NT CDS. </w:t>
      </w:r>
    </w:p>
    <w:p w14:paraId="78EF2A01" w14:textId="77777777" w:rsidR="00030089" w:rsidRPr="000236D4" w:rsidRDefault="00030089" w:rsidP="00030089">
      <w:pPr>
        <w:spacing w:line="360" w:lineRule="auto"/>
        <w:jc w:val="both"/>
        <w:rPr>
          <w:i/>
          <w:szCs w:val="24"/>
        </w:rPr>
      </w:pPr>
      <w:r w:rsidRPr="000236D4">
        <w:rPr>
          <w:rFonts w:ascii="Arial" w:hAnsi="Arial" w:cs="Arial"/>
          <w:b/>
          <w:i/>
          <w:szCs w:val="24"/>
        </w:rPr>
        <w:t>Response</w:t>
      </w:r>
      <w:r w:rsidRPr="000236D4">
        <w:rPr>
          <w:rFonts w:ascii="Arial" w:hAnsi="Arial" w:cs="Arial"/>
          <w:i/>
          <w:szCs w:val="24"/>
        </w:rPr>
        <w:t xml:space="preserve"> Further indicative costings have been added to Options 1, 2 and 4. </w:t>
      </w:r>
    </w:p>
    <w:p w14:paraId="0A2B675F" w14:textId="77777777" w:rsidR="00030089" w:rsidRPr="000236D4" w:rsidRDefault="00030089" w:rsidP="00030089">
      <w:pPr>
        <w:spacing w:line="360" w:lineRule="auto"/>
        <w:jc w:val="both"/>
        <w:rPr>
          <w:rFonts w:ascii="Arial" w:hAnsi="Arial" w:cs="Arial"/>
          <w:color w:val="000000"/>
          <w:szCs w:val="24"/>
        </w:rPr>
      </w:pPr>
      <w:r w:rsidRPr="000236D4">
        <w:rPr>
          <w:rFonts w:ascii="Arial" w:hAnsi="Arial" w:cs="Arial"/>
          <w:b/>
          <w:szCs w:val="24"/>
        </w:rPr>
        <w:t xml:space="preserve">Willingness to Pay Data </w:t>
      </w:r>
      <w:r w:rsidRPr="000236D4">
        <w:rPr>
          <w:rStyle w:val="Style1Char"/>
          <w:sz w:val="24"/>
          <w:szCs w:val="24"/>
        </w:rPr>
        <w:t>LGANT cautioned against placing too much faith in its use, stating ‘willingness to pay is often quite different to a community’s actual willingness to part with money’.</w:t>
      </w:r>
      <w:r w:rsidRPr="000236D4">
        <w:rPr>
          <w:rFonts w:ascii="Arial" w:hAnsi="Arial" w:cs="Arial"/>
          <w:color w:val="000000"/>
          <w:szCs w:val="24"/>
        </w:rPr>
        <w:t xml:space="preserve"> </w:t>
      </w:r>
    </w:p>
    <w:p w14:paraId="3E29567E" w14:textId="77777777" w:rsidR="00030089" w:rsidRPr="000236D4" w:rsidRDefault="00030089" w:rsidP="00030089">
      <w:pPr>
        <w:spacing w:line="360" w:lineRule="auto"/>
        <w:jc w:val="both"/>
        <w:rPr>
          <w:rFonts w:ascii="Arial" w:hAnsi="Arial" w:cs="Arial"/>
          <w:i/>
          <w:szCs w:val="24"/>
        </w:rPr>
      </w:pPr>
      <w:r w:rsidRPr="000236D4">
        <w:rPr>
          <w:rFonts w:ascii="Arial" w:hAnsi="Arial" w:cs="Arial"/>
          <w:b/>
          <w:i/>
          <w:szCs w:val="24"/>
        </w:rPr>
        <w:t xml:space="preserve">Response </w:t>
      </w:r>
      <w:r w:rsidRPr="000236D4">
        <w:rPr>
          <w:rFonts w:ascii="Arial" w:hAnsi="Arial" w:cs="Arial"/>
          <w:i/>
          <w:szCs w:val="24"/>
        </w:rPr>
        <w:t>The DRIS maintains that the NT CDS generates an environmental benefit over and above the market value of recycled resources. Willingness-to-pay data is used minimally.</w:t>
      </w:r>
    </w:p>
    <w:p w14:paraId="52E7F557" w14:textId="77777777" w:rsidR="00030089" w:rsidRPr="000236D4" w:rsidRDefault="00030089" w:rsidP="00030089">
      <w:pPr>
        <w:spacing w:line="360" w:lineRule="auto"/>
        <w:jc w:val="both"/>
        <w:rPr>
          <w:rFonts w:ascii="Arial" w:hAnsi="Arial" w:cs="Arial"/>
          <w:color w:val="000000"/>
          <w:szCs w:val="24"/>
        </w:rPr>
      </w:pPr>
      <w:r w:rsidRPr="000236D4">
        <w:rPr>
          <w:rFonts w:ascii="Arial" w:hAnsi="Arial" w:cs="Arial"/>
          <w:b/>
          <w:szCs w:val="24"/>
        </w:rPr>
        <w:lastRenderedPageBreak/>
        <w:t xml:space="preserve">Landfill Costs </w:t>
      </w:r>
      <w:r w:rsidRPr="000236D4">
        <w:rPr>
          <w:rStyle w:val="Style1Char"/>
          <w:sz w:val="24"/>
          <w:szCs w:val="24"/>
        </w:rPr>
        <w:t>LGANT suggests</w:t>
      </w:r>
      <w:r w:rsidRPr="000236D4">
        <w:rPr>
          <w:rFonts w:ascii="Arial" w:hAnsi="Arial" w:cs="Arial"/>
          <w:b/>
          <w:szCs w:val="24"/>
        </w:rPr>
        <w:t xml:space="preserve"> </w:t>
      </w:r>
      <w:r w:rsidRPr="000236D4">
        <w:rPr>
          <w:rStyle w:val="Style1Char"/>
          <w:sz w:val="24"/>
          <w:szCs w:val="24"/>
        </w:rPr>
        <w:t>there has been no clearly reported reduction in landfill operating costs by any council since the introduction of the scheme.</w:t>
      </w:r>
      <w:r w:rsidRPr="000236D4">
        <w:rPr>
          <w:rFonts w:ascii="Arial" w:hAnsi="Arial" w:cs="Arial"/>
          <w:color w:val="000000"/>
          <w:szCs w:val="24"/>
        </w:rPr>
        <w:t xml:space="preserve"> </w:t>
      </w:r>
    </w:p>
    <w:p w14:paraId="27BBF515" w14:textId="77777777" w:rsidR="00030089" w:rsidRPr="000236D4" w:rsidRDefault="00030089" w:rsidP="00030089">
      <w:pPr>
        <w:spacing w:line="360" w:lineRule="auto"/>
        <w:jc w:val="both"/>
        <w:rPr>
          <w:rFonts w:ascii="Arial" w:hAnsi="Arial" w:cs="Arial"/>
          <w:b/>
          <w:szCs w:val="24"/>
        </w:rPr>
      </w:pPr>
      <w:r w:rsidRPr="000236D4">
        <w:rPr>
          <w:rFonts w:ascii="Arial" w:hAnsi="Arial" w:cs="Arial"/>
          <w:b/>
          <w:i/>
          <w:szCs w:val="24"/>
        </w:rPr>
        <w:t xml:space="preserve">Response </w:t>
      </w:r>
      <w:r w:rsidRPr="000236D4">
        <w:rPr>
          <w:rFonts w:ascii="Arial" w:hAnsi="Arial" w:cs="Arial"/>
          <w:i/>
          <w:szCs w:val="24"/>
        </w:rPr>
        <w:t>Given the scheme’s infancy, conclusions as to benefits arising from landfill operating cost savings are not yet able to be drawn. It is expected that more precise evidence will not be available for some time yet.</w:t>
      </w:r>
    </w:p>
    <w:p w14:paraId="70B5DE5F" w14:textId="77777777" w:rsidR="00030089" w:rsidRPr="000236D4" w:rsidRDefault="00030089" w:rsidP="00030089">
      <w:pPr>
        <w:spacing w:line="360" w:lineRule="auto"/>
        <w:jc w:val="both"/>
        <w:rPr>
          <w:rFonts w:ascii="Arial" w:hAnsi="Arial" w:cs="Arial"/>
          <w:color w:val="000000"/>
          <w:szCs w:val="24"/>
        </w:rPr>
      </w:pPr>
      <w:r w:rsidRPr="000236D4">
        <w:rPr>
          <w:rFonts w:ascii="Arial" w:hAnsi="Arial" w:cs="Arial"/>
          <w:b/>
          <w:szCs w:val="24"/>
        </w:rPr>
        <w:t xml:space="preserve">Kerbside Issues </w:t>
      </w:r>
      <w:r w:rsidRPr="000236D4">
        <w:rPr>
          <w:rStyle w:val="Style1Char"/>
          <w:sz w:val="24"/>
          <w:szCs w:val="24"/>
        </w:rPr>
        <w:t>LGANT noted that where kerbside recycling does exist there has been no reported negative impact or significant reduction in volume reported to LGNT as a result of the implementation of the CDS.</w:t>
      </w:r>
      <w:r w:rsidRPr="000236D4">
        <w:rPr>
          <w:rFonts w:ascii="Arial" w:hAnsi="Arial" w:cs="Arial"/>
          <w:color w:val="000000"/>
          <w:szCs w:val="24"/>
        </w:rPr>
        <w:t xml:space="preserve"> </w:t>
      </w:r>
      <w:r w:rsidRPr="000236D4">
        <w:rPr>
          <w:rStyle w:val="Style1Char"/>
          <w:sz w:val="24"/>
          <w:szCs w:val="24"/>
        </w:rPr>
        <w:t>LGANT also noted that individual councils may have incorporated clauses relating to CDS into recycling contracts and this may be impacted if any changes to the CDS come as a result of beverage industry non-compliance with the scheme.</w:t>
      </w:r>
      <w:r w:rsidRPr="000236D4">
        <w:rPr>
          <w:rFonts w:ascii="Arial" w:hAnsi="Arial" w:cs="Arial"/>
          <w:color w:val="000000"/>
          <w:szCs w:val="24"/>
        </w:rPr>
        <w:t xml:space="preserve"> </w:t>
      </w:r>
      <w:r w:rsidRPr="000236D4">
        <w:rPr>
          <w:rStyle w:val="Style1Char"/>
          <w:sz w:val="24"/>
          <w:szCs w:val="24"/>
        </w:rPr>
        <w:t>Conversely PCC reported in its submission that Waste and Recycle contractors are calling for a variation in their contracts to counter losses they are experiencing due to CDS. PCC reports that, ‘this is a serious matter impacting the relationship between Council and Contractor’. New contracts will have the CDS loss factored in. Until then PCC would like the NT Government to consider providing compensation for any variation in contracts undertaken.</w:t>
      </w:r>
    </w:p>
    <w:p w14:paraId="0C20E81D" w14:textId="77777777" w:rsidR="00030089" w:rsidRPr="000236D4" w:rsidRDefault="00030089" w:rsidP="00030089">
      <w:pPr>
        <w:spacing w:line="360" w:lineRule="auto"/>
        <w:jc w:val="both"/>
        <w:rPr>
          <w:b/>
          <w:szCs w:val="24"/>
        </w:rPr>
      </w:pPr>
      <w:r w:rsidRPr="000236D4">
        <w:rPr>
          <w:rFonts w:ascii="Arial" w:hAnsi="Arial" w:cs="Arial"/>
          <w:b/>
          <w:i/>
          <w:szCs w:val="24"/>
        </w:rPr>
        <w:t xml:space="preserve">Response </w:t>
      </w:r>
      <w:r w:rsidRPr="000236D4">
        <w:rPr>
          <w:rFonts w:ascii="Arial" w:hAnsi="Arial" w:cs="Arial"/>
          <w:i/>
          <w:szCs w:val="24"/>
        </w:rPr>
        <w:t xml:space="preserve">Although inconclusive, this provides some indication that CDS is impacting kerbside. Figures representing savings to kerbside presented in the NT CDS Consultation RIS have been reviewed and significantly lowered. </w:t>
      </w:r>
    </w:p>
    <w:p w14:paraId="65754EEA" w14:textId="77777777" w:rsidR="00030089" w:rsidRPr="000236D4" w:rsidRDefault="00030089" w:rsidP="00030089">
      <w:pPr>
        <w:spacing w:line="360" w:lineRule="auto"/>
        <w:jc w:val="both"/>
        <w:rPr>
          <w:rFonts w:ascii="Arial" w:hAnsi="Arial" w:cs="Arial"/>
          <w:szCs w:val="24"/>
        </w:rPr>
      </w:pPr>
      <w:r w:rsidRPr="000236D4">
        <w:rPr>
          <w:rFonts w:ascii="Arial" w:hAnsi="Arial" w:cs="Arial"/>
          <w:b/>
          <w:szCs w:val="24"/>
        </w:rPr>
        <w:t xml:space="preserve">No Evidence of Positive Impact of NT CDS on Littering </w:t>
      </w:r>
      <w:r w:rsidRPr="000236D4">
        <w:rPr>
          <w:rStyle w:val="Style1Char"/>
          <w:sz w:val="24"/>
          <w:szCs w:val="24"/>
        </w:rPr>
        <w:t>PCC questioned the claim that there is a high uptake of CDS in the NT based on the limited amount of quarterly reports available.</w:t>
      </w:r>
    </w:p>
    <w:p w14:paraId="6061518E" w14:textId="77777777" w:rsidR="00030089" w:rsidRPr="000236D4" w:rsidRDefault="00030089" w:rsidP="00030089">
      <w:pPr>
        <w:spacing w:line="360" w:lineRule="auto"/>
        <w:jc w:val="both"/>
        <w:rPr>
          <w:rFonts w:ascii="Arial" w:hAnsi="Arial" w:cs="Arial"/>
          <w:i/>
          <w:szCs w:val="24"/>
        </w:rPr>
      </w:pPr>
      <w:r w:rsidRPr="000236D4">
        <w:rPr>
          <w:rFonts w:ascii="Arial" w:hAnsi="Arial" w:cs="Arial"/>
          <w:b/>
          <w:i/>
          <w:szCs w:val="24"/>
        </w:rPr>
        <w:t xml:space="preserve">Response </w:t>
      </w:r>
      <w:r w:rsidRPr="000236D4">
        <w:rPr>
          <w:rFonts w:ascii="Arial" w:hAnsi="Arial" w:cs="Arial"/>
          <w:i/>
          <w:szCs w:val="24"/>
        </w:rPr>
        <w:t xml:space="preserve">Data obtained so soon after the scheme’s operation will have limitations. Since the consultation RIS was two new quarterly reports have been published. This shows a continuing upward trend in returns. The Decision RIS incorporates this new data. </w:t>
      </w:r>
    </w:p>
    <w:p w14:paraId="108299AB" w14:textId="77777777" w:rsidR="00030089" w:rsidRPr="000236D4" w:rsidRDefault="00030089" w:rsidP="00030089">
      <w:pPr>
        <w:spacing w:line="360" w:lineRule="auto"/>
        <w:jc w:val="both"/>
        <w:rPr>
          <w:rFonts w:ascii="Arial" w:hAnsi="Arial" w:cs="Arial"/>
          <w:i/>
          <w:szCs w:val="24"/>
        </w:rPr>
      </w:pPr>
      <w:r w:rsidRPr="000236D4">
        <w:rPr>
          <w:rFonts w:ascii="Arial" w:hAnsi="Arial" w:cs="Arial"/>
          <w:i/>
          <w:szCs w:val="24"/>
        </w:rPr>
        <w:t>Analysis of KAB Annual Results Tabulations data immediately before and during the NT CDS operation shows a reduction in beverage container littering (39%). This analysis has been added to the Decision RIS.</w:t>
      </w:r>
    </w:p>
    <w:p w14:paraId="7D4DE9DE" w14:textId="77777777" w:rsidR="00030089" w:rsidRPr="000236D4" w:rsidRDefault="00030089" w:rsidP="00030089">
      <w:pPr>
        <w:pStyle w:val="ListParagraph"/>
        <w:numPr>
          <w:ilvl w:val="2"/>
          <w:numId w:val="3"/>
        </w:numPr>
        <w:spacing w:after="200" w:line="360" w:lineRule="auto"/>
        <w:jc w:val="both"/>
        <w:outlineLvl w:val="2"/>
        <w:rPr>
          <w:rFonts w:ascii="Arial" w:hAnsi="Arial" w:cs="Arial"/>
          <w:b/>
          <w:szCs w:val="24"/>
        </w:rPr>
      </w:pPr>
      <w:bookmarkStart w:id="790" w:name="_Toc346008403"/>
      <w:bookmarkStart w:id="791" w:name="_Toc353562568"/>
      <w:r w:rsidRPr="000236D4">
        <w:rPr>
          <w:rFonts w:ascii="Arial" w:hAnsi="Arial" w:cs="Arial"/>
          <w:b/>
          <w:szCs w:val="24"/>
        </w:rPr>
        <w:t>Collection Depots</w:t>
      </w:r>
      <w:bookmarkEnd w:id="790"/>
      <w:bookmarkEnd w:id="791"/>
    </w:p>
    <w:p w14:paraId="3111E50E" w14:textId="77777777" w:rsidR="00030089" w:rsidRPr="000236D4" w:rsidRDefault="00030089" w:rsidP="00030089">
      <w:pPr>
        <w:spacing w:line="360" w:lineRule="auto"/>
        <w:jc w:val="both"/>
        <w:rPr>
          <w:rFonts w:ascii="Arial" w:hAnsi="Arial" w:cs="Arial"/>
          <w:szCs w:val="24"/>
        </w:rPr>
      </w:pPr>
      <w:r w:rsidRPr="000236D4">
        <w:rPr>
          <w:rFonts w:ascii="Arial" w:hAnsi="Arial" w:cs="Arial"/>
          <w:szCs w:val="24"/>
        </w:rPr>
        <w:t xml:space="preserve">A submission from Envirobank NT and a confidential submission represented the views of collection depots. </w:t>
      </w:r>
    </w:p>
    <w:p w14:paraId="168D2A39" w14:textId="77777777" w:rsidR="00030089" w:rsidRPr="000236D4" w:rsidRDefault="00030089" w:rsidP="00030089">
      <w:pPr>
        <w:spacing w:line="360" w:lineRule="auto"/>
        <w:jc w:val="both"/>
        <w:rPr>
          <w:rFonts w:ascii="Arial" w:hAnsi="Arial" w:cs="Arial"/>
          <w:b/>
          <w:szCs w:val="24"/>
        </w:rPr>
      </w:pPr>
      <w:r w:rsidRPr="000236D4">
        <w:rPr>
          <w:rFonts w:ascii="Arial" w:hAnsi="Arial" w:cs="Arial"/>
          <w:b/>
          <w:szCs w:val="24"/>
        </w:rPr>
        <w:lastRenderedPageBreak/>
        <w:t xml:space="preserve">Preferred Option </w:t>
      </w:r>
      <w:r w:rsidRPr="000236D4">
        <w:rPr>
          <w:rFonts w:ascii="Arial" w:hAnsi="Arial" w:cs="Arial"/>
          <w:szCs w:val="24"/>
        </w:rPr>
        <w:t>Both submissions</w:t>
      </w:r>
      <w:r w:rsidRPr="000236D4">
        <w:rPr>
          <w:rFonts w:ascii="Arial" w:hAnsi="Arial" w:cs="Arial"/>
          <w:b/>
          <w:szCs w:val="24"/>
        </w:rPr>
        <w:t xml:space="preserve"> </w:t>
      </w:r>
      <w:r w:rsidRPr="000236D4">
        <w:rPr>
          <w:rFonts w:ascii="Arial" w:hAnsi="Arial" w:cs="Arial"/>
          <w:szCs w:val="24"/>
        </w:rPr>
        <w:t>strongly endorsed Option 3.</w:t>
      </w:r>
      <w:r w:rsidRPr="000236D4">
        <w:rPr>
          <w:rFonts w:ascii="Arial" w:hAnsi="Arial" w:cs="Arial"/>
          <w:b/>
          <w:szCs w:val="24"/>
        </w:rPr>
        <w:t xml:space="preserve"> </w:t>
      </w:r>
      <w:r w:rsidRPr="000236D4">
        <w:rPr>
          <w:rFonts w:ascii="Arial" w:hAnsi="Arial" w:cs="Arial"/>
          <w:szCs w:val="24"/>
        </w:rPr>
        <w:t>The confidential submission also supports a national CDS. The confidential submission expresses the view that the beverage industry has not complied with the CSD Principles to the point of increasing operational costs for coordinators.</w:t>
      </w:r>
    </w:p>
    <w:p w14:paraId="409981E8" w14:textId="77777777" w:rsidR="00030089" w:rsidRPr="000236D4" w:rsidRDefault="00030089" w:rsidP="00030089">
      <w:pPr>
        <w:spacing w:line="360" w:lineRule="auto"/>
        <w:jc w:val="both"/>
        <w:rPr>
          <w:rFonts w:ascii="Arial" w:hAnsi="Arial" w:cs="Arial"/>
          <w:i/>
          <w:szCs w:val="24"/>
        </w:rPr>
      </w:pPr>
      <w:r w:rsidRPr="000236D4">
        <w:rPr>
          <w:rFonts w:ascii="Arial" w:hAnsi="Arial" w:cs="Arial"/>
          <w:b/>
          <w:i/>
          <w:szCs w:val="24"/>
        </w:rPr>
        <w:t xml:space="preserve">Response </w:t>
      </w:r>
      <w:r w:rsidRPr="000236D4">
        <w:rPr>
          <w:rFonts w:ascii="Arial" w:hAnsi="Arial" w:cs="Arial"/>
          <w:i/>
          <w:szCs w:val="24"/>
        </w:rPr>
        <w:t>No evidence of cost-increasing behavior was supplied. The beverage industry is entitled to publicly oppose the NT CDS and has not acted illegally.</w:t>
      </w:r>
    </w:p>
    <w:p w14:paraId="5C1979C5" w14:textId="77777777" w:rsidR="00030089" w:rsidRPr="000236D4" w:rsidRDefault="00030089" w:rsidP="00030089">
      <w:pPr>
        <w:spacing w:line="360" w:lineRule="auto"/>
        <w:jc w:val="both"/>
        <w:rPr>
          <w:rStyle w:val="Style1Char"/>
          <w:sz w:val="24"/>
          <w:szCs w:val="24"/>
        </w:rPr>
      </w:pPr>
      <w:r w:rsidRPr="000236D4">
        <w:rPr>
          <w:rFonts w:ascii="Arial" w:hAnsi="Arial" w:cs="Arial"/>
          <w:b/>
          <w:szCs w:val="24"/>
        </w:rPr>
        <w:t xml:space="preserve">Investment in the Scheme </w:t>
      </w:r>
      <w:r w:rsidRPr="000236D4">
        <w:rPr>
          <w:rStyle w:val="Style1Char"/>
          <w:sz w:val="24"/>
          <w:szCs w:val="24"/>
        </w:rPr>
        <w:t>Both submissions document very significant investment in the NT CDS to date as well as attendant job creation and community development benefits. In the case of Envirobank, investment in plant and equipment has amounted to over $1.2 million.</w:t>
      </w:r>
    </w:p>
    <w:p w14:paraId="58616843" w14:textId="77777777" w:rsidR="00030089" w:rsidRPr="000236D4" w:rsidRDefault="00030089" w:rsidP="00030089">
      <w:pPr>
        <w:spacing w:line="360" w:lineRule="auto"/>
        <w:jc w:val="both"/>
        <w:rPr>
          <w:rFonts w:ascii="Arial" w:hAnsi="Arial" w:cs="Arial"/>
          <w:i/>
          <w:szCs w:val="24"/>
        </w:rPr>
      </w:pPr>
      <w:r w:rsidRPr="000236D4">
        <w:rPr>
          <w:rFonts w:ascii="Arial" w:hAnsi="Arial" w:cs="Arial"/>
          <w:b/>
          <w:i/>
          <w:szCs w:val="24"/>
        </w:rPr>
        <w:t xml:space="preserve">Response </w:t>
      </w:r>
      <w:r w:rsidRPr="000236D4">
        <w:rPr>
          <w:rFonts w:ascii="Arial" w:hAnsi="Arial" w:cs="Arial"/>
          <w:i/>
          <w:szCs w:val="24"/>
        </w:rPr>
        <w:t>Secondary benefits cannot be included in a RIS’s cost benefit analysis.</w:t>
      </w:r>
    </w:p>
    <w:p w14:paraId="2BE9A92F" w14:textId="77777777" w:rsidR="00030089" w:rsidRPr="000236D4" w:rsidRDefault="00030089" w:rsidP="00030089">
      <w:pPr>
        <w:spacing w:line="360" w:lineRule="auto"/>
        <w:jc w:val="both"/>
        <w:rPr>
          <w:rFonts w:ascii="Arial" w:hAnsi="Arial" w:cs="Arial"/>
          <w:szCs w:val="24"/>
        </w:rPr>
      </w:pPr>
      <w:r w:rsidRPr="000236D4">
        <w:rPr>
          <w:rFonts w:ascii="Arial" w:hAnsi="Arial" w:cs="Arial"/>
          <w:b/>
          <w:szCs w:val="24"/>
        </w:rPr>
        <w:t xml:space="preserve">Market Value of Resources </w:t>
      </w:r>
      <w:r w:rsidRPr="000236D4">
        <w:rPr>
          <w:rFonts w:ascii="Arial" w:hAnsi="Arial" w:cs="Arial"/>
          <w:szCs w:val="24"/>
        </w:rPr>
        <w:t xml:space="preserve">The confidential submission asserts material values are significantly higher than were outlined in the NT CRIS. It argued that material values are closer to $700 000 per annum, of which more than half is additional value (as compared with the recycling rate prior to the introduction of the CDS). If average redemption rates over the next 25 years double from 2012 rates (a conservative assumption, given international CDS redemption rates and the increases in redemption rate even with minimal current infrastructure), then annual material value would be in excess of $1.4 million, and the non-discounted value over 25 years would be over $35 million, of which approx 75% would be additional value (over the pre-existing material value generated by NT’s kerbside systems). </w:t>
      </w:r>
    </w:p>
    <w:p w14:paraId="3E0C378E" w14:textId="77777777" w:rsidR="00030089" w:rsidRPr="000236D4" w:rsidRDefault="00030089" w:rsidP="00030089">
      <w:pPr>
        <w:spacing w:line="360" w:lineRule="auto"/>
        <w:jc w:val="both"/>
        <w:rPr>
          <w:rFonts w:ascii="Arial" w:hAnsi="Arial" w:cs="Arial"/>
          <w:szCs w:val="24"/>
        </w:rPr>
      </w:pPr>
      <w:r w:rsidRPr="000236D4">
        <w:rPr>
          <w:rFonts w:ascii="Arial" w:hAnsi="Arial" w:cs="Arial"/>
          <w:b/>
          <w:i/>
          <w:szCs w:val="24"/>
        </w:rPr>
        <w:t xml:space="preserve">Response </w:t>
      </w:r>
      <w:r w:rsidRPr="000236D4">
        <w:rPr>
          <w:rFonts w:ascii="Arial" w:hAnsi="Arial" w:cs="Arial"/>
          <w:i/>
          <w:szCs w:val="24"/>
        </w:rPr>
        <w:t>The DRIS now incorporates this estimate.</w:t>
      </w:r>
    </w:p>
    <w:p w14:paraId="75BC275D" w14:textId="77777777" w:rsidR="00030089" w:rsidRPr="000236D4" w:rsidRDefault="00030089" w:rsidP="00030089">
      <w:pPr>
        <w:spacing w:line="360" w:lineRule="auto"/>
        <w:jc w:val="both"/>
        <w:rPr>
          <w:rFonts w:ascii="Arial" w:hAnsi="Arial" w:cs="Arial"/>
          <w:szCs w:val="24"/>
        </w:rPr>
      </w:pPr>
      <w:r w:rsidRPr="000236D4">
        <w:rPr>
          <w:rFonts w:ascii="Arial" w:hAnsi="Arial" w:cs="Arial"/>
          <w:b/>
          <w:szCs w:val="24"/>
        </w:rPr>
        <w:t xml:space="preserve">Avoided Litter Clean Up </w:t>
      </w:r>
      <w:r w:rsidRPr="000236D4">
        <w:rPr>
          <w:rFonts w:ascii="Arial" w:hAnsi="Arial" w:cs="Arial"/>
          <w:szCs w:val="24"/>
        </w:rPr>
        <w:t xml:space="preserve">The confidential submission claimed the avoided costs of litter clean up were too low. At $1 140 000 over 25 years, annual cost savings come in at around $45 000 per annum or the cost of just one full-time worker. </w:t>
      </w:r>
    </w:p>
    <w:p w14:paraId="4E3F0063" w14:textId="77777777" w:rsidR="00030089" w:rsidRPr="000236D4" w:rsidRDefault="00030089" w:rsidP="00030089">
      <w:pPr>
        <w:spacing w:line="360" w:lineRule="auto"/>
        <w:jc w:val="both"/>
        <w:rPr>
          <w:rFonts w:ascii="Arial" w:hAnsi="Arial" w:cs="Arial"/>
          <w:i/>
          <w:szCs w:val="24"/>
        </w:rPr>
      </w:pPr>
      <w:r w:rsidRPr="000236D4">
        <w:rPr>
          <w:rFonts w:ascii="Arial" w:hAnsi="Arial" w:cs="Arial"/>
          <w:b/>
          <w:i/>
          <w:szCs w:val="24"/>
        </w:rPr>
        <w:t xml:space="preserve">Response </w:t>
      </w:r>
      <w:r w:rsidRPr="000236D4">
        <w:rPr>
          <w:rFonts w:ascii="Arial" w:hAnsi="Arial" w:cs="Arial"/>
          <w:i/>
          <w:szCs w:val="24"/>
        </w:rPr>
        <w:t xml:space="preserve">The DRIS has adjusted this estimate. </w:t>
      </w:r>
    </w:p>
    <w:p w14:paraId="61FEBB7E" w14:textId="77777777" w:rsidR="00030089" w:rsidRPr="000236D4" w:rsidRDefault="00030089" w:rsidP="00030089">
      <w:pPr>
        <w:spacing w:line="360" w:lineRule="auto"/>
        <w:jc w:val="both"/>
        <w:rPr>
          <w:szCs w:val="24"/>
        </w:rPr>
      </w:pPr>
      <w:r w:rsidRPr="000236D4">
        <w:rPr>
          <w:rFonts w:ascii="Arial" w:hAnsi="Arial" w:cs="Arial"/>
          <w:b/>
          <w:szCs w:val="24"/>
        </w:rPr>
        <w:t xml:space="preserve">Costs </w:t>
      </w:r>
      <w:r w:rsidRPr="000236D4">
        <w:rPr>
          <w:rFonts w:ascii="Arial" w:hAnsi="Arial" w:cs="Arial"/>
          <w:szCs w:val="24"/>
        </w:rPr>
        <w:t xml:space="preserve">The confidential submission claimed the Packaging Impacts CRIS model overestimates costs. With a well designed system (using barcode data as its basis and not requiring physical brand sorting), automated RVM-based depots can profitably operate at costs well below those modelled in the CRIS, and these handling fees will cover both the investment in the infrastructure and operating costs. The reason that NT handling fees need to be higher than SA’s is not because of the investment in </w:t>
      </w:r>
      <w:r w:rsidRPr="000236D4">
        <w:rPr>
          <w:rFonts w:ascii="Arial" w:hAnsi="Arial" w:cs="Arial"/>
          <w:szCs w:val="24"/>
        </w:rPr>
        <w:lastRenderedPageBreak/>
        <w:t xml:space="preserve">infrastructure, but because of the poor design of the current system in which multiple industry-owned coordinators require multiple brand splits on top of the usual material splits, and do not accept RVM data (as used around the world in CDS markets). </w:t>
      </w:r>
    </w:p>
    <w:p w14:paraId="046BAF56" w14:textId="77777777" w:rsidR="00030089" w:rsidRPr="000236D4" w:rsidRDefault="00030089" w:rsidP="00030089">
      <w:pPr>
        <w:spacing w:line="360" w:lineRule="auto"/>
        <w:jc w:val="both"/>
        <w:rPr>
          <w:rFonts w:ascii="Arial" w:hAnsi="Arial" w:cs="Arial"/>
          <w:szCs w:val="24"/>
        </w:rPr>
      </w:pPr>
      <w:r w:rsidRPr="000236D4">
        <w:rPr>
          <w:rFonts w:ascii="Arial" w:hAnsi="Arial" w:cs="Arial"/>
          <w:b/>
          <w:i/>
          <w:szCs w:val="24"/>
        </w:rPr>
        <w:t xml:space="preserve">Response </w:t>
      </w:r>
      <w:r w:rsidRPr="000236D4">
        <w:rPr>
          <w:rFonts w:ascii="Arial" w:hAnsi="Arial" w:cs="Arial"/>
          <w:i/>
          <w:szCs w:val="24"/>
        </w:rPr>
        <w:t>The DRIS cannot assume these reforms will take place.</w:t>
      </w:r>
    </w:p>
    <w:p w14:paraId="32323290" w14:textId="77777777" w:rsidR="00030089" w:rsidRPr="000236D4" w:rsidRDefault="00030089" w:rsidP="00030089">
      <w:pPr>
        <w:spacing w:line="360" w:lineRule="auto"/>
        <w:jc w:val="both"/>
        <w:rPr>
          <w:rFonts w:ascii="Arial" w:hAnsi="Arial" w:cs="Arial"/>
          <w:szCs w:val="24"/>
        </w:rPr>
      </w:pPr>
      <w:r w:rsidRPr="000236D4">
        <w:rPr>
          <w:rFonts w:ascii="Arial" w:hAnsi="Arial" w:cs="Arial"/>
          <w:b/>
          <w:szCs w:val="24"/>
        </w:rPr>
        <w:t>Scheme Inefficiencies and Cost</w:t>
      </w:r>
      <w:r w:rsidRPr="000236D4">
        <w:rPr>
          <w:rFonts w:ascii="Arial" w:hAnsi="Arial" w:cs="Arial"/>
          <w:szCs w:val="24"/>
        </w:rPr>
        <w:t xml:space="preserve"> The confidential submission argues that operational costs are inflated by the NT CDS’s regulations. Costs can be significantly reduced by a number of outlined legislative reforms.</w:t>
      </w:r>
    </w:p>
    <w:p w14:paraId="4ACA7A41" w14:textId="77777777" w:rsidR="00030089" w:rsidRPr="000236D4" w:rsidRDefault="00030089" w:rsidP="00030089">
      <w:pPr>
        <w:spacing w:line="360" w:lineRule="auto"/>
        <w:jc w:val="both"/>
        <w:rPr>
          <w:rFonts w:ascii="Arial" w:hAnsi="Arial" w:cs="Arial"/>
          <w:i/>
          <w:szCs w:val="24"/>
        </w:rPr>
      </w:pPr>
      <w:r w:rsidRPr="000236D4">
        <w:rPr>
          <w:rFonts w:ascii="Arial" w:hAnsi="Arial" w:cs="Arial"/>
          <w:b/>
          <w:i/>
          <w:szCs w:val="24"/>
        </w:rPr>
        <w:t>Response</w:t>
      </w:r>
      <w:r w:rsidRPr="000236D4">
        <w:rPr>
          <w:rFonts w:ascii="Arial" w:hAnsi="Arial" w:cs="Arial"/>
          <w:i/>
          <w:szCs w:val="24"/>
        </w:rPr>
        <w:t xml:space="preserve"> The NT Government is currently preparing a range of reforms that aim to reduce the operational cost of the scheme.</w:t>
      </w:r>
    </w:p>
    <w:p w14:paraId="54C0F571" w14:textId="77777777" w:rsidR="00030089" w:rsidRPr="000236D4" w:rsidRDefault="00030089" w:rsidP="00030089">
      <w:pPr>
        <w:spacing w:line="360" w:lineRule="auto"/>
        <w:jc w:val="both"/>
        <w:rPr>
          <w:rFonts w:ascii="Arial" w:hAnsi="Arial" w:cs="Arial"/>
          <w:color w:val="000000"/>
          <w:szCs w:val="24"/>
        </w:rPr>
      </w:pPr>
      <w:r w:rsidRPr="000236D4">
        <w:rPr>
          <w:rFonts w:ascii="Arial" w:hAnsi="Arial" w:cs="Arial"/>
          <w:b/>
          <w:szCs w:val="24"/>
        </w:rPr>
        <w:t xml:space="preserve">Household Participation Costs </w:t>
      </w:r>
      <w:r w:rsidRPr="000236D4">
        <w:rPr>
          <w:rStyle w:val="Style1Char"/>
          <w:sz w:val="24"/>
          <w:szCs w:val="24"/>
        </w:rPr>
        <w:t>The confidential submission asserts that the participation costs nominated in Option 3 may be accurate over the long term if the scheme is made to operate more efficiently through more redemption points and less sorting of brands. At current access levels, this estimate is likely to be very low considering the travel time (e.g. 20-30 mins) required in Darwin / Palmerston alone to go to specific locations, somewhat distant from residential areas, and the additional queuing time due to there being just two redemption points that handle the full range of containers.</w:t>
      </w:r>
      <w:r w:rsidRPr="000236D4">
        <w:rPr>
          <w:rFonts w:ascii="Arial" w:hAnsi="Arial" w:cs="Arial"/>
          <w:color w:val="000000"/>
          <w:szCs w:val="24"/>
        </w:rPr>
        <w:t xml:space="preserve"> </w:t>
      </w:r>
    </w:p>
    <w:p w14:paraId="0994C420" w14:textId="77777777" w:rsidR="00030089" w:rsidRPr="000236D4" w:rsidRDefault="00030089" w:rsidP="00030089">
      <w:pPr>
        <w:spacing w:line="360" w:lineRule="auto"/>
        <w:jc w:val="both"/>
        <w:rPr>
          <w:i/>
          <w:szCs w:val="24"/>
        </w:rPr>
      </w:pPr>
      <w:r w:rsidRPr="000236D4">
        <w:rPr>
          <w:rFonts w:ascii="Arial" w:hAnsi="Arial" w:cs="Arial"/>
          <w:b/>
          <w:i/>
          <w:szCs w:val="24"/>
        </w:rPr>
        <w:t xml:space="preserve">Response </w:t>
      </w:r>
      <w:r w:rsidRPr="000236D4">
        <w:rPr>
          <w:rFonts w:ascii="Arial" w:hAnsi="Arial" w:cs="Arial"/>
          <w:i/>
          <w:szCs w:val="24"/>
        </w:rPr>
        <w:t>The DRIS has not increased the CRIS estimate of household participation costs. Over 25 years, problems will be solved and participation costs will remain low.</w:t>
      </w:r>
    </w:p>
    <w:p w14:paraId="2B34AB76" w14:textId="77777777" w:rsidR="00030089" w:rsidRPr="000236D4" w:rsidRDefault="00030089" w:rsidP="00030089">
      <w:pPr>
        <w:spacing w:line="360" w:lineRule="auto"/>
        <w:jc w:val="both"/>
        <w:rPr>
          <w:rFonts w:ascii="Arial" w:hAnsi="Arial" w:cs="Arial"/>
          <w:color w:val="000000"/>
          <w:szCs w:val="24"/>
        </w:rPr>
      </w:pPr>
      <w:r w:rsidRPr="000236D4">
        <w:rPr>
          <w:rFonts w:ascii="Arial" w:hAnsi="Arial" w:cs="Arial"/>
          <w:b/>
          <w:szCs w:val="24"/>
        </w:rPr>
        <w:t>Willingness To Pay</w:t>
      </w:r>
      <w:r w:rsidRPr="000236D4">
        <w:rPr>
          <w:rFonts w:ascii="Arial" w:hAnsi="Arial" w:cs="Arial"/>
          <w:szCs w:val="24"/>
        </w:rPr>
        <w:t xml:space="preserve"> </w:t>
      </w:r>
      <w:r w:rsidRPr="000236D4">
        <w:rPr>
          <w:rStyle w:val="Style1Char"/>
          <w:sz w:val="24"/>
          <w:szCs w:val="24"/>
        </w:rPr>
        <w:t>The confidential submission claimed a pro-rata figure based on NT population – which assumes the same improvement in packaging as the national average – would put this at $6.6 million per annum in the NT, or $165 million over 25 years on a non-discounted basis (as compared with the figure of just $8.5 million used in the NT CRIS). In reality, the improvement in the NT is likely to be around twice the national average since the baseline, prior to the introduction of the NT CDS, was so low and so the real Willingness to Pay would be closer to $330 million over 25 years.</w:t>
      </w:r>
      <w:r w:rsidRPr="000236D4">
        <w:rPr>
          <w:rFonts w:ascii="Arial" w:hAnsi="Arial" w:cs="Arial"/>
          <w:color w:val="000000"/>
          <w:szCs w:val="24"/>
        </w:rPr>
        <w:t xml:space="preserve"> </w:t>
      </w:r>
    </w:p>
    <w:p w14:paraId="1EA28B50" w14:textId="77777777" w:rsidR="00030089" w:rsidRPr="000236D4" w:rsidRDefault="00030089" w:rsidP="00030089">
      <w:pPr>
        <w:spacing w:line="360" w:lineRule="auto"/>
        <w:jc w:val="both"/>
        <w:rPr>
          <w:i/>
          <w:szCs w:val="24"/>
        </w:rPr>
      </w:pPr>
      <w:r w:rsidRPr="000236D4">
        <w:rPr>
          <w:rFonts w:ascii="Arial" w:hAnsi="Arial" w:cs="Arial"/>
          <w:b/>
          <w:i/>
          <w:szCs w:val="24"/>
        </w:rPr>
        <w:t xml:space="preserve">Response </w:t>
      </w:r>
      <w:r w:rsidRPr="000236D4">
        <w:rPr>
          <w:rFonts w:ascii="Arial" w:hAnsi="Arial" w:cs="Arial"/>
          <w:i/>
          <w:szCs w:val="24"/>
        </w:rPr>
        <w:t>The DRIS has increased its estimate of Willingness-to-Pay benefits in line with this analysis.</w:t>
      </w:r>
    </w:p>
    <w:p w14:paraId="5CC72D70" w14:textId="77777777" w:rsidR="00030089" w:rsidRPr="000236D4" w:rsidRDefault="00030089" w:rsidP="00030089">
      <w:pPr>
        <w:spacing w:line="360" w:lineRule="auto"/>
        <w:jc w:val="both"/>
        <w:rPr>
          <w:rStyle w:val="Style1Char"/>
          <w:sz w:val="24"/>
          <w:szCs w:val="24"/>
        </w:rPr>
      </w:pPr>
      <w:r w:rsidRPr="000236D4">
        <w:rPr>
          <w:rFonts w:ascii="Arial" w:hAnsi="Arial" w:cs="Arial"/>
          <w:b/>
          <w:szCs w:val="24"/>
        </w:rPr>
        <w:t xml:space="preserve">Further Environmental Market Benefits </w:t>
      </w:r>
      <w:r w:rsidRPr="000236D4">
        <w:rPr>
          <w:rStyle w:val="Style1Char"/>
          <w:sz w:val="24"/>
          <w:szCs w:val="24"/>
        </w:rPr>
        <w:t xml:space="preserve">The confidential submission pointed out that total environmental benefits were costed at an average of 8-9 cents in the Independent review of CDS in NSW (ISF 2001) that used the RMIT led lifecycle assessment that also formed the basis of the Independent Assessment of Kerbside Recycling (Nolan-ITU 2001). This would put these benefits alone (irrespective of civic duty, or feeling of </w:t>
      </w:r>
      <w:r w:rsidRPr="000236D4">
        <w:rPr>
          <w:rStyle w:val="Style1Char"/>
          <w:sz w:val="24"/>
          <w:szCs w:val="24"/>
        </w:rPr>
        <w:lastRenderedPageBreak/>
        <w:t xml:space="preserve">wellbeing by doing the right thing) at &gt;$2.5 million per annum, based on just the additional material collected currently in the NT CDS. If we assume current CDS rates are doubled, the additional benefits would be in excess of $7 million per annum, or $175 million over 25 years (on a non-discounted basis, or just over half of this on a discounted basis at a discount rate of 7%). </w:t>
      </w:r>
    </w:p>
    <w:p w14:paraId="6027166D" w14:textId="77777777" w:rsidR="00030089" w:rsidRPr="000236D4" w:rsidRDefault="00030089" w:rsidP="00030089">
      <w:pPr>
        <w:spacing w:line="360" w:lineRule="auto"/>
        <w:jc w:val="both"/>
        <w:rPr>
          <w:i/>
          <w:szCs w:val="24"/>
        </w:rPr>
      </w:pPr>
      <w:r w:rsidRPr="000236D4">
        <w:rPr>
          <w:rFonts w:ascii="Arial" w:hAnsi="Arial" w:cs="Arial"/>
          <w:b/>
          <w:i/>
          <w:szCs w:val="24"/>
        </w:rPr>
        <w:t xml:space="preserve">Response </w:t>
      </w:r>
      <w:r w:rsidRPr="000236D4">
        <w:rPr>
          <w:rFonts w:ascii="Arial" w:hAnsi="Arial" w:cs="Arial"/>
          <w:i/>
          <w:szCs w:val="24"/>
        </w:rPr>
        <w:t>The DRIS has considered this in incorporating a new figure for environmental market benefits.</w:t>
      </w:r>
    </w:p>
    <w:p w14:paraId="56942D49" w14:textId="77777777" w:rsidR="00030089" w:rsidRPr="000236D4" w:rsidRDefault="00030089" w:rsidP="00030089">
      <w:pPr>
        <w:spacing w:line="360" w:lineRule="auto"/>
        <w:jc w:val="both"/>
        <w:rPr>
          <w:rStyle w:val="Style1Char"/>
          <w:sz w:val="24"/>
          <w:szCs w:val="24"/>
        </w:rPr>
      </w:pPr>
      <w:r w:rsidRPr="000236D4">
        <w:rPr>
          <w:rFonts w:ascii="Arial" w:hAnsi="Arial" w:cs="Arial"/>
          <w:b/>
          <w:szCs w:val="24"/>
        </w:rPr>
        <w:t>Option 4 (Less Trade Restrictive Alternatives)</w:t>
      </w:r>
      <w:r w:rsidRPr="000236D4">
        <w:rPr>
          <w:rFonts w:ascii="Arial" w:hAnsi="Arial" w:cs="Arial"/>
          <w:szCs w:val="24"/>
        </w:rPr>
        <w:t xml:space="preserve"> </w:t>
      </w:r>
      <w:r w:rsidRPr="000236D4">
        <w:rPr>
          <w:rStyle w:val="Style1Char"/>
          <w:sz w:val="24"/>
          <w:szCs w:val="24"/>
        </w:rPr>
        <w:t xml:space="preserve">The confidential submission argued against the alternatives canvassed in Option 4, stating: </w:t>
      </w:r>
    </w:p>
    <w:p w14:paraId="0D9A339F" w14:textId="77777777" w:rsidR="00030089" w:rsidRPr="000236D4" w:rsidRDefault="00030089" w:rsidP="00030089">
      <w:pPr>
        <w:spacing w:line="360" w:lineRule="auto"/>
        <w:jc w:val="both"/>
        <w:rPr>
          <w:rFonts w:ascii="Arial" w:hAnsi="Arial" w:cs="Arial"/>
          <w:szCs w:val="24"/>
        </w:rPr>
      </w:pPr>
      <w:r w:rsidRPr="000236D4">
        <w:rPr>
          <w:rFonts w:ascii="Arial" w:hAnsi="Arial" w:cs="Arial"/>
          <w:szCs w:val="24"/>
        </w:rPr>
        <w:t xml:space="preserve">”Litter abatement addresses the symptoms rather than the cause and is costly. Education campaigns have been tried over many years, and while they can be somewhat effective in the short term, their effect is soon lost. The key missing component is the economic incentive to change behaviour (present in a CDS via the deposit refund). </w:t>
      </w:r>
    </w:p>
    <w:p w14:paraId="6FBB1607" w14:textId="77777777" w:rsidR="00030089" w:rsidRPr="000236D4" w:rsidRDefault="00030089" w:rsidP="00030089">
      <w:pPr>
        <w:spacing w:line="360" w:lineRule="auto"/>
        <w:jc w:val="both"/>
        <w:rPr>
          <w:rFonts w:ascii="Arial" w:hAnsi="Arial" w:cs="Arial"/>
          <w:szCs w:val="24"/>
        </w:rPr>
      </w:pPr>
      <w:r w:rsidRPr="000236D4">
        <w:rPr>
          <w:rFonts w:ascii="Arial" w:hAnsi="Arial" w:cs="Arial"/>
          <w:szCs w:val="24"/>
        </w:rPr>
        <w:t xml:space="preserve">”The extension of kerbside (e.g. beyond residences and to other major NT centres etc.) will be expensive, particularly in the NT where small population centres limit economies of scale, and large transport distances mean unsorted materials need to be processed locally. Extension to workplace recycling may be useful but is also expensive and comes at a cost to the workplaces themselves who, over many years, have shown that they are not often willing to bear such costs (a key reason why C&amp;I, and away-from-home recycling lags at-home recycling nationally). Moreover, these options do not address litter, or away-from-home consumption. </w:t>
      </w:r>
    </w:p>
    <w:p w14:paraId="7748FE61" w14:textId="77777777" w:rsidR="00030089" w:rsidRPr="000236D4" w:rsidRDefault="00030089" w:rsidP="00030089">
      <w:pPr>
        <w:spacing w:line="360" w:lineRule="auto"/>
        <w:jc w:val="both"/>
        <w:rPr>
          <w:rFonts w:ascii="Arial" w:hAnsi="Arial" w:cs="Arial"/>
          <w:szCs w:val="24"/>
        </w:rPr>
      </w:pPr>
      <w:r w:rsidRPr="000236D4">
        <w:rPr>
          <w:rFonts w:ascii="Arial" w:hAnsi="Arial" w:cs="Arial"/>
          <w:szCs w:val="24"/>
        </w:rPr>
        <w:t xml:space="preserve">”Improved public place recycling suffers from the same drawbacks, as well as the consistent problem - found throughout Australia - of contamination, leading to high costs and high levels of wastage. </w:t>
      </w:r>
    </w:p>
    <w:p w14:paraId="4653C866" w14:textId="77777777" w:rsidR="00030089" w:rsidRPr="000236D4" w:rsidRDefault="00030089" w:rsidP="00030089">
      <w:pPr>
        <w:spacing w:line="360" w:lineRule="auto"/>
        <w:jc w:val="both"/>
        <w:rPr>
          <w:rFonts w:ascii="Arial" w:hAnsi="Arial" w:cs="Arial"/>
          <w:szCs w:val="24"/>
        </w:rPr>
      </w:pPr>
      <w:r w:rsidRPr="000236D4">
        <w:rPr>
          <w:rFonts w:ascii="Arial" w:hAnsi="Arial" w:cs="Arial"/>
          <w:szCs w:val="24"/>
        </w:rPr>
        <w:t xml:space="preserve">”Finally, residual waste disposal investment needs larger economies of scale, is not suited to remote/regional communities, does not address litter and produces lower value recyclate quality. It is a sensible approach in large population centres to recover the remaining low value material as an alternative to landfill, but not as a primary mechanism for recovery of high value material streams. Moreover, where such plants include the processing of organic waste, operators (such as Global Renewables, SITA) have supported the introduction of CDS in order to minimise glass residue in the organic streams, which can undermine their value.” </w:t>
      </w:r>
    </w:p>
    <w:p w14:paraId="173BBFF5" w14:textId="77777777" w:rsidR="00030089" w:rsidRPr="000236D4" w:rsidRDefault="00030089" w:rsidP="00030089">
      <w:pPr>
        <w:spacing w:line="360" w:lineRule="auto"/>
        <w:jc w:val="both"/>
        <w:rPr>
          <w:i/>
          <w:szCs w:val="24"/>
        </w:rPr>
      </w:pPr>
      <w:r w:rsidRPr="000236D4">
        <w:rPr>
          <w:rFonts w:ascii="Arial" w:hAnsi="Arial" w:cs="Arial"/>
          <w:b/>
          <w:i/>
          <w:szCs w:val="24"/>
        </w:rPr>
        <w:lastRenderedPageBreak/>
        <w:t xml:space="preserve">Response </w:t>
      </w:r>
      <w:r w:rsidRPr="000236D4">
        <w:rPr>
          <w:rFonts w:ascii="Arial" w:hAnsi="Arial" w:cs="Arial"/>
          <w:i/>
          <w:szCs w:val="24"/>
        </w:rPr>
        <w:t xml:space="preserve">The DRIS has altered Option 4 to consider only two alternatives: those requested by manufacturers. These are NT signing the APC and a ‘litterer reporting’ scheme. </w:t>
      </w:r>
    </w:p>
    <w:p w14:paraId="6A3FD7BE" w14:textId="77777777" w:rsidR="00030089" w:rsidRPr="000236D4" w:rsidRDefault="00030089" w:rsidP="00030089">
      <w:pPr>
        <w:pStyle w:val="ListParagraph"/>
        <w:numPr>
          <w:ilvl w:val="2"/>
          <w:numId w:val="3"/>
        </w:numPr>
        <w:spacing w:after="200" w:line="360" w:lineRule="auto"/>
        <w:ind w:hanging="788"/>
        <w:jc w:val="both"/>
        <w:outlineLvl w:val="2"/>
        <w:rPr>
          <w:rFonts w:ascii="Arial" w:hAnsi="Arial" w:cs="Arial"/>
          <w:b/>
          <w:szCs w:val="24"/>
        </w:rPr>
      </w:pPr>
      <w:bookmarkStart w:id="792" w:name="_Toc346008404"/>
      <w:bookmarkStart w:id="793" w:name="_Toc353562569"/>
      <w:r w:rsidRPr="000236D4">
        <w:rPr>
          <w:rFonts w:ascii="Arial" w:hAnsi="Arial" w:cs="Arial"/>
          <w:b/>
          <w:szCs w:val="24"/>
        </w:rPr>
        <w:t>Environmental NGOs</w:t>
      </w:r>
      <w:bookmarkEnd w:id="792"/>
      <w:bookmarkEnd w:id="793"/>
    </w:p>
    <w:p w14:paraId="2E4487A4" w14:textId="77777777" w:rsidR="00030089" w:rsidRPr="000236D4" w:rsidRDefault="00030089" w:rsidP="00030089">
      <w:pPr>
        <w:spacing w:line="360" w:lineRule="auto"/>
        <w:jc w:val="both"/>
        <w:rPr>
          <w:rFonts w:ascii="Arial" w:hAnsi="Arial" w:cs="Arial"/>
          <w:szCs w:val="24"/>
        </w:rPr>
      </w:pPr>
      <w:r w:rsidRPr="000236D4">
        <w:rPr>
          <w:rFonts w:ascii="Arial" w:hAnsi="Arial" w:cs="Arial"/>
          <w:szCs w:val="24"/>
        </w:rPr>
        <w:t>Three non-confidential submissions represented the views of Environmental NGOs. These were from:</w:t>
      </w:r>
    </w:p>
    <w:p w14:paraId="16145C79" w14:textId="77777777" w:rsidR="00030089" w:rsidRPr="000236D4" w:rsidRDefault="00030089" w:rsidP="00030089">
      <w:pPr>
        <w:pStyle w:val="ListParagraph"/>
        <w:numPr>
          <w:ilvl w:val="0"/>
          <w:numId w:val="28"/>
        </w:numPr>
        <w:spacing w:after="200" w:line="360" w:lineRule="auto"/>
        <w:jc w:val="both"/>
        <w:rPr>
          <w:rFonts w:ascii="Arial" w:hAnsi="Arial" w:cs="Arial"/>
          <w:szCs w:val="24"/>
        </w:rPr>
      </w:pPr>
      <w:r w:rsidRPr="000236D4">
        <w:rPr>
          <w:rFonts w:ascii="Arial" w:hAnsi="Arial" w:cs="Arial"/>
          <w:szCs w:val="24"/>
        </w:rPr>
        <w:t>Boomerang Alliance;</w:t>
      </w:r>
    </w:p>
    <w:p w14:paraId="262C42C9" w14:textId="77777777" w:rsidR="00030089" w:rsidRPr="000236D4" w:rsidRDefault="00030089" w:rsidP="00030089">
      <w:pPr>
        <w:pStyle w:val="ListParagraph"/>
        <w:numPr>
          <w:ilvl w:val="0"/>
          <w:numId w:val="28"/>
        </w:numPr>
        <w:spacing w:after="200" w:line="360" w:lineRule="auto"/>
        <w:jc w:val="both"/>
        <w:rPr>
          <w:rFonts w:ascii="Arial" w:hAnsi="Arial" w:cs="Arial"/>
          <w:szCs w:val="24"/>
        </w:rPr>
      </w:pPr>
      <w:r w:rsidRPr="000236D4">
        <w:rPr>
          <w:rFonts w:ascii="Arial" w:hAnsi="Arial" w:cs="Arial"/>
          <w:szCs w:val="24"/>
        </w:rPr>
        <w:t>Clean up Australia;</w:t>
      </w:r>
    </w:p>
    <w:p w14:paraId="0B0ACEAC" w14:textId="77777777" w:rsidR="00030089" w:rsidRPr="000236D4" w:rsidRDefault="00030089" w:rsidP="00030089">
      <w:pPr>
        <w:pStyle w:val="ListParagraph"/>
        <w:numPr>
          <w:ilvl w:val="0"/>
          <w:numId w:val="28"/>
        </w:numPr>
        <w:spacing w:after="200" w:line="360" w:lineRule="auto"/>
        <w:jc w:val="both"/>
        <w:rPr>
          <w:rFonts w:ascii="Arial" w:hAnsi="Arial" w:cs="Arial"/>
          <w:szCs w:val="24"/>
        </w:rPr>
      </w:pPr>
      <w:r w:rsidRPr="000236D4">
        <w:rPr>
          <w:rFonts w:ascii="Arial" w:hAnsi="Arial" w:cs="Arial"/>
          <w:szCs w:val="24"/>
        </w:rPr>
        <w:t>Rapid Creek Landcare Group.</w:t>
      </w:r>
    </w:p>
    <w:p w14:paraId="38A7520F" w14:textId="77777777" w:rsidR="00030089" w:rsidRPr="000236D4" w:rsidRDefault="00030089" w:rsidP="00030089">
      <w:pPr>
        <w:spacing w:line="360" w:lineRule="auto"/>
        <w:jc w:val="both"/>
        <w:rPr>
          <w:rFonts w:ascii="Arial" w:hAnsi="Arial" w:cs="Arial"/>
          <w:color w:val="000000"/>
          <w:szCs w:val="24"/>
        </w:rPr>
      </w:pPr>
      <w:r w:rsidRPr="000236D4">
        <w:rPr>
          <w:rFonts w:ascii="Arial" w:hAnsi="Arial" w:cs="Arial"/>
          <w:b/>
          <w:szCs w:val="24"/>
        </w:rPr>
        <w:t xml:space="preserve">NT CDS’s Affect on NT Littering </w:t>
      </w:r>
      <w:r w:rsidRPr="000236D4">
        <w:rPr>
          <w:rFonts w:ascii="Arial" w:hAnsi="Arial" w:cs="Arial"/>
          <w:szCs w:val="24"/>
        </w:rPr>
        <w:t>The Boomerang Alliance and Clean-up Australia submissions asserted, and presented evidence for, a reduction in litter resulting from the NT CDS. The Rapid Creek Landcare Group anecdotally reported a significant reduction in the amount of rubbish along Rapid Creek from the Darwin Airport to Nightcliff Beach, declaring the NT CDS to be ‘working’ (at least in its area of operation).</w:t>
      </w:r>
    </w:p>
    <w:p w14:paraId="0603DE6C" w14:textId="77777777" w:rsidR="00030089" w:rsidRPr="000236D4" w:rsidRDefault="00030089" w:rsidP="00030089">
      <w:pPr>
        <w:spacing w:line="360" w:lineRule="auto"/>
        <w:jc w:val="both"/>
        <w:rPr>
          <w:szCs w:val="24"/>
        </w:rPr>
      </w:pPr>
      <w:r w:rsidRPr="000236D4">
        <w:rPr>
          <w:rFonts w:ascii="Arial" w:hAnsi="Arial" w:cs="Arial"/>
          <w:szCs w:val="24"/>
        </w:rPr>
        <w:t xml:space="preserve">Boomerang analysed figures pertaining to type of item in KAB’s </w:t>
      </w:r>
      <w:r w:rsidRPr="000236D4">
        <w:rPr>
          <w:rFonts w:ascii="Arial" w:hAnsi="Arial" w:cs="Arial"/>
          <w:i/>
          <w:szCs w:val="24"/>
        </w:rPr>
        <w:t>Annual Results Tabulations</w:t>
      </w:r>
      <w:r w:rsidRPr="000236D4">
        <w:rPr>
          <w:rFonts w:ascii="Arial" w:hAnsi="Arial" w:cs="Arial"/>
          <w:szCs w:val="24"/>
        </w:rPr>
        <w:t xml:space="preserve"> for 2011-2012 (as opposed to the more interpretive KAB </w:t>
      </w:r>
      <w:r w:rsidRPr="000236D4">
        <w:rPr>
          <w:rFonts w:ascii="Arial" w:hAnsi="Arial" w:cs="Arial"/>
          <w:i/>
          <w:szCs w:val="24"/>
        </w:rPr>
        <w:t>Annual Report</w:t>
      </w:r>
      <w:r w:rsidRPr="000236D4">
        <w:rPr>
          <w:rFonts w:ascii="Arial" w:hAnsi="Arial" w:cs="Arial"/>
          <w:szCs w:val="24"/>
        </w:rPr>
        <w:t xml:space="preserve">). In contrast, the confidential submission referred to the KAB </w:t>
      </w:r>
      <w:r w:rsidRPr="000236D4">
        <w:rPr>
          <w:rFonts w:ascii="Arial" w:hAnsi="Arial" w:cs="Arial"/>
          <w:i/>
          <w:szCs w:val="24"/>
        </w:rPr>
        <w:t>Annual Report</w:t>
      </w:r>
      <w:r w:rsidRPr="000236D4">
        <w:rPr>
          <w:rFonts w:ascii="Arial" w:hAnsi="Arial" w:cs="Arial"/>
          <w:szCs w:val="24"/>
        </w:rPr>
        <w:t xml:space="preserve"> alone to argue the NT CDS has had little affect on NT Littering rates.</w:t>
      </w:r>
    </w:p>
    <w:p w14:paraId="5D7887F6" w14:textId="77777777" w:rsidR="00030089" w:rsidRPr="000236D4" w:rsidRDefault="00030089" w:rsidP="00030089">
      <w:pPr>
        <w:spacing w:line="360" w:lineRule="auto"/>
        <w:jc w:val="both"/>
        <w:rPr>
          <w:i/>
          <w:szCs w:val="24"/>
        </w:rPr>
      </w:pPr>
      <w:r w:rsidRPr="000236D4">
        <w:rPr>
          <w:rFonts w:ascii="Arial" w:hAnsi="Arial" w:cs="Arial"/>
          <w:b/>
          <w:i/>
          <w:szCs w:val="24"/>
        </w:rPr>
        <w:t xml:space="preserve">Response </w:t>
      </w:r>
      <w:r w:rsidRPr="000236D4">
        <w:rPr>
          <w:rFonts w:ascii="Arial" w:hAnsi="Arial" w:cs="Arial"/>
          <w:i/>
          <w:szCs w:val="24"/>
        </w:rPr>
        <w:t xml:space="preserve">The confidential submission’s claims based exclusively on the KAB Annual Report for 2011-12 are misleading. Though it contains some minor inaccuracies, the Boomerang Alliance analysis is more methodologically robust in terms of considering recent KAB data from the point of view of its implications for resource recovery and improved visual amenity. </w:t>
      </w:r>
    </w:p>
    <w:p w14:paraId="7404C114" w14:textId="77777777" w:rsidR="00030089" w:rsidRPr="000236D4" w:rsidRDefault="00030089" w:rsidP="00030089">
      <w:pPr>
        <w:spacing w:line="360" w:lineRule="auto"/>
        <w:jc w:val="both"/>
        <w:rPr>
          <w:rFonts w:ascii="Arial" w:hAnsi="Arial" w:cs="Arial"/>
          <w:i/>
          <w:szCs w:val="24"/>
        </w:rPr>
      </w:pPr>
      <w:r w:rsidRPr="000236D4">
        <w:rPr>
          <w:rFonts w:ascii="Arial" w:hAnsi="Arial" w:cs="Arial"/>
          <w:i/>
          <w:szCs w:val="24"/>
        </w:rPr>
        <w:t xml:space="preserve">The KAB Annual Report data document a minor increase in total litter item counts and item volumes over the period of the NT CDS’s operation. The report’s data set includes an extensive list of lower-visual-impact items: straws, lollypop sticks, ice cream sticks, cigarette butts, bus tickets, ATM tickets, shopping dockets, bottle tops, pull rings, bread bag tags, ‘metal pieces’, etc. Small changes in the relative proportions of these low-visual-impact items can have a disproportional affect on total litter count. The KAB Annual Report data also include high-volume items, such as tyres, boxes, construction materials, ‘illegal dumping’, etc. Small changes in numbers of these items can have a disproportionally large affect on total volume. Therefore total litter volume and total item </w:t>
      </w:r>
      <w:r w:rsidRPr="000236D4">
        <w:rPr>
          <w:rFonts w:ascii="Arial" w:hAnsi="Arial" w:cs="Arial"/>
          <w:i/>
          <w:szCs w:val="24"/>
        </w:rPr>
        <w:lastRenderedPageBreak/>
        <w:t>count can give a misleading picture of the affect on visual amenity and resource wastage of any given year’s total litter count.</w:t>
      </w:r>
    </w:p>
    <w:p w14:paraId="75701EDD" w14:textId="77777777" w:rsidR="00030089" w:rsidRPr="000236D4" w:rsidRDefault="00030089" w:rsidP="00030089">
      <w:pPr>
        <w:spacing w:line="360" w:lineRule="auto"/>
        <w:jc w:val="both"/>
        <w:rPr>
          <w:i/>
          <w:szCs w:val="24"/>
        </w:rPr>
      </w:pPr>
      <w:r w:rsidRPr="000236D4">
        <w:rPr>
          <w:rFonts w:ascii="Arial" w:hAnsi="Arial" w:cs="Arial"/>
          <w:i/>
          <w:szCs w:val="24"/>
        </w:rPr>
        <w:t xml:space="preserve">Given this, the DRIS now contains an analysis of changes in recent littering rates that focuses on beverage container litter. </w:t>
      </w:r>
    </w:p>
    <w:p w14:paraId="695CF533" w14:textId="77777777" w:rsidR="00030089" w:rsidRPr="000236D4" w:rsidRDefault="00030089" w:rsidP="00030089">
      <w:pPr>
        <w:spacing w:line="360" w:lineRule="auto"/>
        <w:jc w:val="both"/>
        <w:rPr>
          <w:szCs w:val="24"/>
        </w:rPr>
      </w:pPr>
      <w:r w:rsidRPr="000236D4">
        <w:rPr>
          <w:rFonts w:ascii="Arial" w:hAnsi="Arial" w:cs="Arial"/>
          <w:b/>
          <w:szCs w:val="24"/>
        </w:rPr>
        <w:t xml:space="preserve">Recycling Rates in NT </w:t>
      </w:r>
      <w:r w:rsidRPr="000236D4">
        <w:rPr>
          <w:rFonts w:ascii="Arial" w:hAnsi="Arial" w:cs="Arial"/>
          <w:szCs w:val="24"/>
        </w:rPr>
        <w:t xml:space="preserve">The Boomerang Alliance submission argued that the NT CDS has given rise to a very significant rise in recycling rates in the NT. Boomerang Alliance claimed that since the NT scheme was introduced, recycling in the NT has increased by 14.5% (an 82% improvement in recycling rates). The Boomerang submission bases its claims on: </w:t>
      </w:r>
    </w:p>
    <w:p w14:paraId="2E379B8A" w14:textId="77777777" w:rsidR="00030089" w:rsidRPr="000236D4" w:rsidRDefault="00030089" w:rsidP="00030089">
      <w:pPr>
        <w:pStyle w:val="ListParagraph"/>
        <w:numPr>
          <w:ilvl w:val="0"/>
          <w:numId w:val="27"/>
        </w:numPr>
        <w:spacing w:after="200" w:line="360" w:lineRule="auto"/>
        <w:jc w:val="both"/>
        <w:rPr>
          <w:szCs w:val="24"/>
        </w:rPr>
      </w:pPr>
      <w:r w:rsidRPr="000236D4">
        <w:rPr>
          <w:rFonts w:ascii="Arial" w:hAnsi="Arial" w:cs="Arial"/>
          <w:szCs w:val="24"/>
        </w:rPr>
        <w:t xml:space="preserve">the </w:t>
      </w:r>
      <w:r w:rsidRPr="000236D4">
        <w:rPr>
          <w:rFonts w:ascii="Arial" w:hAnsi="Arial" w:cs="Arial"/>
          <w:i/>
          <w:szCs w:val="24"/>
        </w:rPr>
        <w:t>second NT CDS Quarterly Report</w:t>
      </w:r>
      <w:r w:rsidRPr="000236D4">
        <w:rPr>
          <w:rFonts w:ascii="Arial" w:hAnsi="Arial" w:cs="Arial"/>
          <w:szCs w:val="24"/>
        </w:rPr>
        <w:t xml:space="preserve">; </w:t>
      </w:r>
    </w:p>
    <w:p w14:paraId="2656DA32" w14:textId="77777777" w:rsidR="00030089" w:rsidRPr="000236D4" w:rsidRDefault="00030089" w:rsidP="00030089">
      <w:pPr>
        <w:pStyle w:val="ListParagraph"/>
        <w:numPr>
          <w:ilvl w:val="0"/>
          <w:numId w:val="27"/>
        </w:numPr>
        <w:spacing w:after="200" w:line="360" w:lineRule="auto"/>
        <w:jc w:val="both"/>
        <w:rPr>
          <w:szCs w:val="24"/>
        </w:rPr>
      </w:pPr>
      <w:r w:rsidRPr="000236D4">
        <w:rPr>
          <w:rFonts w:ascii="Arial" w:hAnsi="Arial" w:cs="Arial"/>
          <w:szCs w:val="24"/>
        </w:rPr>
        <w:t xml:space="preserve">the </w:t>
      </w:r>
      <w:r w:rsidRPr="000236D4">
        <w:rPr>
          <w:rFonts w:ascii="Arial" w:hAnsi="Arial" w:cs="Arial"/>
          <w:i/>
          <w:szCs w:val="24"/>
        </w:rPr>
        <w:t>National Environment Protection Council Annual Report</w:t>
      </w:r>
      <w:r w:rsidRPr="000236D4">
        <w:rPr>
          <w:rFonts w:ascii="Arial" w:hAnsi="Arial" w:cs="Arial"/>
          <w:szCs w:val="24"/>
        </w:rPr>
        <w:t xml:space="preserve"> (which documents NT 2010-11 kerbside recycling); and </w:t>
      </w:r>
    </w:p>
    <w:p w14:paraId="6CFD7A91" w14:textId="77777777" w:rsidR="00030089" w:rsidRPr="000236D4" w:rsidRDefault="00030089" w:rsidP="00030089">
      <w:pPr>
        <w:pStyle w:val="ListParagraph"/>
        <w:numPr>
          <w:ilvl w:val="0"/>
          <w:numId w:val="27"/>
        </w:numPr>
        <w:spacing w:after="200" w:line="360" w:lineRule="auto"/>
        <w:jc w:val="both"/>
        <w:rPr>
          <w:szCs w:val="24"/>
        </w:rPr>
      </w:pPr>
      <w:r w:rsidRPr="000236D4">
        <w:rPr>
          <w:rFonts w:ascii="Arial" w:hAnsi="Arial" w:cs="Arial"/>
          <w:szCs w:val="24"/>
        </w:rPr>
        <w:t xml:space="preserve">the </w:t>
      </w:r>
      <w:r w:rsidRPr="000236D4">
        <w:rPr>
          <w:rFonts w:ascii="Arial" w:hAnsi="Arial" w:cs="Arial"/>
          <w:i/>
          <w:szCs w:val="24"/>
        </w:rPr>
        <w:t>Australian Government National Waste Report 2010</w:t>
      </w:r>
      <w:r w:rsidRPr="000236D4">
        <w:rPr>
          <w:rFonts w:ascii="Arial" w:hAnsi="Arial" w:cs="Arial"/>
          <w:szCs w:val="24"/>
        </w:rPr>
        <w:t xml:space="preserve"> (which documents NT recycling rates in general).</w:t>
      </w:r>
    </w:p>
    <w:p w14:paraId="5353F4AD" w14:textId="77777777" w:rsidR="00030089" w:rsidRPr="000236D4" w:rsidRDefault="00030089" w:rsidP="00030089">
      <w:pPr>
        <w:spacing w:line="360" w:lineRule="auto"/>
        <w:jc w:val="both"/>
        <w:rPr>
          <w:rFonts w:ascii="Arial" w:hAnsi="Arial" w:cs="Arial"/>
          <w:szCs w:val="24"/>
        </w:rPr>
      </w:pPr>
      <w:r w:rsidRPr="000236D4">
        <w:rPr>
          <w:rFonts w:ascii="Arial" w:hAnsi="Arial" w:cs="Arial"/>
          <w:szCs w:val="24"/>
        </w:rPr>
        <w:t xml:space="preserve">The Boomerang submission concludes: </w:t>
      </w:r>
    </w:p>
    <w:p w14:paraId="56DE6F2E" w14:textId="77777777" w:rsidR="00030089" w:rsidRPr="00B56E01" w:rsidRDefault="00030089" w:rsidP="00030089">
      <w:pPr>
        <w:spacing w:line="360" w:lineRule="auto"/>
        <w:ind w:left="720"/>
        <w:jc w:val="both"/>
        <w:rPr>
          <w:rFonts w:ascii="Arial" w:hAnsi="Arial" w:cs="Arial"/>
          <w:sz w:val="20"/>
          <w:szCs w:val="20"/>
        </w:rPr>
      </w:pPr>
      <w:r>
        <w:rPr>
          <w:rFonts w:ascii="Arial" w:hAnsi="Arial" w:cs="Arial"/>
          <w:sz w:val="20"/>
          <w:szCs w:val="20"/>
        </w:rPr>
        <w:t>“</w:t>
      </w:r>
      <w:r w:rsidRPr="00B56E01">
        <w:rPr>
          <w:rFonts w:ascii="Arial" w:hAnsi="Arial" w:cs="Arial"/>
          <w:sz w:val="20"/>
          <w:szCs w:val="20"/>
        </w:rPr>
        <w:t>While there is still a significant way to go there is much to be encouraged about regarding the performance in the first 2 quarters. Despite the limited collection network established, ‘feuds’ between the various coordinators and the some significant effort by certain bottlers to undermine the scheme, results are surprisingly good:</w:t>
      </w:r>
    </w:p>
    <w:p w14:paraId="2E5C2BDA" w14:textId="77777777" w:rsidR="00030089" w:rsidRPr="00B56E01" w:rsidRDefault="00030089" w:rsidP="00030089">
      <w:pPr>
        <w:spacing w:line="360" w:lineRule="auto"/>
        <w:ind w:left="720"/>
        <w:jc w:val="both"/>
        <w:rPr>
          <w:rFonts w:ascii="Arial" w:hAnsi="Arial" w:cs="Arial"/>
          <w:sz w:val="20"/>
          <w:szCs w:val="20"/>
        </w:rPr>
      </w:pPr>
      <w:r w:rsidRPr="00B56E01">
        <w:rPr>
          <w:rFonts w:ascii="Arial" w:hAnsi="Arial" w:cs="Arial"/>
          <w:sz w:val="20"/>
          <w:szCs w:val="20"/>
        </w:rPr>
        <w:t>Beverage container recycling rates for the first 2 quarters show a marked improvement rising to 25% in a wet season affected first quarter and over 31% in the second quarter (to July 2012). This represents an improvement of 14.5 percentage points (an 82% improvement in recycling rates) in less than 6 months</w:t>
      </w:r>
    </w:p>
    <w:p w14:paraId="210B1281" w14:textId="77777777" w:rsidR="00030089" w:rsidRPr="00B56E01" w:rsidRDefault="00030089" w:rsidP="00030089">
      <w:pPr>
        <w:spacing w:line="360" w:lineRule="auto"/>
        <w:ind w:left="720"/>
        <w:jc w:val="both"/>
        <w:rPr>
          <w:rFonts w:ascii="Arial" w:hAnsi="Arial" w:cs="Arial"/>
          <w:sz w:val="20"/>
          <w:szCs w:val="20"/>
        </w:rPr>
      </w:pPr>
      <w:r w:rsidRPr="00B56E01">
        <w:rPr>
          <w:rFonts w:ascii="Arial" w:hAnsi="Arial" w:cs="Arial"/>
          <w:sz w:val="20"/>
          <w:szCs w:val="20"/>
        </w:rPr>
        <w:t>At the current rate of improvement the NT Government should reasonably expect beverage container recycling rates to be between 45% by the end of the first 12 month period (though the impact of the wet season on returns in the short term may have some impact).</w:t>
      </w:r>
      <w:r>
        <w:rPr>
          <w:rFonts w:ascii="Arial" w:hAnsi="Arial" w:cs="Arial"/>
          <w:sz w:val="20"/>
          <w:szCs w:val="20"/>
        </w:rPr>
        <w:t>”</w:t>
      </w:r>
    </w:p>
    <w:p w14:paraId="40D19D34" w14:textId="77777777" w:rsidR="00030089" w:rsidRDefault="00030089" w:rsidP="00030089">
      <w:pPr>
        <w:spacing w:line="360" w:lineRule="auto"/>
        <w:jc w:val="both"/>
        <w:rPr>
          <w:rFonts w:ascii="Arial" w:hAnsi="Arial" w:cs="Arial"/>
          <w:color w:val="000000"/>
          <w:szCs w:val="28"/>
        </w:rPr>
      </w:pPr>
      <w:r w:rsidRPr="00FE611A">
        <w:rPr>
          <w:rFonts w:ascii="Arial" w:hAnsi="Arial" w:cs="Arial"/>
          <w:b/>
          <w:i/>
          <w:szCs w:val="28"/>
        </w:rPr>
        <w:t xml:space="preserve">Response </w:t>
      </w:r>
      <w:r w:rsidRPr="00FE611A">
        <w:rPr>
          <w:rFonts w:ascii="Arial" w:hAnsi="Arial" w:cs="Arial"/>
          <w:i/>
          <w:szCs w:val="28"/>
        </w:rPr>
        <w:t xml:space="preserve">The analysis in the DRIS maintains that this is in fact an underestimate by Boomerang Alliance. This is because the now available </w:t>
      </w:r>
      <w:r>
        <w:rPr>
          <w:rFonts w:ascii="Arial" w:hAnsi="Arial" w:cs="Arial"/>
          <w:szCs w:val="28"/>
        </w:rPr>
        <w:t>t</w:t>
      </w:r>
      <w:r w:rsidRPr="00FE611A">
        <w:rPr>
          <w:rFonts w:ascii="Arial" w:hAnsi="Arial" w:cs="Arial"/>
          <w:szCs w:val="28"/>
        </w:rPr>
        <w:t xml:space="preserve">hird </w:t>
      </w:r>
      <w:r w:rsidRPr="00E62DE8">
        <w:rPr>
          <w:rFonts w:ascii="Arial" w:hAnsi="Arial" w:cs="Arial"/>
          <w:i/>
          <w:szCs w:val="28"/>
        </w:rPr>
        <w:t>and</w:t>
      </w:r>
      <w:r>
        <w:rPr>
          <w:rFonts w:ascii="Arial" w:hAnsi="Arial" w:cs="Arial"/>
          <w:szCs w:val="28"/>
        </w:rPr>
        <w:t xml:space="preserve"> fourth </w:t>
      </w:r>
      <w:r w:rsidRPr="00FE611A">
        <w:rPr>
          <w:rFonts w:ascii="Arial" w:hAnsi="Arial" w:cs="Arial"/>
          <w:szCs w:val="28"/>
        </w:rPr>
        <w:t>NT CDS Quarterly Report</w:t>
      </w:r>
      <w:r>
        <w:rPr>
          <w:rFonts w:ascii="Arial" w:hAnsi="Arial" w:cs="Arial"/>
          <w:i/>
          <w:szCs w:val="28"/>
        </w:rPr>
        <w:t xml:space="preserve"> show</w:t>
      </w:r>
      <w:r w:rsidRPr="00FE611A">
        <w:rPr>
          <w:rFonts w:ascii="Arial" w:hAnsi="Arial" w:cs="Arial"/>
          <w:i/>
          <w:szCs w:val="28"/>
        </w:rPr>
        <w:t xml:space="preserve"> a </w:t>
      </w:r>
      <w:r>
        <w:rPr>
          <w:rFonts w:ascii="Arial" w:hAnsi="Arial" w:cs="Arial"/>
          <w:i/>
          <w:szCs w:val="28"/>
        </w:rPr>
        <w:t>return</w:t>
      </w:r>
      <w:r w:rsidRPr="00FE611A">
        <w:rPr>
          <w:rFonts w:ascii="Arial" w:hAnsi="Arial" w:cs="Arial"/>
          <w:i/>
          <w:szCs w:val="28"/>
        </w:rPr>
        <w:t xml:space="preserve"> rate of around </w:t>
      </w:r>
      <w:r>
        <w:rPr>
          <w:rFonts w:ascii="Arial" w:hAnsi="Arial" w:cs="Arial"/>
          <w:i/>
          <w:szCs w:val="28"/>
        </w:rPr>
        <w:t>34 percent over a 12 month period with a peak in the third quarter of over 33% return rate.</w:t>
      </w:r>
      <w:r w:rsidRPr="00FE611A">
        <w:rPr>
          <w:rFonts w:ascii="Arial" w:hAnsi="Arial" w:cs="Arial"/>
          <w:i/>
          <w:szCs w:val="28"/>
        </w:rPr>
        <w:t xml:space="preserve"> </w:t>
      </w:r>
    </w:p>
    <w:p w14:paraId="7E546FF7" w14:textId="77777777" w:rsidR="00BA5366" w:rsidRDefault="00BA5366">
      <w:pPr>
        <w:rPr>
          <w:rFonts w:ascii="Arial" w:hAnsi="Arial" w:cs="Arial"/>
          <w:b/>
          <w:szCs w:val="28"/>
        </w:rPr>
      </w:pPr>
      <w:r>
        <w:rPr>
          <w:rFonts w:ascii="Arial" w:hAnsi="Arial" w:cs="Arial"/>
          <w:b/>
          <w:szCs w:val="28"/>
        </w:rPr>
        <w:br w:type="page"/>
      </w:r>
    </w:p>
    <w:p w14:paraId="4488B286" w14:textId="467B2C04" w:rsidR="00030089" w:rsidRPr="00FE611A" w:rsidRDefault="00030089" w:rsidP="00030089">
      <w:pPr>
        <w:spacing w:line="360" w:lineRule="auto"/>
        <w:jc w:val="both"/>
        <w:rPr>
          <w:rFonts w:ascii="Arial" w:hAnsi="Arial" w:cs="Arial"/>
          <w:szCs w:val="28"/>
        </w:rPr>
      </w:pPr>
      <w:r w:rsidRPr="00FE611A">
        <w:rPr>
          <w:rFonts w:ascii="Arial" w:hAnsi="Arial" w:cs="Arial"/>
          <w:b/>
          <w:szCs w:val="28"/>
        </w:rPr>
        <w:lastRenderedPageBreak/>
        <w:t xml:space="preserve">GHG and Landfill Benefit </w:t>
      </w:r>
      <w:r w:rsidRPr="00FE611A">
        <w:rPr>
          <w:rFonts w:ascii="Arial" w:hAnsi="Arial" w:cs="Arial"/>
          <w:szCs w:val="28"/>
        </w:rPr>
        <w:t>Boomerang Alliance argued that the NT CDS has given rise to a very significant increase in resource recovery:</w:t>
      </w:r>
    </w:p>
    <w:p w14:paraId="4B35A854" w14:textId="77777777" w:rsidR="00030089" w:rsidRDefault="00030089" w:rsidP="00030089">
      <w:pPr>
        <w:spacing w:line="360" w:lineRule="auto"/>
        <w:jc w:val="both"/>
        <w:rPr>
          <w:rFonts w:ascii="Arial" w:hAnsi="Arial" w:cs="Arial"/>
          <w:szCs w:val="28"/>
        </w:rPr>
      </w:pPr>
      <w:r w:rsidRPr="00FE611A">
        <w:rPr>
          <w:rFonts w:ascii="Arial" w:hAnsi="Arial" w:cs="Arial"/>
          <w:szCs w:val="28"/>
        </w:rPr>
        <w:t>“By our calculations the increased resource recovery experienced within the first 12 months of the scheme equates to the following:</w:t>
      </w:r>
    </w:p>
    <w:p w14:paraId="64877CB3" w14:textId="77777777" w:rsidR="00030089" w:rsidRPr="00682556" w:rsidRDefault="00030089" w:rsidP="00030089">
      <w:pPr>
        <w:pStyle w:val="Caption"/>
        <w:keepNext/>
        <w:rPr>
          <w:noProof/>
          <w:color w:val="auto"/>
        </w:rPr>
      </w:pPr>
      <w:r w:rsidRPr="00682556">
        <w:rPr>
          <w:noProof/>
          <w:color w:val="auto"/>
        </w:rPr>
        <w:fldChar w:fldCharType="begin"/>
      </w:r>
      <w:r w:rsidRPr="00682556">
        <w:rPr>
          <w:noProof/>
          <w:color w:val="auto"/>
        </w:rPr>
        <w:instrText xml:space="preserve"> SEQ Figure \* ARABIC </w:instrText>
      </w:r>
      <w:r w:rsidRPr="00682556">
        <w:rPr>
          <w:noProof/>
          <w:color w:val="auto"/>
        </w:rPr>
        <w:fldChar w:fldCharType="separate"/>
      </w:r>
      <w:bookmarkStart w:id="794" w:name="_Toc353562532"/>
      <w:r w:rsidR="00740026">
        <w:rPr>
          <w:noProof/>
          <w:color w:val="auto"/>
        </w:rPr>
        <w:t>51</w:t>
      </w:r>
      <w:r w:rsidRPr="00682556">
        <w:rPr>
          <w:noProof/>
          <w:color w:val="auto"/>
        </w:rPr>
        <w:fldChar w:fldCharType="end"/>
      </w:r>
      <w:r w:rsidRPr="00682556">
        <w:rPr>
          <w:noProof/>
          <w:color w:val="auto"/>
        </w:rPr>
        <w:t xml:space="preserve"> Table 5.2: Resource recovery rate within 12 months of CDS</w:t>
      </w:r>
      <w:bookmarkEnd w:id="794"/>
    </w:p>
    <w:tbl>
      <w:tblPr>
        <w:tblW w:w="9010" w:type="dxa"/>
        <w:tblLook w:val="04A0" w:firstRow="1" w:lastRow="0" w:firstColumn="1" w:lastColumn="0" w:noHBand="0" w:noVBand="1"/>
      </w:tblPr>
      <w:tblGrid>
        <w:gridCol w:w="1307"/>
        <w:gridCol w:w="1540"/>
        <w:gridCol w:w="1541"/>
        <w:gridCol w:w="1528"/>
        <w:gridCol w:w="1649"/>
        <w:gridCol w:w="1445"/>
      </w:tblGrid>
      <w:tr w:rsidR="00030089" w:rsidRPr="00C15EF3" w14:paraId="75AAF964" w14:textId="77777777" w:rsidTr="008547F7">
        <w:trPr>
          <w:trHeight w:val="69"/>
        </w:trPr>
        <w:tc>
          <w:tcPr>
            <w:tcW w:w="1307" w:type="dxa"/>
            <w:tcBorders>
              <w:top w:val="single" w:sz="4" w:space="0" w:color="auto"/>
              <w:left w:val="single" w:sz="4" w:space="0" w:color="auto"/>
              <w:bottom w:val="nil"/>
              <w:right w:val="nil"/>
            </w:tcBorders>
            <w:shd w:val="clear" w:color="auto" w:fill="auto"/>
            <w:noWrap/>
            <w:vAlign w:val="bottom"/>
            <w:hideMark/>
          </w:tcPr>
          <w:p w14:paraId="3CC7C53B" w14:textId="77777777" w:rsidR="00030089" w:rsidRPr="00C15EF3" w:rsidRDefault="00030089" w:rsidP="008547F7">
            <w:pPr>
              <w:spacing w:after="0" w:line="240" w:lineRule="auto"/>
              <w:rPr>
                <w:rFonts w:ascii="Calibri" w:eastAsia="Times New Roman" w:hAnsi="Calibri" w:cs="Calibri"/>
                <w:color w:val="000000"/>
              </w:rPr>
            </w:pPr>
            <w:r w:rsidRPr="00C15EF3">
              <w:rPr>
                <w:rFonts w:ascii="Calibri" w:eastAsia="Times New Roman" w:hAnsi="Calibri" w:cs="Calibri"/>
                <w:color w:val="000000"/>
              </w:rPr>
              <w:t> </w:t>
            </w:r>
          </w:p>
        </w:tc>
        <w:tc>
          <w:tcPr>
            <w:tcW w:w="30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638FB" w14:textId="77777777" w:rsidR="00030089" w:rsidRPr="00C15EF3" w:rsidRDefault="00030089" w:rsidP="008547F7">
            <w:pPr>
              <w:spacing w:after="0" w:line="240" w:lineRule="auto"/>
              <w:jc w:val="center"/>
              <w:rPr>
                <w:rFonts w:ascii="Calibri" w:eastAsia="Times New Roman" w:hAnsi="Calibri" w:cs="Calibri"/>
                <w:b/>
                <w:bCs/>
                <w:color w:val="000000"/>
              </w:rPr>
            </w:pPr>
            <w:r w:rsidRPr="00C15EF3">
              <w:rPr>
                <w:rFonts w:ascii="Calibri" w:eastAsia="Times New Roman" w:hAnsi="Calibri" w:cs="Calibri"/>
                <w:b/>
                <w:bCs/>
                <w:color w:val="000000"/>
              </w:rPr>
              <w:t>Pre Cash for Containers</w:t>
            </w:r>
          </w:p>
        </w:tc>
        <w:tc>
          <w:tcPr>
            <w:tcW w:w="462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24D923" w14:textId="77777777" w:rsidR="00030089" w:rsidRPr="00C15EF3" w:rsidRDefault="00030089" w:rsidP="008547F7">
            <w:pPr>
              <w:spacing w:after="0" w:line="240" w:lineRule="auto"/>
              <w:jc w:val="center"/>
              <w:rPr>
                <w:rFonts w:ascii="Calibri" w:eastAsia="Times New Roman" w:hAnsi="Calibri" w:cs="Calibri"/>
                <w:b/>
                <w:bCs/>
                <w:color w:val="000000"/>
              </w:rPr>
            </w:pPr>
            <w:r w:rsidRPr="00C15EF3">
              <w:rPr>
                <w:rFonts w:ascii="Calibri" w:eastAsia="Times New Roman" w:hAnsi="Calibri" w:cs="Calibri"/>
                <w:b/>
                <w:bCs/>
                <w:color w:val="000000"/>
              </w:rPr>
              <w:t>Post Cash for Containers</w:t>
            </w:r>
          </w:p>
        </w:tc>
      </w:tr>
      <w:tr w:rsidR="00030089" w:rsidRPr="00C15EF3" w14:paraId="18F135E8" w14:textId="77777777" w:rsidTr="008547F7">
        <w:trPr>
          <w:trHeight w:val="138"/>
        </w:trPr>
        <w:tc>
          <w:tcPr>
            <w:tcW w:w="1307" w:type="dxa"/>
            <w:tcBorders>
              <w:top w:val="nil"/>
              <w:left w:val="single" w:sz="4" w:space="0" w:color="auto"/>
              <w:bottom w:val="nil"/>
              <w:right w:val="nil"/>
            </w:tcBorders>
            <w:shd w:val="clear" w:color="auto" w:fill="auto"/>
            <w:noWrap/>
            <w:vAlign w:val="bottom"/>
            <w:hideMark/>
          </w:tcPr>
          <w:p w14:paraId="3B2E5DD3" w14:textId="77777777" w:rsidR="00030089" w:rsidRPr="00C15EF3" w:rsidRDefault="00030089" w:rsidP="008547F7">
            <w:pPr>
              <w:spacing w:after="0" w:line="240" w:lineRule="auto"/>
              <w:rPr>
                <w:rFonts w:ascii="Calibri" w:eastAsia="Times New Roman" w:hAnsi="Calibri" w:cs="Calibri"/>
                <w:color w:val="000000"/>
              </w:rPr>
            </w:pPr>
            <w:r w:rsidRPr="00C15EF3">
              <w:rPr>
                <w:rFonts w:ascii="Calibri" w:eastAsia="Times New Roman" w:hAnsi="Calibri" w:cs="Calibri"/>
                <w:color w:val="000000"/>
              </w:rPr>
              <w:t> </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7CD24216"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Total recycling collected 2010-2011</w:t>
            </w:r>
          </w:p>
        </w:tc>
        <w:tc>
          <w:tcPr>
            <w:tcW w:w="1541" w:type="dxa"/>
            <w:tcBorders>
              <w:top w:val="nil"/>
              <w:left w:val="nil"/>
              <w:bottom w:val="single" w:sz="4" w:space="0" w:color="auto"/>
              <w:right w:val="single" w:sz="4" w:space="0" w:color="auto"/>
            </w:tcBorders>
            <w:shd w:val="clear" w:color="auto" w:fill="auto"/>
            <w:noWrap/>
            <w:vAlign w:val="center"/>
            <w:hideMark/>
          </w:tcPr>
          <w:p w14:paraId="293E4F6A"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Average per quarter</w:t>
            </w:r>
          </w:p>
        </w:tc>
        <w:tc>
          <w:tcPr>
            <w:tcW w:w="1528" w:type="dxa"/>
            <w:tcBorders>
              <w:top w:val="nil"/>
              <w:left w:val="nil"/>
              <w:bottom w:val="single" w:sz="4" w:space="0" w:color="auto"/>
              <w:right w:val="single" w:sz="4" w:space="0" w:color="auto"/>
            </w:tcBorders>
            <w:shd w:val="clear" w:color="auto" w:fill="auto"/>
            <w:vAlign w:val="center"/>
            <w:hideMark/>
          </w:tcPr>
          <w:p w14:paraId="56794DEE"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Containers Collected (April-June '12)</w:t>
            </w:r>
          </w:p>
        </w:tc>
        <w:tc>
          <w:tcPr>
            <w:tcW w:w="1649" w:type="dxa"/>
            <w:tcBorders>
              <w:top w:val="nil"/>
              <w:left w:val="nil"/>
              <w:bottom w:val="single" w:sz="4" w:space="0" w:color="auto"/>
              <w:right w:val="single" w:sz="4" w:space="0" w:color="auto"/>
            </w:tcBorders>
            <w:shd w:val="clear" w:color="auto" w:fill="auto"/>
            <w:noWrap/>
            <w:vAlign w:val="center"/>
            <w:hideMark/>
          </w:tcPr>
          <w:p w14:paraId="06AF74B0"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Containers/ tonne</w:t>
            </w:r>
          </w:p>
        </w:tc>
        <w:tc>
          <w:tcPr>
            <w:tcW w:w="1444" w:type="dxa"/>
            <w:tcBorders>
              <w:top w:val="nil"/>
              <w:left w:val="nil"/>
              <w:bottom w:val="single" w:sz="4" w:space="0" w:color="auto"/>
              <w:right w:val="single" w:sz="4" w:space="0" w:color="auto"/>
            </w:tcBorders>
            <w:shd w:val="clear" w:color="auto" w:fill="auto"/>
            <w:vAlign w:val="center"/>
            <w:hideMark/>
          </w:tcPr>
          <w:p w14:paraId="141C3385"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Average recycling per quarter</w:t>
            </w:r>
          </w:p>
        </w:tc>
      </w:tr>
      <w:tr w:rsidR="00030089" w:rsidRPr="00C15EF3" w14:paraId="0986609B" w14:textId="77777777" w:rsidTr="008547F7">
        <w:trPr>
          <w:trHeight w:val="93"/>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DCEC8" w14:textId="77777777" w:rsidR="00030089" w:rsidRPr="00C15EF3" w:rsidRDefault="00030089" w:rsidP="008547F7">
            <w:pPr>
              <w:spacing w:after="0" w:line="240" w:lineRule="auto"/>
              <w:rPr>
                <w:rFonts w:ascii="Calibri" w:eastAsia="Times New Roman" w:hAnsi="Calibri" w:cs="Calibri"/>
                <w:color w:val="000000"/>
              </w:rPr>
            </w:pPr>
            <w:r w:rsidRPr="00C15EF3">
              <w:rPr>
                <w:rFonts w:ascii="Calibri" w:eastAsia="Times New Roman" w:hAnsi="Calibri" w:cs="Calibri"/>
                <w:color w:val="000000"/>
              </w:rPr>
              <w:t>Total Glass</w:t>
            </w:r>
          </w:p>
        </w:tc>
        <w:tc>
          <w:tcPr>
            <w:tcW w:w="1540" w:type="dxa"/>
            <w:tcBorders>
              <w:top w:val="nil"/>
              <w:left w:val="nil"/>
              <w:bottom w:val="single" w:sz="4" w:space="0" w:color="auto"/>
              <w:right w:val="single" w:sz="4" w:space="0" w:color="auto"/>
            </w:tcBorders>
            <w:shd w:val="clear" w:color="auto" w:fill="auto"/>
            <w:noWrap/>
            <w:vAlign w:val="bottom"/>
            <w:hideMark/>
          </w:tcPr>
          <w:p w14:paraId="3EE2D621"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1574</w:t>
            </w:r>
          </w:p>
        </w:tc>
        <w:tc>
          <w:tcPr>
            <w:tcW w:w="1541" w:type="dxa"/>
            <w:tcBorders>
              <w:top w:val="nil"/>
              <w:left w:val="nil"/>
              <w:bottom w:val="single" w:sz="4" w:space="0" w:color="auto"/>
              <w:right w:val="single" w:sz="4" w:space="0" w:color="auto"/>
            </w:tcBorders>
            <w:shd w:val="clear" w:color="auto" w:fill="auto"/>
            <w:noWrap/>
            <w:vAlign w:val="bottom"/>
            <w:hideMark/>
          </w:tcPr>
          <w:p w14:paraId="1F3D730D"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394</w:t>
            </w:r>
          </w:p>
        </w:tc>
        <w:tc>
          <w:tcPr>
            <w:tcW w:w="1528" w:type="dxa"/>
            <w:tcBorders>
              <w:top w:val="nil"/>
              <w:left w:val="nil"/>
              <w:bottom w:val="single" w:sz="4" w:space="0" w:color="auto"/>
              <w:right w:val="single" w:sz="4" w:space="0" w:color="auto"/>
            </w:tcBorders>
            <w:shd w:val="clear" w:color="auto" w:fill="auto"/>
            <w:noWrap/>
            <w:vAlign w:val="bottom"/>
            <w:hideMark/>
          </w:tcPr>
          <w:p w14:paraId="13738301"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3258943</w:t>
            </w:r>
          </w:p>
        </w:tc>
        <w:tc>
          <w:tcPr>
            <w:tcW w:w="1649" w:type="dxa"/>
            <w:tcBorders>
              <w:top w:val="nil"/>
              <w:left w:val="nil"/>
              <w:bottom w:val="single" w:sz="4" w:space="0" w:color="auto"/>
              <w:right w:val="single" w:sz="4" w:space="0" w:color="auto"/>
            </w:tcBorders>
            <w:shd w:val="clear" w:color="auto" w:fill="auto"/>
            <w:noWrap/>
            <w:vAlign w:val="bottom"/>
            <w:hideMark/>
          </w:tcPr>
          <w:p w14:paraId="51758991"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4784</w:t>
            </w:r>
          </w:p>
        </w:tc>
        <w:tc>
          <w:tcPr>
            <w:tcW w:w="1444" w:type="dxa"/>
            <w:tcBorders>
              <w:top w:val="nil"/>
              <w:left w:val="nil"/>
              <w:bottom w:val="single" w:sz="4" w:space="0" w:color="auto"/>
              <w:right w:val="single" w:sz="4" w:space="0" w:color="auto"/>
            </w:tcBorders>
            <w:shd w:val="clear" w:color="auto" w:fill="auto"/>
            <w:noWrap/>
            <w:vAlign w:val="bottom"/>
            <w:hideMark/>
          </w:tcPr>
          <w:p w14:paraId="252B4F1A"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684</w:t>
            </w:r>
          </w:p>
        </w:tc>
      </w:tr>
      <w:tr w:rsidR="00030089" w:rsidRPr="00C15EF3" w14:paraId="36CCD8CB" w14:textId="77777777" w:rsidTr="008547F7">
        <w:trPr>
          <w:trHeight w:val="93"/>
        </w:trPr>
        <w:tc>
          <w:tcPr>
            <w:tcW w:w="1307" w:type="dxa"/>
            <w:tcBorders>
              <w:top w:val="nil"/>
              <w:left w:val="single" w:sz="4" w:space="0" w:color="auto"/>
              <w:bottom w:val="single" w:sz="4" w:space="0" w:color="auto"/>
              <w:right w:val="single" w:sz="4" w:space="0" w:color="auto"/>
            </w:tcBorders>
            <w:shd w:val="clear" w:color="auto" w:fill="auto"/>
            <w:noWrap/>
            <w:vAlign w:val="bottom"/>
            <w:hideMark/>
          </w:tcPr>
          <w:p w14:paraId="0334CAB7" w14:textId="77777777" w:rsidR="00030089" w:rsidRPr="00C15EF3" w:rsidRDefault="00030089" w:rsidP="008547F7">
            <w:pPr>
              <w:spacing w:after="0" w:line="240" w:lineRule="auto"/>
              <w:rPr>
                <w:rFonts w:ascii="Calibri" w:eastAsia="Times New Roman" w:hAnsi="Calibri" w:cs="Calibri"/>
                <w:color w:val="000000"/>
              </w:rPr>
            </w:pPr>
            <w:r w:rsidRPr="00C15EF3">
              <w:rPr>
                <w:rFonts w:ascii="Calibri" w:eastAsia="Times New Roman" w:hAnsi="Calibri" w:cs="Calibri"/>
                <w:color w:val="000000"/>
              </w:rPr>
              <w:t>Total Plastic</w:t>
            </w:r>
          </w:p>
        </w:tc>
        <w:tc>
          <w:tcPr>
            <w:tcW w:w="1540" w:type="dxa"/>
            <w:tcBorders>
              <w:top w:val="nil"/>
              <w:left w:val="nil"/>
              <w:bottom w:val="single" w:sz="4" w:space="0" w:color="auto"/>
              <w:right w:val="single" w:sz="4" w:space="0" w:color="auto"/>
            </w:tcBorders>
            <w:shd w:val="clear" w:color="auto" w:fill="auto"/>
            <w:noWrap/>
            <w:vAlign w:val="bottom"/>
            <w:hideMark/>
          </w:tcPr>
          <w:p w14:paraId="1B518EFF"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248</w:t>
            </w:r>
          </w:p>
        </w:tc>
        <w:tc>
          <w:tcPr>
            <w:tcW w:w="1541" w:type="dxa"/>
            <w:tcBorders>
              <w:top w:val="nil"/>
              <w:left w:val="nil"/>
              <w:bottom w:val="single" w:sz="4" w:space="0" w:color="auto"/>
              <w:right w:val="single" w:sz="4" w:space="0" w:color="auto"/>
            </w:tcBorders>
            <w:shd w:val="clear" w:color="auto" w:fill="auto"/>
            <w:noWrap/>
            <w:vAlign w:val="bottom"/>
            <w:hideMark/>
          </w:tcPr>
          <w:p w14:paraId="22E78F2D"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62</w:t>
            </w:r>
          </w:p>
        </w:tc>
        <w:tc>
          <w:tcPr>
            <w:tcW w:w="1528" w:type="dxa"/>
            <w:tcBorders>
              <w:top w:val="nil"/>
              <w:left w:val="nil"/>
              <w:bottom w:val="single" w:sz="4" w:space="0" w:color="auto"/>
              <w:right w:val="single" w:sz="4" w:space="0" w:color="auto"/>
            </w:tcBorders>
            <w:shd w:val="clear" w:color="auto" w:fill="auto"/>
            <w:noWrap/>
            <w:vAlign w:val="bottom"/>
            <w:hideMark/>
          </w:tcPr>
          <w:p w14:paraId="286C8738"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2039662</w:t>
            </w:r>
          </w:p>
        </w:tc>
        <w:tc>
          <w:tcPr>
            <w:tcW w:w="1649" w:type="dxa"/>
            <w:tcBorders>
              <w:top w:val="nil"/>
              <w:left w:val="nil"/>
              <w:bottom w:val="single" w:sz="4" w:space="0" w:color="auto"/>
              <w:right w:val="single" w:sz="4" w:space="0" w:color="auto"/>
            </w:tcBorders>
            <w:shd w:val="clear" w:color="auto" w:fill="auto"/>
            <w:noWrap/>
            <w:vAlign w:val="bottom"/>
            <w:hideMark/>
          </w:tcPr>
          <w:p w14:paraId="668C28F6"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29205</w:t>
            </w:r>
          </w:p>
        </w:tc>
        <w:tc>
          <w:tcPr>
            <w:tcW w:w="1444" w:type="dxa"/>
            <w:tcBorders>
              <w:top w:val="nil"/>
              <w:left w:val="nil"/>
              <w:bottom w:val="single" w:sz="4" w:space="0" w:color="auto"/>
              <w:right w:val="single" w:sz="4" w:space="0" w:color="auto"/>
            </w:tcBorders>
            <w:shd w:val="clear" w:color="auto" w:fill="auto"/>
            <w:noWrap/>
            <w:vAlign w:val="bottom"/>
            <w:hideMark/>
          </w:tcPr>
          <w:p w14:paraId="2A0C595C"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70</w:t>
            </w:r>
          </w:p>
        </w:tc>
      </w:tr>
      <w:tr w:rsidR="00030089" w:rsidRPr="00C15EF3" w14:paraId="56C65B91" w14:textId="77777777" w:rsidTr="008547F7">
        <w:trPr>
          <w:trHeight w:val="93"/>
        </w:trPr>
        <w:tc>
          <w:tcPr>
            <w:tcW w:w="1307" w:type="dxa"/>
            <w:tcBorders>
              <w:top w:val="nil"/>
              <w:left w:val="single" w:sz="4" w:space="0" w:color="auto"/>
              <w:bottom w:val="single" w:sz="4" w:space="0" w:color="auto"/>
              <w:right w:val="single" w:sz="4" w:space="0" w:color="auto"/>
            </w:tcBorders>
            <w:shd w:val="clear" w:color="auto" w:fill="auto"/>
            <w:noWrap/>
            <w:vAlign w:val="bottom"/>
            <w:hideMark/>
          </w:tcPr>
          <w:p w14:paraId="6BA5AA54" w14:textId="77777777" w:rsidR="00030089" w:rsidRPr="00C15EF3" w:rsidRDefault="00030089" w:rsidP="008547F7">
            <w:pPr>
              <w:spacing w:after="0" w:line="240" w:lineRule="auto"/>
              <w:rPr>
                <w:rFonts w:ascii="Calibri" w:eastAsia="Times New Roman" w:hAnsi="Calibri" w:cs="Calibri"/>
                <w:color w:val="000000"/>
              </w:rPr>
            </w:pPr>
            <w:r w:rsidRPr="00C15EF3">
              <w:rPr>
                <w:rFonts w:ascii="Calibri" w:eastAsia="Times New Roman" w:hAnsi="Calibri" w:cs="Calibri"/>
                <w:color w:val="000000"/>
              </w:rPr>
              <w:t>Total Aluminium</w:t>
            </w:r>
          </w:p>
        </w:tc>
        <w:tc>
          <w:tcPr>
            <w:tcW w:w="1540" w:type="dxa"/>
            <w:tcBorders>
              <w:top w:val="nil"/>
              <w:left w:val="nil"/>
              <w:bottom w:val="single" w:sz="4" w:space="0" w:color="auto"/>
              <w:right w:val="single" w:sz="4" w:space="0" w:color="auto"/>
            </w:tcBorders>
            <w:shd w:val="clear" w:color="auto" w:fill="auto"/>
            <w:noWrap/>
            <w:vAlign w:val="bottom"/>
            <w:hideMark/>
          </w:tcPr>
          <w:p w14:paraId="4D843666"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107</w:t>
            </w:r>
          </w:p>
        </w:tc>
        <w:tc>
          <w:tcPr>
            <w:tcW w:w="1541" w:type="dxa"/>
            <w:tcBorders>
              <w:top w:val="nil"/>
              <w:left w:val="nil"/>
              <w:bottom w:val="single" w:sz="4" w:space="0" w:color="auto"/>
              <w:right w:val="single" w:sz="4" w:space="0" w:color="auto"/>
            </w:tcBorders>
            <w:shd w:val="clear" w:color="auto" w:fill="auto"/>
            <w:noWrap/>
            <w:vAlign w:val="bottom"/>
            <w:hideMark/>
          </w:tcPr>
          <w:p w14:paraId="6427D7D2"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27</w:t>
            </w:r>
          </w:p>
        </w:tc>
        <w:tc>
          <w:tcPr>
            <w:tcW w:w="1528" w:type="dxa"/>
            <w:tcBorders>
              <w:top w:val="nil"/>
              <w:left w:val="nil"/>
              <w:bottom w:val="single" w:sz="4" w:space="0" w:color="auto"/>
              <w:right w:val="single" w:sz="4" w:space="0" w:color="auto"/>
            </w:tcBorders>
            <w:shd w:val="clear" w:color="auto" w:fill="auto"/>
            <w:noWrap/>
            <w:vAlign w:val="bottom"/>
            <w:hideMark/>
          </w:tcPr>
          <w:p w14:paraId="678F7B4A"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6074339</w:t>
            </w:r>
          </w:p>
        </w:tc>
        <w:tc>
          <w:tcPr>
            <w:tcW w:w="1649" w:type="dxa"/>
            <w:tcBorders>
              <w:top w:val="nil"/>
              <w:left w:val="nil"/>
              <w:bottom w:val="single" w:sz="4" w:space="0" w:color="auto"/>
              <w:right w:val="single" w:sz="4" w:space="0" w:color="auto"/>
            </w:tcBorders>
            <w:shd w:val="clear" w:color="auto" w:fill="auto"/>
            <w:noWrap/>
            <w:vAlign w:val="bottom"/>
            <w:hideMark/>
          </w:tcPr>
          <w:p w14:paraId="0679A439"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66821</w:t>
            </w:r>
          </w:p>
        </w:tc>
        <w:tc>
          <w:tcPr>
            <w:tcW w:w="1444" w:type="dxa"/>
            <w:tcBorders>
              <w:top w:val="nil"/>
              <w:left w:val="nil"/>
              <w:bottom w:val="single" w:sz="4" w:space="0" w:color="auto"/>
              <w:right w:val="single" w:sz="4" w:space="0" w:color="auto"/>
            </w:tcBorders>
            <w:shd w:val="clear" w:color="auto" w:fill="auto"/>
            <w:noWrap/>
            <w:vAlign w:val="bottom"/>
            <w:hideMark/>
          </w:tcPr>
          <w:p w14:paraId="039DC620" w14:textId="77777777" w:rsidR="00030089" w:rsidRPr="00C15EF3" w:rsidRDefault="00030089" w:rsidP="008547F7">
            <w:pPr>
              <w:spacing w:after="0" w:line="240" w:lineRule="auto"/>
              <w:jc w:val="right"/>
              <w:rPr>
                <w:rFonts w:ascii="Calibri" w:eastAsia="Times New Roman" w:hAnsi="Calibri" w:cs="Calibri"/>
                <w:color w:val="000000"/>
              </w:rPr>
            </w:pPr>
            <w:r w:rsidRPr="00C15EF3">
              <w:rPr>
                <w:rFonts w:ascii="Calibri" w:eastAsia="Times New Roman" w:hAnsi="Calibri" w:cs="Calibri"/>
                <w:color w:val="000000"/>
              </w:rPr>
              <w:t>91</w:t>
            </w:r>
          </w:p>
        </w:tc>
      </w:tr>
      <w:tr w:rsidR="00030089" w:rsidRPr="00C15EF3" w14:paraId="4E8E169B" w14:textId="77777777" w:rsidTr="008547F7">
        <w:trPr>
          <w:trHeight w:val="93"/>
        </w:trPr>
        <w:tc>
          <w:tcPr>
            <w:tcW w:w="1307" w:type="dxa"/>
            <w:tcBorders>
              <w:top w:val="nil"/>
              <w:left w:val="single" w:sz="4" w:space="0" w:color="auto"/>
              <w:bottom w:val="single" w:sz="4" w:space="0" w:color="auto"/>
              <w:right w:val="single" w:sz="4" w:space="0" w:color="auto"/>
            </w:tcBorders>
            <w:shd w:val="clear" w:color="auto" w:fill="auto"/>
            <w:noWrap/>
            <w:vAlign w:val="bottom"/>
            <w:hideMark/>
          </w:tcPr>
          <w:p w14:paraId="12B3AE62" w14:textId="77777777" w:rsidR="00030089" w:rsidRPr="00C15EF3" w:rsidRDefault="00030089" w:rsidP="008547F7">
            <w:pPr>
              <w:spacing w:after="0" w:line="240" w:lineRule="auto"/>
              <w:rPr>
                <w:rFonts w:ascii="Calibri" w:eastAsia="Times New Roman" w:hAnsi="Calibri" w:cs="Calibri"/>
                <w:b/>
                <w:bCs/>
                <w:color w:val="000000"/>
              </w:rPr>
            </w:pPr>
            <w:r w:rsidRPr="00C15EF3">
              <w:rPr>
                <w:rFonts w:ascii="Calibri" w:eastAsia="Times New Roman" w:hAnsi="Calibri" w:cs="Calibri"/>
                <w:b/>
                <w:bCs/>
                <w:color w:val="000000"/>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12359DE0" w14:textId="77777777" w:rsidR="00030089" w:rsidRPr="00C15EF3" w:rsidRDefault="00030089" w:rsidP="008547F7">
            <w:pPr>
              <w:spacing w:after="0" w:line="240" w:lineRule="auto"/>
              <w:jc w:val="right"/>
              <w:rPr>
                <w:rFonts w:ascii="Calibri" w:eastAsia="Times New Roman" w:hAnsi="Calibri" w:cs="Calibri"/>
                <w:b/>
                <w:bCs/>
                <w:color w:val="000000"/>
              </w:rPr>
            </w:pPr>
            <w:r w:rsidRPr="00C15EF3">
              <w:rPr>
                <w:rFonts w:ascii="Calibri" w:eastAsia="Times New Roman" w:hAnsi="Calibri" w:cs="Calibri"/>
                <w:b/>
                <w:bCs/>
                <w:color w:val="000000"/>
              </w:rPr>
              <w:t>1929</w:t>
            </w:r>
          </w:p>
        </w:tc>
        <w:tc>
          <w:tcPr>
            <w:tcW w:w="1541" w:type="dxa"/>
            <w:tcBorders>
              <w:top w:val="nil"/>
              <w:left w:val="nil"/>
              <w:bottom w:val="single" w:sz="4" w:space="0" w:color="auto"/>
              <w:right w:val="single" w:sz="4" w:space="0" w:color="auto"/>
            </w:tcBorders>
            <w:shd w:val="clear" w:color="auto" w:fill="auto"/>
            <w:noWrap/>
            <w:vAlign w:val="bottom"/>
            <w:hideMark/>
          </w:tcPr>
          <w:p w14:paraId="2DF65DA9" w14:textId="77777777" w:rsidR="00030089" w:rsidRPr="00C15EF3" w:rsidRDefault="00030089" w:rsidP="008547F7">
            <w:pPr>
              <w:spacing w:after="0" w:line="240" w:lineRule="auto"/>
              <w:jc w:val="right"/>
              <w:rPr>
                <w:rFonts w:ascii="Calibri" w:eastAsia="Times New Roman" w:hAnsi="Calibri" w:cs="Calibri"/>
                <w:b/>
                <w:bCs/>
                <w:color w:val="000000"/>
              </w:rPr>
            </w:pPr>
            <w:r w:rsidRPr="00C15EF3">
              <w:rPr>
                <w:rFonts w:ascii="Calibri" w:eastAsia="Times New Roman" w:hAnsi="Calibri" w:cs="Calibri"/>
                <w:b/>
                <w:bCs/>
                <w:color w:val="000000"/>
              </w:rPr>
              <w:t>48</w:t>
            </w:r>
            <w:r>
              <w:rPr>
                <w:rFonts w:ascii="Calibri" w:eastAsia="Times New Roman" w:hAnsi="Calibri" w:cs="Calibri"/>
                <w:b/>
                <w:bCs/>
                <w:color w:val="000000"/>
              </w:rPr>
              <w:t>3</w:t>
            </w:r>
          </w:p>
        </w:tc>
        <w:tc>
          <w:tcPr>
            <w:tcW w:w="1528" w:type="dxa"/>
            <w:tcBorders>
              <w:top w:val="nil"/>
              <w:left w:val="nil"/>
              <w:bottom w:val="single" w:sz="4" w:space="0" w:color="auto"/>
              <w:right w:val="single" w:sz="4" w:space="0" w:color="auto"/>
            </w:tcBorders>
            <w:shd w:val="clear" w:color="auto" w:fill="auto"/>
            <w:noWrap/>
            <w:vAlign w:val="bottom"/>
            <w:hideMark/>
          </w:tcPr>
          <w:p w14:paraId="5F73FA94" w14:textId="77777777" w:rsidR="00030089" w:rsidRPr="00C15EF3" w:rsidRDefault="00030089" w:rsidP="008547F7">
            <w:pPr>
              <w:spacing w:after="0" w:line="240" w:lineRule="auto"/>
              <w:jc w:val="right"/>
              <w:rPr>
                <w:rFonts w:ascii="Calibri" w:eastAsia="Times New Roman" w:hAnsi="Calibri" w:cs="Calibri"/>
                <w:b/>
                <w:bCs/>
                <w:color w:val="000000"/>
              </w:rPr>
            </w:pPr>
            <w:r w:rsidRPr="00C15EF3">
              <w:rPr>
                <w:rFonts w:ascii="Calibri" w:eastAsia="Times New Roman" w:hAnsi="Calibri" w:cs="Calibri"/>
                <w:b/>
                <w:bCs/>
                <w:color w:val="000000"/>
              </w:rPr>
              <w:t>11372944</w:t>
            </w:r>
          </w:p>
        </w:tc>
        <w:tc>
          <w:tcPr>
            <w:tcW w:w="1649" w:type="dxa"/>
            <w:tcBorders>
              <w:top w:val="nil"/>
              <w:left w:val="nil"/>
              <w:bottom w:val="single" w:sz="4" w:space="0" w:color="auto"/>
              <w:right w:val="single" w:sz="4" w:space="0" w:color="auto"/>
            </w:tcBorders>
            <w:shd w:val="clear" w:color="auto" w:fill="auto"/>
            <w:noWrap/>
            <w:vAlign w:val="bottom"/>
            <w:hideMark/>
          </w:tcPr>
          <w:p w14:paraId="7F60E5F7" w14:textId="77777777" w:rsidR="00030089" w:rsidRPr="00C15EF3" w:rsidRDefault="00030089" w:rsidP="008547F7">
            <w:pPr>
              <w:spacing w:after="0" w:line="240" w:lineRule="auto"/>
              <w:jc w:val="right"/>
              <w:rPr>
                <w:rFonts w:ascii="Calibri" w:eastAsia="Times New Roman" w:hAnsi="Calibri" w:cs="Calibri"/>
                <w:b/>
                <w:bCs/>
                <w:color w:val="000000"/>
              </w:rPr>
            </w:pPr>
            <w:r w:rsidRPr="00C15EF3">
              <w:rPr>
                <w:rFonts w:ascii="Calibri" w:eastAsia="Times New Roman" w:hAnsi="Calibri" w:cs="Calibri"/>
                <w:b/>
                <w:bCs/>
                <w:color w:val="000000"/>
              </w:rPr>
              <w:t>100810</w:t>
            </w:r>
          </w:p>
        </w:tc>
        <w:tc>
          <w:tcPr>
            <w:tcW w:w="1444" w:type="dxa"/>
            <w:tcBorders>
              <w:top w:val="nil"/>
              <w:left w:val="nil"/>
              <w:bottom w:val="single" w:sz="4" w:space="0" w:color="auto"/>
              <w:right w:val="single" w:sz="4" w:space="0" w:color="auto"/>
            </w:tcBorders>
            <w:shd w:val="clear" w:color="auto" w:fill="auto"/>
            <w:noWrap/>
            <w:vAlign w:val="bottom"/>
            <w:hideMark/>
          </w:tcPr>
          <w:p w14:paraId="43632BA4" w14:textId="77777777" w:rsidR="00030089" w:rsidRPr="00C15EF3" w:rsidRDefault="00030089" w:rsidP="008547F7">
            <w:pPr>
              <w:spacing w:after="0" w:line="240" w:lineRule="auto"/>
              <w:jc w:val="right"/>
              <w:rPr>
                <w:rFonts w:ascii="Calibri" w:eastAsia="Times New Roman" w:hAnsi="Calibri" w:cs="Calibri"/>
                <w:b/>
                <w:bCs/>
                <w:color w:val="000000"/>
              </w:rPr>
            </w:pPr>
            <w:r w:rsidRPr="00C15EF3">
              <w:rPr>
                <w:rFonts w:ascii="Calibri" w:eastAsia="Times New Roman" w:hAnsi="Calibri" w:cs="Calibri"/>
                <w:b/>
                <w:bCs/>
                <w:color w:val="000000"/>
              </w:rPr>
              <w:t>845</w:t>
            </w:r>
          </w:p>
        </w:tc>
      </w:tr>
    </w:tbl>
    <w:p w14:paraId="3C0624F5" w14:textId="77777777" w:rsidR="00030089" w:rsidRPr="00FE611A" w:rsidRDefault="00030089" w:rsidP="00030089">
      <w:pPr>
        <w:spacing w:line="360" w:lineRule="auto"/>
        <w:jc w:val="both"/>
        <w:rPr>
          <w:rFonts w:ascii="Arial" w:hAnsi="Arial" w:cs="Arial"/>
          <w:b/>
          <w:szCs w:val="28"/>
        </w:rPr>
      </w:pPr>
    </w:p>
    <w:p w14:paraId="52C48D04" w14:textId="77777777" w:rsidR="00030089" w:rsidRPr="00FE611A" w:rsidRDefault="00030089" w:rsidP="00030089">
      <w:pPr>
        <w:spacing w:line="360" w:lineRule="auto"/>
        <w:jc w:val="both"/>
        <w:rPr>
          <w:rFonts w:ascii="Arial" w:hAnsi="Arial" w:cs="Arial"/>
          <w:szCs w:val="28"/>
        </w:rPr>
      </w:pPr>
      <w:r>
        <w:rPr>
          <w:rFonts w:ascii="Arial" w:hAnsi="Arial" w:cs="Arial"/>
          <w:szCs w:val="28"/>
        </w:rPr>
        <w:t>“</w:t>
      </w:r>
      <w:r w:rsidRPr="00FE611A">
        <w:rPr>
          <w:rFonts w:ascii="Arial" w:hAnsi="Arial" w:cs="Arial"/>
          <w:szCs w:val="28"/>
        </w:rPr>
        <w:t>Using this data it is possible to ascertain the overall performance improvement in terms of resource conservation:</w:t>
      </w:r>
    </w:p>
    <w:p w14:paraId="5962AD44" w14:textId="77777777" w:rsidR="00030089" w:rsidRPr="00FE611A" w:rsidRDefault="00030089" w:rsidP="00030089">
      <w:pPr>
        <w:pStyle w:val="ListParagraph"/>
        <w:numPr>
          <w:ilvl w:val="0"/>
          <w:numId w:val="26"/>
        </w:numPr>
        <w:spacing w:after="200" w:line="360" w:lineRule="auto"/>
        <w:jc w:val="both"/>
        <w:rPr>
          <w:rFonts w:ascii="Arial" w:hAnsi="Arial" w:cs="Arial"/>
          <w:szCs w:val="28"/>
        </w:rPr>
      </w:pPr>
      <w:r w:rsidRPr="00FE611A">
        <w:rPr>
          <w:rFonts w:ascii="Arial" w:hAnsi="Arial" w:cs="Arial"/>
          <w:szCs w:val="28"/>
        </w:rPr>
        <w:t>1,438 less tonnes p.a. in reduced waste to landfill</w:t>
      </w:r>
    </w:p>
    <w:p w14:paraId="399DE93D" w14:textId="77777777" w:rsidR="00030089" w:rsidRPr="00FE611A" w:rsidRDefault="00030089" w:rsidP="00030089">
      <w:pPr>
        <w:pStyle w:val="ListParagraph"/>
        <w:numPr>
          <w:ilvl w:val="0"/>
          <w:numId w:val="26"/>
        </w:numPr>
        <w:spacing w:after="200" w:line="360" w:lineRule="auto"/>
        <w:jc w:val="both"/>
        <w:rPr>
          <w:rFonts w:ascii="Arial" w:hAnsi="Arial" w:cs="Arial"/>
          <w:szCs w:val="28"/>
        </w:rPr>
      </w:pPr>
      <w:r w:rsidRPr="00FE611A">
        <w:rPr>
          <w:rFonts w:ascii="Arial" w:hAnsi="Arial" w:cs="Arial"/>
          <w:szCs w:val="28"/>
        </w:rPr>
        <w:t>6,454 tonnes of greenhouse gas abatement (co2</w:t>
      </w:r>
      <w:r w:rsidRPr="00FE611A">
        <w:rPr>
          <w:rFonts w:ascii="Cambria Math" w:hAnsi="Cambria Math" w:cs="Cambria Math"/>
          <w:szCs w:val="28"/>
        </w:rPr>
        <w:t>‐</w:t>
      </w:r>
      <w:r w:rsidRPr="00FE611A">
        <w:rPr>
          <w:rFonts w:ascii="Arial" w:hAnsi="Arial" w:cs="Arial"/>
          <w:szCs w:val="28"/>
        </w:rPr>
        <w:t>e)”</w:t>
      </w:r>
      <w:r>
        <w:rPr>
          <w:rFonts w:ascii="Arial" w:hAnsi="Arial" w:cs="Arial"/>
          <w:szCs w:val="28"/>
        </w:rPr>
        <w:t>.</w:t>
      </w:r>
    </w:p>
    <w:p w14:paraId="7A099356" w14:textId="77777777" w:rsidR="00030089" w:rsidRDefault="00030089" w:rsidP="00030089">
      <w:pPr>
        <w:spacing w:line="360" w:lineRule="auto"/>
        <w:jc w:val="both"/>
        <w:rPr>
          <w:rFonts w:ascii="Arial" w:hAnsi="Arial" w:cs="Arial"/>
          <w:i/>
          <w:szCs w:val="28"/>
        </w:rPr>
      </w:pPr>
      <w:r w:rsidRPr="00FE611A">
        <w:rPr>
          <w:rFonts w:ascii="Arial" w:hAnsi="Arial" w:cs="Arial"/>
          <w:b/>
          <w:i/>
          <w:szCs w:val="28"/>
        </w:rPr>
        <w:t xml:space="preserve">Response </w:t>
      </w:r>
      <w:r w:rsidRPr="00FE611A">
        <w:rPr>
          <w:rFonts w:ascii="Arial" w:hAnsi="Arial" w:cs="Arial"/>
          <w:i/>
          <w:szCs w:val="28"/>
        </w:rPr>
        <w:t xml:space="preserve">The DRIS now contains </w:t>
      </w:r>
      <w:r>
        <w:rPr>
          <w:rFonts w:ascii="Arial" w:hAnsi="Arial" w:cs="Arial"/>
          <w:i/>
          <w:szCs w:val="28"/>
        </w:rPr>
        <w:t xml:space="preserve">a costing of environmental benefits that includes greenhouse gas emissions. </w:t>
      </w:r>
      <w:r w:rsidRPr="00C35CED">
        <w:rPr>
          <w:rFonts w:ascii="Arial" w:hAnsi="Arial" w:cs="Arial"/>
          <w:i/>
          <w:szCs w:val="28"/>
        </w:rPr>
        <w:t>The DRIS also updates landfill savings.</w:t>
      </w:r>
    </w:p>
    <w:p w14:paraId="5C6643B3" w14:textId="77777777" w:rsidR="00030089" w:rsidRPr="00FE611A" w:rsidRDefault="00030089" w:rsidP="00030089">
      <w:pPr>
        <w:spacing w:line="360" w:lineRule="auto"/>
        <w:jc w:val="both"/>
        <w:rPr>
          <w:rFonts w:ascii="Arial" w:hAnsi="Arial" w:cs="Arial"/>
          <w:szCs w:val="28"/>
        </w:rPr>
      </w:pPr>
      <w:r w:rsidRPr="00FE611A">
        <w:rPr>
          <w:rFonts w:ascii="Arial" w:hAnsi="Arial" w:cs="Arial"/>
          <w:b/>
          <w:szCs w:val="28"/>
        </w:rPr>
        <w:t xml:space="preserve">Maturation of the Scheme </w:t>
      </w:r>
      <w:r w:rsidRPr="00FE611A">
        <w:rPr>
          <w:rFonts w:ascii="Arial" w:hAnsi="Arial" w:cs="Arial"/>
          <w:szCs w:val="28"/>
        </w:rPr>
        <w:t>Boomerang Alliance argued that the scheme is progressing well towards medium-term maturity, based on data from CDS in other countries.</w:t>
      </w:r>
    </w:p>
    <w:p w14:paraId="5A4014CD" w14:textId="77777777" w:rsidR="00030089" w:rsidRPr="00FE611A" w:rsidRDefault="00030089" w:rsidP="00030089">
      <w:pPr>
        <w:spacing w:line="360" w:lineRule="auto"/>
        <w:jc w:val="both"/>
        <w:rPr>
          <w:rFonts w:ascii="Arial" w:hAnsi="Arial" w:cs="Arial"/>
          <w:b/>
          <w:i/>
          <w:szCs w:val="28"/>
        </w:rPr>
      </w:pPr>
      <w:r w:rsidRPr="00FE611A">
        <w:rPr>
          <w:rFonts w:ascii="Arial" w:hAnsi="Arial" w:cs="Arial"/>
          <w:b/>
          <w:i/>
          <w:szCs w:val="28"/>
        </w:rPr>
        <w:t xml:space="preserve">Response </w:t>
      </w:r>
      <w:r w:rsidRPr="00FE611A">
        <w:rPr>
          <w:rFonts w:ascii="Arial" w:hAnsi="Arial" w:cs="Arial"/>
          <w:i/>
          <w:szCs w:val="28"/>
        </w:rPr>
        <w:t xml:space="preserve">The </w:t>
      </w:r>
      <w:r w:rsidRPr="00C35CED">
        <w:rPr>
          <w:rFonts w:ascii="Arial" w:hAnsi="Arial" w:cs="Arial"/>
          <w:i/>
          <w:szCs w:val="28"/>
        </w:rPr>
        <w:t>Boomerang Alliance</w:t>
      </w:r>
      <w:r w:rsidRPr="00FE611A">
        <w:rPr>
          <w:rFonts w:ascii="Arial" w:hAnsi="Arial" w:cs="Arial"/>
          <w:szCs w:val="28"/>
        </w:rPr>
        <w:t xml:space="preserve"> </w:t>
      </w:r>
      <w:r w:rsidRPr="00FE611A">
        <w:rPr>
          <w:rFonts w:ascii="Arial" w:hAnsi="Arial" w:cs="Arial"/>
          <w:i/>
          <w:szCs w:val="28"/>
        </w:rPr>
        <w:t xml:space="preserve">analysis </w:t>
      </w:r>
      <w:r>
        <w:rPr>
          <w:rFonts w:ascii="Arial" w:hAnsi="Arial" w:cs="Arial"/>
          <w:i/>
          <w:szCs w:val="28"/>
        </w:rPr>
        <w:t>was noted</w:t>
      </w:r>
      <w:r w:rsidRPr="00FE611A">
        <w:rPr>
          <w:rFonts w:ascii="Arial" w:hAnsi="Arial" w:cs="Arial"/>
          <w:i/>
          <w:szCs w:val="28"/>
        </w:rPr>
        <w:t>.</w:t>
      </w:r>
    </w:p>
    <w:p w14:paraId="676AD017" w14:textId="77777777" w:rsidR="00030089" w:rsidRPr="00FE611A" w:rsidRDefault="00030089" w:rsidP="00030089">
      <w:pPr>
        <w:spacing w:line="360" w:lineRule="auto"/>
        <w:jc w:val="both"/>
        <w:rPr>
          <w:rFonts w:ascii="Arial" w:hAnsi="Arial" w:cs="Arial"/>
          <w:szCs w:val="28"/>
        </w:rPr>
      </w:pPr>
      <w:r w:rsidRPr="00FE611A">
        <w:rPr>
          <w:rFonts w:ascii="Arial" w:hAnsi="Arial" w:cs="Arial"/>
          <w:b/>
          <w:szCs w:val="28"/>
        </w:rPr>
        <w:t xml:space="preserve">Unredeemed Deposits </w:t>
      </w:r>
      <w:r w:rsidRPr="00FE611A">
        <w:rPr>
          <w:rFonts w:ascii="Arial" w:hAnsi="Arial" w:cs="Arial"/>
          <w:szCs w:val="28"/>
        </w:rPr>
        <w:t>Boomerang argues that the cost benefit analysis should include unredeemed deposits. That these could,</w:t>
      </w:r>
      <w:r>
        <w:rPr>
          <w:rFonts w:ascii="Arial" w:hAnsi="Arial" w:cs="Arial"/>
          <w:szCs w:val="28"/>
        </w:rPr>
        <w:t xml:space="preserve"> </w:t>
      </w:r>
      <w:r w:rsidRPr="00FE611A">
        <w:rPr>
          <w:rFonts w:ascii="Arial" w:hAnsi="Arial" w:cs="Arial"/>
          <w:szCs w:val="28"/>
        </w:rPr>
        <w:t>“underpin CD scheme costs and even leave a surplus for other programs to encourage further economic activity”.</w:t>
      </w:r>
    </w:p>
    <w:p w14:paraId="07BDF779" w14:textId="77777777" w:rsidR="00030089" w:rsidRDefault="00030089" w:rsidP="00030089">
      <w:pPr>
        <w:spacing w:line="360" w:lineRule="auto"/>
        <w:jc w:val="both"/>
        <w:rPr>
          <w:rFonts w:ascii="Arial" w:hAnsi="Arial" w:cs="Arial"/>
          <w:i/>
          <w:szCs w:val="28"/>
        </w:rPr>
      </w:pPr>
      <w:r w:rsidRPr="00FE611A">
        <w:rPr>
          <w:rFonts w:ascii="Arial" w:hAnsi="Arial" w:cs="Arial"/>
          <w:b/>
          <w:i/>
          <w:szCs w:val="28"/>
        </w:rPr>
        <w:t xml:space="preserve">Response </w:t>
      </w:r>
      <w:r>
        <w:rPr>
          <w:rFonts w:ascii="Arial" w:hAnsi="Arial" w:cs="Arial"/>
          <w:i/>
          <w:szCs w:val="28"/>
        </w:rPr>
        <w:t>This has been noted.</w:t>
      </w:r>
    </w:p>
    <w:p w14:paraId="3CB906DA" w14:textId="77777777" w:rsidR="00BA5366" w:rsidRDefault="00BA5366">
      <w:pPr>
        <w:rPr>
          <w:rFonts w:ascii="Arial" w:hAnsi="Arial" w:cs="Arial"/>
          <w:b/>
          <w:szCs w:val="28"/>
        </w:rPr>
      </w:pPr>
      <w:r>
        <w:rPr>
          <w:rFonts w:ascii="Arial" w:hAnsi="Arial" w:cs="Arial"/>
          <w:b/>
          <w:szCs w:val="28"/>
        </w:rPr>
        <w:br w:type="page"/>
      </w:r>
    </w:p>
    <w:p w14:paraId="1DCB8CC4" w14:textId="085840C2" w:rsidR="00030089" w:rsidRPr="00FE611A" w:rsidRDefault="00030089" w:rsidP="00030089">
      <w:pPr>
        <w:spacing w:line="360" w:lineRule="auto"/>
        <w:jc w:val="both"/>
        <w:rPr>
          <w:rFonts w:ascii="Arial" w:hAnsi="Arial" w:cs="Arial"/>
          <w:szCs w:val="28"/>
        </w:rPr>
      </w:pPr>
      <w:r w:rsidRPr="00FE611A">
        <w:rPr>
          <w:rFonts w:ascii="Arial" w:hAnsi="Arial" w:cs="Arial"/>
          <w:b/>
          <w:szCs w:val="28"/>
        </w:rPr>
        <w:lastRenderedPageBreak/>
        <w:t xml:space="preserve">Kerbside Issues </w:t>
      </w:r>
      <w:r w:rsidRPr="00FE611A">
        <w:rPr>
          <w:rFonts w:ascii="Arial" w:hAnsi="Arial" w:cs="Arial"/>
          <w:szCs w:val="28"/>
        </w:rPr>
        <w:t xml:space="preserve">Boomerang notes that the NT CDS has produced a clean stream of valued recyclate. </w:t>
      </w:r>
      <w:r>
        <w:rPr>
          <w:rFonts w:ascii="Arial" w:hAnsi="Arial" w:cs="Arial"/>
          <w:szCs w:val="28"/>
        </w:rPr>
        <w:t>A</w:t>
      </w:r>
      <w:r w:rsidRPr="00FE611A">
        <w:rPr>
          <w:rFonts w:ascii="Arial" w:hAnsi="Arial" w:cs="Arial"/>
          <w:szCs w:val="28"/>
        </w:rPr>
        <w:t xml:space="preserve"> clean stream of valued recyclate </w:t>
      </w:r>
      <w:r>
        <w:rPr>
          <w:rFonts w:ascii="Arial" w:hAnsi="Arial" w:cs="Arial"/>
          <w:szCs w:val="28"/>
        </w:rPr>
        <w:t xml:space="preserve">is </w:t>
      </w:r>
      <w:r w:rsidRPr="00FE611A">
        <w:rPr>
          <w:rFonts w:ascii="Arial" w:hAnsi="Arial" w:cs="Arial"/>
          <w:szCs w:val="28"/>
        </w:rPr>
        <w:t xml:space="preserve">not generally obtained from kerbside and certainly not from public space facilities – as they </w:t>
      </w:r>
      <w:r>
        <w:rPr>
          <w:rFonts w:ascii="Arial" w:hAnsi="Arial" w:cs="Arial"/>
          <w:szCs w:val="28"/>
        </w:rPr>
        <w:t>are</w:t>
      </w:r>
      <w:r w:rsidRPr="00FE611A">
        <w:rPr>
          <w:rFonts w:ascii="Arial" w:hAnsi="Arial" w:cs="Arial"/>
          <w:szCs w:val="28"/>
        </w:rPr>
        <w:t xml:space="preserve"> either non-existent or inevitably contamination, which reduces sales and reprocessing value (or more usually are landfilled). </w:t>
      </w:r>
    </w:p>
    <w:p w14:paraId="24E3EA56" w14:textId="77777777" w:rsidR="00030089" w:rsidRPr="00FE611A" w:rsidRDefault="00030089" w:rsidP="00030089">
      <w:pPr>
        <w:spacing w:line="360" w:lineRule="auto"/>
        <w:jc w:val="both"/>
        <w:rPr>
          <w:rFonts w:ascii="Arial" w:hAnsi="Arial" w:cs="Arial"/>
          <w:i/>
          <w:szCs w:val="28"/>
        </w:rPr>
      </w:pPr>
      <w:r w:rsidRPr="00FE611A">
        <w:rPr>
          <w:rFonts w:ascii="Arial" w:hAnsi="Arial" w:cs="Arial"/>
          <w:b/>
          <w:i/>
          <w:szCs w:val="28"/>
        </w:rPr>
        <w:t>Response</w:t>
      </w:r>
      <w:r w:rsidRPr="00FE611A">
        <w:rPr>
          <w:rFonts w:ascii="Arial" w:hAnsi="Arial" w:cs="Arial"/>
          <w:i/>
          <w:szCs w:val="28"/>
        </w:rPr>
        <w:t xml:space="preserve"> The </w:t>
      </w:r>
      <w:r>
        <w:rPr>
          <w:rFonts w:ascii="Arial" w:hAnsi="Arial" w:cs="Arial"/>
          <w:i/>
          <w:szCs w:val="28"/>
        </w:rPr>
        <w:t>point is noted.</w:t>
      </w:r>
    </w:p>
    <w:p w14:paraId="56A1A262" w14:textId="77777777" w:rsidR="00030089" w:rsidRPr="00FE611A" w:rsidRDefault="00030089" w:rsidP="00030089">
      <w:pPr>
        <w:spacing w:line="360" w:lineRule="auto"/>
        <w:jc w:val="both"/>
        <w:rPr>
          <w:rFonts w:ascii="Arial" w:hAnsi="Arial" w:cs="Arial"/>
          <w:szCs w:val="28"/>
        </w:rPr>
      </w:pPr>
      <w:r w:rsidRPr="00FE611A">
        <w:rPr>
          <w:rFonts w:ascii="Arial" w:hAnsi="Arial" w:cs="Arial"/>
          <w:b/>
          <w:szCs w:val="28"/>
        </w:rPr>
        <w:t>Scheme Inefficiencies and Cost</w:t>
      </w:r>
      <w:r w:rsidRPr="00FE611A">
        <w:rPr>
          <w:rFonts w:ascii="Arial" w:hAnsi="Arial" w:cs="Arial"/>
          <w:szCs w:val="28"/>
        </w:rPr>
        <w:t xml:space="preserve"> Boomerang Alliance indicates the need for a number of legislative reforms that will reduce current NT CDS costs.</w:t>
      </w:r>
    </w:p>
    <w:p w14:paraId="11DF6BD6" w14:textId="77777777" w:rsidR="00030089" w:rsidRPr="00FE611A" w:rsidRDefault="00030089" w:rsidP="00030089">
      <w:pPr>
        <w:spacing w:line="360" w:lineRule="auto"/>
        <w:jc w:val="both"/>
        <w:rPr>
          <w:rFonts w:ascii="Arial" w:hAnsi="Arial" w:cs="Arial"/>
          <w:i/>
          <w:szCs w:val="28"/>
        </w:rPr>
      </w:pPr>
      <w:r w:rsidRPr="00FE611A">
        <w:rPr>
          <w:rFonts w:ascii="Arial" w:hAnsi="Arial" w:cs="Arial"/>
          <w:b/>
          <w:i/>
          <w:szCs w:val="28"/>
        </w:rPr>
        <w:t>Response</w:t>
      </w:r>
      <w:r w:rsidRPr="00FE611A">
        <w:rPr>
          <w:rFonts w:ascii="Arial" w:hAnsi="Arial" w:cs="Arial"/>
          <w:i/>
          <w:szCs w:val="28"/>
        </w:rPr>
        <w:t xml:space="preserve"> The NT Government is currently </w:t>
      </w:r>
      <w:r>
        <w:rPr>
          <w:rFonts w:ascii="Arial" w:hAnsi="Arial" w:cs="Arial"/>
          <w:i/>
          <w:szCs w:val="28"/>
        </w:rPr>
        <w:t>considering</w:t>
      </w:r>
      <w:r w:rsidRPr="00FE611A">
        <w:rPr>
          <w:rFonts w:ascii="Arial" w:hAnsi="Arial" w:cs="Arial"/>
          <w:i/>
          <w:szCs w:val="28"/>
        </w:rPr>
        <w:t xml:space="preserve"> a range of reforms that aim to </w:t>
      </w:r>
      <w:r>
        <w:rPr>
          <w:rFonts w:ascii="Arial" w:hAnsi="Arial" w:cs="Arial"/>
          <w:i/>
          <w:szCs w:val="28"/>
        </w:rPr>
        <w:t>increase the efficiencies of the scheme</w:t>
      </w:r>
      <w:r w:rsidRPr="00FE611A">
        <w:rPr>
          <w:rFonts w:ascii="Arial" w:hAnsi="Arial" w:cs="Arial"/>
          <w:i/>
          <w:szCs w:val="28"/>
        </w:rPr>
        <w:t>.</w:t>
      </w:r>
    </w:p>
    <w:p w14:paraId="4338A93D" w14:textId="77777777" w:rsidR="00030089" w:rsidRDefault="00030089" w:rsidP="00030089">
      <w:pPr>
        <w:pStyle w:val="ListParagraph"/>
        <w:numPr>
          <w:ilvl w:val="2"/>
          <w:numId w:val="3"/>
        </w:numPr>
        <w:spacing w:after="200" w:line="360" w:lineRule="auto"/>
        <w:ind w:left="709" w:hanging="851"/>
        <w:jc w:val="both"/>
        <w:outlineLvl w:val="2"/>
        <w:rPr>
          <w:rFonts w:ascii="Arial" w:hAnsi="Arial" w:cs="Arial"/>
          <w:b/>
          <w:szCs w:val="28"/>
        </w:rPr>
      </w:pPr>
      <w:bookmarkStart w:id="795" w:name="_Toc346008405"/>
      <w:bookmarkStart w:id="796" w:name="_Toc353562570"/>
      <w:r w:rsidRPr="00FE611A">
        <w:rPr>
          <w:rFonts w:ascii="Arial" w:hAnsi="Arial" w:cs="Arial"/>
          <w:b/>
          <w:szCs w:val="28"/>
        </w:rPr>
        <w:t>Private Party Submissions</w:t>
      </w:r>
      <w:bookmarkEnd w:id="795"/>
      <w:bookmarkEnd w:id="796"/>
    </w:p>
    <w:p w14:paraId="6FC16159" w14:textId="77777777" w:rsidR="00030089" w:rsidRPr="00FE611A" w:rsidRDefault="00030089" w:rsidP="00030089">
      <w:pPr>
        <w:spacing w:line="360" w:lineRule="auto"/>
        <w:ind w:left="720"/>
        <w:jc w:val="both"/>
        <w:rPr>
          <w:rFonts w:ascii="Arial" w:hAnsi="Arial" w:cs="Arial"/>
          <w:szCs w:val="28"/>
        </w:rPr>
      </w:pPr>
      <w:r w:rsidRPr="00FE611A">
        <w:rPr>
          <w:rFonts w:ascii="Arial" w:hAnsi="Arial" w:cs="Arial"/>
          <w:szCs w:val="28"/>
        </w:rPr>
        <w:t>Two submissions represented the views of private entities. These were from:</w:t>
      </w:r>
    </w:p>
    <w:p w14:paraId="68C08B84" w14:textId="77777777" w:rsidR="00030089" w:rsidRPr="00FE611A" w:rsidRDefault="00030089" w:rsidP="00030089">
      <w:pPr>
        <w:pStyle w:val="ListParagraph"/>
        <w:numPr>
          <w:ilvl w:val="0"/>
          <w:numId w:val="25"/>
        </w:numPr>
        <w:spacing w:after="200" w:line="360" w:lineRule="auto"/>
        <w:jc w:val="both"/>
        <w:rPr>
          <w:rFonts w:ascii="Arial" w:hAnsi="Arial" w:cs="Arial"/>
          <w:szCs w:val="28"/>
        </w:rPr>
      </w:pPr>
      <w:r w:rsidRPr="00FE611A">
        <w:rPr>
          <w:rFonts w:ascii="Arial" w:hAnsi="Arial" w:cs="Arial"/>
          <w:szCs w:val="28"/>
        </w:rPr>
        <w:t>Gerry Woods MLA</w:t>
      </w:r>
      <w:r>
        <w:rPr>
          <w:rFonts w:ascii="Arial" w:hAnsi="Arial" w:cs="Arial"/>
          <w:szCs w:val="28"/>
        </w:rPr>
        <w:t>; and</w:t>
      </w:r>
    </w:p>
    <w:p w14:paraId="3DB52E48" w14:textId="77777777" w:rsidR="00030089" w:rsidRPr="00FE611A" w:rsidRDefault="00030089" w:rsidP="00030089">
      <w:pPr>
        <w:pStyle w:val="ListParagraph"/>
        <w:numPr>
          <w:ilvl w:val="0"/>
          <w:numId w:val="25"/>
        </w:numPr>
        <w:spacing w:after="200" w:line="360" w:lineRule="auto"/>
        <w:jc w:val="both"/>
        <w:rPr>
          <w:rFonts w:ascii="Arial" w:hAnsi="Arial" w:cs="Arial"/>
          <w:szCs w:val="28"/>
        </w:rPr>
      </w:pPr>
      <w:r w:rsidRPr="00FE611A">
        <w:rPr>
          <w:rFonts w:ascii="Arial" w:hAnsi="Arial" w:cs="Arial"/>
          <w:szCs w:val="28"/>
        </w:rPr>
        <w:t>Cohalan Enterprises</w:t>
      </w:r>
      <w:r>
        <w:rPr>
          <w:rFonts w:ascii="Arial" w:hAnsi="Arial" w:cs="Arial"/>
          <w:szCs w:val="28"/>
        </w:rPr>
        <w:t>.</w:t>
      </w:r>
    </w:p>
    <w:p w14:paraId="6ABD4623" w14:textId="77777777" w:rsidR="00030089" w:rsidRDefault="00030089" w:rsidP="00030089">
      <w:pPr>
        <w:jc w:val="both"/>
        <w:rPr>
          <w:rFonts w:ascii="Arial" w:hAnsi="Arial" w:cs="Arial"/>
          <w:szCs w:val="28"/>
        </w:rPr>
      </w:pPr>
      <w:r w:rsidRPr="00FE611A">
        <w:rPr>
          <w:rFonts w:ascii="Arial" w:hAnsi="Arial" w:cs="Arial"/>
          <w:szCs w:val="28"/>
        </w:rPr>
        <w:t xml:space="preserve">Both expressed opinions, one favouring the scheme, the other opposing it. The Submission by Cohalan Enterprises was primarily concerned with the assertion that the NT CDS had resulted </w:t>
      </w:r>
      <w:r>
        <w:rPr>
          <w:rFonts w:ascii="Arial" w:hAnsi="Arial" w:cs="Arial"/>
          <w:szCs w:val="28"/>
        </w:rPr>
        <w:t>in the closure of a water bottling plant. However, the</w:t>
      </w:r>
      <w:r w:rsidRPr="00FE611A">
        <w:rPr>
          <w:rFonts w:ascii="Arial" w:hAnsi="Arial" w:cs="Arial"/>
          <w:szCs w:val="28"/>
        </w:rPr>
        <w:t xml:space="preserve"> plant closed before the advent of the NT CDS.</w:t>
      </w:r>
    </w:p>
    <w:p w14:paraId="7A389F94" w14:textId="77777777" w:rsidR="00030089" w:rsidRDefault="00030089" w:rsidP="00030089">
      <w:pPr>
        <w:rPr>
          <w:rFonts w:ascii="Arial" w:hAnsi="Arial" w:cs="Arial"/>
          <w:b/>
          <w:szCs w:val="28"/>
        </w:rPr>
      </w:pPr>
      <w:bookmarkStart w:id="797" w:name="_Toc345576394"/>
      <w:bookmarkStart w:id="798" w:name="_Toc345576574"/>
      <w:bookmarkStart w:id="799" w:name="_Toc345576639"/>
      <w:bookmarkStart w:id="800" w:name="_Toc345926528"/>
      <w:bookmarkStart w:id="801" w:name="_Toc345926727"/>
      <w:bookmarkStart w:id="802" w:name="_Toc345936773"/>
      <w:bookmarkStart w:id="803" w:name="_Toc345941052"/>
      <w:bookmarkStart w:id="804" w:name="_Toc345941176"/>
      <w:bookmarkStart w:id="805" w:name="_Toc345941247"/>
      <w:bookmarkStart w:id="806" w:name="_Toc345941312"/>
      <w:bookmarkStart w:id="807" w:name="_Toc345941377"/>
      <w:bookmarkStart w:id="808" w:name="_Toc345941442"/>
      <w:bookmarkStart w:id="809" w:name="_Toc345941506"/>
      <w:bookmarkStart w:id="810" w:name="_Toc345941571"/>
      <w:bookmarkStart w:id="811" w:name="_Toc345941635"/>
      <w:bookmarkStart w:id="812" w:name="_Toc345941697"/>
      <w:bookmarkStart w:id="813" w:name="_Toc345941759"/>
      <w:bookmarkStart w:id="814" w:name="_Toc345942768"/>
      <w:bookmarkStart w:id="815" w:name="_Toc345944382"/>
      <w:bookmarkStart w:id="816" w:name="_Toc346006115"/>
      <w:bookmarkStart w:id="817" w:name="_Toc346008406"/>
      <w:bookmarkStart w:id="818" w:name="_Toc346195777"/>
      <w:bookmarkStart w:id="819" w:name="_Toc346282840"/>
      <w:bookmarkStart w:id="820" w:name="_Toc346288476"/>
      <w:bookmarkStart w:id="821" w:name="_Toc346288863"/>
      <w:bookmarkStart w:id="822" w:name="_Toc346522560"/>
      <w:bookmarkStart w:id="823" w:name="_Toc346524986"/>
      <w:bookmarkStart w:id="824" w:name="_Toc346525380"/>
      <w:bookmarkStart w:id="825" w:name="_Toc346525775"/>
      <w:bookmarkStart w:id="826" w:name="_Toc346527679"/>
      <w:bookmarkStart w:id="827" w:name="_Toc346528592"/>
      <w:bookmarkStart w:id="828" w:name="_Toc346528986"/>
      <w:bookmarkStart w:id="829" w:name="_Toc346549279"/>
      <w:bookmarkStart w:id="830" w:name="_Toc346549678"/>
      <w:bookmarkStart w:id="831" w:name="_Toc346550073"/>
      <w:bookmarkStart w:id="832" w:name="_Toc346713832"/>
      <w:bookmarkStart w:id="833" w:name="_Toc346714234"/>
      <w:bookmarkStart w:id="834" w:name="_Toc346714634"/>
      <w:bookmarkStart w:id="835" w:name="_Toc346715032"/>
      <w:bookmarkStart w:id="836" w:name="_Toc346715429"/>
      <w:bookmarkStart w:id="837" w:name="_Toc346715825"/>
      <w:bookmarkStart w:id="838" w:name="_Toc346797580"/>
      <w:bookmarkStart w:id="839" w:name="_Toc346798058"/>
      <w:bookmarkStart w:id="840" w:name="_Toc346798485"/>
      <w:bookmarkStart w:id="841" w:name="_Toc346801348"/>
      <w:bookmarkStart w:id="842" w:name="_Toc347752784"/>
      <w:bookmarkStart w:id="843" w:name="_Toc347929401"/>
      <w:bookmarkStart w:id="844" w:name="_Toc346008407"/>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r>
        <w:rPr>
          <w:rFonts w:ascii="Arial" w:hAnsi="Arial" w:cs="Arial"/>
          <w:b/>
          <w:szCs w:val="28"/>
        </w:rPr>
        <w:br w:type="page"/>
      </w:r>
    </w:p>
    <w:p w14:paraId="694EDC10" w14:textId="77777777" w:rsidR="00030089" w:rsidRPr="002350F1" w:rsidRDefault="00030089" w:rsidP="00030089">
      <w:pPr>
        <w:numPr>
          <w:ilvl w:val="0"/>
          <w:numId w:val="3"/>
        </w:numPr>
        <w:spacing w:after="200" w:line="360" w:lineRule="auto"/>
        <w:contextualSpacing/>
        <w:outlineLvl w:val="0"/>
        <w:rPr>
          <w:rFonts w:ascii="Arial" w:hAnsi="Arial" w:cs="Arial"/>
          <w:b/>
          <w:szCs w:val="28"/>
        </w:rPr>
      </w:pPr>
      <w:bookmarkStart w:id="845" w:name="_Toc353562571"/>
      <w:bookmarkEnd w:id="844"/>
      <w:r w:rsidRPr="002350F1">
        <w:rPr>
          <w:rFonts w:ascii="Arial" w:hAnsi="Arial" w:cs="Arial"/>
          <w:b/>
          <w:szCs w:val="28"/>
        </w:rPr>
        <w:lastRenderedPageBreak/>
        <w:t>EVALUATION AND CONCLUSION</w:t>
      </w:r>
      <w:bookmarkEnd w:id="845"/>
    </w:p>
    <w:p w14:paraId="115D2FDA" w14:textId="77777777" w:rsidR="00030089" w:rsidRDefault="00030089" w:rsidP="00030089">
      <w:pPr>
        <w:spacing w:line="360" w:lineRule="auto"/>
        <w:jc w:val="both"/>
        <w:rPr>
          <w:rFonts w:ascii="Arial" w:hAnsi="Arial" w:cs="Arial"/>
        </w:rPr>
      </w:pPr>
      <w:r w:rsidRPr="00937C26">
        <w:rPr>
          <w:rFonts w:ascii="Arial" w:hAnsi="Arial" w:cs="Arial"/>
          <w:szCs w:val="28"/>
        </w:rPr>
        <w:t xml:space="preserve">Based upon Net Present Value (NPV) this Decision Regulation Impact Statement (DRIS) recommends Option Four.  </w:t>
      </w:r>
      <w:r w:rsidRPr="00937C26">
        <w:rPr>
          <w:rFonts w:ascii="Arial" w:hAnsi="Arial" w:cs="Arial"/>
        </w:rPr>
        <w:t xml:space="preserve">This option represented one of </w:t>
      </w:r>
      <w:r>
        <w:rPr>
          <w:rFonts w:ascii="Arial" w:hAnsi="Arial" w:cs="Arial"/>
        </w:rPr>
        <w:t>two</w:t>
      </w:r>
      <w:r w:rsidRPr="00937C26">
        <w:rPr>
          <w:rFonts w:ascii="Arial" w:hAnsi="Arial" w:cs="Arial"/>
        </w:rPr>
        <w:t xml:space="preserve"> options that were considered at a national level.. In 2013 a Packaging Impacts Decision RIS will be released which will take into account the model in </w:t>
      </w:r>
      <w:r>
        <w:rPr>
          <w:rFonts w:ascii="Arial" w:hAnsi="Arial" w:cs="Arial"/>
        </w:rPr>
        <w:t>O</w:t>
      </w:r>
      <w:r w:rsidRPr="00937C26">
        <w:rPr>
          <w:rFonts w:ascii="Arial" w:hAnsi="Arial" w:cs="Arial"/>
        </w:rPr>
        <w:t>ption</w:t>
      </w:r>
      <w:r>
        <w:rPr>
          <w:rFonts w:ascii="Arial" w:hAnsi="Arial" w:cs="Arial"/>
        </w:rPr>
        <w:t xml:space="preserve"> Four</w:t>
      </w:r>
      <w:r w:rsidRPr="00937C26">
        <w:rPr>
          <w:rFonts w:ascii="Arial" w:hAnsi="Arial" w:cs="Arial"/>
        </w:rPr>
        <w:t>. A decision regarding the Packaging Impacts Decision RIS will be made and this may be the appropriate time to consider Option Four as an effective option. It is noted, however, that an alternative option to th</w:t>
      </w:r>
      <w:r>
        <w:rPr>
          <w:rFonts w:ascii="Arial" w:hAnsi="Arial" w:cs="Arial"/>
        </w:rPr>
        <w:t>is</w:t>
      </w:r>
      <w:r w:rsidRPr="00937C26">
        <w:rPr>
          <w:rFonts w:ascii="Arial" w:hAnsi="Arial" w:cs="Arial"/>
        </w:rPr>
        <w:t xml:space="preserve"> recommendation may be appropriate</w:t>
      </w:r>
      <w:r>
        <w:rPr>
          <w:rFonts w:ascii="Arial" w:hAnsi="Arial" w:cs="Arial"/>
        </w:rPr>
        <w:t>.</w:t>
      </w:r>
    </w:p>
    <w:p w14:paraId="3F017019" w14:textId="77777777" w:rsidR="00030089" w:rsidRDefault="00030089" w:rsidP="00030089">
      <w:pPr>
        <w:spacing w:line="360" w:lineRule="auto"/>
        <w:jc w:val="both"/>
        <w:rPr>
          <w:rFonts w:ascii="Arial" w:hAnsi="Arial" w:cs="Arial"/>
        </w:rPr>
      </w:pPr>
      <w:r>
        <w:rPr>
          <w:rFonts w:ascii="Arial" w:hAnsi="Arial" w:cs="Arial"/>
        </w:rPr>
        <w:t>The alternative approach highlights that Option Three may be the most viable option as it represents a continuation of the NT CDS in its current form with a permanent exemption from the MRA. As it currently stands the NT Government has received letters of in principle support for the granting of a permanent exemption from the MRA from all States and the Australian Capital Territory. The continued implementation of the CDS as described under Option Three would support the views currently held by key stakeholders to this process.</w:t>
      </w:r>
    </w:p>
    <w:p w14:paraId="353647DF" w14:textId="77777777" w:rsidR="00030089" w:rsidRPr="002350F1" w:rsidRDefault="00030089" w:rsidP="00030089">
      <w:pPr>
        <w:spacing w:line="360" w:lineRule="auto"/>
        <w:jc w:val="both"/>
        <w:rPr>
          <w:rFonts w:ascii="Arial" w:hAnsi="Arial" w:cs="Arial"/>
          <w:szCs w:val="28"/>
        </w:rPr>
      </w:pPr>
      <w:r w:rsidRPr="00BD74B4">
        <w:rPr>
          <w:rFonts w:ascii="Arial" w:hAnsi="Arial" w:cs="Arial"/>
          <w:szCs w:val="28"/>
        </w:rPr>
        <w:t xml:space="preserve">Table 6.1 summarises the key findings of this document’s cost benefit analysis.  </w:t>
      </w:r>
    </w:p>
    <w:p w14:paraId="7E701937" w14:textId="77777777" w:rsidR="00030089" w:rsidRPr="00BA5366" w:rsidRDefault="00030089" w:rsidP="00BA5366">
      <w:pPr>
        <w:pStyle w:val="Caption"/>
        <w:keepNext/>
        <w:rPr>
          <w:noProof/>
          <w:color w:val="auto"/>
        </w:rPr>
      </w:pPr>
      <w:r w:rsidRPr="00BA5366">
        <w:rPr>
          <w:noProof/>
          <w:color w:val="auto"/>
        </w:rPr>
        <w:fldChar w:fldCharType="begin"/>
      </w:r>
      <w:r w:rsidRPr="00BA5366">
        <w:rPr>
          <w:noProof/>
          <w:color w:val="auto"/>
        </w:rPr>
        <w:instrText xml:space="preserve"> SEQ Figure \* ARABIC </w:instrText>
      </w:r>
      <w:r w:rsidRPr="00BA5366">
        <w:rPr>
          <w:noProof/>
          <w:color w:val="auto"/>
        </w:rPr>
        <w:fldChar w:fldCharType="separate"/>
      </w:r>
      <w:bookmarkStart w:id="846" w:name="_Toc352251988"/>
      <w:bookmarkStart w:id="847" w:name="_Toc353562533"/>
      <w:r w:rsidR="00740026">
        <w:rPr>
          <w:noProof/>
          <w:color w:val="auto"/>
        </w:rPr>
        <w:t>52</w:t>
      </w:r>
      <w:r w:rsidRPr="00BA5366">
        <w:rPr>
          <w:noProof/>
          <w:color w:val="auto"/>
        </w:rPr>
        <w:fldChar w:fldCharType="end"/>
      </w:r>
      <w:r w:rsidRPr="00BA5366">
        <w:rPr>
          <w:noProof/>
          <w:color w:val="auto"/>
        </w:rPr>
        <w:t xml:space="preserve"> Table 6.1: Key market costs and benefits</w:t>
      </w:r>
      <w:bookmarkEnd w:id="846"/>
      <w:bookmarkEnd w:id="847"/>
      <w:r w:rsidRPr="00BA5366">
        <w:rPr>
          <w:noProof/>
          <w:color w:val="aut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7"/>
        <w:gridCol w:w="1836"/>
        <w:gridCol w:w="1836"/>
        <w:gridCol w:w="1836"/>
        <w:gridCol w:w="1836"/>
      </w:tblGrid>
      <w:tr w:rsidR="00030089" w:rsidRPr="006C7FB7" w14:paraId="737C6CFD" w14:textId="77777777" w:rsidTr="008547F7">
        <w:tc>
          <w:tcPr>
            <w:tcW w:w="1587" w:type="dxa"/>
            <w:shd w:val="pct10" w:color="auto" w:fill="auto"/>
            <w:tcMar>
              <w:top w:w="0" w:type="dxa"/>
              <w:left w:w="108" w:type="dxa"/>
              <w:bottom w:w="0" w:type="dxa"/>
              <w:right w:w="108" w:type="dxa"/>
            </w:tcMar>
          </w:tcPr>
          <w:p w14:paraId="2D843FB4" w14:textId="77777777" w:rsidR="00030089" w:rsidRPr="00071702" w:rsidRDefault="00030089" w:rsidP="008547F7">
            <w:pPr>
              <w:pStyle w:val="NoSpacing"/>
              <w:spacing w:before="60" w:line="360" w:lineRule="auto"/>
              <w:rPr>
                <w:rFonts w:ascii="Arial" w:hAnsi="Arial" w:cs="Arial"/>
                <w:b/>
                <w:sz w:val="16"/>
                <w:szCs w:val="16"/>
              </w:rPr>
            </w:pPr>
            <w:r w:rsidRPr="00071702">
              <w:rPr>
                <w:rFonts w:ascii="Arial" w:hAnsi="Arial" w:cs="Arial"/>
                <w:b/>
                <w:sz w:val="16"/>
                <w:szCs w:val="16"/>
              </w:rPr>
              <w:t>Options</w:t>
            </w:r>
          </w:p>
          <w:p w14:paraId="458CA572" w14:textId="77777777" w:rsidR="00030089" w:rsidRPr="00071702" w:rsidRDefault="00030089" w:rsidP="008547F7">
            <w:pPr>
              <w:pStyle w:val="NoSpacing"/>
              <w:spacing w:before="60" w:line="360" w:lineRule="auto"/>
              <w:rPr>
                <w:rFonts w:ascii="Arial" w:hAnsi="Arial" w:cs="Arial"/>
                <w:b/>
                <w:sz w:val="16"/>
                <w:szCs w:val="16"/>
              </w:rPr>
            </w:pPr>
          </w:p>
        </w:tc>
        <w:tc>
          <w:tcPr>
            <w:tcW w:w="1836" w:type="dxa"/>
            <w:shd w:val="pct10" w:color="auto" w:fill="auto"/>
          </w:tcPr>
          <w:p w14:paraId="3FB3E413" w14:textId="77777777" w:rsidR="00030089" w:rsidRPr="00071702" w:rsidRDefault="00030089" w:rsidP="008547F7">
            <w:pPr>
              <w:pStyle w:val="NoSpacing"/>
              <w:spacing w:before="60" w:line="360" w:lineRule="auto"/>
              <w:jc w:val="right"/>
              <w:rPr>
                <w:rFonts w:ascii="Arial" w:hAnsi="Arial" w:cs="Arial"/>
                <w:b/>
                <w:sz w:val="16"/>
                <w:szCs w:val="16"/>
              </w:rPr>
            </w:pPr>
            <w:r w:rsidRPr="00071702">
              <w:rPr>
                <w:rFonts w:ascii="Arial" w:hAnsi="Arial" w:cs="Arial"/>
                <w:b/>
                <w:sz w:val="16"/>
                <w:szCs w:val="16"/>
              </w:rPr>
              <w:t>Option 1</w:t>
            </w:r>
          </w:p>
          <w:p w14:paraId="734188B0" w14:textId="77777777" w:rsidR="00030089" w:rsidRPr="00071702" w:rsidRDefault="00030089" w:rsidP="008547F7">
            <w:pPr>
              <w:pStyle w:val="NoSpacing"/>
              <w:spacing w:before="60" w:line="360" w:lineRule="auto"/>
              <w:jc w:val="right"/>
              <w:rPr>
                <w:rFonts w:ascii="Arial" w:hAnsi="Arial" w:cs="Arial"/>
                <w:sz w:val="16"/>
                <w:szCs w:val="16"/>
              </w:rPr>
            </w:pPr>
          </w:p>
        </w:tc>
        <w:tc>
          <w:tcPr>
            <w:tcW w:w="1836" w:type="dxa"/>
            <w:shd w:val="pct10" w:color="auto" w:fill="auto"/>
            <w:tcMar>
              <w:top w:w="0" w:type="dxa"/>
              <w:left w:w="108" w:type="dxa"/>
              <w:bottom w:w="0" w:type="dxa"/>
              <w:right w:w="108" w:type="dxa"/>
            </w:tcMar>
            <w:hideMark/>
          </w:tcPr>
          <w:p w14:paraId="3425B555" w14:textId="77777777" w:rsidR="00030089" w:rsidRPr="00071702" w:rsidRDefault="00030089" w:rsidP="008547F7">
            <w:pPr>
              <w:pStyle w:val="NoSpacing"/>
              <w:spacing w:before="60" w:line="360" w:lineRule="auto"/>
              <w:jc w:val="right"/>
              <w:rPr>
                <w:rFonts w:ascii="Arial" w:hAnsi="Arial" w:cs="Arial"/>
                <w:b/>
                <w:sz w:val="16"/>
                <w:szCs w:val="16"/>
              </w:rPr>
            </w:pPr>
            <w:r w:rsidRPr="00071702">
              <w:rPr>
                <w:rFonts w:ascii="Arial" w:hAnsi="Arial" w:cs="Arial"/>
                <w:b/>
                <w:sz w:val="16"/>
                <w:szCs w:val="16"/>
              </w:rPr>
              <w:t>Option 2</w:t>
            </w:r>
          </w:p>
          <w:p w14:paraId="25AA5F36" w14:textId="77777777" w:rsidR="00030089" w:rsidRPr="00071702" w:rsidRDefault="00030089" w:rsidP="008547F7">
            <w:pPr>
              <w:pStyle w:val="NoSpacing"/>
              <w:spacing w:before="60" w:line="360" w:lineRule="auto"/>
              <w:jc w:val="right"/>
              <w:rPr>
                <w:rFonts w:ascii="Arial" w:hAnsi="Arial" w:cs="Arial"/>
                <w:b/>
                <w:color w:val="0070C0"/>
                <w:sz w:val="16"/>
                <w:szCs w:val="16"/>
              </w:rPr>
            </w:pPr>
          </w:p>
        </w:tc>
        <w:tc>
          <w:tcPr>
            <w:tcW w:w="1836" w:type="dxa"/>
            <w:shd w:val="pct10" w:color="auto" w:fill="auto"/>
            <w:tcMar>
              <w:top w:w="0" w:type="dxa"/>
              <w:left w:w="108" w:type="dxa"/>
              <w:bottom w:w="0" w:type="dxa"/>
              <w:right w:w="108" w:type="dxa"/>
            </w:tcMar>
            <w:hideMark/>
          </w:tcPr>
          <w:p w14:paraId="14137296" w14:textId="77777777" w:rsidR="00030089" w:rsidRPr="00732FFB" w:rsidRDefault="00030089" w:rsidP="008547F7">
            <w:pPr>
              <w:pStyle w:val="NoSpacing"/>
              <w:spacing w:before="60" w:line="360" w:lineRule="auto"/>
              <w:jc w:val="right"/>
              <w:rPr>
                <w:rFonts w:ascii="Arial" w:hAnsi="Arial" w:cs="Arial"/>
                <w:b/>
                <w:sz w:val="16"/>
                <w:szCs w:val="16"/>
              </w:rPr>
            </w:pPr>
            <w:r w:rsidRPr="00732FFB">
              <w:rPr>
                <w:rFonts w:ascii="Arial" w:hAnsi="Arial" w:cs="Arial"/>
                <w:b/>
                <w:sz w:val="16"/>
                <w:szCs w:val="16"/>
              </w:rPr>
              <w:t>Option 3</w:t>
            </w:r>
          </w:p>
          <w:p w14:paraId="491FA169" w14:textId="77777777" w:rsidR="00030089" w:rsidRPr="00732FFB" w:rsidRDefault="00030089" w:rsidP="008547F7">
            <w:pPr>
              <w:pStyle w:val="NoSpacing"/>
              <w:spacing w:before="60" w:line="360" w:lineRule="auto"/>
              <w:jc w:val="right"/>
              <w:rPr>
                <w:rFonts w:ascii="Arial" w:hAnsi="Arial" w:cs="Arial"/>
                <w:sz w:val="16"/>
                <w:szCs w:val="16"/>
              </w:rPr>
            </w:pPr>
          </w:p>
        </w:tc>
        <w:tc>
          <w:tcPr>
            <w:tcW w:w="1836" w:type="dxa"/>
            <w:shd w:val="pct10" w:color="auto" w:fill="auto"/>
            <w:tcMar>
              <w:top w:w="0" w:type="dxa"/>
              <w:left w:w="108" w:type="dxa"/>
              <w:bottom w:w="0" w:type="dxa"/>
              <w:right w:w="108" w:type="dxa"/>
            </w:tcMar>
            <w:hideMark/>
          </w:tcPr>
          <w:p w14:paraId="5D800678" w14:textId="77777777" w:rsidR="00030089" w:rsidRPr="00732FFB" w:rsidRDefault="00030089" w:rsidP="008547F7">
            <w:pPr>
              <w:pStyle w:val="NoSpacing"/>
              <w:spacing w:before="60" w:line="360" w:lineRule="auto"/>
              <w:jc w:val="right"/>
              <w:rPr>
                <w:rFonts w:ascii="Arial" w:hAnsi="Arial" w:cs="Arial"/>
                <w:b/>
                <w:sz w:val="16"/>
                <w:szCs w:val="16"/>
              </w:rPr>
            </w:pPr>
            <w:r w:rsidRPr="00732FFB">
              <w:rPr>
                <w:rFonts w:ascii="Arial" w:hAnsi="Arial" w:cs="Arial"/>
                <w:b/>
                <w:sz w:val="16"/>
                <w:szCs w:val="16"/>
              </w:rPr>
              <w:t xml:space="preserve">Option 4 </w:t>
            </w:r>
          </w:p>
          <w:p w14:paraId="138514D2" w14:textId="77777777" w:rsidR="00030089" w:rsidRPr="00732FFB" w:rsidRDefault="00030089" w:rsidP="008547F7">
            <w:pPr>
              <w:pStyle w:val="NoSpacing"/>
              <w:spacing w:before="60" w:line="360" w:lineRule="auto"/>
              <w:jc w:val="right"/>
              <w:rPr>
                <w:rFonts w:ascii="Arial" w:hAnsi="Arial" w:cs="Arial"/>
                <w:sz w:val="16"/>
                <w:szCs w:val="16"/>
              </w:rPr>
            </w:pPr>
          </w:p>
        </w:tc>
      </w:tr>
      <w:tr w:rsidR="00030089" w:rsidRPr="006C7FB7" w14:paraId="433AD09A" w14:textId="77777777" w:rsidTr="008547F7">
        <w:tc>
          <w:tcPr>
            <w:tcW w:w="1587" w:type="dxa"/>
            <w:shd w:val="clear" w:color="auto" w:fill="auto"/>
            <w:tcMar>
              <w:top w:w="0" w:type="dxa"/>
              <w:left w:w="108" w:type="dxa"/>
              <w:bottom w:w="0" w:type="dxa"/>
              <w:right w:w="108" w:type="dxa"/>
            </w:tcMar>
            <w:hideMark/>
          </w:tcPr>
          <w:p w14:paraId="076E28AA" w14:textId="77777777" w:rsidR="00030089" w:rsidRPr="0078240A" w:rsidRDefault="00030089" w:rsidP="008547F7">
            <w:pPr>
              <w:pStyle w:val="NoSpacing"/>
              <w:spacing w:before="60" w:line="360" w:lineRule="auto"/>
              <w:rPr>
                <w:rFonts w:ascii="Arial" w:hAnsi="Arial" w:cs="Arial"/>
                <w:sz w:val="16"/>
                <w:szCs w:val="16"/>
              </w:rPr>
            </w:pPr>
            <w:r w:rsidRPr="0078240A">
              <w:rPr>
                <w:rFonts w:ascii="Arial" w:hAnsi="Arial" w:cs="Arial"/>
                <w:sz w:val="16"/>
                <w:szCs w:val="16"/>
              </w:rPr>
              <w:t>Costs</w:t>
            </w:r>
          </w:p>
          <w:p w14:paraId="281AB3E3" w14:textId="77777777" w:rsidR="00030089" w:rsidRPr="0078240A" w:rsidRDefault="00030089" w:rsidP="008547F7">
            <w:pPr>
              <w:pStyle w:val="NoSpacing"/>
              <w:spacing w:before="60" w:line="360" w:lineRule="auto"/>
              <w:rPr>
                <w:rFonts w:ascii="Arial" w:hAnsi="Arial" w:cs="Arial"/>
                <w:sz w:val="16"/>
                <w:szCs w:val="16"/>
              </w:rPr>
            </w:pPr>
            <w:r w:rsidRPr="0078240A">
              <w:rPr>
                <w:rFonts w:ascii="Arial" w:hAnsi="Arial" w:cs="Arial"/>
                <w:sz w:val="16"/>
                <w:szCs w:val="16"/>
              </w:rPr>
              <w:t>Discounted</w:t>
            </w:r>
          </w:p>
        </w:tc>
        <w:tc>
          <w:tcPr>
            <w:tcW w:w="1836" w:type="dxa"/>
          </w:tcPr>
          <w:p w14:paraId="2373D2CC" w14:textId="77777777" w:rsidR="00030089" w:rsidRPr="007513E8" w:rsidRDefault="00030089" w:rsidP="008547F7">
            <w:pPr>
              <w:pStyle w:val="NoSpacing"/>
              <w:spacing w:before="60" w:line="360" w:lineRule="auto"/>
              <w:jc w:val="right"/>
              <w:rPr>
                <w:rFonts w:ascii="Arial" w:hAnsi="Arial" w:cs="Arial"/>
                <w:color w:val="0070C0"/>
                <w:sz w:val="16"/>
                <w:szCs w:val="16"/>
              </w:rPr>
            </w:pPr>
            <w:r w:rsidRPr="007513E8">
              <w:rPr>
                <w:rFonts w:ascii="Arial" w:hAnsi="Arial" w:cs="Arial"/>
                <w:color w:val="000000"/>
                <w:sz w:val="16"/>
                <w:szCs w:val="16"/>
              </w:rPr>
              <w:t>$17</w:t>
            </w:r>
            <w:r>
              <w:rPr>
                <w:rFonts w:ascii="Arial" w:hAnsi="Arial" w:cs="Arial"/>
                <w:color w:val="000000"/>
                <w:sz w:val="16"/>
                <w:szCs w:val="16"/>
              </w:rPr>
              <w:t xml:space="preserve"> </w:t>
            </w:r>
            <w:r w:rsidRPr="007513E8">
              <w:rPr>
                <w:rFonts w:ascii="Arial" w:hAnsi="Arial" w:cs="Arial"/>
                <w:color w:val="000000"/>
                <w:sz w:val="16"/>
                <w:szCs w:val="16"/>
              </w:rPr>
              <w:t>283</w:t>
            </w:r>
            <w:r>
              <w:rPr>
                <w:rFonts w:ascii="Arial" w:hAnsi="Arial" w:cs="Arial"/>
                <w:color w:val="000000"/>
                <w:sz w:val="16"/>
                <w:szCs w:val="16"/>
              </w:rPr>
              <w:t xml:space="preserve"> </w:t>
            </w:r>
            <w:r w:rsidRPr="007513E8">
              <w:rPr>
                <w:rFonts w:ascii="Arial" w:hAnsi="Arial" w:cs="Arial"/>
                <w:color w:val="000000"/>
                <w:sz w:val="16"/>
                <w:szCs w:val="16"/>
              </w:rPr>
              <w:t>828</w:t>
            </w:r>
          </w:p>
        </w:tc>
        <w:tc>
          <w:tcPr>
            <w:tcW w:w="1836" w:type="dxa"/>
            <w:tcMar>
              <w:top w:w="0" w:type="dxa"/>
              <w:left w:w="108" w:type="dxa"/>
              <w:bottom w:w="0" w:type="dxa"/>
              <w:right w:w="108" w:type="dxa"/>
            </w:tcMar>
            <w:hideMark/>
          </w:tcPr>
          <w:p w14:paraId="2D6AB2F4" w14:textId="77777777" w:rsidR="00030089" w:rsidRDefault="00030089" w:rsidP="008547F7">
            <w:pPr>
              <w:pStyle w:val="NoSpacing"/>
              <w:spacing w:before="60" w:line="360" w:lineRule="auto"/>
              <w:jc w:val="right"/>
              <w:rPr>
                <w:rFonts w:ascii="Arial" w:hAnsi="Arial" w:cs="Arial"/>
                <w:sz w:val="16"/>
                <w:szCs w:val="16"/>
              </w:rPr>
            </w:pPr>
            <w:r>
              <w:rPr>
                <w:rFonts w:ascii="Arial" w:hAnsi="Arial" w:cs="Arial"/>
                <w:sz w:val="16"/>
                <w:szCs w:val="16"/>
              </w:rPr>
              <w:t>$4 848 000 000</w:t>
            </w:r>
          </w:p>
          <w:p w14:paraId="7160021F" w14:textId="77777777" w:rsidR="00030089" w:rsidRPr="00C410AE" w:rsidRDefault="00030089" w:rsidP="008547F7">
            <w:pPr>
              <w:pStyle w:val="NoSpacing"/>
              <w:spacing w:before="60" w:line="360" w:lineRule="auto"/>
              <w:jc w:val="right"/>
              <w:rPr>
                <w:rFonts w:ascii="Arial" w:hAnsi="Arial" w:cs="Arial"/>
                <w:sz w:val="16"/>
                <w:szCs w:val="16"/>
              </w:rPr>
            </w:pPr>
          </w:p>
        </w:tc>
        <w:tc>
          <w:tcPr>
            <w:tcW w:w="1836" w:type="dxa"/>
            <w:tcMar>
              <w:top w:w="0" w:type="dxa"/>
              <w:left w:w="108" w:type="dxa"/>
              <w:bottom w:w="0" w:type="dxa"/>
              <w:right w:w="108" w:type="dxa"/>
            </w:tcMar>
            <w:hideMark/>
          </w:tcPr>
          <w:p w14:paraId="0B3E440B" w14:textId="77777777" w:rsidR="00030089" w:rsidRPr="00ED6987" w:rsidRDefault="00030089" w:rsidP="008547F7">
            <w:pPr>
              <w:pStyle w:val="NoSpacing"/>
              <w:spacing w:before="60" w:line="360" w:lineRule="auto"/>
              <w:jc w:val="right"/>
              <w:rPr>
                <w:rFonts w:ascii="Arial" w:hAnsi="Arial" w:cs="Arial"/>
                <w:sz w:val="16"/>
                <w:szCs w:val="16"/>
              </w:rPr>
            </w:pPr>
            <w:r w:rsidRPr="00ED6987">
              <w:rPr>
                <w:rFonts w:ascii="Arial" w:hAnsi="Arial" w:cs="Arial"/>
                <w:color w:val="000000"/>
                <w:sz w:val="16"/>
                <w:szCs w:val="16"/>
              </w:rPr>
              <w:t>$34</w:t>
            </w:r>
            <w:r>
              <w:rPr>
                <w:rFonts w:ascii="Arial" w:hAnsi="Arial" w:cs="Arial"/>
                <w:color w:val="000000"/>
                <w:sz w:val="16"/>
                <w:szCs w:val="16"/>
              </w:rPr>
              <w:t xml:space="preserve"> </w:t>
            </w:r>
            <w:r w:rsidRPr="00ED6987">
              <w:rPr>
                <w:rFonts w:ascii="Arial" w:hAnsi="Arial" w:cs="Arial"/>
                <w:color w:val="000000"/>
                <w:sz w:val="16"/>
                <w:szCs w:val="16"/>
              </w:rPr>
              <w:t>567</w:t>
            </w:r>
            <w:r>
              <w:rPr>
                <w:rFonts w:ascii="Arial" w:hAnsi="Arial" w:cs="Arial"/>
                <w:color w:val="000000"/>
                <w:sz w:val="16"/>
                <w:szCs w:val="16"/>
              </w:rPr>
              <w:t xml:space="preserve"> </w:t>
            </w:r>
            <w:r w:rsidRPr="00ED6987">
              <w:rPr>
                <w:rFonts w:ascii="Arial" w:hAnsi="Arial" w:cs="Arial"/>
                <w:color w:val="000000"/>
                <w:sz w:val="16"/>
                <w:szCs w:val="16"/>
              </w:rPr>
              <w:t>655</w:t>
            </w:r>
          </w:p>
        </w:tc>
        <w:tc>
          <w:tcPr>
            <w:tcW w:w="1836" w:type="dxa"/>
            <w:tcMar>
              <w:top w:w="0" w:type="dxa"/>
              <w:left w:w="108" w:type="dxa"/>
              <w:bottom w:w="0" w:type="dxa"/>
              <w:right w:w="108" w:type="dxa"/>
            </w:tcMar>
            <w:hideMark/>
          </w:tcPr>
          <w:p w14:paraId="6EC5194F" w14:textId="77777777" w:rsidR="00030089" w:rsidRPr="006E78B4" w:rsidRDefault="00030089" w:rsidP="008547F7">
            <w:pPr>
              <w:pStyle w:val="NoSpacing"/>
              <w:spacing w:before="60" w:line="360" w:lineRule="auto"/>
              <w:jc w:val="right"/>
              <w:rPr>
                <w:rFonts w:ascii="Arial" w:hAnsi="Arial" w:cs="Arial"/>
                <w:sz w:val="16"/>
                <w:szCs w:val="16"/>
              </w:rPr>
            </w:pPr>
            <w:r>
              <w:rPr>
                <w:rFonts w:ascii="Arial" w:hAnsi="Arial" w:cs="Arial"/>
                <w:sz w:val="16"/>
                <w:szCs w:val="16"/>
              </w:rPr>
              <w:t>$257 000 000</w:t>
            </w:r>
          </w:p>
          <w:p w14:paraId="1A68D833" w14:textId="77777777" w:rsidR="00030089" w:rsidRPr="00583631" w:rsidRDefault="00030089" w:rsidP="008547F7">
            <w:pPr>
              <w:pStyle w:val="NoSpacing"/>
              <w:spacing w:before="60" w:line="360" w:lineRule="auto"/>
              <w:jc w:val="right"/>
              <w:rPr>
                <w:rFonts w:ascii="Arial" w:hAnsi="Arial" w:cs="Arial"/>
                <w:color w:val="FF0000"/>
                <w:sz w:val="16"/>
                <w:szCs w:val="16"/>
              </w:rPr>
            </w:pPr>
          </w:p>
        </w:tc>
      </w:tr>
      <w:tr w:rsidR="00030089" w:rsidRPr="006C7FB7" w14:paraId="05F0F3E0" w14:textId="77777777" w:rsidTr="008547F7">
        <w:tc>
          <w:tcPr>
            <w:tcW w:w="1587" w:type="dxa"/>
            <w:shd w:val="clear" w:color="auto" w:fill="auto"/>
            <w:tcMar>
              <w:top w:w="0" w:type="dxa"/>
              <w:left w:w="108" w:type="dxa"/>
              <w:bottom w:w="0" w:type="dxa"/>
              <w:right w:w="108" w:type="dxa"/>
            </w:tcMar>
            <w:hideMark/>
          </w:tcPr>
          <w:p w14:paraId="42618700" w14:textId="77777777" w:rsidR="00030089" w:rsidRPr="0078240A" w:rsidRDefault="00030089" w:rsidP="008547F7">
            <w:pPr>
              <w:pStyle w:val="NoSpacing"/>
              <w:spacing w:before="60" w:line="360" w:lineRule="auto"/>
              <w:rPr>
                <w:rFonts w:ascii="Arial" w:hAnsi="Arial" w:cs="Arial"/>
                <w:sz w:val="16"/>
                <w:szCs w:val="16"/>
              </w:rPr>
            </w:pPr>
            <w:r w:rsidRPr="0078240A">
              <w:rPr>
                <w:rFonts w:ascii="Arial" w:hAnsi="Arial" w:cs="Arial"/>
                <w:sz w:val="16"/>
                <w:szCs w:val="16"/>
              </w:rPr>
              <w:t>Market Benefits</w:t>
            </w:r>
          </w:p>
          <w:p w14:paraId="3284E9C9" w14:textId="77777777" w:rsidR="00030089" w:rsidRPr="0078240A" w:rsidRDefault="00030089" w:rsidP="008547F7">
            <w:pPr>
              <w:pStyle w:val="NoSpacing"/>
              <w:spacing w:before="60" w:line="360" w:lineRule="auto"/>
              <w:rPr>
                <w:rFonts w:ascii="Arial" w:hAnsi="Arial" w:cs="Arial"/>
                <w:sz w:val="16"/>
                <w:szCs w:val="16"/>
              </w:rPr>
            </w:pPr>
            <w:r w:rsidRPr="0078240A">
              <w:rPr>
                <w:rFonts w:ascii="Arial" w:hAnsi="Arial" w:cs="Arial"/>
                <w:sz w:val="16"/>
                <w:szCs w:val="16"/>
              </w:rPr>
              <w:t>Discounted</w:t>
            </w:r>
          </w:p>
        </w:tc>
        <w:tc>
          <w:tcPr>
            <w:tcW w:w="1836" w:type="dxa"/>
          </w:tcPr>
          <w:p w14:paraId="3009953E" w14:textId="77777777" w:rsidR="00030089" w:rsidRPr="007513E8" w:rsidRDefault="00030089" w:rsidP="008547F7">
            <w:pPr>
              <w:pStyle w:val="NoSpacing"/>
              <w:spacing w:before="60" w:line="360" w:lineRule="auto"/>
              <w:jc w:val="right"/>
              <w:rPr>
                <w:rFonts w:ascii="Arial" w:hAnsi="Arial" w:cs="Arial"/>
                <w:color w:val="0070C0"/>
                <w:sz w:val="16"/>
                <w:szCs w:val="16"/>
              </w:rPr>
            </w:pPr>
            <w:r w:rsidRPr="007513E8">
              <w:rPr>
                <w:rFonts w:ascii="Arial" w:hAnsi="Arial" w:cs="Arial"/>
                <w:color w:val="000000"/>
                <w:sz w:val="16"/>
                <w:szCs w:val="16"/>
              </w:rPr>
              <w:t>$22</w:t>
            </w:r>
            <w:r>
              <w:rPr>
                <w:rFonts w:ascii="Arial" w:hAnsi="Arial" w:cs="Arial"/>
                <w:color w:val="000000"/>
                <w:sz w:val="16"/>
                <w:szCs w:val="16"/>
              </w:rPr>
              <w:t xml:space="preserve"> </w:t>
            </w:r>
            <w:r w:rsidRPr="007513E8">
              <w:rPr>
                <w:rFonts w:ascii="Arial" w:hAnsi="Arial" w:cs="Arial"/>
                <w:color w:val="000000"/>
                <w:sz w:val="16"/>
                <w:szCs w:val="16"/>
              </w:rPr>
              <w:t>222</w:t>
            </w:r>
            <w:r>
              <w:rPr>
                <w:rFonts w:ascii="Arial" w:hAnsi="Arial" w:cs="Arial"/>
                <w:color w:val="000000"/>
                <w:sz w:val="16"/>
                <w:szCs w:val="16"/>
              </w:rPr>
              <w:t xml:space="preserve"> </w:t>
            </w:r>
            <w:r w:rsidRPr="007513E8">
              <w:rPr>
                <w:rFonts w:ascii="Arial" w:hAnsi="Arial" w:cs="Arial"/>
                <w:color w:val="000000"/>
                <w:sz w:val="16"/>
                <w:szCs w:val="16"/>
              </w:rPr>
              <w:t>782</w:t>
            </w:r>
          </w:p>
        </w:tc>
        <w:tc>
          <w:tcPr>
            <w:tcW w:w="1836" w:type="dxa"/>
            <w:tcMar>
              <w:top w:w="0" w:type="dxa"/>
              <w:left w:w="108" w:type="dxa"/>
              <w:bottom w:w="0" w:type="dxa"/>
              <w:right w:w="108" w:type="dxa"/>
            </w:tcMar>
            <w:hideMark/>
          </w:tcPr>
          <w:p w14:paraId="7AAF4177" w14:textId="77777777" w:rsidR="00030089" w:rsidRPr="00C410AE" w:rsidRDefault="00030089" w:rsidP="008547F7">
            <w:pPr>
              <w:pStyle w:val="NoSpacing"/>
              <w:spacing w:before="60" w:line="360" w:lineRule="auto"/>
              <w:jc w:val="right"/>
              <w:rPr>
                <w:rFonts w:ascii="Arial" w:hAnsi="Arial" w:cs="Arial"/>
                <w:sz w:val="16"/>
                <w:szCs w:val="16"/>
              </w:rPr>
            </w:pPr>
            <w:r>
              <w:rPr>
                <w:rFonts w:ascii="Arial" w:hAnsi="Arial" w:cs="Arial"/>
                <w:sz w:val="16"/>
                <w:szCs w:val="16"/>
              </w:rPr>
              <w:t>$3 433 000 000</w:t>
            </w:r>
          </w:p>
        </w:tc>
        <w:tc>
          <w:tcPr>
            <w:tcW w:w="1836" w:type="dxa"/>
            <w:tcMar>
              <w:top w:w="0" w:type="dxa"/>
              <w:left w:w="108" w:type="dxa"/>
              <w:bottom w:w="0" w:type="dxa"/>
              <w:right w:w="108" w:type="dxa"/>
            </w:tcMar>
          </w:tcPr>
          <w:p w14:paraId="306F592F" w14:textId="77777777" w:rsidR="00030089" w:rsidRPr="00ED6987" w:rsidRDefault="00030089" w:rsidP="008547F7">
            <w:pPr>
              <w:pStyle w:val="NoSpacing"/>
              <w:spacing w:before="60" w:line="360" w:lineRule="auto"/>
              <w:jc w:val="right"/>
              <w:rPr>
                <w:rFonts w:ascii="Arial" w:hAnsi="Arial" w:cs="Arial"/>
                <w:sz w:val="16"/>
                <w:szCs w:val="16"/>
              </w:rPr>
            </w:pPr>
            <w:r w:rsidRPr="00ED6987">
              <w:rPr>
                <w:rFonts w:ascii="Arial" w:hAnsi="Arial" w:cs="Arial"/>
                <w:color w:val="000000"/>
                <w:sz w:val="16"/>
                <w:szCs w:val="16"/>
              </w:rPr>
              <w:t>$44</w:t>
            </w:r>
            <w:r>
              <w:rPr>
                <w:rFonts w:ascii="Arial" w:hAnsi="Arial" w:cs="Arial"/>
                <w:color w:val="000000"/>
                <w:sz w:val="16"/>
                <w:szCs w:val="16"/>
              </w:rPr>
              <w:t xml:space="preserve"> </w:t>
            </w:r>
            <w:r w:rsidRPr="00ED6987">
              <w:rPr>
                <w:rFonts w:ascii="Arial" w:hAnsi="Arial" w:cs="Arial"/>
                <w:color w:val="000000"/>
                <w:sz w:val="16"/>
                <w:szCs w:val="16"/>
              </w:rPr>
              <w:t>445</w:t>
            </w:r>
            <w:r>
              <w:rPr>
                <w:rFonts w:ascii="Arial" w:hAnsi="Arial" w:cs="Arial"/>
                <w:color w:val="000000"/>
                <w:sz w:val="16"/>
                <w:szCs w:val="16"/>
              </w:rPr>
              <w:t xml:space="preserve"> </w:t>
            </w:r>
            <w:r w:rsidRPr="00ED6987">
              <w:rPr>
                <w:rFonts w:ascii="Arial" w:hAnsi="Arial" w:cs="Arial"/>
                <w:color w:val="000000"/>
                <w:sz w:val="16"/>
                <w:szCs w:val="16"/>
              </w:rPr>
              <w:t>564</w:t>
            </w:r>
          </w:p>
        </w:tc>
        <w:tc>
          <w:tcPr>
            <w:tcW w:w="1836" w:type="dxa"/>
            <w:tcMar>
              <w:top w:w="0" w:type="dxa"/>
              <w:left w:w="108" w:type="dxa"/>
              <w:bottom w:w="0" w:type="dxa"/>
              <w:right w:w="108" w:type="dxa"/>
            </w:tcMar>
            <w:hideMark/>
          </w:tcPr>
          <w:p w14:paraId="3ABD2994" w14:textId="77777777" w:rsidR="00030089" w:rsidRPr="00C410AE" w:rsidRDefault="00030089" w:rsidP="008547F7">
            <w:pPr>
              <w:pStyle w:val="NoSpacing"/>
              <w:spacing w:before="60" w:line="360" w:lineRule="auto"/>
              <w:jc w:val="right"/>
              <w:rPr>
                <w:rFonts w:ascii="Arial" w:hAnsi="Arial" w:cs="Arial"/>
                <w:sz w:val="16"/>
                <w:szCs w:val="16"/>
              </w:rPr>
            </w:pPr>
            <w:r>
              <w:rPr>
                <w:rFonts w:ascii="Arial" w:hAnsi="Arial" w:cs="Arial"/>
                <w:sz w:val="16"/>
                <w:szCs w:val="16"/>
              </w:rPr>
              <w:t>$304 000 000</w:t>
            </w:r>
          </w:p>
        </w:tc>
      </w:tr>
      <w:tr w:rsidR="00030089" w:rsidRPr="006C7FB7" w14:paraId="34486C4C" w14:textId="77777777" w:rsidTr="008547F7">
        <w:tc>
          <w:tcPr>
            <w:tcW w:w="1587" w:type="dxa"/>
            <w:shd w:val="clear" w:color="auto" w:fill="auto"/>
            <w:tcMar>
              <w:top w:w="0" w:type="dxa"/>
              <w:left w:w="108" w:type="dxa"/>
              <w:bottom w:w="0" w:type="dxa"/>
              <w:right w:w="108" w:type="dxa"/>
            </w:tcMar>
            <w:hideMark/>
          </w:tcPr>
          <w:p w14:paraId="07C89B71" w14:textId="77777777" w:rsidR="00030089" w:rsidRDefault="00030089" w:rsidP="008547F7">
            <w:pPr>
              <w:pStyle w:val="NoSpacing"/>
              <w:spacing w:before="60" w:line="360" w:lineRule="auto"/>
              <w:rPr>
                <w:rFonts w:ascii="Arial" w:hAnsi="Arial" w:cs="Arial"/>
                <w:b/>
                <w:sz w:val="16"/>
                <w:szCs w:val="16"/>
              </w:rPr>
            </w:pPr>
            <w:r>
              <w:rPr>
                <w:rFonts w:ascii="Arial" w:hAnsi="Arial" w:cs="Arial"/>
                <w:b/>
                <w:sz w:val="16"/>
                <w:szCs w:val="16"/>
              </w:rPr>
              <w:t>NPV</w:t>
            </w:r>
          </w:p>
          <w:p w14:paraId="35FFE0F8" w14:textId="77777777" w:rsidR="00030089" w:rsidRPr="005E7FC0" w:rsidRDefault="00030089" w:rsidP="008547F7">
            <w:pPr>
              <w:pStyle w:val="NoSpacing"/>
              <w:spacing w:before="60" w:line="360" w:lineRule="auto"/>
              <w:rPr>
                <w:rFonts w:ascii="Arial" w:hAnsi="Arial" w:cs="Arial"/>
                <w:b/>
                <w:sz w:val="16"/>
                <w:szCs w:val="16"/>
              </w:rPr>
            </w:pPr>
            <w:r w:rsidRPr="005E7FC0">
              <w:rPr>
                <w:rFonts w:ascii="Arial" w:hAnsi="Arial" w:cs="Arial"/>
                <w:b/>
                <w:sz w:val="16"/>
                <w:szCs w:val="16"/>
              </w:rPr>
              <w:t>Discounted</w:t>
            </w:r>
          </w:p>
        </w:tc>
        <w:tc>
          <w:tcPr>
            <w:tcW w:w="1836" w:type="dxa"/>
            <w:shd w:val="clear" w:color="auto" w:fill="auto"/>
          </w:tcPr>
          <w:p w14:paraId="3466564C" w14:textId="77777777" w:rsidR="00030089" w:rsidRPr="007513E8" w:rsidRDefault="00030089" w:rsidP="008547F7">
            <w:pPr>
              <w:pStyle w:val="NoSpacing"/>
              <w:spacing w:before="60" w:line="360" w:lineRule="auto"/>
              <w:jc w:val="right"/>
              <w:rPr>
                <w:rFonts w:ascii="Arial" w:hAnsi="Arial" w:cs="Arial"/>
                <w:b/>
                <w:color w:val="000000"/>
                <w:sz w:val="16"/>
                <w:szCs w:val="16"/>
              </w:rPr>
            </w:pPr>
            <w:r w:rsidRPr="007513E8">
              <w:rPr>
                <w:rFonts w:ascii="Arial" w:hAnsi="Arial" w:cs="Arial"/>
                <w:b/>
                <w:bCs/>
                <w:color w:val="000000"/>
                <w:sz w:val="16"/>
                <w:szCs w:val="16"/>
              </w:rPr>
              <w:t>$4</w:t>
            </w:r>
            <w:r>
              <w:rPr>
                <w:rFonts w:ascii="Arial" w:hAnsi="Arial" w:cs="Arial"/>
                <w:b/>
                <w:bCs/>
                <w:color w:val="000000"/>
                <w:sz w:val="16"/>
                <w:szCs w:val="16"/>
              </w:rPr>
              <w:t xml:space="preserve"> </w:t>
            </w:r>
            <w:r w:rsidRPr="007513E8">
              <w:rPr>
                <w:rFonts w:ascii="Arial" w:hAnsi="Arial" w:cs="Arial"/>
                <w:b/>
                <w:bCs/>
                <w:color w:val="000000"/>
                <w:sz w:val="16"/>
                <w:szCs w:val="16"/>
              </w:rPr>
              <w:t>938</w:t>
            </w:r>
            <w:r>
              <w:rPr>
                <w:rFonts w:ascii="Arial" w:hAnsi="Arial" w:cs="Arial"/>
                <w:b/>
                <w:bCs/>
                <w:color w:val="000000"/>
                <w:sz w:val="16"/>
                <w:szCs w:val="16"/>
              </w:rPr>
              <w:t xml:space="preserve"> </w:t>
            </w:r>
            <w:r w:rsidRPr="007513E8">
              <w:rPr>
                <w:rFonts w:ascii="Arial" w:hAnsi="Arial" w:cs="Arial"/>
                <w:b/>
                <w:bCs/>
                <w:color w:val="000000"/>
                <w:sz w:val="16"/>
                <w:szCs w:val="16"/>
              </w:rPr>
              <w:t>955</w:t>
            </w:r>
          </w:p>
        </w:tc>
        <w:tc>
          <w:tcPr>
            <w:tcW w:w="1836" w:type="dxa"/>
            <w:shd w:val="clear" w:color="auto" w:fill="auto"/>
            <w:tcMar>
              <w:top w:w="0" w:type="dxa"/>
              <w:left w:w="108" w:type="dxa"/>
              <w:bottom w:w="0" w:type="dxa"/>
              <w:right w:w="108" w:type="dxa"/>
            </w:tcMar>
            <w:hideMark/>
          </w:tcPr>
          <w:p w14:paraId="55097108" w14:textId="77777777" w:rsidR="00030089" w:rsidRPr="008427CF" w:rsidRDefault="00030089" w:rsidP="008547F7">
            <w:pPr>
              <w:pStyle w:val="NoSpacing"/>
              <w:spacing w:before="60" w:line="360" w:lineRule="auto"/>
              <w:jc w:val="right"/>
              <w:rPr>
                <w:rFonts w:ascii="Arial" w:hAnsi="Arial" w:cs="Arial"/>
                <w:b/>
                <w:sz w:val="16"/>
                <w:szCs w:val="16"/>
              </w:rPr>
            </w:pPr>
            <w:r w:rsidRPr="008427CF">
              <w:rPr>
                <w:rFonts w:ascii="Arial" w:hAnsi="Arial" w:cs="Arial"/>
                <w:b/>
                <w:sz w:val="16"/>
                <w:szCs w:val="16"/>
              </w:rPr>
              <w:t>–$1</w:t>
            </w:r>
            <w:r>
              <w:rPr>
                <w:rFonts w:ascii="Arial" w:hAnsi="Arial" w:cs="Arial"/>
                <w:b/>
                <w:sz w:val="16"/>
                <w:szCs w:val="16"/>
              </w:rPr>
              <w:t xml:space="preserve"> </w:t>
            </w:r>
            <w:r w:rsidRPr="008427CF">
              <w:rPr>
                <w:rFonts w:ascii="Arial" w:hAnsi="Arial" w:cs="Arial"/>
                <w:b/>
                <w:sz w:val="16"/>
                <w:szCs w:val="16"/>
              </w:rPr>
              <w:t>415</w:t>
            </w:r>
            <w:r>
              <w:rPr>
                <w:rFonts w:ascii="Arial" w:hAnsi="Arial" w:cs="Arial"/>
                <w:b/>
                <w:sz w:val="16"/>
                <w:szCs w:val="16"/>
              </w:rPr>
              <w:t xml:space="preserve"> </w:t>
            </w:r>
            <w:r w:rsidRPr="008427CF">
              <w:rPr>
                <w:rFonts w:ascii="Arial" w:hAnsi="Arial" w:cs="Arial"/>
                <w:b/>
                <w:sz w:val="16"/>
                <w:szCs w:val="16"/>
              </w:rPr>
              <w:t>000</w:t>
            </w:r>
            <w:r>
              <w:rPr>
                <w:rFonts w:ascii="Arial" w:hAnsi="Arial" w:cs="Arial"/>
                <w:b/>
                <w:sz w:val="16"/>
                <w:szCs w:val="16"/>
              </w:rPr>
              <w:t xml:space="preserve"> </w:t>
            </w:r>
            <w:r w:rsidRPr="008427CF">
              <w:rPr>
                <w:rFonts w:ascii="Arial" w:hAnsi="Arial" w:cs="Arial"/>
                <w:b/>
                <w:sz w:val="16"/>
                <w:szCs w:val="16"/>
              </w:rPr>
              <w:t>0</w:t>
            </w:r>
            <w:r>
              <w:rPr>
                <w:rFonts w:ascii="Arial" w:hAnsi="Arial" w:cs="Arial"/>
                <w:b/>
                <w:sz w:val="16"/>
                <w:szCs w:val="16"/>
              </w:rPr>
              <w:t>00</w:t>
            </w:r>
          </w:p>
          <w:p w14:paraId="66422E6C" w14:textId="77777777" w:rsidR="00030089" w:rsidRPr="008427CF" w:rsidRDefault="00030089" w:rsidP="008547F7">
            <w:pPr>
              <w:pStyle w:val="NoSpacing"/>
              <w:spacing w:before="60" w:line="360" w:lineRule="auto"/>
              <w:jc w:val="right"/>
              <w:rPr>
                <w:rFonts w:ascii="Arial" w:hAnsi="Arial" w:cs="Arial"/>
                <w:b/>
                <w:sz w:val="16"/>
                <w:szCs w:val="16"/>
              </w:rPr>
            </w:pPr>
          </w:p>
        </w:tc>
        <w:tc>
          <w:tcPr>
            <w:tcW w:w="1836" w:type="dxa"/>
            <w:shd w:val="clear" w:color="auto" w:fill="auto"/>
            <w:tcMar>
              <w:top w:w="0" w:type="dxa"/>
              <w:left w:w="108" w:type="dxa"/>
              <w:bottom w:w="0" w:type="dxa"/>
              <w:right w:w="108" w:type="dxa"/>
            </w:tcMar>
          </w:tcPr>
          <w:p w14:paraId="13FBE25E" w14:textId="77777777" w:rsidR="00030089" w:rsidRPr="00ED6987" w:rsidRDefault="00030089" w:rsidP="008547F7">
            <w:pPr>
              <w:pStyle w:val="NoSpacing"/>
              <w:spacing w:before="60" w:line="360" w:lineRule="auto"/>
              <w:jc w:val="right"/>
              <w:rPr>
                <w:rFonts w:ascii="Arial" w:hAnsi="Arial" w:cs="Arial"/>
                <w:b/>
                <w:color w:val="000000"/>
                <w:sz w:val="16"/>
                <w:szCs w:val="16"/>
              </w:rPr>
            </w:pPr>
            <w:r w:rsidRPr="00ED6987">
              <w:rPr>
                <w:rFonts w:ascii="Arial" w:hAnsi="Arial" w:cs="Arial"/>
                <w:b/>
                <w:bCs/>
                <w:color w:val="000000"/>
                <w:sz w:val="16"/>
                <w:szCs w:val="16"/>
              </w:rPr>
              <w:t>$9</w:t>
            </w:r>
            <w:r>
              <w:rPr>
                <w:rFonts w:ascii="Arial" w:hAnsi="Arial" w:cs="Arial"/>
                <w:b/>
                <w:bCs/>
                <w:color w:val="000000"/>
                <w:sz w:val="16"/>
                <w:szCs w:val="16"/>
              </w:rPr>
              <w:t xml:space="preserve"> </w:t>
            </w:r>
            <w:r w:rsidRPr="00ED6987">
              <w:rPr>
                <w:rFonts w:ascii="Arial" w:hAnsi="Arial" w:cs="Arial"/>
                <w:b/>
                <w:bCs/>
                <w:color w:val="000000"/>
                <w:sz w:val="16"/>
                <w:szCs w:val="16"/>
              </w:rPr>
              <w:t>877</w:t>
            </w:r>
            <w:r>
              <w:rPr>
                <w:rFonts w:ascii="Arial" w:hAnsi="Arial" w:cs="Arial"/>
                <w:b/>
                <w:bCs/>
                <w:color w:val="000000"/>
                <w:sz w:val="16"/>
                <w:szCs w:val="16"/>
              </w:rPr>
              <w:t xml:space="preserve"> </w:t>
            </w:r>
            <w:r w:rsidRPr="00ED6987">
              <w:rPr>
                <w:rFonts w:ascii="Arial" w:hAnsi="Arial" w:cs="Arial"/>
                <w:b/>
                <w:bCs/>
                <w:color w:val="000000"/>
                <w:sz w:val="16"/>
                <w:szCs w:val="16"/>
              </w:rPr>
              <w:t>909</w:t>
            </w:r>
          </w:p>
        </w:tc>
        <w:tc>
          <w:tcPr>
            <w:tcW w:w="1836" w:type="dxa"/>
            <w:shd w:val="clear" w:color="auto" w:fill="auto"/>
            <w:tcMar>
              <w:top w:w="0" w:type="dxa"/>
              <w:left w:w="108" w:type="dxa"/>
              <w:bottom w:w="0" w:type="dxa"/>
              <w:right w:w="108" w:type="dxa"/>
            </w:tcMar>
            <w:hideMark/>
          </w:tcPr>
          <w:p w14:paraId="4127F0A9" w14:textId="77777777" w:rsidR="00030089" w:rsidRPr="008427CF" w:rsidRDefault="00030089" w:rsidP="008547F7">
            <w:pPr>
              <w:pStyle w:val="NoSpacing"/>
              <w:spacing w:before="60" w:line="360" w:lineRule="auto"/>
              <w:jc w:val="right"/>
              <w:rPr>
                <w:rFonts w:ascii="Arial" w:hAnsi="Arial" w:cs="Arial"/>
                <w:b/>
                <w:sz w:val="16"/>
                <w:szCs w:val="16"/>
              </w:rPr>
            </w:pPr>
            <w:r w:rsidRPr="008427CF">
              <w:rPr>
                <w:rFonts w:ascii="Arial" w:hAnsi="Arial" w:cs="Arial"/>
                <w:b/>
                <w:sz w:val="16"/>
                <w:szCs w:val="16"/>
              </w:rPr>
              <w:t>$47</w:t>
            </w:r>
            <w:r>
              <w:rPr>
                <w:rFonts w:ascii="Arial" w:hAnsi="Arial" w:cs="Arial"/>
                <w:b/>
                <w:sz w:val="16"/>
                <w:szCs w:val="16"/>
              </w:rPr>
              <w:t xml:space="preserve"> </w:t>
            </w:r>
            <w:r w:rsidRPr="008427CF">
              <w:rPr>
                <w:rFonts w:ascii="Arial" w:hAnsi="Arial" w:cs="Arial"/>
                <w:b/>
                <w:sz w:val="16"/>
                <w:szCs w:val="16"/>
              </w:rPr>
              <w:t>000</w:t>
            </w:r>
            <w:r>
              <w:rPr>
                <w:rFonts w:ascii="Arial" w:hAnsi="Arial" w:cs="Arial"/>
                <w:b/>
                <w:sz w:val="16"/>
                <w:szCs w:val="16"/>
              </w:rPr>
              <w:t xml:space="preserve"> </w:t>
            </w:r>
            <w:r w:rsidRPr="008427CF">
              <w:rPr>
                <w:rFonts w:ascii="Arial" w:hAnsi="Arial" w:cs="Arial"/>
                <w:b/>
                <w:sz w:val="16"/>
                <w:szCs w:val="16"/>
              </w:rPr>
              <w:t>0</w:t>
            </w:r>
            <w:r>
              <w:rPr>
                <w:rFonts w:ascii="Arial" w:hAnsi="Arial" w:cs="Arial"/>
                <w:b/>
                <w:sz w:val="16"/>
                <w:szCs w:val="16"/>
              </w:rPr>
              <w:t>00</w:t>
            </w:r>
          </w:p>
        </w:tc>
      </w:tr>
    </w:tbl>
    <w:p w14:paraId="596F5E79" w14:textId="77777777" w:rsidR="00030089" w:rsidRDefault="00030089" w:rsidP="00030089">
      <w:pPr>
        <w:pStyle w:val="Footer"/>
        <w:tabs>
          <w:tab w:val="left" w:pos="7513"/>
        </w:tabs>
        <w:spacing w:after="240" w:line="360" w:lineRule="auto"/>
        <w:ind w:right="357"/>
        <w:rPr>
          <w:rFonts w:ascii="Arial" w:hAnsi="Arial" w:cs="Arial"/>
          <w:b/>
          <w:color w:val="0070C0"/>
          <w:sz w:val="18"/>
          <w:szCs w:val="18"/>
        </w:rPr>
      </w:pPr>
    </w:p>
    <w:p w14:paraId="20883102" w14:textId="77777777" w:rsidR="00030089" w:rsidRPr="002350F1" w:rsidRDefault="00030089" w:rsidP="00030089">
      <w:pPr>
        <w:spacing w:line="360" w:lineRule="auto"/>
        <w:jc w:val="both"/>
        <w:rPr>
          <w:rFonts w:ascii="Arial" w:hAnsi="Arial" w:cs="Arial"/>
          <w:szCs w:val="28"/>
        </w:rPr>
      </w:pPr>
      <w:r w:rsidRPr="002350F1">
        <w:rPr>
          <w:rFonts w:ascii="Arial" w:hAnsi="Arial" w:cs="Arial"/>
          <w:szCs w:val="28"/>
        </w:rPr>
        <w:t>Under Option Three the currently operational NT CDS would continue to assist the NT to:</w:t>
      </w:r>
    </w:p>
    <w:p w14:paraId="23CCE688" w14:textId="77777777" w:rsidR="00030089" w:rsidRPr="002350F1" w:rsidRDefault="00030089" w:rsidP="00030089">
      <w:pPr>
        <w:numPr>
          <w:ilvl w:val="0"/>
          <w:numId w:val="36"/>
        </w:numPr>
        <w:spacing w:before="240" w:after="240" w:line="360" w:lineRule="auto"/>
        <w:jc w:val="both"/>
        <w:rPr>
          <w:rFonts w:ascii="Arial" w:hAnsi="Arial" w:cs="Arial"/>
          <w:szCs w:val="28"/>
        </w:rPr>
      </w:pPr>
      <w:r w:rsidRPr="002350F1">
        <w:rPr>
          <w:rFonts w:ascii="Arial" w:hAnsi="Arial" w:cs="Arial"/>
          <w:szCs w:val="28"/>
        </w:rPr>
        <w:t xml:space="preserve">reduce waste and efficiently reduce the negative amenity and environmental impacts of litter in line with community expectations; </w:t>
      </w:r>
    </w:p>
    <w:p w14:paraId="06B4A9DB" w14:textId="77777777" w:rsidR="00030089" w:rsidRPr="002350F1" w:rsidRDefault="00030089" w:rsidP="00030089">
      <w:pPr>
        <w:numPr>
          <w:ilvl w:val="0"/>
          <w:numId w:val="36"/>
        </w:numPr>
        <w:spacing w:before="240" w:after="240" w:line="360" w:lineRule="auto"/>
        <w:jc w:val="both"/>
        <w:rPr>
          <w:rFonts w:ascii="Arial" w:hAnsi="Arial" w:cs="Arial"/>
          <w:szCs w:val="28"/>
        </w:rPr>
      </w:pPr>
      <w:r w:rsidRPr="002350F1">
        <w:rPr>
          <w:rFonts w:ascii="Arial" w:hAnsi="Arial" w:cs="Arial"/>
          <w:szCs w:val="28"/>
        </w:rPr>
        <w:t xml:space="preserve">reduce high landfill costs; </w:t>
      </w:r>
      <w:r>
        <w:rPr>
          <w:rFonts w:ascii="Arial" w:hAnsi="Arial" w:cs="Arial"/>
          <w:szCs w:val="28"/>
        </w:rPr>
        <w:t>and</w:t>
      </w:r>
    </w:p>
    <w:p w14:paraId="5BE4DDBF" w14:textId="77777777" w:rsidR="00030089" w:rsidRPr="002350F1" w:rsidRDefault="00030089" w:rsidP="00030089">
      <w:pPr>
        <w:numPr>
          <w:ilvl w:val="0"/>
          <w:numId w:val="36"/>
        </w:numPr>
        <w:spacing w:before="240" w:after="240" w:line="360" w:lineRule="auto"/>
        <w:jc w:val="both"/>
        <w:rPr>
          <w:rFonts w:ascii="Arial" w:hAnsi="Arial" w:cs="Arial"/>
          <w:szCs w:val="28"/>
        </w:rPr>
      </w:pPr>
      <w:r w:rsidRPr="002350F1">
        <w:rPr>
          <w:rFonts w:ascii="Arial" w:hAnsi="Arial" w:cs="Arial"/>
          <w:szCs w:val="28"/>
        </w:rPr>
        <w:t>reduce environmental costs that are significant or higher than national averages;</w:t>
      </w:r>
    </w:p>
    <w:p w14:paraId="761BC226" w14:textId="77777777" w:rsidR="00030089" w:rsidRDefault="00030089" w:rsidP="00030089">
      <w:pPr>
        <w:rPr>
          <w:rFonts w:ascii="Arial" w:hAnsi="Arial" w:cs="Arial"/>
          <w:b/>
          <w:szCs w:val="28"/>
        </w:rPr>
      </w:pPr>
      <w:r>
        <w:rPr>
          <w:rFonts w:ascii="Arial" w:hAnsi="Arial" w:cs="Arial"/>
          <w:b/>
          <w:szCs w:val="28"/>
        </w:rPr>
        <w:br w:type="page"/>
      </w:r>
    </w:p>
    <w:p w14:paraId="21F41CE0" w14:textId="77777777" w:rsidR="00030089" w:rsidRDefault="00030089" w:rsidP="00030089">
      <w:pPr>
        <w:pStyle w:val="ListParagraph"/>
        <w:numPr>
          <w:ilvl w:val="0"/>
          <w:numId w:val="3"/>
        </w:numPr>
        <w:spacing w:after="200" w:line="360" w:lineRule="auto"/>
        <w:outlineLvl w:val="0"/>
        <w:rPr>
          <w:rFonts w:ascii="Arial" w:hAnsi="Arial" w:cs="Arial"/>
          <w:b/>
          <w:szCs w:val="28"/>
        </w:rPr>
      </w:pPr>
      <w:bookmarkStart w:id="848" w:name="_Toc353562572"/>
      <w:r>
        <w:rPr>
          <w:rFonts w:ascii="Arial" w:hAnsi="Arial" w:cs="Arial"/>
          <w:b/>
          <w:szCs w:val="28"/>
        </w:rPr>
        <w:lastRenderedPageBreak/>
        <w:t>IMPLEMENTATION AND REVIEW</w:t>
      </w:r>
      <w:bookmarkEnd w:id="848"/>
    </w:p>
    <w:p w14:paraId="2D047499" w14:textId="77777777" w:rsidR="00030089" w:rsidRPr="00630C8F" w:rsidRDefault="00030089" w:rsidP="00030089">
      <w:pPr>
        <w:spacing w:line="360" w:lineRule="auto"/>
        <w:jc w:val="both"/>
        <w:rPr>
          <w:rFonts w:ascii="Arial" w:hAnsi="Arial" w:cs="Arial"/>
          <w:szCs w:val="28"/>
        </w:rPr>
      </w:pPr>
      <w:r w:rsidRPr="00630C8F">
        <w:rPr>
          <w:rFonts w:ascii="Arial" w:hAnsi="Arial" w:cs="Arial"/>
          <w:szCs w:val="28"/>
        </w:rPr>
        <w:t xml:space="preserve">Implementation of agreement to grant the NT CDS permanent exemption from the operation of the MRA and TTMRA would see the scheme continuing to operate as it has been to date. A key issue is the time that it may take for the formal approval process and finalisation of relevant regulations to be completed. Communications to date with other jurisdictions around the issue strongly indicate that there will be unanimous agreement by State and Territory Heads of Governments for the NT CDS being granted permanent exemption. Given this, it is likely that the usual approval process can be significantly expedited. In the meantime the NT Government has moved to guarantee the NT </w:t>
      </w:r>
      <w:r>
        <w:rPr>
          <w:rFonts w:ascii="Arial" w:hAnsi="Arial" w:cs="Arial"/>
          <w:szCs w:val="28"/>
        </w:rPr>
        <w:t>CDS</w:t>
      </w:r>
      <w:r w:rsidRPr="00630C8F">
        <w:rPr>
          <w:rFonts w:ascii="Arial" w:hAnsi="Arial" w:cs="Arial"/>
          <w:szCs w:val="28"/>
        </w:rPr>
        <w:t xml:space="preserve"> participants support in the lead up to the granting of permanent exemption from the MRA and TTMRA or a successful appeal from the federal Court de</w:t>
      </w:r>
      <w:r>
        <w:rPr>
          <w:rFonts w:ascii="Arial" w:hAnsi="Arial" w:cs="Arial"/>
          <w:szCs w:val="28"/>
        </w:rPr>
        <w:t>claration</w:t>
      </w:r>
      <w:r w:rsidRPr="00630C8F">
        <w:rPr>
          <w:rFonts w:ascii="Arial" w:hAnsi="Arial" w:cs="Arial"/>
          <w:szCs w:val="28"/>
        </w:rPr>
        <w:t>, whichever comes first.</w:t>
      </w:r>
    </w:p>
    <w:p w14:paraId="1EF9E667" w14:textId="77777777" w:rsidR="00030089" w:rsidRPr="00630C8F" w:rsidRDefault="00030089" w:rsidP="00030089">
      <w:pPr>
        <w:spacing w:line="360" w:lineRule="auto"/>
        <w:jc w:val="both"/>
        <w:rPr>
          <w:rFonts w:ascii="Arial" w:hAnsi="Arial" w:cs="Arial"/>
          <w:szCs w:val="28"/>
        </w:rPr>
      </w:pPr>
      <w:r w:rsidRPr="00630C8F">
        <w:rPr>
          <w:rFonts w:ascii="Arial" w:hAnsi="Arial" w:cs="Arial"/>
          <w:szCs w:val="28"/>
        </w:rPr>
        <w:t xml:space="preserve">A review of the NT CDS’s operation will be undertaken within five years of the scheme’s commencement. Following the first years’ operation of the scheme, internal reviews of the legislation are taking place to determine where efficiencies can be gained through legislative amendments. As a legislative requirement, a review of all of the containers covered by the scheme will be undertaken at the end of 2013. </w:t>
      </w:r>
    </w:p>
    <w:p w14:paraId="7408C891" w14:textId="77777777" w:rsidR="00030089" w:rsidRDefault="00030089" w:rsidP="00030089">
      <w:pPr>
        <w:rPr>
          <w:rFonts w:ascii="Arial" w:hAnsi="Arial" w:cs="Arial"/>
          <w:b/>
          <w:szCs w:val="28"/>
        </w:rPr>
      </w:pPr>
      <w:r>
        <w:rPr>
          <w:rFonts w:ascii="Arial" w:hAnsi="Arial" w:cs="Arial"/>
          <w:b/>
          <w:szCs w:val="28"/>
        </w:rPr>
        <w:br w:type="page"/>
      </w:r>
    </w:p>
    <w:p w14:paraId="10036A00" w14:textId="77777777" w:rsidR="00030089" w:rsidRPr="00045461" w:rsidRDefault="00030089" w:rsidP="00030089">
      <w:pPr>
        <w:pStyle w:val="ListParagraph"/>
        <w:numPr>
          <w:ilvl w:val="0"/>
          <w:numId w:val="3"/>
        </w:numPr>
        <w:spacing w:after="200" w:line="360" w:lineRule="auto"/>
        <w:outlineLvl w:val="0"/>
        <w:rPr>
          <w:rFonts w:ascii="Arial" w:hAnsi="Arial" w:cs="Arial"/>
          <w:b/>
          <w:szCs w:val="28"/>
        </w:rPr>
      </w:pPr>
      <w:bookmarkStart w:id="849" w:name="_Toc353562573"/>
      <w:r w:rsidRPr="00047365">
        <w:rPr>
          <w:rFonts w:ascii="Arial" w:hAnsi="Arial" w:cs="Arial"/>
          <w:b/>
          <w:szCs w:val="28"/>
        </w:rPr>
        <w:lastRenderedPageBreak/>
        <w:t>BIBLIOGRAHY</w:t>
      </w:r>
      <w:bookmarkEnd w:id="849"/>
    </w:p>
    <w:p w14:paraId="6E06371F" w14:textId="77777777" w:rsidR="00030089" w:rsidRPr="00045461" w:rsidRDefault="00030089" w:rsidP="00030089">
      <w:pPr>
        <w:spacing w:line="240" w:lineRule="auto"/>
        <w:contextualSpacing/>
        <w:rPr>
          <w:rFonts w:ascii="Arial" w:hAnsi="Arial" w:cs="Arial"/>
          <w:color w:val="000000"/>
        </w:rPr>
      </w:pPr>
      <w:r w:rsidRPr="00045461">
        <w:rPr>
          <w:rFonts w:ascii="Arial" w:hAnsi="Arial" w:cs="Arial"/>
          <w:color w:val="000000"/>
        </w:rPr>
        <w:t xml:space="preserve">ACIL Tasman 2011. </w:t>
      </w:r>
      <w:r w:rsidRPr="00045461">
        <w:rPr>
          <w:rFonts w:ascii="Arial" w:hAnsi="Arial" w:cs="Arial"/>
          <w:i/>
          <w:iCs/>
          <w:color w:val="000000"/>
        </w:rPr>
        <w:t xml:space="preserve">Impacts of a National Container Deposit Scheme: Implications for the average Australian Shopping Basket, </w:t>
      </w:r>
      <w:r w:rsidRPr="00045461">
        <w:rPr>
          <w:rFonts w:ascii="Arial" w:hAnsi="Arial" w:cs="Arial"/>
          <w:color w:val="000000"/>
        </w:rPr>
        <w:t xml:space="preserve">Report prepared for the Australian Food and Grocery Council, ACIL Tasman Pty, Ltd, Melbourne. </w:t>
      </w:r>
    </w:p>
    <w:p w14:paraId="7F7D9825" w14:textId="77777777" w:rsidR="00030089" w:rsidRPr="00045461" w:rsidRDefault="00030089" w:rsidP="00030089">
      <w:pPr>
        <w:spacing w:line="240" w:lineRule="auto"/>
        <w:contextualSpacing/>
        <w:rPr>
          <w:rFonts w:ascii="Arial" w:hAnsi="Arial" w:cs="Arial"/>
          <w:color w:val="000000"/>
        </w:rPr>
      </w:pPr>
    </w:p>
    <w:p w14:paraId="1042B543" w14:textId="77777777" w:rsidR="00030089" w:rsidRPr="00045461" w:rsidRDefault="00030089" w:rsidP="00030089">
      <w:pPr>
        <w:spacing w:line="240" w:lineRule="auto"/>
        <w:contextualSpacing/>
        <w:rPr>
          <w:rFonts w:ascii="Arial" w:hAnsi="Arial" w:cs="Arial"/>
          <w:color w:val="000000"/>
        </w:rPr>
      </w:pPr>
      <w:r w:rsidRPr="00045461">
        <w:rPr>
          <w:rFonts w:ascii="Arial" w:hAnsi="Arial" w:cs="Arial"/>
          <w:color w:val="000000"/>
        </w:rPr>
        <w:t xml:space="preserve">Allen Consulting Group 2009. </w:t>
      </w:r>
      <w:r w:rsidRPr="00045461">
        <w:rPr>
          <w:rFonts w:ascii="Arial" w:hAnsi="Arial" w:cs="Arial"/>
          <w:i/>
          <w:iCs/>
          <w:color w:val="000000"/>
        </w:rPr>
        <w:t xml:space="preserve">National Waste Policy Regulatory Impact Statement, </w:t>
      </w:r>
      <w:r w:rsidRPr="00045461">
        <w:rPr>
          <w:rFonts w:ascii="Arial" w:hAnsi="Arial" w:cs="Arial"/>
          <w:color w:val="000000"/>
        </w:rPr>
        <w:t xml:space="preserve">report prepared for the Department of Environment, Water, Heritage and the Arts, by The Allen Consulting Group Pty Ltd, Melbourne. </w:t>
      </w:r>
    </w:p>
    <w:p w14:paraId="6A307B84" w14:textId="77777777" w:rsidR="00030089" w:rsidRPr="00045461" w:rsidRDefault="00030089" w:rsidP="00030089">
      <w:pPr>
        <w:spacing w:line="240" w:lineRule="auto"/>
        <w:contextualSpacing/>
        <w:rPr>
          <w:rFonts w:ascii="Arial" w:hAnsi="Arial" w:cs="Arial"/>
          <w:color w:val="000000"/>
        </w:rPr>
      </w:pPr>
    </w:p>
    <w:p w14:paraId="60FF6F49" w14:textId="77777777" w:rsidR="00030089" w:rsidRDefault="00030089" w:rsidP="00030089">
      <w:pPr>
        <w:spacing w:line="240" w:lineRule="auto"/>
        <w:contextualSpacing/>
        <w:rPr>
          <w:rFonts w:ascii="Arial" w:hAnsi="Arial" w:cs="Arial"/>
          <w:color w:val="000000"/>
        </w:rPr>
      </w:pPr>
      <w:r w:rsidRPr="00045461">
        <w:rPr>
          <w:rFonts w:ascii="Arial" w:hAnsi="Arial" w:cs="Arial"/>
          <w:color w:val="000000"/>
        </w:rPr>
        <w:t xml:space="preserve">Australian Bureau of Statistics 2011. </w:t>
      </w:r>
      <w:r w:rsidRPr="00045461">
        <w:rPr>
          <w:rFonts w:ascii="Arial" w:hAnsi="Arial" w:cs="Arial"/>
          <w:i/>
        </w:rPr>
        <w:t xml:space="preserve">Census of Population and Housing 2006 and 2011. </w:t>
      </w:r>
      <w:r w:rsidRPr="00045461">
        <w:rPr>
          <w:rFonts w:ascii="Arial" w:hAnsi="Arial" w:cs="Arial"/>
        </w:rPr>
        <w:t>Canberra.</w:t>
      </w:r>
      <w:r w:rsidRPr="000273D3">
        <w:rPr>
          <w:rFonts w:ascii="Arial" w:hAnsi="Arial" w:cs="Arial"/>
          <w:color w:val="000000"/>
        </w:rPr>
        <w:t xml:space="preserve"> </w:t>
      </w:r>
    </w:p>
    <w:p w14:paraId="425D38C8" w14:textId="77777777" w:rsidR="00030089" w:rsidRDefault="00030089" w:rsidP="00030089">
      <w:pPr>
        <w:spacing w:line="240" w:lineRule="auto"/>
        <w:contextualSpacing/>
        <w:rPr>
          <w:rFonts w:ascii="Arial" w:hAnsi="Arial" w:cs="Arial"/>
          <w:color w:val="000000"/>
        </w:rPr>
      </w:pPr>
    </w:p>
    <w:p w14:paraId="0D5834C4" w14:textId="77777777" w:rsidR="00030089" w:rsidRPr="00045461" w:rsidRDefault="00030089" w:rsidP="00030089">
      <w:pPr>
        <w:spacing w:line="240" w:lineRule="auto"/>
        <w:contextualSpacing/>
        <w:rPr>
          <w:rFonts w:ascii="Arial" w:hAnsi="Arial" w:cs="Arial"/>
          <w:color w:val="000000"/>
        </w:rPr>
      </w:pPr>
      <w:r w:rsidRPr="00045461">
        <w:rPr>
          <w:rFonts w:ascii="Arial" w:hAnsi="Arial" w:cs="Arial"/>
          <w:color w:val="000000"/>
        </w:rPr>
        <w:t xml:space="preserve">Australian Government 2010. </w:t>
      </w:r>
      <w:r w:rsidRPr="00045461">
        <w:rPr>
          <w:rFonts w:ascii="Arial" w:hAnsi="Arial" w:cs="Arial"/>
          <w:i/>
          <w:iCs/>
          <w:color w:val="000000"/>
        </w:rPr>
        <w:t xml:space="preserve">Best Practice Regulation Handbook, </w:t>
      </w:r>
      <w:r w:rsidRPr="00045461">
        <w:rPr>
          <w:rFonts w:ascii="Arial" w:hAnsi="Arial" w:cs="Arial"/>
          <w:color w:val="000000"/>
        </w:rPr>
        <w:t>Attorney General's Department, Canberra.</w:t>
      </w:r>
    </w:p>
    <w:p w14:paraId="0BECEA18" w14:textId="77777777" w:rsidR="00030089" w:rsidRPr="00045461" w:rsidRDefault="00030089" w:rsidP="00030089">
      <w:pPr>
        <w:spacing w:line="240" w:lineRule="auto"/>
        <w:contextualSpacing/>
        <w:rPr>
          <w:rFonts w:ascii="Arial" w:hAnsi="Arial" w:cs="Arial"/>
          <w:color w:val="000000"/>
        </w:rPr>
      </w:pPr>
      <w:r w:rsidRPr="00045461">
        <w:rPr>
          <w:rFonts w:ascii="Arial" w:hAnsi="Arial" w:cs="Arial"/>
          <w:color w:val="000000"/>
        </w:rPr>
        <w:t xml:space="preserve"> </w:t>
      </w:r>
    </w:p>
    <w:p w14:paraId="1ADD589D" w14:textId="77777777" w:rsidR="00030089" w:rsidRPr="00045461" w:rsidRDefault="00030089" w:rsidP="00030089">
      <w:pPr>
        <w:spacing w:line="240" w:lineRule="auto"/>
        <w:contextualSpacing/>
        <w:rPr>
          <w:rFonts w:ascii="Arial" w:hAnsi="Arial" w:cs="Arial"/>
          <w:color w:val="000000"/>
        </w:rPr>
      </w:pPr>
      <w:r w:rsidRPr="00045461">
        <w:rPr>
          <w:rFonts w:ascii="Arial" w:hAnsi="Arial" w:cs="Arial"/>
          <w:color w:val="000000"/>
        </w:rPr>
        <w:t xml:space="preserve">Australian Packaging Covenant Council, 2011. </w:t>
      </w:r>
      <w:r w:rsidRPr="00045461">
        <w:rPr>
          <w:rFonts w:ascii="Arial" w:hAnsi="Arial" w:cs="Arial"/>
          <w:i/>
          <w:iCs/>
          <w:color w:val="000000"/>
        </w:rPr>
        <w:t xml:space="preserve">The National Packaging Covenant 2010-11 Annual Report, </w:t>
      </w:r>
      <w:r w:rsidRPr="00045461">
        <w:rPr>
          <w:rFonts w:ascii="Arial" w:hAnsi="Arial" w:cs="Arial"/>
          <w:color w:val="000000"/>
        </w:rPr>
        <w:t>Australian Packaging Covenant Council, Sydney.</w:t>
      </w:r>
    </w:p>
    <w:p w14:paraId="389D33DC" w14:textId="77777777" w:rsidR="00030089" w:rsidRPr="00045461" w:rsidRDefault="00030089" w:rsidP="00030089">
      <w:pPr>
        <w:spacing w:line="240" w:lineRule="auto"/>
        <w:contextualSpacing/>
        <w:rPr>
          <w:rFonts w:ascii="Arial" w:hAnsi="Arial" w:cs="Arial"/>
          <w:color w:val="000000"/>
        </w:rPr>
      </w:pPr>
    </w:p>
    <w:p w14:paraId="01DB5AF0" w14:textId="77777777" w:rsidR="00030089" w:rsidRPr="00045461" w:rsidRDefault="00030089" w:rsidP="00030089">
      <w:pPr>
        <w:spacing w:line="240" w:lineRule="auto"/>
        <w:contextualSpacing/>
        <w:rPr>
          <w:rFonts w:ascii="Arial" w:hAnsi="Arial" w:cs="Arial"/>
          <w:color w:val="000000"/>
        </w:rPr>
      </w:pPr>
      <w:r w:rsidRPr="00045461">
        <w:rPr>
          <w:rFonts w:ascii="Arial" w:hAnsi="Arial" w:cs="Arial"/>
          <w:color w:val="000000"/>
        </w:rPr>
        <w:t xml:space="preserve">BDA Group/Wright Corporate Strategy 2010. </w:t>
      </w:r>
      <w:r w:rsidRPr="00045461">
        <w:rPr>
          <w:rFonts w:ascii="Arial" w:hAnsi="Arial" w:cs="Arial"/>
          <w:i/>
          <w:iCs/>
          <w:color w:val="000000"/>
        </w:rPr>
        <w:t xml:space="preserve">Beverage container investigation revised final report, </w:t>
      </w:r>
      <w:r w:rsidRPr="00045461">
        <w:rPr>
          <w:rFonts w:ascii="Arial" w:hAnsi="Arial" w:cs="Arial"/>
          <w:color w:val="000000"/>
        </w:rPr>
        <w:t>report prepared for the EPHC Beverage Container Working Group, Canberra.</w:t>
      </w:r>
    </w:p>
    <w:p w14:paraId="573C5EC3" w14:textId="77777777" w:rsidR="00030089" w:rsidRPr="00045461" w:rsidRDefault="00030089" w:rsidP="00030089">
      <w:pPr>
        <w:spacing w:line="240" w:lineRule="auto"/>
        <w:contextualSpacing/>
        <w:rPr>
          <w:rFonts w:ascii="Arial" w:hAnsi="Arial" w:cs="Arial"/>
          <w:color w:val="000000"/>
        </w:rPr>
      </w:pPr>
    </w:p>
    <w:p w14:paraId="420C33D0" w14:textId="77777777" w:rsidR="00030089" w:rsidRPr="00045461" w:rsidRDefault="00030089" w:rsidP="00030089">
      <w:pPr>
        <w:spacing w:line="240" w:lineRule="auto"/>
        <w:contextualSpacing/>
        <w:rPr>
          <w:rFonts w:ascii="Arial" w:hAnsi="Arial" w:cs="Arial"/>
          <w:color w:val="000000"/>
        </w:rPr>
      </w:pPr>
      <w:r w:rsidRPr="00045461">
        <w:rPr>
          <w:rFonts w:ascii="Arial" w:hAnsi="Arial" w:cs="Arial"/>
          <w:color w:val="000000"/>
        </w:rPr>
        <w:t xml:space="preserve">COAG (Council of Australian Governments) 2007. </w:t>
      </w:r>
      <w:r w:rsidRPr="00045461">
        <w:rPr>
          <w:rFonts w:ascii="Arial" w:hAnsi="Arial" w:cs="Arial"/>
          <w:i/>
          <w:iCs/>
          <w:color w:val="000000"/>
        </w:rPr>
        <w:t xml:space="preserve">Best Practice Regulation: A Guide for Ministerial Councils and National Standard Setting Bodies, October 2007, </w:t>
      </w:r>
      <w:r w:rsidRPr="00045461">
        <w:rPr>
          <w:rFonts w:ascii="Arial" w:hAnsi="Arial" w:cs="Arial"/>
          <w:color w:val="000000"/>
        </w:rPr>
        <w:t xml:space="preserve">Department of Finance and Deregulation, Canberra. </w:t>
      </w:r>
    </w:p>
    <w:p w14:paraId="692C7C4A" w14:textId="77777777" w:rsidR="00030089" w:rsidRPr="00045461" w:rsidRDefault="00030089" w:rsidP="00030089">
      <w:pPr>
        <w:spacing w:line="240" w:lineRule="auto"/>
        <w:contextualSpacing/>
        <w:rPr>
          <w:rFonts w:ascii="Arial" w:hAnsi="Arial" w:cs="Arial"/>
          <w:color w:val="000000"/>
        </w:rPr>
      </w:pPr>
    </w:p>
    <w:p w14:paraId="6AA918E5" w14:textId="77777777" w:rsidR="00030089" w:rsidRPr="00045461" w:rsidRDefault="00030089" w:rsidP="00030089">
      <w:pPr>
        <w:spacing w:line="240" w:lineRule="auto"/>
        <w:contextualSpacing/>
        <w:rPr>
          <w:rFonts w:ascii="Arial" w:hAnsi="Arial" w:cs="Arial"/>
        </w:rPr>
      </w:pPr>
      <w:r w:rsidRPr="00045461">
        <w:rPr>
          <w:rFonts w:ascii="Arial" w:hAnsi="Arial" w:cs="Arial"/>
        </w:rPr>
        <w:t xml:space="preserve">Environment Protection and Heritage Council, 2010. </w:t>
      </w:r>
      <w:r w:rsidRPr="00045461">
        <w:rPr>
          <w:rFonts w:ascii="Arial" w:hAnsi="Arial" w:cs="Arial"/>
          <w:i/>
        </w:rPr>
        <w:t>National Waste Report 2010</w:t>
      </w:r>
      <w:r w:rsidRPr="00045461">
        <w:rPr>
          <w:rFonts w:ascii="Arial" w:hAnsi="Arial" w:cs="Arial"/>
        </w:rPr>
        <w:t>, Australian Government, Canberra.</w:t>
      </w:r>
    </w:p>
    <w:p w14:paraId="742CE640" w14:textId="77777777" w:rsidR="00030089" w:rsidRPr="00045461" w:rsidRDefault="00030089" w:rsidP="00030089">
      <w:pPr>
        <w:spacing w:line="240" w:lineRule="auto"/>
        <w:contextualSpacing/>
        <w:rPr>
          <w:rFonts w:ascii="Arial" w:hAnsi="Arial" w:cs="Arial"/>
          <w:color w:val="000000"/>
        </w:rPr>
      </w:pPr>
    </w:p>
    <w:p w14:paraId="798A1604" w14:textId="77777777" w:rsidR="00030089" w:rsidRPr="009324C6" w:rsidRDefault="00030089" w:rsidP="00030089">
      <w:pPr>
        <w:spacing w:line="240" w:lineRule="auto"/>
        <w:contextualSpacing/>
        <w:rPr>
          <w:rFonts w:ascii="Arial" w:hAnsi="Arial" w:cs="Arial"/>
        </w:rPr>
      </w:pPr>
      <w:r w:rsidRPr="009324C6">
        <w:rPr>
          <w:rFonts w:ascii="Arial" w:hAnsi="Arial" w:cs="Arial"/>
        </w:rPr>
        <w:t>Hyder Consulting 2008, Australian Beverage Packaging, Consumption, Recovery and Recycling Quantification Study 2008.</w:t>
      </w:r>
    </w:p>
    <w:p w14:paraId="417B7F87" w14:textId="77777777" w:rsidR="00030089" w:rsidRPr="00045461" w:rsidRDefault="00030089" w:rsidP="00030089">
      <w:pPr>
        <w:spacing w:line="240" w:lineRule="auto"/>
        <w:contextualSpacing/>
        <w:rPr>
          <w:rFonts w:ascii="Arial" w:hAnsi="Arial" w:cs="Arial"/>
          <w:color w:val="000000"/>
        </w:rPr>
      </w:pPr>
    </w:p>
    <w:p w14:paraId="39D8436C" w14:textId="77777777" w:rsidR="00030089" w:rsidRPr="00045461" w:rsidRDefault="00030089" w:rsidP="00030089">
      <w:pPr>
        <w:spacing w:line="240" w:lineRule="auto"/>
        <w:contextualSpacing/>
        <w:rPr>
          <w:rFonts w:ascii="Arial" w:hAnsi="Arial" w:cs="Arial"/>
        </w:rPr>
      </w:pPr>
      <w:r w:rsidRPr="00045461">
        <w:rPr>
          <w:rFonts w:ascii="Arial" w:hAnsi="Arial" w:cs="Arial"/>
        </w:rPr>
        <w:t xml:space="preserve">Hyder Consulting, Sep 2008. </w:t>
      </w:r>
      <w:r w:rsidRPr="00045461">
        <w:rPr>
          <w:rFonts w:ascii="Arial" w:hAnsi="Arial" w:cs="Arial"/>
          <w:i/>
        </w:rPr>
        <w:t>Australian Beverage Packaging Consumption Recovery and Recycling Quantification Study</w:t>
      </w:r>
      <w:r w:rsidRPr="00045461">
        <w:rPr>
          <w:rFonts w:ascii="Arial" w:hAnsi="Arial" w:cs="Arial"/>
        </w:rPr>
        <w:t>, Packaging Stewardship Forum for the Australian Food and Grocery Council.</w:t>
      </w:r>
    </w:p>
    <w:p w14:paraId="389F56DC" w14:textId="77777777" w:rsidR="00030089" w:rsidRPr="00045461" w:rsidRDefault="00030089" w:rsidP="00030089">
      <w:pPr>
        <w:spacing w:line="240" w:lineRule="auto"/>
        <w:contextualSpacing/>
        <w:rPr>
          <w:rFonts w:ascii="Arial" w:hAnsi="Arial" w:cs="Arial"/>
          <w:color w:val="000000"/>
        </w:rPr>
      </w:pPr>
    </w:p>
    <w:p w14:paraId="53D3FA7B" w14:textId="77777777" w:rsidR="00030089" w:rsidRPr="00045461" w:rsidRDefault="00030089" w:rsidP="00030089">
      <w:pPr>
        <w:spacing w:line="240" w:lineRule="auto"/>
        <w:contextualSpacing/>
        <w:rPr>
          <w:rFonts w:ascii="Arial" w:hAnsi="Arial" w:cs="Arial"/>
        </w:rPr>
      </w:pPr>
      <w:r w:rsidRPr="00045461">
        <w:rPr>
          <w:rFonts w:ascii="Arial" w:hAnsi="Arial" w:cs="Arial"/>
        </w:rPr>
        <w:t>McGregor Tan Research 2012.</w:t>
      </w:r>
      <w:r w:rsidRPr="00045461">
        <w:rPr>
          <w:rFonts w:ascii="Arial" w:hAnsi="Arial" w:cs="Arial"/>
          <w:color w:val="000000"/>
        </w:rPr>
        <w:t xml:space="preserve"> </w:t>
      </w:r>
      <w:r w:rsidRPr="00045461">
        <w:rPr>
          <w:rFonts w:ascii="Arial" w:hAnsi="Arial" w:cs="Arial"/>
          <w:i/>
        </w:rPr>
        <w:t>Keep Australia Beautiful Annual Results Tabulations</w:t>
      </w:r>
      <w:r w:rsidRPr="00045461">
        <w:rPr>
          <w:rFonts w:ascii="Arial" w:hAnsi="Arial" w:cs="Arial"/>
        </w:rPr>
        <w:t xml:space="preserve"> </w:t>
      </w:r>
      <w:r w:rsidRPr="00045461">
        <w:rPr>
          <w:rFonts w:ascii="Arial" w:hAnsi="Arial" w:cs="Arial"/>
          <w:i/>
        </w:rPr>
        <w:t>May 2012</w:t>
      </w:r>
      <w:r w:rsidRPr="00045461">
        <w:rPr>
          <w:rFonts w:ascii="Arial" w:hAnsi="Arial" w:cs="Arial"/>
        </w:rPr>
        <w:t>, Canberra.</w:t>
      </w:r>
    </w:p>
    <w:p w14:paraId="063D223E" w14:textId="77777777" w:rsidR="00030089" w:rsidRPr="00045461" w:rsidRDefault="00030089" w:rsidP="00030089">
      <w:pPr>
        <w:spacing w:line="240" w:lineRule="auto"/>
        <w:contextualSpacing/>
        <w:rPr>
          <w:rFonts w:ascii="Arial" w:hAnsi="Arial" w:cs="Arial"/>
          <w:color w:val="000000"/>
        </w:rPr>
      </w:pPr>
    </w:p>
    <w:p w14:paraId="72576B07" w14:textId="77777777" w:rsidR="00030089" w:rsidRPr="00045461" w:rsidRDefault="00030089" w:rsidP="00030089">
      <w:pPr>
        <w:spacing w:line="240" w:lineRule="auto"/>
        <w:contextualSpacing/>
        <w:rPr>
          <w:rFonts w:ascii="Arial" w:hAnsi="Arial" w:cs="Arial"/>
          <w:bCs/>
        </w:rPr>
      </w:pPr>
      <w:r w:rsidRPr="00045461">
        <w:rPr>
          <w:rFonts w:ascii="Arial" w:hAnsi="Arial" w:cs="Arial"/>
        </w:rPr>
        <w:t xml:space="preserve">National Environmental Protection Council, 2011. </w:t>
      </w:r>
      <w:r w:rsidRPr="00045461">
        <w:rPr>
          <w:rFonts w:ascii="Arial" w:hAnsi="Arial" w:cs="Arial"/>
          <w:bCs/>
          <w:i/>
        </w:rPr>
        <w:t xml:space="preserve">Annual Report 2010 – 2011. </w:t>
      </w:r>
      <w:r w:rsidRPr="00045461">
        <w:rPr>
          <w:rFonts w:ascii="Arial" w:hAnsi="Arial" w:cs="Arial"/>
          <w:bCs/>
        </w:rPr>
        <w:t>Australian Government, Canberra</w:t>
      </w:r>
      <w:r>
        <w:rPr>
          <w:rFonts w:ascii="Arial" w:hAnsi="Arial" w:cs="Arial"/>
          <w:bCs/>
        </w:rPr>
        <w:t>.</w:t>
      </w:r>
    </w:p>
    <w:p w14:paraId="1EB1E8D3" w14:textId="77777777" w:rsidR="00030089" w:rsidRPr="00045461" w:rsidRDefault="00030089" w:rsidP="00030089">
      <w:pPr>
        <w:spacing w:line="240" w:lineRule="auto"/>
        <w:contextualSpacing/>
        <w:rPr>
          <w:rFonts w:ascii="Arial" w:hAnsi="Arial" w:cs="Arial"/>
          <w:color w:val="000000"/>
        </w:rPr>
      </w:pPr>
    </w:p>
    <w:p w14:paraId="2A3DB51B" w14:textId="77777777" w:rsidR="00030089" w:rsidRPr="00045461" w:rsidRDefault="00030089" w:rsidP="00030089">
      <w:pPr>
        <w:spacing w:line="240" w:lineRule="auto"/>
        <w:contextualSpacing/>
        <w:rPr>
          <w:rFonts w:ascii="Arial" w:hAnsi="Arial" w:cs="Arial"/>
        </w:rPr>
      </w:pPr>
      <w:r w:rsidRPr="00045461">
        <w:rPr>
          <w:rFonts w:ascii="Arial" w:hAnsi="Arial" w:cs="Arial"/>
        </w:rPr>
        <w:t xml:space="preserve">Northern Territory Government 2012. </w:t>
      </w:r>
      <w:r w:rsidRPr="00045461">
        <w:rPr>
          <w:rFonts w:ascii="Arial" w:hAnsi="Arial" w:cs="Arial"/>
          <w:i/>
        </w:rPr>
        <w:t>CDS Annual Report</w:t>
      </w:r>
      <w:r w:rsidRPr="00045461">
        <w:rPr>
          <w:rFonts w:ascii="Arial" w:hAnsi="Arial" w:cs="Arial"/>
        </w:rPr>
        <w:t>. Northern Territory Government, Darwin.</w:t>
      </w:r>
    </w:p>
    <w:p w14:paraId="1C59871B" w14:textId="77777777" w:rsidR="00030089" w:rsidRPr="00045461" w:rsidRDefault="00030089" w:rsidP="00030089">
      <w:pPr>
        <w:spacing w:line="240" w:lineRule="auto"/>
        <w:contextualSpacing/>
        <w:rPr>
          <w:rFonts w:ascii="Arial" w:hAnsi="Arial" w:cs="Arial"/>
          <w:color w:val="000000"/>
        </w:rPr>
      </w:pPr>
    </w:p>
    <w:p w14:paraId="31A0D66D" w14:textId="77777777" w:rsidR="00030089" w:rsidRPr="00045461" w:rsidRDefault="00030089" w:rsidP="00030089">
      <w:pPr>
        <w:spacing w:line="240" w:lineRule="auto"/>
        <w:contextualSpacing/>
        <w:rPr>
          <w:rFonts w:ascii="Arial" w:hAnsi="Arial" w:cs="Arial"/>
        </w:rPr>
      </w:pPr>
      <w:r w:rsidRPr="00045461">
        <w:rPr>
          <w:rFonts w:ascii="Arial" w:hAnsi="Arial" w:cs="Arial"/>
        </w:rPr>
        <w:t xml:space="preserve">Northern Territory Government 2013. </w:t>
      </w:r>
      <w:r w:rsidRPr="00045461">
        <w:rPr>
          <w:rFonts w:ascii="Arial" w:hAnsi="Arial" w:cs="Arial"/>
          <w:i/>
        </w:rPr>
        <w:t>Cash for Containers Quarterly Report,</w:t>
      </w:r>
      <w:r w:rsidRPr="00045461">
        <w:rPr>
          <w:rFonts w:ascii="Arial" w:hAnsi="Arial" w:cs="Arial"/>
        </w:rPr>
        <w:t xml:space="preserve"> Northern Territory Government, Darwin.</w:t>
      </w:r>
    </w:p>
    <w:p w14:paraId="024ECF3F" w14:textId="77777777" w:rsidR="00030089" w:rsidRPr="00045461" w:rsidRDefault="00030089" w:rsidP="00030089">
      <w:pPr>
        <w:spacing w:line="240" w:lineRule="auto"/>
        <w:contextualSpacing/>
        <w:rPr>
          <w:rFonts w:ascii="Arial" w:hAnsi="Arial" w:cs="Arial"/>
          <w:color w:val="000000"/>
        </w:rPr>
      </w:pPr>
    </w:p>
    <w:p w14:paraId="2471477B" w14:textId="77777777" w:rsidR="00030089" w:rsidRPr="00045461" w:rsidRDefault="00030089" w:rsidP="00030089">
      <w:pPr>
        <w:spacing w:line="240" w:lineRule="auto"/>
        <w:contextualSpacing/>
        <w:rPr>
          <w:rFonts w:ascii="Arial" w:hAnsi="Arial" w:cs="Arial"/>
        </w:rPr>
      </w:pPr>
      <w:r w:rsidRPr="00045461">
        <w:rPr>
          <w:rFonts w:ascii="Arial" w:hAnsi="Arial" w:cs="Arial"/>
        </w:rPr>
        <w:t xml:space="preserve">Standing Council on Environment and Water 2011. </w:t>
      </w:r>
      <w:r w:rsidRPr="00045461">
        <w:rPr>
          <w:rFonts w:ascii="Arial" w:hAnsi="Arial" w:cs="Arial"/>
          <w:i/>
        </w:rPr>
        <w:t>Packaging Impacts Consultation Regulation Impact Statement</w:t>
      </w:r>
      <w:r w:rsidRPr="00045461">
        <w:rPr>
          <w:rFonts w:ascii="Arial" w:hAnsi="Arial" w:cs="Arial"/>
        </w:rPr>
        <w:t>. Australian Government, Canberra.</w:t>
      </w:r>
    </w:p>
    <w:p w14:paraId="28CFF7E1" w14:textId="77777777" w:rsidR="00030089" w:rsidRPr="00045461" w:rsidRDefault="00030089" w:rsidP="00030089">
      <w:pPr>
        <w:spacing w:line="240" w:lineRule="auto"/>
        <w:contextualSpacing/>
        <w:rPr>
          <w:rFonts w:ascii="Arial" w:hAnsi="Arial" w:cs="Arial"/>
          <w:color w:val="000000"/>
        </w:rPr>
      </w:pPr>
    </w:p>
    <w:p w14:paraId="4D653413" w14:textId="77777777" w:rsidR="00030089" w:rsidRPr="00045461" w:rsidRDefault="00030089" w:rsidP="00030089">
      <w:pPr>
        <w:spacing w:line="240" w:lineRule="auto"/>
        <w:contextualSpacing/>
        <w:rPr>
          <w:rFonts w:ascii="Arial" w:hAnsi="Arial" w:cs="Arial"/>
          <w:color w:val="000000"/>
        </w:rPr>
      </w:pPr>
      <w:r>
        <w:rPr>
          <w:rFonts w:ascii="Arial" w:hAnsi="Arial" w:cs="Arial"/>
          <w:color w:val="000000"/>
        </w:rPr>
        <w:lastRenderedPageBreak/>
        <w:t>State of Hawaii</w:t>
      </w:r>
      <w:r w:rsidRPr="00045461">
        <w:rPr>
          <w:rFonts w:ascii="Arial" w:hAnsi="Arial" w:cs="Arial"/>
          <w:color w:val="000000"/>
        </w:rPr>
        <w:t>, 2006.</w:t>
      </w:r>
      <w:r w:rsidRPr="00045461">
        <w:rPr>
          <w:rFonts w:ascii="Arial" w:hAnsi="Arial" w:cs="Arial"/>
          <w:b/>
          <w:bCs/>
          <w:color w:val="000000"/>
        </w:rPr>
        <w:t xml:space="preserve"> </w:t>
      </w:r>
      <w:r w:rsidRPr="00045461">
        <w:rPr>
          <w:rFonts w:ascii="Arial" w:hAnsi="Arial" w:cs="Arial"/>
          <w:i/>
          <w:color w:val="000000"/>
        </w:rPr>
        <w:t xml:space="preserve">Beverage container recycling redemption rates. </w:t>
      </w:r>
      <w:r w:rsidRPr="00045461">
        <w:rPr>
          <w:rFonts w:ascii="Arial" w:hAnsi="Arial" w:cs="Arial"/>
          <w:color w:val="000000"/>
        </w:rPr>
        <w:t>Honolulu</w:t>
      </w:r>
      <w:r>
        <w:rPr>
          <w:rFonts w:ascii="Arial" w:hAnsi="Arial" w:cs="Arial"/>
          <w:color w:val="000000"/>
        </w:rPr>
        <w:t>.</w:t>
      </w:r>
    </w:p>
    <w:p w14:paraId="3E8BA5BA" w14:textId="77777777" w:rsidR="00030089" w:rsidRPr="00045461" w:rsidRDefault="00030089" w:rsidP="00030089">
      <w:pPr>
        <w:spacing w:line="240" w:lineRule="auto"/>
        <w:contextualSpacing/>
        <w:rPr>
          <w:rFonts w:ascii="Arial" w:hAnsi="Arial" w:cs="Arial"/>
          <w:color w:val="000000"/>
        </w:rPr>
      </w:pPr>
    </w:p>
    <w:p w14:paraId="0E61AED5" w14:textId="77777777" w:rsidR="00030089" w:rsidRPr="00045461" w:rsidRDefault="00030089" w:rsidP="00030089">
      <w:pPr>
        <w:spacing w:line="240" w:lineRule="auto"/>
        <w:contextualSpacing/>
        <w:rPr>
          <w:rFonts w:ascii="Arial" w:hAnsi="Arial" w:cs="Arial"/>
          <w:color w:val="000000"/>
        </w:rPr>
      </w:pPr>
      <w:r>
        <w:rPr>
          <w:rFonts w:ascii="Arial" w:hAnsi="Arial" w:cs="Arial"/>
          <w:color w:val="000000"/>
        </w:rPr>
        <w:t>State of Hawaii</w:t>
      </w:r>
      <w:r w:rsidRPr="00045461">
        <w:rPr>
          <w:rFonts w:ascii="Arial" w:hAnsi="Arial" w:cs="Arial"/>
          <w:color w:val="000000"/>
        </w:rPr>
        <w:t>, 2011.</w:t>
      </w:r>
      <w:r w:rsidRPr="00045461">
        <w:rPr>
          <w:rFonts w:ascii="Arial" w:hAnsi="Arial" w:cs="Arial"/>
          <w:b/>
          <w:bCs/>
          <w:color w:val="000000"/>
        </w:rPr>
        <w:t xml:space="preserve"> </w:t>
      </w:r>
      <w:r w:rsidRPr="00045461">
        <w:rPr>
          <w:rFonts w:ascii="Arial" w:hAnsi="Arial" w:cs="Arial"/>
          <w:i/>
          <w:color w:val="000000"/>
        </w:rPr>
        <w:t xml:space="preserve">Beverage container recycling redemption rates. </w:t>
      </w:r>
      <w:r w:rsidRPr="00045461">
        <w:rPr>
          <w:rFonts w:ascii="Arial" w:hAnsi="Arial" w:cs="Arial"/>
          <w:color w:val="000000"/>
        </w:rPr>
        <w:t>Honolulu</w:t>
      </w:r>
      <w:r>
        <w:rPr>
          <w:rFonts w:ascii="Arial" w:hAnsi="Arial" w:cs="Arial"/>
          <w:color w:val="000000"/>
        </w:rPr>
        <w:t>.</w:t>
      </w:r>
    </w:p>
    <w:p w14:paraId="547CE82F" w14:textId="77777777" w:rsidR="00030089" w:rsidRPr="00045461" w:rsidRDefault="00030089" w:rsidP="00030089">
      <w:pPr>
        <w:spacing w:line="240" w:lineRule="auto"/>
        <w:contextualSpacing/>
        <w:rPr>
          <w:rFonts w:ascii="Arial" w:hAnsi="Arial" w:cs="Arial"/>
          <w:color w:val="000000"/>
        </w:rPr>
      </w:pPr>
    </w:p>
    <w:p w14:paraId="56E445DD" w14:textId="77777777" w:rsidR="00030089" w:rsidRPr="00045461" w:rsidRDefault="00030089" w:rsidP="00030089">
      <w:pPr>
        <w:spacing w:line="240" w:lineRule="auto"/>
        <w:contextualSpacing/>
        <w:rPr>
          <w:rFonts w:ascii="Arial" w:hAnsi="Arial" w:cs="Arial"/>
          <w:color w:val="000000"/>
        </w:rPr>
      </w:pPr>
      <w:r w:rsidRPr="00045461">
        <w:rPr>
          <w:rFonts w:ascii="Arial" w:hAnsi="Arial" w:cs="Arial"/>
          <w:color w:val="000000"/>
        </w:rPr>
        <w:t xml:space="preserve">State of Israel 2001. </w:t>
      </w:r>
      <w:r w:rsidRPr="00045461">
        <w:rPr>
          <w:rFonts w:ascii="Arial" w:hAnsi="Arial" w:cs="Arial"/>
          <w:i/>
          <w:color w:val="000000"/>
        </w:rPr>
        <w:t xml:space="preserve">Israel Environment Bulletin, Summer/Autumn 2001, Vol 24, No. 3 &amp; 4: Deposit/Return: An Incentive to Recycle </w:t>
      </w:r>
      <w:r w:rsidRPr="00045461">
        <w:rPr>
          <w:rFonts w:ascii="Arial" w:hAnsi="Arial" w:cs="Arial"/>
          <w:color w:val="000000"/>
        </w:rPr>
        <w:t>Ministry of Environmental Protection. Jerusalem</w:t>
      </w:r>
      <w:r>
        <w:rPr>
          <w:rFonts w:ascii="Arial" w:hAnsi="Arial" w:cs="Arial"/>
          <w:color w:val="000000"/>
        </w:rPr>
        <w:t>.</w:t>
      </w:r>
      <w:r w:rsidRPr="00045461">
        <w:rPr>
          <w:rFonts w:ascii="Arial" w:hAnsi="Arial" w:cs="Arial"/>
          <w:color w:val="000000"/>
        </w:rPr>
        <w:t xml:space="preserve"> </w:t>
      </w:r>
    </w:p>
    <w:p w14:paraId="0E59139E" w14:textId="77777777" w:rsidR="00030089" w:rsidRPr="00045461" w:rsidRDefault="00030089" w:rsidP="00030089">
      <w:pPr>
        <w:spacing w:line="240" w:lineRule="auto"/>
        <w:contextualSpacing/>
        <w:rPr>
          <w:rFonts w:ascii="Arial" w:hAnsi="Arial" w:cs="Arial"/>
          <w:color w:val="000000"/>
        </w:rPr>
      </w:pPr>
    </w:p>
    <w:p w14:paraId="0A525032" w14:textId="77777777" w:rsidR="00030089" w:rsidRPr="00045461" w:rsidRDefault="00030089" w:rsidP="00030089">
      <w:pPr>
        <w:spacing w:line="240" w:lineRule="auto"/>
        <w:contextualSpacing/>
        <w:rPr>
          <w:rFonts w:ascii="Arial" w:hAnsi="Arial" w:cs="Arial"/>
          <w:i/>
        </w:rPr>
      </w:pPr>
      <w:r w:rsidRPr="00045461">
        <w:rPr>
          <w:rFonts w:ascii="Arial" w:hAnsi="Arial" w:cs="Arial"/>
        </w:rPr>
        <w:t>Stefan Gabrynowicz, EPA SA</w:t>
      </w:r>
      <w:r w:rsidRPr="00045461">
        <w:rPr>
          <w:rFonts w:ascii="Arial" w:hAnsi="Arial" w:cs="Arial"/>
          <w:i/>
        </w:rPr>
        <w:t xml:space="preserve"> </w:t>
      </w:r>
      <w:r w:rsidRPr="00045461">
        <w:rPr>
          <w:rFonts w:ascii="Arial" w:hAnsi="Arial" w:cs="Arial"/>
        </w:rPr>
        <w:t xml:space="preserve">April 2009. </w:t>
      </w:r>
      <w:r w:rsidRPr="00045461">
        <w:rPr>
          <w:rFonts w:ascii="Arial" w:hAnsi="Arial" w:cs="Arial"/>
          <w:i/>
        </w:rPr>
        <w:t>Economic Costs and Benefits of SA’s Container Deposit System.</w:t>
      </w:r>
    </w:p>
    <w:p w14:paraId="12DB3FB2" w14:textId="77777777" w:rsidR="00030089" w:rsidRPr="00045461" w:rsidRDefault="00030089" w:rsidP="00030089">
      <w:pPr>
        <w:spacing w:line="240" w:lineRule="auto"/>
        <w:contextualSpacing/>
        <w:rPr>
          <w:rFonts w:ascii="Arial" w:hAnsi="Arial" w:cs="Arial"/>
          <w:color w:val="000000"/>
        </w:rPr>
      </w:pPr>
    </w:p>
    <w:p w14:paraId="0027459E" w14:textId="77777777" w:rsidR="00030089" w:rsidRDefault="00030089" w:rsidP="00030089">
      <w:r w:rsidRPr="00045461">
        <w:rPr>
          <w:rFonts w:ascii="Arial" w:hAnsi="Arial" w:cs="Arial"/>
        </w:rPr>
        <w:t xml:space="preserve">White et al, </w:t>
      </w:r>
      <w:r w:rsidRPr="00045461">
        <w:rPr>
          <w:rFonts w:ascii="Arial" w:hAnsi="Arial" w:cs="Arial"/>
          <w:i/>
        </w:rPr>
        <w:t xml:space="preserve">Independent Review of Container deposit Legislation in NSW, Final Report, Vol </w:t>
      </w:r>
      <w:r>
        <w:rPr>
          <w:rFonts w:ascii="Arial" w:hAnsi="Arial" w:cs="Arial"/>
          <w:i/>
        </w:rPr>
        <w:t>II</w:t>
      </w:r>
      <w:r w:rsidRPr="00045461">
        <w:rPr>
          <w:rFonts w:ascii="Arial" w:hAnsi="Arial" w:cs="Arial"/>
        </w:rPr>
        <w:t>, Institute for Sustainable Futures, University of Technology,</w:t>
      </w:r>
      <w:r>
        <w:rPr>
          <w:rFonts w:ascii="Arial" w:hAnsi="Arial" w:cs="Arial"/>
        </w:rPr>
        <w:t xml:space="preserve"> Sydney</w:t>
      </w:r>
    </w:p>
    <w:p w14:paraId="4BA0DA35" w14:textId="77777777" w:rsidR="00030089" w:rsidRPr="00030089" w:rsidRDefault="00030089" w:rsidP="00030089">
      <w:pPr>
        <w:spacing w:after="240"/>
        <w:ind w:left="0" w:firstLine="0"/>
        <w:rPr>
          <w:b/>
          <w:szCs w:val="24"/>
          <w:lang w:val="en-US"/>
        </w:rPr>
      </w:pPr>
    </w:p>
    <w:p w14:paraId="2A188490" w14:textId="054D20C2" w:rsidR="002B68A8" w:rsidRPr="002B68A8" w:rsidRDefault="002B68A8" w:rsidP="001E4511">
      <w:pPr>
        <w:ind w:left="0" w:firstLine="0"/>
        <w:rPr>
          <w:b/>
          <w:szCs w:val="24"/>
          <w:lang w:val="en-US"/>
        </w:rPr>
      </w:pPr>
    </w:p>
    <w:sectPr w:rsidR="002B68A8" w:rsidRPr="002B68A8" w:rsidSect="009F7EE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BDBC0" w14:textId="77777777" w:rsidR="00290CD0" w:rsidRDefault="00290CD0" w:rsidP="003F2895">
      <w:pPr>
        <w:spacing w:after="0" w:line="240" w:lineRule="auto"/>
      </w:pPr>
      <w:r>
        <w:separator/>
      </w:r>
    </w:p>
  </w:endnote>
  <w:endnote w:type="continuationSeparator" w:id="0">
    <w:p w14:paraId="32517E84" w14:textId="77777777" w:rsidR="00290CD0" w:rsidRDefault="00290CD0" w:rsidP="003F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MS ??">
    <w:altName w:val="Arial Unicode MS"/>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839DB" w14:textId="77777777" w:rsidR="00290CD0" w:rsidRDefault="00290CD0">
    <w:pPr>
      <w:pStyle w:val="Footer"/>
      <w:jc w:val="center"/>
    </w:pPr>
  </w:p>
  <w:p w14:paraId="341042BA" w14:textId="77777777" w:rsidR="00290CD0" w:rsidRDefault="00290CD0" w:rsidP="00854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E27E7" w14:textId="77777777" w:rsidR="00290CD0" w:rsidRDefault="00290CD0" w:rsidP="003F2895">
      <w:pPr>
        <w:spacing w:after="0" w:line="240" w:lineRule="auto"/>
      </w:pPr>
      <w:r>
        <w:separator/>
      </w:r>
    </w:p>
  </w:footnote>
  <w:footnote w:type="continuationSeparator" w:id="0">
    <w:p w14:paraId="16257DF3" w14:textId="77777777" w:rsidR="00290CD0" w:rsidRDefault="00290CD0" w:rsidP="003F2895">
      <w:pPr>
        <w:spacing w:after="0" w:line="240" w:lineRule="auto"/>
      </w:pPr>
      <w:r>
        <w:continuationSeparator/>
      </w:r>
    </w:p>
  </w:footnote>
  <w:footnote w:id="1">
    <w:p w14:paraId="277C7833" w14:textId="77777777" w:rsidR="00290CD0" w:rsidRDefault="00290CD0" w:rsidP="00030089">
      <w:pPr>
        <w:pStyle w:val="FootnoteText"/>
        <w:spacing w:after="80"/>
        <w:rPr>
          <w:sz w:val="16"/>
          <w:szCs w:val="16"/>
        </w:rPr>
      </w:pPr>
      <w:r>
        <w:rPr>
          <w:rStyle w:val="FootnoteReference"/>
          <w:sz w:val="16"/>
          <w:szCs w:val="16"/>
        </w:rPr>
        <w:t>[1]</w:t>
      </w:r>
      <w:r>
        <w:rPr>
          <w:sz w:val="16"/>
          <w:szCs w:val="16"/>
        </w:rPr>
        <w:t xml:space="preserve"> Standing Council on Environment and Water 2011. </w:t>
      </w:r>
      <w:r>
        <w:rPr>
          <w:i/>
          <w:iCs/>
          <w:sz w:val="16"/>
          <w:szCs w:val="16"/>
        </w:rPr>
        <w:t>Packaging Impacts Consultation Regulation Impact Statement</w:t>
      </w:r>
      <w:r>
        <w:rPr>
          <w:sz w:val="16"/>
          <w:szCs w:val="16"/>
        </w:rPr>
        <w:t xml:space="preserve">. Canberra. </w:t>
      </w:r>
    </w:p>
    <w:p w14:paraId="6D1C0C8C" w14:textId="77777777" w:rsidR="00290CD0" w:rsidRDefault="00290CD0" w:rsidP="00030089">
      <w:pPr>
        <w:pStyle w:val="FootnoteText"/>
        <w:spacing w:after="80" w:line="360" w:lineRule="auto"/>
        <w:ind w:firstLine="284"/>
        <w:rPr>
          <w:sz w:val="16"/>
          <w:szCs w:val="16"/>
        </w:rPr>
      </w:pPr>
    </w:p>
  </w:footnote>
  <w:footnote w:id="2">
    <w:p w14:paraId="681A56C3" w14:textId="77777777" w:rsidR="00290CD0" w:rsidRPr="00F73181" w:rsidRDefault="00290CD0" w:rsidP="00030089">
      <w:pPr>
        <w:pStyle w:val="FootnoteText"/>
        <w:rPr>
          <w:rFonts w:cs="Arial"/>
          <w:color w:val="000000"/>
          <w:sz w:val="16"/>
          <w:szCs w:val="16"/>
          <w:lang w:val="en-AU"/>
        </w:rPr>
      </w:pPr>
      <w:r w:rsidRPr="00DC7F17">
        <w:rPr>
          <w:rStyle w:val="FootnoteReference"/>
          <w:sz w:val="16"/>
          <w:szCs w:val="16"/>
        </w:rPr>
        <w:footnoteRef/>
      </w:r>
      <w:r w:rsidRPr="00DC7F17">
        <w:rPr>
          <w:sz w:val="16"/>
          <w:szCs w:val="16"/>
        </w:rPr>
        <w:t xml:space="preserve"> </w:t>
      </w:r>
      <w:r w:rsidRPr="00DC7F17">
        <w:rPr>
          <w:rFonts w:cs="Arial"/>
          <w:color w:val="000000"/>
          <w:sz w:val="16"/>
          <w:szCs w:val="16"/>
          <w:lang w:val="en-AU"/>
        </w:rPr>
        <w:t xml:space="preserve">Australian Packaging Covenant Council, 2011. </w:t>
      </w:r>
      <w:r w:rsidRPr="00DC7F17">
        <w:rPr>
          <w:rFonts w:cs="Arial"/>
          <w:i/>
          <w:iCs/>
          <w:color w:val="000000"/>
          <w:sz w:val="16"/>
          <w:szCs w:val="16"/>
          <w:lang w:val="en-AU"/>
        </w:rPr>
        <w:t xml:space="preserve">The National Packaging Covenant 2010-11 Annual Report, </w:t>
      </w:r>
      <w:r w:rsidRPr="00DC7F17">
        <w:rPr>
          <w:rFonts w:cs="Arial"/>
          <w:color w:val="000000"/>
          <w:sz w:val="16"/>
          <w:szCs w:val="16"/>
          <w:lang w:val="en-AU"/>
        </w:rPr>
        <w:t>Australian Packaging Covenant Council, Sydney.</w:t>
      </w:r>
    </w:p>
    <w:p w14:paraId="557F5313" w14:textId="77777777" w:rsidR="00290CD0" w:rsidRPr="00F73181" w:rsidRDefault="00290CD0" w:rsidP="00030089">
      <w:pPr>
        <w:pStyle w:val="FootnoteText"/>
        <w:rPr>
          <w:sz w:val="16"/>
          <w:szCs w:val="16"/>
          <w:lang w:val="en-AU"/>
        </w:rPr>
      </w:pPr>
    </w:p>
  </w:footnote>
  <w:footnote w:id="3">
    <w:p w14:paraId="10A2F0BF" w14:textId="77777777" w:rsidR="00290CD0" w:rsidRPr="00F73181" w:rsidRDefault="00290CD0" w:rsidP="00030089">
      <w:pPr>
        <w:pStyle w:val="FootnoteText"/>
        <w:rPr>
          <w:sz w:val="16"/>
          <w:szCs w:val="16"/>
          <w:lang w:val="en-AU"/>
        </w:rPr>
      </w:pPr>
      <w:r w:rsidRPr="00DC7F17">
        <w:rPr>
          <w:rStyle w:val="FootnoteReference"/>
          <w:sz w:val="16"/>
          <w:szCs w:val="16"/>
        </w:rPr>
        <w:footnoteRef/>
      </w:r>
      <w:r w:rsidRPr="00DC7F17">
        <w:rPr>
          <w:sz w:val="16"/>
          <w:szCs w:val="16"/>
        </w:rPr>
        <w:t xml:space="preserve"> </w:t>
      </w:r>
      <w:r w:rsidRPr="00DC7F17">
        <w:rPr>
          <w:rFonts w:cs="Arial"/>
          <w:color w:val="000000"/>
          <w:sz w:val="16"/>
          <w:szCs w:val="16"/>
          <w:lang w:val="en-AU"/>
        </w:rPr>
        <w:t xml:space="preserve">Australian Packaging Covenant Council, 2011. </w:t>
      </w:r>
      <w:r w:rsidRPr="00DC7F17">
        <w:rPr>
          <w:rFonts w:cs="Arial"/>
          <w:i/>
          <w:iCs/>
          <w:color w:val="000000"/>
          <w:sz w:val="16"/>
          <w:szCs w:val="16"/>
          <w:lang w:val="en-AU"/>
        </w:rPr>
        <w:t xml:space="preserve">The National Packaging Covenant 2010-11 Annual Report, </w:t>
      </w:r>
      <w:r w:rsidRPr="00DC7F17">
        <w:rPr>
          <w:rFonts w:cs="Arial"/>
          <w:color w:val="000000"/>
          <w:sz w:val="16"/>
          <w:szCs w:val="16"/>
          <w:lang w:val="en-AU"/>
        </w:rPr>
        <w:t>Australian Packaging Covenant Council, Sydney.</w:t>
      </w:r>
    </w:p>
    <w:p w14:paraId="55FA97FE" w14:textId="77777777" w:rsidR="00290CD0" w:rsidRPr="00F73181" w:rsidRDefault="00290CD0" w:rsidP="00030089">
      <w:pPr>
        <w:pStyle w:val="FootnoteText"/>
        <w:rPr>
          <w:sz w:val="16"/>
          <w:szCs w:val="16"/>
          <w:lang w:val="en-AU"/>
        </w:rPr>
      </w:pPr>
    </w:p>
  </w:footnote>
  <w:footnote w:id="4">
    <w:p w14:paraId="09A5C57E" w14:textId="77777777" w:rsidR="00290CD0" w:rsidRPr="00F73181" w:rsidRDefault="00290CD0" w:rsidP="00030089">
      <w:pPr>
        <w:pStyle w:val="FootnoteText"/>
        <w:rPr>
          <w:sz w:val="16"/>
          <w:szCs w:val="16"/>
          <w:lang w:val="en-AU"/>
        </w:rPr>
      </w:pPr>
      <w:r w:rsidRPr="00DC7F17">
        <w:rPr>
          <w:rStyle w:val="FootnoteReference"/>
          <w:sz w:val="16"/>
          <w:szCs w:val="16"/>
        </w:rPr>
        <w:footnoteRef/>
      </w:r>
      <w:r w:rsidRPr="00DC7F17">
        <w:rPr>
          <w:sz w:val="16"/>
          <w:szCs w:val="16"/>
        </w:rPr>
        <w:t xml:space="preserve"> </w:t>
      </w:r>
      <w:r w:rsidRPr="00DC7F17">
        <w:rPr>
          <w:sz w:val="16"/>
          <w:szCs w:val="16"/>
          <w:lang w:val="en-AU"/>
        </w:rPr>
        <w:t xml:space="preserve">Environment Protection and Heritage Council, 2010. </w:t>
      </w:r>
      <w:r w:rsidRPr="00DC7F17">
        <w:rPr>
          <w:i/>
          <w:sz w:val="16"/>
          <w:szCs w:val="16"/>
          <w:lang w:val="en-AU"/>
        </w:rPr>
        <w:t>National Waste Report 2010</w:t>
      </w:r>
      <w:r w:rsidRPr="00DC7F17">
        <w:rPr>
          <w:sz w:val="16"/>
          <w:szCs w:val="16"/>
          <w:lang w:val="en-AU"/>
        </w:rPr>
        <w:t>, Australian Government, Canberra. p 28</w:t>
      </w:r>
      <w:r>
        <w:rPr>
          <w:sz w:val="16"/>
          <w:szCs w:val="16"/>
          <w:lang w:val="en-AU"/>
        </w:rPr>
        <w:t>.</w:t>
      </w:r>
    </w:p>
    <w:p w14:paraId="37961A90" w14:textId="77777777" w:rsidR="00290CD0" w:rsidRPr="00F73181" w:rsidRDefault="00290CD0" w:rsidP="00030089">
      <w:pPr>
        <w:pStyle w:val="FootnoteText"/>
        <w:rPr>
          <w:sz w:val="16"/>
          <w:szCs w:val="16"/>
          <w:lang w:val="en-AU"/>
        </w:rPr>
      </w:pPr>
    </w:p>
  </w:footnote>
  <w:footnote w:id="5">
    <w:p w14:paraId="1485CB1A" w14:textId="77777777" w:rsidR="00290CD0" w:rsidRPr="00F73181" w:rsidRDefault="00290CD0" w:rsidP="00030089">
      <w:pPr>
        <w:pStyle w:val="FootnoteText"/>
        <w:rPr>
          <w:sz w:val="16"/>
          <w:szCs w:val="16"/>
          <w:lang w:val="en-AU"/>
        </w:rPr>
      </w:pPr>
      <w:r w:rsidRPr="00DC7F17">
        <w:rPr>
          <w:rStyle w:val="FootnoteReference"/>
          <w:sz w:val="16"/>
          <w:szCs w:val="16"/>
        </w:rPr>
        <w:footnoteRef/>
      </w:r>
      <w:r w:rsidRPr="00DC7F17">
        <w:rPr>
          <w:sz w:val="16"/>
          <w:szCs w:val="16"/>
        </w:rPr>
        <w:t xml:space="preserve"> </w:t>
      </w:r>
      <w:r>
        <w:rPr>
          <w:sz w:val="16"/>
          <w:szCs w:val="16"/>
          <w:lang w:val="en-AU"/>
        </w:rPr>
        <w:t>ibid</w:t>
      </w:r>
      <w:r w:rsidRPr="00DC7F17">
        <w:rPr>
          <w:sz w:val="16"/>
          <w:szCs w:val="16"/>
          <w:lang w:val="en-AU"/>
        </w:rPr>
        <w:t>. p 131</w:t>
      </w:r>
      <w:r>
        <w:rPr>
          <w:sz w:val="16"/>
          <w:szCs w:val="16"/>
          <w:lang w:val="en-AU"/>
        </w:rPr>
        <w:t>.</w:t>
      </w:r>
    </w:p>
    <w:p w14:paraId="6BCD4E2E" w14:textId="77777777" w:rsidR="00290CD0" w:rsidRPr="00F73181" w:rsidRDefault="00290CD0" w:rsidP="00030089">
      <w:pPr>
        <w:pStyle w:val="FootnoteText"/>
        <w:rPr>
          <w:sz w:val="16"/>
          <w:szCs w:val="16"/>
          <w:lang w:val="en-AU"/>
        </w:rPr>
      </w:pPr>
    </w:p>
  </w:footnote>
  <w:footnote w:id="6">
    <w:p w14:paraId="3E3D1B38" w14:textId="77777777" w:rsidR="00290CD0" w:rsidRDefault="00290CD0" w:rsidP="00030089">
      <w:pPr>
        <w:pStyle w:val="FootnoteText"/>
        <w:spacing w:after="80"/>
        <w:rPr>
          <w:rFonts w:cs="Arial"/>
          <w:sz w:val="16"/>
          <w:szCs w:val="16"/>
        </w:rPr>
      </w:pPr>
      <w:r w:rsidRPr="00DC7F17">
        <w:rPr>
          <w:rStyle w:val="FootnoteReference"/>
          <w:rFonts w:cs="Arial"/>
          <w:sz w:val="16"/>
          <w:szCs w:val="16"/>
        </w:rPr>
        <w:footnoteRef/>
      </w:r>
      <w:r w:rsidRPr="00DC7F17">
        <w:rPr>
          <w:rFonts w:cs="Arial"/>
          <w:sz w:val="16"/>
          <w:szCs w:val="16"/>
        </w:rPr>
        <w:t xml:space="preserve"> Hyder Consulting, Sep 2008. </w:t>
      </w:r>
      <w:r w:rsidRPr="00DC7F17">
        <w:rPr>
          <w:rFonts w:cs="Arial"/>
          <w:i/>
          <w:sz w:val="16"/>
          <w:szCs w:val="16"/>
        </w:rPr>
        <w:t>Australian Beverage Packaging Consumption Recovery and Recycling Quantification Study</w:t>
      </w:r>
      <w:r w:rsidRPr="00DC7F17">
        <w:rPr>
          <w:rFonts w:cs="Arial"/>
          <w:sz w:val="16"/>
          <w:szCs w:val="16"/>
        </w:rPr>
        <w:t>, Packaging Stewardship Forum for the Australian Food and Grocery Council.</w:t>
      </w:r>
    </w:p>
    <w:p w14:paraId="494A0B62" w14:textId="77777777" w:rsidR="00290CD0" w:rsidRDefault="00290CD0" w:rsidP="00030089">
      <w:pPr>
        <w:pStyle w:val="FootnoteText"/>
        <w:rPr>
          <w:sz w:val="16"/>
          <w:szCs w:val="16"/>
        </w:rPr>
      </w:pPr>
    </w:p>
  </w:footnote>
  <w:footnote w:id="7">
    <w:p w14:paraId="38A398DA" w14:textId="77777777" w:rsidR="00290CD0" w:rsidRPr="00F73181" w:rsidRDefault="00290CD0" w:rsidP="00030089">
      <w:pPr>
        <w:pStyle w:val="FootnoteText"/>
        <w:rPr>
          <w:rFonts w:cs="Arial"/>
          <w:bCs/>
          <w:sz w:val="16"/>
          <w:szCs w:val="16"/>
          <w:lang w:val="en-AU"/>
        </w:rPr>
      </w:pPr>
      <w:r w:rsidRPr="00DC7F17">
        <w:rPr>
          <w:rStyle w:val="FootnoteReference"/>
          <w:sz w:val="16"/>
          <w:szCs w:val="16"/>
        </w:rPr>
        <w:footnoteRef/>
      </w:r>
      <w:r w:rsidRPr="00DC7F17">
        <w:rPr>
          <w:sz w:val="16"/>
          <w:szCs w:val="16"/>
        </w:rPr>
        <w:t xml:space="preserve"> </w:t>
      </w:r>
      <w:r w:rsidRPr="00DC7F17">
        <w:rPr>
          <w:rFonts w:cs="Arial"/>
          <w:sz w:val="16"/>
          <w:szCs w:val="16"/>
          <w:lang w:val="en-AU"/>
        </w:rPr>
        <w:t xml:space="preserve">National Environmental Protection Council, 2011. </w:t>
      </w:r>
      <w:r w:rsidRPr="00DC7F17">
        <w:rPr>
          <w:rFonts w:cs="Arial"/>
          <w:bCs/>
          <w:i/>
          <w:sz w:val="16"/>
          <w:szCs w:val="16"/>
          <w:lang w:val="en-AU"/>
        </w:rPr>
        <w:t xml:space="preserve">Annual Report 2010 – 2011. </w:t>
      </w:r>
      <w:r w:rsidRPr="00DC7F17">
        <w:rPr>
          <w:rFonts w:cs="Arial"/>
          <w:bCs/>
          <w:sz w:val="16"/>
          <w:szCs w:val="16"/>
          <w:lang w:val="en-AU"/>
        </w:rPr>
        <w:t>Australian Government, Canberra.</w:t>
      </w:r>
    </w:p>
    <w:p w14:paraId="772BAC66" w14:textId="77777777" w:rsidR="00290CD0" w:rsidRPr="00F73181" w:rsidRDefault="00290CD0" w:rsidP="00030089">
      <w:pPr>
        <w:pStyle w:val="FootnoteText"/>
        <w:rPr>
          <w:sz w:val="16"/>
          <w:szCs w:val="16"/>
          <w:lang w:val="en-AU"/>
        </w:rPr>
      </w:pPr>
    </w:p>
  </w:footnote>
  <w:footnote w:id="8">
    <w:p w14:paraId="6181B0A6" w14:textId="77777777" w:rsidR="00290CD0" w:rsidRPr="00F73181" w:rsidRDefault="00290CD0" w:rsidP="00030089">
      <w:pPr>
        <w:pStyle w:val="FootnoteText"/>
        <w:rPr>
          <w:rFonts w:cs="Arial"/>
          <w:sz w:val="16"/>
          <w:szCs w:val="16"/>
        </w:rPr>
      </w:pPr>
      <w:r w:rsidRPr="00DC7F17">
        <w:rPr>
          <w:rStyle w:val="FootnoteReference"/>
          <w:sz w:val="16"/>
          <w:szCs w:val="16"/>
        </w:rPr>
        <w:footnoteRef/>
      </w:r>
      <w:r w:rsidRPr="00DC7F17">
        <w:rPr>
          <w:sz w:val="16"/>
          <w:szCs w:val="16"/>
        </w:rPr>
        <w:t xml:space="preserve"> </w:t>
      </w:r>
      <w:r w:rsidRPr="00DC7F17">
        <w:rPr>
          <w:rFonts w:cs="Arial"/>
          <w:sz w:val="16"/>
          <w:szCs w:val="16"/>
        </w:rPr>
        <w:t xml:space="preserve">Kerbside recycling, in contrast to a CDS, is affected significantly by ‘contamination’, so that the recycling rate of materials </w:t>
      </w:r>
      <w:r w:rsidRPr="00DC7F17">
        <w:rPr>
          <w:rFonts w:cs="Arial"/>
          <w:i/>
          <w:sz w:val="16"/>
          <w:szCs w:val="16"/>
        </w:rPr>
        <w:t>recycled</w:t>
      </w:r>
      <w:r w:rsidRPr="00DC7F17">
        <w:rPr>
          <w:rFonts w:cs="Arial"/>
          <w:sz w:val="16"/>
          <w:szCs w:val="16"/>
        </w:rPr>
        <w:t xml:space="preserve"> would be less than that </w:t>
      </w:r>
      <w:r w:rsidRPr="00DC7F17">
        <w:rPr>
          <w:rFonts w:cs="Arial"/>
          <w:i/>
          <w:sz w:val="16"/>
          <w:szCs w:val="16"/>
        </w:rPr>
        <w:t>recovered</w:t>
      </w:r>
      <w:r w:rsidRPr="00DC7F17">
        <w:rPr>
          <w:rFonts w:cs="Arial"/>
          <w:sz w:val="16"/>
          <w:szCs w:val="16"/>
        </w:rPr>
        <w:t>.</w:t>
      </w:r>
    </w:p>
    <w:p w14:paraId="4762CA36" w14:textId="77777777" w:rsidR="00290CD0" w:rsidRPr="00F73181" w:rsidRDefault="00290CD0" w:rsidP="00030089">
      <w:pPr>
        <w:pStyle w:val="FootnoteText"/>
        <w:rPr>
          <w:sz w:val="16"/>
          <w:szCs w:val="16"/>
          <w:lang w:val="en-AU"/>
        </w:rPr>
      </w:pPr>
    </w:p>
  </w:footnote>
  <w:footnote w:id="9">
    <w:p w14:paraId="33F467C3" w14:textId="77777777" w:rsidR="00290CD0" w:rsidRPr="00F73181" w:rsidRDefault="00290CD0" w:rsidP="00030089">
      <w:pPr>
        <w:pStyle w:val="FootnoteText"/>
        <w:rPr>
          <w:rFonts w:cs="Arial"/>
          <w:sz w:val="16"/>
          <w:szCs w:val="16"/>
        </w:rPr>
      </w:pPr>
      <w:r w:rsidRPr="00DC7F17">
        <w:rPr>
          <w:rStyle w:val="FootnoteReference"/>
          <w:sz w:val="16"/>
          <w:szCs w:val="16"/>
        </w:rPr>
        <w:footnoteRef/>
      </w:r>
      <w:r w:rsidRPr="00DC7F17">
        <w:rPr>
          <w:sz w:val="16"/>
          <w:szCs w:val="16"/>
        </w:rPr>
        <w:t xml:space="preserve"> </w:t>
      </w:r>
      <w:r w:rsidRPr="00DC7F17">
        <w:rPr>
          <w:rFonts w:cs="Arial"/>
          <w:sz w:val="16"/>
          <w:szCs w:val="16"/>
        </w:rPr>
        <w:t xml:space="preserve">Standing Council on Environment and Water 2011. </w:t>
      </w:r>
      <w:r w:rsidRPr="00DC7F17">
        <w:rPr>
          <w:rFonts w:cs="Arial"/>
          <w:i/>
          <w:sz w:val="16"/>
          <w:szCs w:val="16"/>
        </w:rPr>
        <w:t>Packaging Impacts Consultation Regulation Impact Statement</w:t>
      </w:r>
      <w:r w:rsidRPr="00DC7F17">
        <w:rPr>
          <w:rFonts w:cs="Arial"/>
          <w:sz w:val="16"/>
          <w:szCs w:val="16"/>
        </w:rPr>
        <w:t>. Australian Government, Canberra. Attachment A. pp 74-9.</w:t>
      </w:r>
    </w:p>
    <w:p w14:paraId="423D7E21" w14:textId="77777777" w:rsidR="00290CD0" w:rsidRPr="00F73181" w:rsidRDefault="00290CD0" w:rsidP="00030089">
      <w:pPr>
        <w:pStyle w:val="FootnoteText"/>
        <w:rPr>
          <w:sz w:val="16"/>
          <w:szCs w:val="16"/>
          <w:lang w:val="en-AU"/>
        </w:rPr>
      </w:pPr>
    </w:p>
  </w:footnote>
  <w:footnote w:id="10">
    <w:p w14:paraId="4C1C8D1B" w14:textId="77777777" w:rsidR="00290CD0" w:rsidRPr="00F73181" w:rsidRDefault="00290CD0" w:rsidP="00030089">
      <w:pPr>
        <w:pStyle w:val="FootnoteText"/>
        <w:rPr>
          <w:rFonts w:asciiTheme="minorHAnsi" w:hAnsiTheme="minorHAnsi"/>
          <w:sz w:val="16"/>
          <w:szCs w:val="16"/>
        </w:rPr>
      </w:pPr>
      <w:r w:rsidRPr="00DC7F17">
        <w:rPr>
          <w:rStyle w:val="FootnoteReference"/>
          <w:rFonts w:cs="Arial"/>
          <w:sz w:val="16"/>
          <w:szCs w:val="16"/>
        </w:rPr>
        <w:footnoteRef/>
      </w:r>
      <w:r w:rsidRPr="00F73181">
        <w:rPr>
          <w:rFonts w:asciiTheme="minorHAnsi" w:hAnsiTheme="minorHAnsi"/>
          <w:sz w:val="16"/>
          <w:szCs w:val="16"/>
        </w:rPr>
        <w:t xml:space="preserve"> </w:t>
      </w:r>
      <w:r w:rsidRPr="00DC7F17">
        <w:rPr>
          <w:rFonts w:cs="Arial"/>
          <w:sz w:val="16"/>
          <w:szCs w:val="16"/>
          <w:lang w:val="en-AU"/>
        </w:rPr>
        <w:t xml:space="preserve">National Environmental Protection Council, 2011. </w:t>
      </w:r>
      <w:r w:rsidRPr="00DC7F17">
        <w:rPr>
          <w:rFonts w:cs="Arial"/>
          <w:bCs/>
          <w:i/>
          <w:sz w:val="16"/>
          <w:szCs w:val="16"/>
          <w:lang w:val="en-AU"/>
        </w:rPr>
        <w:t xml:space="preserve">Annual Report 2010 – 2011. </w:t>
      </w:r>
      <w:r w:rsidRPr="00DC7F17">
        <w:rPr>
          <w:rFonts w:cs="Arial"/>
          <w:bCs/>
          <w:sz w:val="16"/>
          <w:szCs w:val="16"/>
          <w:lang w:val="en-AU"/>
        </w:rPr>
        <w:t>Australian Government, Canberra</w:t>
      </w:r>
    </w:p>
    <w:p w14:paraId="7E5E2BD5" w14:textId="77777777" w:rsidR="00290CD0" w:rsidRPr="00F73181" w:rsidRDefault="00290CD0" w:rsidP="00030089">
      <w:pPr>
        <w:pStyle w:val="FootnoteText"/>
        <w:rPr>
          <w:rFonts w:asciiTheme="minorHAnsi" w:hAnsiTheme="minorHAnsi"/>
          <w:sz w:val="16"/>
          <w:szCs w:val="16"/>
        </w:rPr>
      </w:pPr>
    </w:p>
  </w:footnote>
  <w:footnote w:id="11">
    <w:p w14:paraId="7DC48136" w14:textId="77777777" w:rsidR="00290CD0" w:rsidRPr="00F73181" w:rsidRDefault="00290CD0" w:rsidP="00030089">
      <w:pPr>
        <w:pStyle w:val="FootnoteText"/>
        <w:spacing w:after="80"/>
        <w:rPr>
          <w:rFonts w:cs="Arial"/>
          <w:sz w:val="16"/>
          <w:szCs w:val="16"/>
        </w:rPr>
      </w:pPr>
      <w:r w:rsidRPr="00DC7F17">
        <w:rPr>
          <w:rStyle w:val="FootnoteReference"/>
          <w:rFonts w:cs="Arial"/>
          <w:sz w:val="16"/>
          <w:szCs w:val="16"/>
        </w:rPr>
        <w:footnoteRef/>
      </w:r>
      <w:r w:rsidRPr="00F73181">
        <w:rPr>
          <w:rFonts w:asciiTheme="minorHAnsi" w:hAnsiTheme="minorHAnsi"/>
          <w:sz w:val="16"/>
          <w:szCs w:val="16"/>
        </w:rPr>
        <w:t xml:space="preserve"> </w:t>
      </w:r>
      <w:r w:rsidRPr="00DC7F17">
        <w:rPr>
          <w:rFonts w:cs="Arial"/>
          <w:sz w:val="16"/>
          <w:szCs w:val="16"/>
        </w:rPr>
        <w:t xml:space="preserve">Based on splits estimated by Standing Council on Environment and Water 2011. </w:t>
      </w:r>
      <w:r w:rsidRPr="00DC7F17">
        <w:rPr>
          <w:rFonts w:cs="Arial"/>
          <w:i/>
          <w:sz w:val="16"/>
          <w:szCs w:val="16"/>
        </w:rPr>
        <w:t>Packaging Impacts Consultation Regulation Impact Statement</w:t>
      </w:r>
      <w:r w:rsidRPr="00DC7F17">
        <w:rPr>
          <w:rFonts w:cs="Arial"/>
          <w:sz w:val="16"/>
          <w:szCs w:val="16"/>
        </w:rPr>
        <w:t xml:space="preserve">. Australian Government, Canberra. </w:t>
      </w:r>
    </w:p>
    <w:p w14:paraId="769DF7F7" w14:textId="77777777" w:rsidR="00290CD0" w:rsidRPr="00F73181" w:rsidRDefault="00290CD0" w:rsidP="00030089">
      <w:pPr>
        <w:pStyle w:val="FootnoteText"/>
        <w:rPr>
          <w:rFonts w:asciiTheme="minorHAnsi" w:hAnsiTheme="minorHAnsi"/>
          <w:sz w:val="16"/>
          <w:szCs w:val="16"/>
        </w:rPr>
      </w:pPr>
    </w:p>
  </w:footnote>
  <w:footnote w:id="12">
    <w:p w14:paraId="253EA89B" w14:textId="77777777" w:rsidR="00290CD0" w:rsidRDefault="00290CD0" w:rsidP="00030089">
      <w:pPr>
        <w:pStyle w:val="FootnoteText"/>
        <w:rPr>
          <w:rFonts w:cs="Arial"/>
          <w:sz w:val="16"/>
          <w:szCs w:val="16"/>
        </w:rPr>
      </w:pPr>
      <w:r w:rsidRPr="00DC7F17">
        <w:rPr>
          <w:rStyle w:val="FootnoteReference"/>
          <w:sz w:val="16"/>
          <w:szCs w:val="16"/>
        </w:rPr>
        <w:footnoteRef/>
      </w:r>
      <w:r w:rsidRPr="00DC7F17">
        <w:rPr>
          <w:sz w:val="16"/>
          <w:szCs w:val="16"/>
        </w:rPr>
        <w:t xml:space="preserve"> </w:t>
      </w:r>
      <w:r>
        <w:rPr>
          <w:rFonts w:cs="Arial"/>
          <w:sz w:val="16"/>
          <w:szCs w:val="16"/>
        </w:rPr>
        <w:t>T</w:t>
      </w:r>
      <w:r w:rsidRPr="00DC7F17">
        <w:rPr>
          <w:rFonts w:cs="Arial"/>
          <w:sz w:val="16"/>
          <w:szCs w:val="16"/>
        </w:rPr>
        <w:t>he consumption of beverage containers is growing slowly</w:t>
      </w:r>
      <w:r>
        <w:rPr>
          <w:rFonts w:cs="Arial"/>
          <w:sz w:val="16"/>
          <w:szCs w:val="16"/>
        </w:rPr>
        <w:t xml:space="preserve">. It is </w:t>
      </w:r>
      <w:r w:rsidRPr="00DC7F17">
        <w:rPr>
          <w:rFonts w:cs="Arial"/>
          <w:sz w:val="16"/>
          <w:szCs w:val="16"/>
        </w:rPr>
        <w:t>projected at less than 1% growth per annum</w:t>
      </w:r>
      <w:r>
        <w:rPr>
          <w:rFonts w:cs="Arial"/>
          <w:sz w:val="16"/>
          <w:szCs w:val="16"/>
        </w:rPr>
        <w:t xml:space="preserve"> by</w:t>
      </w:r>
      <w:r w:rsidRPr="00DC7F17">
        <w:rPr>
          <w:rFonts w:cs="Arial"/>
          <w:sz w:val="16"/>
          <w:szCs w:val="16"/>
        </w:rPr>
        <w:t xml:space="preserve"> Standing Council on Environment and Water 2011. </w:t>
      </w:r>
      <w:r w:rsidRPr="00DC7F17">
        <w:rPr>
          <w:rFonts w:cs="Arial"/>
          <w:i/>
          <w:sz w:val="16"/>
          <w:szCs w:val="16"/>
        </w:rPr>
        <w:t>Packaging Impacts Consultation Regulation Impact Statement</w:t>
      </w:r>
      <w:r w:rsidRPr="00DC7F17">
        <w:rPr>
          <w:rFonts w:cs="Arial"/>
          <w:sz w:val="16"/>
          <w:szCs w:val="16"/>
        </w:rPr>
        <w:t>. Canberra.</w:t>
      </w:r>
      <w:r>
        <w:rPr>
          <w:rFonts w:cs="Arial"/>
          <w:sz w:val="16"/>
          <w:szCs w:val="16"/>
        </w:rPr>
        <w:t xml:space="preserve"> </w:t>
      </w:r>
      <w:r w:rsidRPr="00DC7F17">
        <w:rPr>
          <w:rFonts w:cs="Arial"/>
          <w:sz w:val="16"/>
          <w:szCs w:val="16"/>
        </w:rPr>
        <w:t>Attachment C</w:t>
      </w:r>
      <w:r>
        <w:rPr>
          <w:rFonts w:cs="Arial"/>
          <w:sz w:val="16"/>
          <w:szCs w:val="16"/>
        </w:rPr>
        <w:t>.</w:t>
      </w:r>
    </w:p>
    <w:p w14:paraId="6FD70F1C" w14:textId="77777777" w:rsidR="00290CD0" w:rsidRPr="00F73181" w:rsidRDefault="00290CD0" w:rsidP="00030089">
      <w:pPr>
        <w:pStyle w:val="FootnoteText"/>
        <w:rPr>
          <w:sz w:val="16"/>
          <w:szCs w:val="16"/>
          <w:lang w:val="en-AU"/>
        </w:rPr>
      </w:pPr>
    </w:p>
  </w:footnote>
  <w:footnote w:id="13">
    <w:p w14:paraId="286B85FB" w14:textId="77777777" w:rsidR="00290CD0" w:rsidRPr="00F73181" w:rsidRDefault="00290CD0" w:rsidP="00030089">
      <w:pPr>
        <w:pStyle w:val="FootnoteText"/>
        <w:spacing w:after="80" w:line="360" w:lineRule="auto"/>
        <w:rPr>
          <w:sz w:val="16"/>
          <w:szCs w:val="16"/>
        </w:rPr>
      </w:pPr>
      <w:r w:rsidRPr="00DC7F17">
        <w:rPr>
          <w:rStyle w:val="FootnoteReference"/>
          <w:rFonts w:cs="Arial"/>
          <w:sz w:val="16"/>
          <w:szCs w:val="16"/>
        </w:rPr>
        <w:footnoteRef/>
      </w:r>
      <w:r w:rsidRPr="00DC7F17">
        <w:rPr>
          <w:rFonts w:cs="Arial"/>
          <w:sz w:val="16"/>
          <w:szCs w:val="16"/>
        </w:rPr>
        <w:t xml:space="preserve"> Northern Territory Government 2013. </w:t>
      </w:r>
      <w:r w:rsidRPr="00DC7F17">
        <w:rPr>
          <w:rFonts w:cs="Arial"/>
          <w:i/>
          <w:sz w:val="16"/>
          <w:szCs w:val="16"/>
        </w:rPr>
        <w:t>Cash for Containers Quarterly Report,</w:t>
      </w:r>
      <w:r w:rsidRPr="00DC7F17">
        <w:rPr>
          <w:rFonts w:cs="Arial"/>
          <w:sz w:val="16"/>
          <w:szCs w:val="16"/>
        </w:rPr>
        <w:t xml:space="preserve"> Northern Territory Government, Darwin.</w:t>
      </w:r>
    </w:p>
    <w:p w14:paraId="3FFFBBBC" w14:textId="77777777" w:rsidR="00290CD0" w:rsidRPr="00134976" w:rsidRDefault="00290CD0" w:rsidP="00030089">
      <w:pPr>
        <w:pStyle w:val="FootnoteText"/>
        <w:rPr>
          <w:lang w:val="en-AU"/>
        </w:rPr>
      </w:pPr>
    </w:p>
  </w:footnote>
  <w:footnote w:id="14">
    <w:p w14:paraId="50D1F50F" w14:textId="77777777" w:rsidR="00290CD0" w:rsidRPr="00F73181" w:rsidRDefault="00290CD0" w:rsidP="00030089">
      <w:pPr>
        <w:pStyle w:val="FootnoteText"/>
        <w:spacing w:after="80"/>
        <w:contextualSpacing/>
        <w:rPr>
          <w:rFonts w:cs="Arial"/>
          <w:sz w:val="16"/>
          <w:szCs w:val="16"/>
        </w:rPr>
      </w:pPr>
      <w:r w:rsidRPr="00DC7F17">
        <w:rPr>
          <w:rStyle w:val="FootnoteReference"/>
          <w:sz w:val="16"/>
          <w:szCs w:val="16"/>
        </w:rPr>
        <w:footnoteRef/>
      </w:r>
      <w:r w:rsidRPr="00DC7F17">
        <w:rPr>
          <w:sz w:val="16"/>
          <w:szCs w:val="16"/>
        </w:rPr>
        <w:t xml:space="preserve"> </w:t>
      </w:r>
      <w:r w:rsidRPr="00DC7F17">
        <w:rPr>
          <w:rFonts w:cs="Arial"/>
          <w:sz w:val="16"/>
          <w:szCs w:val="16"/>
        </w:rPr>
        <w:t xml:space="preserve">Standing Council on Environment and Water 2011. </w:t>
      </w:r>
      <w:r w:rsidRPr="00DC7F17">
        <w:rPr>
          <w:rFonts w:cs="Arial"/>
          <w:i/>
          <w:sz w:val="16"/>
          <w:szCs w:val="16"/>
        </w:rPr>
        <w:t>Packaging Impacts Consultation Regulation Impact Statement</w:t>
      </w:r>
      <w:r w:rsidRPr="00DC7F17">
        <w:rPr>
          <w:rFonts w:cs="Arial"/>
          <w:sz w:val="16"/>
          <w:szCs w:val="16"/>
        </w:rPr>
        <w:t xml:space="preserve">. Canberra. Attachment C, p 71. </w:t>
      </w:r>
    </w:p>
    <w:p w14:paraId="21B33185" w14:textId="77777777" w:rsidR="00290CD0" w:rsidRPr="00F73181" w:rsidRDefault="00290CD0" w:rsidP="00030089">
      <w:pPr>
        <w:pStyle w:val="FootnoteText"/>
        <w:rPr>
          <w:sz w:val="16"/>
          <w:szCs w:val="16"/>
          <w:lang w:val="en-AU"/>
        </w:rPr>
      </w:pPr>
    </w:p>
  </w:footnote>
  <w:footnote w:id="15">
    <w:p w14:paraId="727F7276" w14:textId="77777777" w:rsidR="00290CD0" w:rsidRPr="00920D98" w:rsidRDefault="00290CD0" w:rsidP="00030089">
      <w:pPr>
        <w:rPr>
          <w:sz w:val="16"/>
          <w:szCs w:val="16"/>
        </w:rPr>
      </w:pPr>
      <w:r w:rsidRPr="00920D98">
        <w:rPr>
          <w:rStyle w:val="FootnoteReference"/>
          <w:sz w:val="16"/>
          <w:szCs w:val="16"/>
        </w:rPr>
        <w:footnoteRef/>
      </w:r>
      <w:r w:rsidRPr="00920D98">
        <w:rPr>
          <w:sz w:val="16"/>
          <w:szCs w:val="16"/>
        </w:rPr>
        <w:t xml:space="preserve"> Hyder Consulting Sep 2008. </w:t>
      </w:r>
      <w:r w:rsidRPr="00920D98">
        <w:rPr>
          <w:i/>
          <w:iCs/>
          <w:sz w:val="16"/>
          <w:szCs w:val="16"/>
        </w:rPr>
        <w:t>Australian Beverage Packaging Consumption, Recovery and Recycling Quantification Study</w:t>
      </w:r>
      <w:r w:rsidRPr="00920D98">
        <w:rPr>
          <w:sz w:val="16"/>
          <w:szCs w:val="16"/>
        </w:rPr>
        <w:t>, Packaging Stewardship Forum for the Australian Food and Grocery Council.</w:t>
      </w:r>
    </w:p>
    <w:p w14:paraId="1E570D15" w14:textId="77777777" w:rsidR="00290CD0" w:rsidRPr="00920D98" w:rsidRDefault="00290CD0" w:rsidP="00030089">
      <w:pPr>
        <w:pStyle w:val="FootnoteText"/>
        <w:rPr>
          <w:lang w:val="en-AU"/>
        </w:rPr>
      </w:pPr>
    </w:p>
  </w:footnote>
  <w:footnote w:id="16">
    <w:p w14:paraId="0C9DADFB" w14:textId="77777777" w:rsidR="00290CD0" w:rsidRDefault="00290CD0" w:rsidP="00030089">
      <w:pPr>
        <w:pStyle w:val="FootnoteText"/>
        <w:spacing w:after="80"/>
        <w:rPr>
          <w:rFonts w:cs="Arial"/>
          <w:sz w:val="16"/>
          <w:szCs w:val="16"/>
        </w:rPr>
      </w:pPr>
      <w:r>
        <w:rPr>
          <w:rStyle w:val="FootnoteReference"/>
          <w:sz w:val="16"/>
          <w:szCs w:val="16"/>
        </w:rPr>
        <w:t>[1]</w:t>
      </w:r>
      <w:r>
        <w:rPr>
          <w:sz w:val="16"/>
          <w:szCs w:val="16"/>
        </w:rPr>
        <w:t xml:space="preserve"> Standing Council on Environment and Water 2011. </w:t>
      </w:r>
      <w:r>
        <w:rPr>
          <w:i/>
          <w:iCs/>
          <w:sz w:val="16"/>
          <w:szCs w:val="16"/>
        </w:rPr>
        <w:t>Packaging Impacts Consultation Regulation Impact Statement</w:t>
      </w:r>
      <w:r>
        <w:rPr>
          <w:sz w:val="16"/>
          <w:szCs w:val="16"/>
        </w:rPr>
        <w:t xml:space="preserve">. Canberra. </w:t>
      </w:r>
    </w:p>
    <w:p w14:paraId="18283760" w14:textId="77777777" w:rsidR="00290CD0" w:rsidRDefault="00290CD0" w:rsidP="00030089">
      <w:pPr>
        <w:pStyle w:val="FootnoteText"/>
        <w:spacing w:after="80" w:line="360" w:lineRule="auto"/>
        <w:ind w:firstLine="284"/>
        <w:rPr>
          <w:sz w:val="16"/>
          <w:szCs w:val="16"/>
        </w:rPr>
      </w:pPr>
    </w:p>
  </w:footnote>
  <w:footnote w:id="17">
    <w:p w14:paraId="59E11266" w14:textId="77777777" w:rsidR="00290CD0" w:rsidRPr="00F73181" w:rsidRDefault="00290CD0" w:rsidP="00030089">
      <w:pPr>
        <w:pStyle w:val="FootnoteText"/>
        <w:spacing w:after="80"/>
        <w:rPr>
          <w:sz w:val="16"/>
          <w:szCs w:val="16"/>
        </w:rPr>
      </w:pPr>
      <w:r w:rsidRPr="00DC7F17">
        <w:rPr>
          <w:rStyle w:val="FootnoteReference"/>
          <w:rFonts w:cs="Arial"/>
          <w:sz w:val="16"/>
          <w:szCs w:val="16"/>
        </w:rPr>
        <w:footnoteRef/>
      </w:r>
      <w:r w:rsidRPr="00DC7F17">
        <w:rPr>
          <w:rFonts w:cs="Arial"/>
          <w:sz w:val="16"/>
          <w:szCs w:val="16"/>
        </w:rPr>
        <w:t xml:space="preserve"> Standing Council on Environment and Water 2011. </w:t>
      </w:r>
      <w:r w:rsidRPr="00DC7F17">
        <w:rPr>
          <w:rFonts w:cs="Arial"/>
          <w:i/>
          <w:sz w:val="16"/>
          <w:szCs w:val="16"/>
        </w:rPr>
        <w:t>Packaging Impacts Consultation Regulation Impact Statement</w:t>
      </w:r>
      <w:r w:rsidRPr="00DC7F17">
        <w:rPr>
          <w:rFonts w:cs="Arial"/>
          <w:sz w:val="16"/>
          <w:szCs w:val="16"/>
        </w:rPr>
        <w:t xml:space="preserve">. Canberra. </w:t>
      </w:r>
    </w:p>
    <w:p w14:paraId="2A8BB98F" w14:textId="77777777" w:rsidR="00290CD0" w:rsidRPr="00F73181" w:rsidRDefault="00290CD0" w:rsidP="00030089">
      <w:pPr>
        <w:pStyle w:val="FootnoteText"/>
        <w:spacing w:after="80" w:line="360" w:lineRule="auto"/>
        <w:ind w:left="240" w:hanging="240"/>
        <w:rPr>
          <w:sz w:val="16"/>
          <w:szCs w:val="16"/>
        </w:rPr>
      </w:pPr>
    </w:p>
  </w:footnote>
  <w:footnote w:id="18">
    <w:p w14:paraId="4D5A6902" w14:textId="77777777" w:rsidR="00290CD0" w:rsidRPr="00F73181" w:rsidRDefault="00290CD0" w:rsidP="00030089">
      <w:pPr>
        <w:pStyle w:val="FootnoteText"/>
        <w:spacing w:after="80" w:line="360" w:lineRule="auto"/>
        <w:rPr>
          <w:sz w:val="16"/>
          <w:szCs w:val="16"/>
        </w:rPr>
      </w:pPr>
      <w:r w:rsidRPr="00DC7F17">
        <w:rPr>
          <w:rStyle w:val="FootnoteReference"/>
          <w:rFonts w:cs="Arial"/>
          <w:sz w:val="16"/>
          <w:szCs w:val="16"/>
        </w:rPr>
        <w:footnoteRef/>
      </w:r>
      <w:r w:rsidRPr="00DC7F17">
        <w:rPr>
          <w:rFonts w:cs="Arial"/>
          <w:sz w:val="16"/>
          <w:szCs w:val="16"/>
        </w:rPr>
        <w:t xml:space="preserve"> Standing Council on Environment and Water 2011. </w:t>
      </w:r>
      <w:r w:rsidRPr="00DC7F17">
        <w:rPr>
          <w:rFonts w:cs="Arial"/>
          <w:i/>
          <w:sz w:val="16"/>
          <w:szCs w:val="16"/>
        </w:rPr>
        <w:t>Packaging Impacts Consultation Regulation Impact Statement</w:t>
      </w:r>
      <w:r w:rsidRPr="00DC7F17">
        <w:rPr>
          <w:rFonts w:cs="Arial"/>
          <w:sz w:val="16"/>
          <w:szCs w:val="16"/>
        </w:rPr>
        <w:t xml:space="preserve">. Canberra. </w:t>
      </w:r>
      <w:r w:rsidRPr="00DC7F17">
        <w:rPr>
          <w:rStyle w:val="DefaultChar"/>
          <w:sz w:val="16"/>
          <w:szCs w:val="16"/>
        </w:rPr>
        <w:t xml:space="preserve"> Appendix C, pp 99-108</w:t>
      </w:r>
      <w:r>
        <w:rPr>
          <w:rStyle w:val="DefaultChar"/>
          <w:sz w:val="16"/>
          <w:szCs w:val="16"/>
        </w:rPr>
        <w:t>.</w:t>
      </w:r>
    </w:p>
  </w:footnote>
  <w:footnote w:id="19">
    <w:p w14:paraId="207B4533" w14:textId="77777777" w:rsidR="00290CD0" w:rsidRPr="007F527E" w:rsidRDefault="00290CD0" w:rsidP="00030089">
      <w:pPr>
        <w:pStyle w:val="Default"/>
        <w:rPr>
          <w:sz w:val="16"/>
          <w:szCs w:val="16"/>
        </w:rPr>
      </w:pPr>
      <w:r w:rsidRPr="007F527E">
        <w:rPr>
          <w:rStyle w:val="FootnoteReference"/>
          <w:rFonts w:cs="Arial"/>
          <w:sz w:val="16"/>
          <w:szCs w:val="16"/>
        </w:rPr>
        <w:footnoteRef/>
      </w:r>
      <w:r w:rsidRPr="007F527E">
        <w:rPr>
          <w:sz w:val="16"/>
          <w:szCs w:val="16"/>
        </w:rPr>
        <w:t xml:space="preserve"> </w:t>
      </w:r>
      <w:r w:rsidRPr="007F527E">
        <w:rPr>
          <w:sz w:val="16"/>
          <w:szCs w:val="16"/>
          <w:lang w:val="en-AU" w:bidi="ar-SA"/>
        </w:rPr>
        <w:t xml:space="preserve">BDA Group/Wright Corporate Strategy, 2010. </w:t>
      </w:r>
      <w:r w:rsidRPr="007F527E">
        <w:rPr>
          <w:i/>
          <w:iCs/>
          <w:sz w:val="16"/>
          <w:szCs w:val="16"/>
          <w:lang w:val="en-AU" w:bidi="ar-SA"/>
        </w:rPr>
        <w:t xml:space="preserve">Beverage container investigation revised final report, </w:t>
      </w:r>
      <w:r w:rsidRPr="007F527E">
        <w:rPr>
          <w:sz w:val="16"/>
          <w:szCs w:val="16"/>
          <w:lang w:val="en-AU" w:bidi="ar-SA"/>
        </w:rPr>
        <w:t>report prepared for the EPHC Beverage Container Working Group, Canberra.</w:t>
      </w:r>
      <w:r w:rsidRPr="007F527E">
        <w:rPr>
          <w:rFonts w:ascii="Calibri" w:hAnsi="Calibri" w:cs="Calibri"/>
          <w:sz w:val="16"/>
          <w:szCs w:val="16"/>
          <w:lang w:val="en-AU" w:bidi="ar-SA"/>
        </w:rPr>
        <w:t xml:space="preserve"> </w:t>
      </w:r>
    </w:p>
  </w:footnote>
  <w:footnote w:id="20">
    <w:p w14:paraId="341A7657" w14:textId="77777777" w:rsidR="00290CD0" w:rsidRDefault="00290CD0" w:rsidP="00030089">
      <w:pPr>
        <w:pStyle w:val="FootnoteText"/>
        <w:rPr>
          <w:rFonts w:cs="Arial"/>
          <w:sz w:val="18"/>
          <w:szCs w:val="18"/>
        </w:rPr>
      </w:pPr>
      <w:r>
        <w:rPr>
          <w:rStyle w:val="FootnoteReference"/>
        </w:rPr>
        <w:footnoteRef/>
      </w:r>
      <w:r>
        <w:t xml:space="preserve"> </w:t>
      </w:r>
      <w:r w:rsidRPr="00C75862">
        <w:rPr>
          <w:rFonts w:cs="Arial"/>
          <w:sz w:val="16"/>
          <w:szCs w:val="16"/>
        </w:rPr>
        <w:t>Stefan Gabrynowicz, EPA SA</w:t>
      </w:r>
      <w:r w:rsidRPr="00C75862">
        <w:rPr>
          <w:rFonts w:cs="Arial"/>
          <w:i/>
          <w:sz w:val="16"/>
          <w:szCs w:val="16"/>
        </w:rPr>
        <w:t xml:space="preserve"> </w:t>
      </w:r>
      <w:r w:rsidRPr="00C75862">
        <w:rPr>
          <w:rFonts w:cs="Arial"/>
          <w:sz w:val="16"/>
          <w:szCs w:val="16"/>
        </w:rPr>
        <w:t xml:space="preserve">April 2009. </w:t>
      </w:r>
      <w:r w:rsidRPr="00C75862">
        <w:rPr>
          <w:rFonts w:cs="Arial"/>
          <w:i/>
          <w:sz w:val="16"/>
          <w:szCs w:val="16"/>
        </w:rPr>
        <w:t>Economic Costs and Benefits of SA’s Container Deposit System</w:t>
      </w:r>
      <w:r>
        <w:rPr>
          <w:rFonts w:cs="Arial"/>
          <w:i/>
          <w:sz w:val="16"/>
          <w:szCs w:val="16"/>
        </w:rPr>
        <w:t>.</w:t>
      </w:r>
      <w:r w:rsidRPr="00C75862">
        <w:rPr>
          <w:rFonts w:cs="Arial"/>
          <w:i/>
          <w:sz w:val="16"/>
          <w:szCs w:val="16"/>
        </w:rPr>
        <w:t xml:space="preserve"> </w:t>
      </w:r>
      <w:r w:rsidRPr="00C75862">
        <w:rPr>
          <w:rFonts w:cs="Arial"/>
          <w:sz w:val="16"/>
          <w:szCs w:val="16"/>
        </w:rPr>
        <w:t>The 4.25 cents/container is the depot handling fee estimate Gabrynowicz proposed. An estimated 4.66 cents/container was also proposed as all-up gross cost covering handling fee, admin, transport, super-collector costs</w:t>
      </w:r>
      <w:r>
        <w:rPr>
          <w:rFonts w:cs="Arial"/>
          <w:sz w:val="16"/>
          <w:szCs w:val="16"/>
        </w:rPr>
        <w:t>.</w:t>
      </w:r>
    </w:p>
    <w:p w14:paraId="763AC603" w14:textId="77777777" w:rsidR="00290CD0" w:rsidRPr="00C75862" w:rsidRDefault="00290CD0" w:rsidP="00030089">
      <w:pPr>
        <w:pStyle w:val="FootnoteText"/>
        <w:rPr>
          <w:lang w:val="en-AU"/>
        </w:rPr>
      </w:pPr>
    </w:p>
  </w:footnote>
  <w:footnote w:id="21">
    <w:p w14:paraId="47CB5C32" w14:textId="77777777" w:rsidR="00290CD0" w:rsidRPr="00F73181" w:rsidRDefault="00290CD0" w:rsidP="00030089">
      <w:pPr>
        <w:pStyle w:val="FootnoteText"/>
        <w:spacing w:after="80"/>
        <w:rPr>
          <w:sz w:val="16"/>
          <w:szCs w:val="16"/>
        </w:rPr>
      </w:pPr>
      <w:r w:rsidRPr="00DC7F17">
        <w:rPr>
          <w:rStyle w:val="FootnoteReference"/>
          <w:rFonts w:cs="Arial"/>
          <w:sz w:val="16"/>
          <w:szCs w:val="16"/>
        </w:rPr>
        <w:footnoteRef/>
      </w:r>
      <w:r w:rsidRPr="00DC7F17">
        <w:rPr>
          <w:rFonts w:cs="Arial"/>
          <w:sz w:val="16"/>
          <w:szCs w:val="16"/>
        </w:rPr>
        <w:t xml:space="preserve"> Standing Council on Environment and Water 2011. </w:t>
      </w:r>
      <w:r w:rsidRPr="00DC7F17">
        <w:rPr>
          <w:rFonts w:cs="Arial"/>
          <w:i/>
          <w:sz w:val="16"/>
          <w:szCs w:val="16"/>
        </w:rPr>
        <w:t>Packaging Impacts Consultation Regulation Impact Statement</w:t>
      </w:r>
      <w:r w:rsidRPr="00DC7F17">
        <w:rPr>
          <w:rFonts w:cs="Arial"/>
          <w:sz w:val="16"/>
          <w:szCs w:val="16"/>
        </w:rPr>
        <w:t>. Canberra. p 53</w:t>
      </w:r>
    </w:p>
  </w:footnote>
  <w:footnote w:id="22">
    <w:p w14:paraId="5F9CD4C9" w14:textId="77777777" w:rsidR="00290CD0" w:rsidRPr="00F73181" w:rsidRDefault="00290CD0" w:rsidP="00030089">
      <w:pPr>
        <w:pStyle w:val="FootnoteText"/>
        <w:spacing w:after="80"/>
        <w:rPr>
          <w:sz w:val="16"/>
          <w:szCs w:val="16"/>
          <w:lang w:val="en-AU"/>
        </w:rPr>
      </w:pPr>
      <w:r w:rsidRPr="00DC7F17">
        <w:rPr>
          <w:rStyle w:val="FootnoteReference"/>
          <w:rFonts w:cs="Arial"/>
          <w:sz w:val="16"/>
          <w:szCs w:val="16"/>
        </w:rPr>
        <w:footnoteRef/>
      </w:r>
      <w:r w:rsidRPr="00DC7F17">
        <w:rPr>
          <w:rFonts w:cs="Arial"/>
          <w:sz w:val="16"/>
          <w:szCs w:val="16"/>
        </w:rPr>
        <w:t xml:space="preserve"> Standing Council on Environment and Water 2011. </w:t>
      </w:r>
      <w:r w:rsidRPr="00DC7F17">
        <w:rPr>
          <w:rFonts w:cs="Arial"/>
          <w:i/>
          <w:sz w:val="16"/>
          <w:szCs w:val="16"/>
        </w:rPr>
        <w:t>Packaging Impacts Consultation Regulation Impact Statement</w:t>
      </w:r>
      <w:r w:rsidRPr="00DC7F17">
        <w:rPr>
          <w:rFonts w:cs="Arial"/>
          <w:sz w:val="16"/>
          <w:szCs w:val="16"/>
        </w:rPr>
        <w:t xml:space="preserve">. Canberra. </w:t>
      </w:r>
      <w:r w:rsidRPr="00DC7F17">
        <w:rPr>
          <w:rFonts w:cs="Arial"/>
          <w:sz w:val="16"/>
          <w:szCs w:val="16"/>
          <w:lang w:val="en-AU"/>
        </w:rPr>
        <w:t>Appendix C, p</w:t>
      </w:r>
      <w:r>
        <w:rPr>
          <w:rFonts w:cs="Arial"/>
          <w:sz w:val="16"/>
          <w:szCs w:val="16"/>
          <w:lang w:val="en-AU"/>
        </w:rPr>
        <w:t xml:space="preserve"> </w:t>
      </w:r>
      <w:r w:rsidRPr="00DC7F17">
        <w:rPr>
          <w:rFonts w:cs="Arial"/>
          <w:sz w:val="16"/>
          <w:szCs w:val="16"/>
          <w:lang w:val="en-AU"/>
        </w:rPr>
        <w:t>80</w:t>
      </w:r>
      <w:r>
        <w:rPr>
          <w:rFonts w:cs="Arial"/>
          <w:sz w:val="16"/>
          <w:szCs w:val="16"/>
          <w:lang w:val="en-AU"/>
        </w:rPr>
        <w:t>.</w:t>
      </w:r>
    </w:p>
  </w:footnote>
  <w:footnote w:id="23">
    <w:p w14:paraId="1E9C0F12" w14:textId="77777777" w:rsidR="00290CD0" w:rsidRPr="00DA2C23" w:rsidRDefault="00290CD0" w:rsidP="00030089">
      <w:pPr>
        <w:pStyle w:val="Default"/>
        <w:rPr>
          <w:sz w:val="16"/>
          <w:szCs w:val="16"/>
          <w:lang w:val="en-AU"/>
        </w:rPr>
      </w:pPr>
      <w:r w:rsidRPr="00DA2C23">
        <w:rPr>
          <w:rStyle w:val="FootnoteReference"/>
          <w:sz w:val="16"/>
          <w:szCs w:val="16"/>
        </w:rPr>
        <w:footnoteRef/>
      </w:r>
      <w:r w:rsidRPr="00DA2C23">
        <w:rPr>
          <w:sz w:val="16"/>
          <w:szCs w:val="16"/>
        </w:rPr>
        <w:t xml:space="preserve"> McGregor Tan Research 2012.</w:t>
      </w:r>
      <w:r w:rsidRPr="00DA2C23">
        <w:rPr>
          <w:rFonts w:ascii="Calibri" w:hAnsi="Calibri" w:cs="Calibri"/>
          <w:color w:val="000000"/>
          <w:sz w:val="16"/>
          <w:szCs w:val="16"/>
          <w:lang w:val="en-AU" w:bidi="ar-SA"/>
        </w:rPr>
        <w:t xml:space="preserve"> </w:t>
      </w:r>
      <w:r w:rsidRPr="00DA2C23">
        <w:rPr>
          <w:sz w:val="16"/>
          <w:szCs w:val="16"/>
        </w:rPr>
        <w:t>Keep Australia Beautiful Annual Results Tabulations May 2012, Canberra. P 82.</w:t>
      </w:r>
    </w:p>
  </w:footnote>
  <w:footnote w:id="24">
    <w:p w14:paraId="63FAD62A" w14:textId="77777777" w:rsidR="00290CD0" w:rsidRPr="00F73181" w:rsidRDefault="00290CD0" w:rsidP="00030089">
      <w:pPr>
        <w:pStyle w:val="FootnoteText"/>
        <w:rPr>
          <w:sz w:val="16"/>
          <w:szCs w:val="16"/>
          <w:lang w:val="en-AU"/>
        </w:rPr>
      </w:pPr>
      <w:r w:rsidRPr="00DC7F17">
        <w:rPr>
          <w:rStyle w:val="FootnoteReference"/>
          <w:sz w:val="16"/>
          <w:szCs w:val="16"/>
        </w:rPr>
        <w:footnoteRef/>
      </w:r>
      <w:r w:rsidRPr="00DC7F17">
        <w:rPr>
          <w:sz w:val="16"/>
          <w:szCs w:val="16"/>
        </w:rPr>
        <w:t xml:space="preserve"> McGregor Tan Research 2012.</w:t>
      </w:r>
      <w:r w:rsidRPr="00DC7F17">
        <w:rPr>
          <w:rFonts w:ascii="Calibri" w:hAnsi="Calibri" w:cs="Calibri"/>
          <w:color w:val="000000"/>
          <w:sz w:val="16"/>
          <w:szCs w:val="16"/>
          <w:lang w:val="en-AU"/>
        </w:rPr>
        <w:t xml:space="preserve"> </w:t>
      </w:r>
      <w:r w:rsidRPr="00DC7F17">
        <w:rPr>
          <w:i/>
          <w:sz w:val="16"/>
          <w:szCs w:val="16"/>
        </w:rPr>
        <w:t>Keep Australia Beautiful Annual Results Tabulations</w:t>
      </w:r>
      <w:r w:rsidRPr="00DC7F17">
        <w:rPr>
          <w:sz w:val="16"/>
          <w:szCs w:val="16"/>
        </w:rPr>
        <w:t xml:space="preserve"> </w:t>
      </w:r>
      <w:r w:rsidRPr="00DC7F17">
        <w:rPr>
          <w:i/>
          <w:sz w:val="16"/>
          <w:szCs w:val="16"/>
        </w:rPr>
        <w:t>May 2012</w:t>
      </w:r>
      <w:r w:rsidRPr="00DC7F17">
        <w:rPr>
          <w:sz w:val="16"/>
          <w:szCs w:val="16"/>
        </w:rPr>
        <w:t>, Canberra. p</w:t>
      </w:r>
      <w:r>
        <w:rPr>
          <w:sz w:val="16"/>
          <w:szCs w:val="16"/>
        </w:rPr>
        <w:t xml:space="preserve"> </w:t>
      </w:r>
      <w:r w:rsidRPr="00DC7F17">
        <w:rPr>
          <w:sz w:val="16"/>
          <w:szCs w:val="16"/>
        </w:rPr>
        <w:t>82.</w:t>
      </w:r>
    </w:p>
  </w:footnote>
  <w:footnote w:id="25">
    <w:p w14:paraId="28F7050B" w14:textId="77777777" w:rsidR="00290CD0" w:rsidRPr="00CD1889" w:rsidRDefault="00290CD0" w:rsidP="00030089">
      <w:pPr>
        <w:pStyle w:val="FootnoteText"/>
        <w:rPr>
          <w:lang w:val="en-AU"/>
        </w:rPr>
      </w:pPr>
      <w:r>
        <w:rPr>
          <w:rStyle w:val="FootnoteReference"/>
        </w:rPr>
        <w:footnoteRef/>
      </w:r>
      <w:r>
        <w:t xml:space="preserve"> </w:t>
      </w:r>
      <w:r>
        <w:rPr>
          <w:sz w:val="16"/>
          <w:szCs w:val="16"/>
        </w:rPr>
        <w:t xml:space="preserve">Calculated </w:t>
      </w:r>
      <w:r w:rsidRPr="00CD1889">
        <w:rPr>
          <w:sz w:val="16"/>
          <w:szCs w:val="16"/>
        </w:rPr>
        <w:t xml:space="preserve">from a 15.9% reduction in litter per annum derived from a 33.8% return </w:t>
      </w:r>
      <w:r>
        <w:rPr>
          <w:sz w:val="16"/>
          <w:szCs w:val="16"/>
        </w:rPr>
        <w:t>rate.</w:t>
      </w:r>
    </w:p>
  </w:footnote>
  <w:footnote w:id="26">
    <w:p w14:paraId="27892D2C" w14:textId="77777777" w:rsidR="00290CD0" w:rsidRPr="00F73181" w:rsidRDefault="00290CD0" w:rsidP="00030089">
      <w:pPr>
        <w:pStyle w:val="FootnoteText"/>
        <w:rPr>
          <w:sz w:val="16"/>
          <w:szCs w:val="16"/>
        </w:rPr>
      </w:pPr>
      <w:r w:rsidRPr="00DC7F17">
        <w:rPr>
          <w:rStyle w:val="FootnoteReference"/>
          <w:sz w:val="16"/>
          <w:szCs w:val="16"/>
        </w:rPr>
        <w:footnoteRef/>
      </w:r>
      <w:r w:rsidRPr="00DC7F17">
        <w:rPr>
          <w:sz w:val="16"/>
          <w:szCs w:val="16"/>
        </w:rPr>
        <w:t xml:space="preserve"> White et al, </w:t>
      </w:r>
      <w:r w:rsidRPr="00DC7F17">
        <w:rPr>
          <w:i/>
          <w:sz w:val="16"/>
          <w:szCs w:val="16"/>
        </w:rPr>
        <w:t>Independent Review of Container deposit Legislation in NSW, Final Report, Vol 2</w:t>
      </w:r>
      <w:r w:rsidRPr="00DC7F17">
        <w:rPr>
          <w:sz w:val="16"/>
          <w:szCs w:val="16"/>
        </w:rPr>
        <w:t>, Institute for Sustainable Futures, University of Technology, Sydney. p 140.</w:t>
      </w:r>
    </w:p>
    <w:p w14:paraId="5496B0F9" w14:textId="77777777" w:rsidR="00290CD0" w:rsidRPr="00F73181" w:rsidRDefault="00290CD0" w:rsidP="00030089">
      <w:pPr>
        <w:pStyle w:val="FootnoteText"/>
        <w:rPr>
          <w:sz w:val="16"/>
          <w:szCs w:val="16"/>
          <w:lang w:val="en-AU"/>
        </w:rPr>
      </w:pPr>
    </w:p>
  </w:footnote>
  <w:footnote w:id="27">
    <w:p w14:paraId="34101EF1" w14:textId="77777777" w:rsidR="00290CD0" w:rsidRPr="00F73181" w:rsidRDefault="00290CD0" w:rsidP="00030089">
      <w:pPr>
        <w:pStyle w:val="FootnoteText"/>
        <w:spacing w:after="80" w:line="360" w:lineRule="auto"/>
        <w:rPr>
          <w:sz w:val="16"/>
          <w:szCs w:val="16"/>
        </w:rPr>
      </w:pPr>
      <w:r w:rsidRPr="00DC7F17">
        <w:rPr>
          <w:rStyle w:val="FootnoteReference"/>
          <w:sz w:val="16"/>
          <w:szCs w:val="16"/>
        </w:rPr>
        <w:footnoteRef/>
      </w:r>
      <w:r w:rsidRPr="00DC7F17">
        <w:rPr>
          <w:rFonts w:cs="Arial"/>
          <w:sz w:val="16"/>
          <w:szCs w:val="16"/>
        </w:rPr>
        <w:t xml:space="preserve"> Northern Territory Government 2013. </w:t>
      </w:r>
      <w:r w:rsidRPr="00DC7F17">
        <w:rPr>
          <w:rFonts w:cs="Arial"/>
          <w:i/>
          <w:sz w:val="16"/>
          <w:szCs w:val="16"/>
        </w:rPr>
        <w:t>Container Deposit Scheme Quarterly Report,</w:t>
      </w:r>
      <w:r w:rsidRPr="00DC7F17">
        <w:rPr>
          <w:rFonts w:cs="Arial"/>
          <w:sz w:val="16"/>
          <w:szCs w:val="16"/>
        </w:rPr>
        <w:t xml:space="preserve"> Northern Territory Government, Darwin.</w:t>
      </w:r>
    </w:p>
    <w:p w14:paraId="697FDF43" w14:textId="77777777" w:rsidR="00290CD0" w:rsidRPr="00F73181" w:rsidRDefault="00290CD0" w:rsidP="00030089">
      <w:pPr>
        <w:pStyle w:val="FootnoteText"/>
        <w:rPr>
          <w:sz w:val="16"/>
          <w:szCs w:val="16"/>
          <w:lang w:val="en-AU"/>
        </w:rPr>
      </w:pPr>
    </w:p>
  </w:footnote>
  <w:footnote w:id="28">
    <w:p w14:paraId="69A4F3C4" w14:textId="77777777" w:rsidR="00290CD0" w:rsidRPr="00F73181" w:rsidRDefault="00290CD0" w:rsidP="00030089">
      <w:pPr>
        <w:autoSpaceDE w:val="0"/>
        <w:autoSpaceDN w:val="0"/>
        <w:adjustRightInd w:val="0"/>
        <w:spacing w:after="0" w:line="240" w:lineRule="auto"/>
        <w:rPr>
          <w:rFonts w:cs="Times New Roman"/>
          <w:sz w:val="16"/>
          <w:szCs w:val="16"/>
        </w:rPr>
      </w:pPr>
      <w:r w:rsidRPr="00DC7F17">
        <w:rPr>
          <w:rStyle w:val="FootnoteReference"/>
          <w:sz w:val="16"/>
          <w:szCs w:val="16"/>
        </w:rPr>
        <w:footnoteRef/>
      </w:r>
      <w:r w:rsidRPr="00DC7F17">
        <w:rPr>
          <w:sz w:val="16"/>
          <w:szCs w:val="16"/>
        </w:rPr>
        <w:t xml:space="preserve"> </w:t>
      </w:r>
      <w:r w:rsidRPr="00DC7F17">
        <w:rPr>
          <w:rFonts w:ascii="Arial" w:hAnsi="Arial" w:cs="Arial"/>
          <w:sz w:val="16"/>
          <w:szCs w:val="16"/>
        </w:rPr>
        <w:t xml:space="preserve">National Environmental Protection Council, 2011. </w:t>
      </w:r>
      <w:r w:rsidRPr="00DC7F17">
        <w:rPr>
          <w:rFonts w:ascii="Arial" w:hAnsi="Arial" w:cs="Arial"/>
          <w:bCs/>
          <w:i/>
          <w:sz w:val="16"/>
          <w:szCs w:val="16"/>
        </w:rPr>
        <w:t xml:space="preserve">Annual Report 2010 – 2011. </w:t>
      </w:r>
      <w:r w:rsidRPr="00DC7F17">
        <w:rPr>
          <w:rFonts w:ascii="Arial" w:hAnsi="Arial" w:cs="Arial"/>
          <w:bCs/>
          <w:sz w:val="16"/>
          <w:szCs w:val="16"/>
        </w:rPr>
        <w:t>Australian Government, Canberra, pp 240-2</w:t>
      </w:r>
    </w:p>
    <w:p w14:paraId="78288BA7" w14:textId="77777777" w:rsidR="00290CD0" w:rsidRPr="00F73181" w:rsidRDefault="00290CD0" w:rsidP="00030089">
      <w:pPr>
        <w:pStyle w:val="FootnoteText"/>
        <w:rPr>
          <w:sz w:val="16"/>
          <w:szCs w:val="16"/>
          <w:lang w:val="en-AU"/>
        </w:rPr>
      </w:pPr>
    </w:p>
  </w:footnote>
  <w:footnote w:id="29">
    <w:p w14:paraId="4682839F" w14:textId="77777777" w:rsidR="00290CD0" w:rsidRPr="00F73181" w:rsidRDefault="00290CD0" w:rsidP="00030089">
      <w:pPr>
        <w:pStyle w:val="FootnoteText"/>
        <w:rPr>
          <w:rFonts w:asciiTheme="minorHAnsi" w:hAnsiTheme="minorHAnsi"/>
          <w:sz w:val="16"/>
          <w:szCs w:val="16"/>
        </w:rPr>
      </w:pPr>
      <w:r w:rsidRPr="00DC7F17">
        <w:rPr>
          <w:rStyle w:val="FootnoteReference"/>
          <w:rFonts w:asciiTheme="minorHAnsi" w:hAnsiTheme="minorHAnsi"/>
          <w:sz w:val="16"/>
          <w:szCs w:val="16"/>
        </w:rPr>
        <w:footnoteRef/>
      </w:r>
      <w:r w:rsidRPr="00F73181">
        <w:rPr>
          <w:rFonts w:asciiTheme="minorHAnsi" w:hAnsiTheme="minorHAnsi"/>
          <w:sz w:val="16"/>
          <w:szCs w:val="16"/>
        </w:rPr>
        <w:t xml:space="preserve"> </w:t>
      </w:r>
      <w:r w:rsidRPr="00DC7F17">
        <w:rPr>
          <w:rFonts w:cs="Arial"/>
          <w:sz w:val="16"/>
          <w:szCs w:val="16"/>
          <w:lang w:val="en-AU"/>
        </w:rPr>
        <w:t xml:space="preserve">National Environmental Protection Council, 2011. </w:t>
      </w:r>
      <w:r w:rsidRPr="00DC7F17">
        <w:rPr>
          <w:rFonts w:cs="Arial"/>
          <w:bCs/>
          <w:i/>
          <w:sz w:val="16"/>
          <w:szCs w:val="16"/>
          <w:lang w:val="en-AU"/>
        </w:rPr>
        <w:t xml:space="preserve">Annual Report 2010 – 2011. </w:t>
      </w:r>
      <w:r w:rsidRPr="00DC7F17">
        <w:rPr>
          <w:rFonts w:cs="Arial"/>
          <w:bCs/>
          <w:sz w:val="16"/>
          <w:szCs w:val="16"/>
          <w:lang w:val="en-AU"/>
        </w:rPr>
        <w:t>Australian Government, Canberra</w:t>
      </w:r>
    </w:p>
    <w:p w14:paraId="180051A4" w14:textId="77777777" w:rsidR="00290CD0" w:rsidRPr="00F73181" w:rsidRDefault="00290CD0" w:rsidP="00030089">
      <w:pPr>
        <w:pStyle w:val="FootnoteText"/>
        <w:rPr>
          <w:rFonts w:asciiTheme="minorHAnsi" w:hAnsiTheme="minorHAnsi"/>
          <w:sz w:val="16"/>
          <w:szCs w:val="16"/>
        </w:rPr>
      </w:pPr>
    </w:p>
  </w:footnote>
  <w:footnote w:id="30">
    <w:p w14:paraId="5F48C31D" w14:textId="77777777" w:rsidR="00290CD0" w:rsidRPr="00F73181" w:rsidRDefault="00290CD0" w:rsidP="00030089">
      <w:pPr>
        <w:autoSpaceDE w:val="0"/>
        <w:autoSpaceDN w:val="0"/>
        <w:adjustRightInd w:val="0"/>
        <w:rPr>
          <w:rFonts w:ascii="Arial" w:hAnsi="Arial" w:cs="Arial"/>
          <w:color w:val="000000"/>
          <w:sz w:val="16"/>
          <w:szCs w:val="16"/>
        </w:rPr>
      </w:pPr>
      <w:r w:rsidRPr="00DC7F17">
        <w:rPr>
          <w:rStyle w:val="FootnoteReference"/>
          <w:rFonts w:ascii="Arial" w:hAnsi="Arial" w:cs="Arial"/>
          <w:sz w:val="16"/>
          <w:szCs w:val="16"/>
        </w:rPr>
        <w:footnoteRef/>
      </w:r>
      <w:r w:rsidRPr="00DC7F17">
        <w:rPr>
          <w:rFonts w:ascii="Arial" w:hAnsi="Arial" w:cs="Arial"/>
          <w:sz w:val="16"/>
          <w:szCs w:val="16"/>
        </w:rPr>
        <w:t xml:space="preserve"> </w:t>
      </w:r>
      <w:r w:rsidRPr="00DC7F17">
        <w:rPr>
          <w:rFonts w:ascii="Arial" w:hAnsi="Arial" w:cs="Arial"/>
          <w:color w:val="5F241F"/>
          <w:sz w:val="16"/>
          <w:szCs w:val="16"/>
        </w:rPr>
        <w:t>Hyder Consulting, Australian Beverage Packaging, Consumption, Recovery and Recycling Quantification Study 2008.</w:t>
      </w:r>
    </w:p>
    <w:p w14:paraId="057214C4" w14:textId="77777777" w:rsidR="00290CD0" w:rsidRPr="00F73181" w:rsidRDefault="00290CD0" w:rsidP="00030089">
      <w:pPr>
        <w:pStyle w:val="FootnoteText"/>
        <w:rPr>
          <w:rFonts w:cs="Arial"/>
          <w:sz w:val="16"/>
          <w:szCs w:val="16"/>
          <w:lang w:val="en-AU"/>
        </w:rPr>
      </w:pPr>
    </w:p>
  </w:footnote>
  <w:footnote w:id="31">
    <w:p w14:paraId="049365E5" w14:textId="77777777" w:rsidR="00290CD0" w:rsidRPr="00F73181" w:rsidRDefault="00290CD0" w:rsidP="00030089">
      <w:pPr>
        <w:pStyle w:val="FootnoteText"/>
        <w:rPr>
          <w:rFonts w:cs="Arial"/>
          <w:sz w:val="16"/>
          <w:szCs w:val="16"/>
        </w:rPr>
      </w:pPr>
      <w:r w:rsidRPr="00DC7F17">
        <w:rPr>
          <w:rStyle w:val="FootnoteReference"/>
          <w:sz w:val="16"/>
          <w:szCs w:val="16"/>
        </w:rPr>
        <w:footnoteRef/>
      </w:r>
      <w:r w:rsidRPr="00DC7F17">
        <w:rPr>
          <w:sz w:val="16"/>
          <w:szCs w:val="16"/>
        </w:rPr>
        <w:t xml:space="preserve"> </w:t>
      </w:r>
      <w:r w:rsidRPr="00DC7F17">
        <w:rPr>
          <w:rFonts w:cs="Arial"/>
          <w:sz w:val="16"/>
          <w:szCs w:val="16"/>
          <w:lang w:val="en-AU"/>
        </w:rPr>
        <w:t xml:space="preserve">National Environmental Protection Council, 2011. </w:t>
      </w:r>
      <w:r w:rsidRPr="00DC7F17">
        <w:rPr>
          <w:rFonts w:cs="Arial"/>
          <w:bCs/>
          <w:i/>
          <w:sz w:val="16"/>
          <w:szCs w:val="16"/>
          <w:lang w:val="en-AU"/>
        </w:rPr>
        <w:t xml:space="preserve">Annual Report 2010 – 2011. </w:t>
      </w:r>
      <w:r w:rsidRPr="00DC7F17">
        <w:rPr>
          <w:rFonts w:cs="Arial"/>
          <w:bCs/>
          <w:sz w:val="16"/>
          <w:szCs w:val="16"/>
          <w:lang w:val="en-AU"/>
        </w:rPr>
        <w:t>Australian Government, Canberra</w:t>
      </w:r>
      <w:r>
        <w:rPr>
          <w:rFonts w:cs="Arial"/>
          <w:bCs/>
          <w:sz w:val="16"/>
          <w:szCs w:val="16"/>
          <w:lang w:val="en-AU"/>
        </w:rPr>
        <w:t>.</w:t>
      </w:r>
    </w:p>
    <w:p w14:paraId="25B8A8A2" w14:textId="77777777" w:rsidR="00290CD0" w:rsidRPr="00F73181" w:rsidRDefault="00290CD0" w:rsidP="00030089">
      <w:pPr>
        <w:pStyle w:val="FootnoteText"/>
        <w:rPr>
          <w:sz w:val="16"/>
          <w:szCs w:val="16"/>
          <w:lang w:val="en-AU"/>
        </w:rPr>
      </w:pPr>
    </w:p>
  </w:footnote>
  <w:footnote w:id="32">
    <w:p w14:paraId="382A094C" w14:textId="77777777" w:rsidR="00290CD0" w:rsidRDefault="00290CD0" w:rsidP="00030089">
      <w:pPr>
        <w:pStyle w:val="FootnoteText"/>
        <w:spacing w:after="80"/>
        <w:rPr>
          <w:rFonts w:cs="Arial"/>
          <w:sz w:val="16"/>
          <w:szCs w:val="16"/>
        </w:rPr>
      </w:pPr>
      <w:r>
        <w:rPr>
          <w:rStyle w:val="FootnoteReference"/>
          <w:sz w:val="16"/>
          <w:szCs w:val="16"/>
        </w:rPr>
        <w:t>[1]</w:t>
      </w:r>
      <w:r>
        <w:rPr>
          <w:sz w:val="16"/>
          <w:szCs w:val="16"/>
        </w:rPr>
        <w:t xml:space="preserve"> Standing Council on Environment and Water 2011. </w:t>
      </w:r>
      <w:r>
        <w:rPr>
          <w:i/>
          <w:iCs/>
          <w:sz w:val="16"/>
          <w:szCs w:val="16"/>
        </w:rPr>
        <w:t>Packaging Impacts Consultation Regulation Impact Statement</w:t>
      </w:r>
      <w:r>
        <w:rPr>
          <w:sz w:val="16"/>
          <w:szCs w:val="16"/>
        </w:rPr>
        <w:t xml:space="preserve">. Canberra. </w:t>
      </w:r>
    </w:p>
    <w:p w14:paraId="3FB37629" w14:textId="77777777" w:rsidR="00290CD0" w:rsidRDefault="00290CD0" w:rsidP="00030089">
      <w:pPr>
        <w:pStyle w:val="FootnoteText"/>
        <w:spacing w:after="80" w:line="360" w:lineRule="auto"/>
        <w:ind w:firstLine="284"/>
        <w:rPr>
          <w:sz w:val="16"/>
          <w:szCs w:val="16"/>
        </w:rPr>
      </w:pPr>
    </w:p>
  </w:footnote>
  <w:footnote w:id="33">
    <w:p w14:paraId="62C8DCA8" w14:textId="77777777" w:rsidR="00290CD0" w:rsidRPr="00F73181" w:rsidRDefault="00290CD0" w:rsidP="00030089">
      <w:pPr>
        <w:pStyle w:val="FootnoteText"/>
        <w:spacing w:after="80"/>
        <w:rPr>
          <w:sz w:val="16"/>
          <w:szCs w:val="16"/>
          <w:lang w:val="en-AU"/>
        </w:rPr>
      </w:pPr>
      <w:r w:rsidRPr="00DC7F17">
        <w:rPr>
          <w:rStyle w:val="FootnoteReference"/>
          <w:sz w:val="16"/>
          <w:szCs w:val="16"/>
        </w:rPr>
        <w:footnoteRef/>
      </w:r>
      <w:r w:rsidRPr="00DC7F17">
        <w:rPr>
          <w:sz w:val="16"/>
          <w:szCs w:val="16"/>
        </w:rPr>
        <w:t xml:space="preserve"> </w:t>
      </w:r>
      <w:r w:rsidRPr="00DC7F17">
        <w:rPr>
          <w:rFonts w:cs="Arial"/>
          <w:sz w:val="16"/>
          <w:szCs w:val="16"/>
        </w:rPr>
        <w:t xml:space="preserve">Standing Council on Environment and Water 2011. </w:t>
      </w:r>
      <w:r w:rsidRPr="00DC7F17">
        <w:rPr>
          <w:rFonts w:cs="Arial"/>
          <w:i/>
          <w:sz w:val="16"/>
          <w:szCs w:val="16"/>
        </w:rPr>
        <w:t>Packaging Impacts Consultation Regulation Impact Statement</w:t>
      </w:r>
      <w:r w:rsidRPr="00DC7F17">
        <w:rPr>
          <w:rFonts w:cs="Arial"/>
          <w:sz w:val="16"/>
          <w:szCs w:val="16"/>
        </w:rPr>
        <w:t xml:space="preserve">. Canberra. </w:t>
      </w:r>
      <w:r w:rsidRPr="00DC7F17">
        <w:rPr>
          <w:sz w:val="16"/>
          <w:szCs w:val="16"/>
          <w:lang w:val="en-AU"/>
        </w:rPr>
        <w:t>Attachment C</w:t>
      </w:r>
      <w:r>
        <w:rPr>
          <w:sz w:val="16"/>
          <w:szCs w:val="16"/>
          <w:lang w:val="en-AU"/>
        </w:rPr>
        <w:t>,</w:t>
      </w:r>
      <w:r w:rsidRPr="00DC7F17">
        <w:rPr>
          <w:sz w:val="16"/>
          <w:szCs w:val="16"/>
          <w:lang w:val="en-AU"/>
        </w:rPr>
        <w:t xml:space="preserve"> p 3.</w:t>
      </w:r>
    </w:p>
    <w:p w14:paraId="4EC60A19" w14:textId="77777777" w:rsidR="00290CD0" w:rsidRPr="00F73181" w:rsidRDefault="00290CD0" w:rsidP="00030089">
      <w:pPr>
        <w:pStyle w:val="FootnoteText"/>
        <w:rPr>
          <w:sz w:val="16"/>
          <w:szCs w:val="16"/>
          <w:lang w:val="en-AU"/>
        </w:rPr>
      </w:pPr>
    </w:p>
  </w:footnote>
  <w:footnote w:id="34">
    <w:p w14:paraId="1E7E3E98" w14:textId="77777777" w:rsidR="00290CD0" w:rsidRPr="00F73181" w:rsidRDefault="00290CD0" w:rsidP="00030089">
      <w:pPr>
        <w:pStyle w:val="FootnoteText"/>
        <w:rPr>
          <w:sz w:val="16"/>
          <w:szCs w:val="16"/>
          <w:lang w:val="en-AU"/>
        </w:rPr>
      </w:pPr>
      <w:r w:rsidRPr="00DC7F17">
        <w:rPr>
          <w:rStyle w:val="FootnoteReference"/>
          <w:sz w:val="16"/>
          <w:szCs w:val="16"/>
        </w:rPr>
        <w:footnoteRef/>
      </w:r>
      <w:r w:rsidRPr="00DC7F17">
        <w:rPr>
          <w:sz w:val="16"/>
          <w:szCs w:val="16"/>
        </w:rPr>
        <w:t xml:space="preserve"> </w:t>
      </w:r>
      <w:r w:rsidRPr="00DC7F17">
        <w:rPr>
          <w:rFonts w:cs="Arial"/>
          <w:sz w:val="16"/>
          <w:szCs w:val="16"/>
        </w:rPr>
        <w:t xml:space="preserve">Standing Council on Environment and Water 2011. </w:t>
      </w:r>
      <w:r w:rsidRPr="00DC7F17">
        <w:rPr>
          <w:rFonts w:cs="Arial"/>
          <w:i/>
          <w:sz w:val="16"/>
          <w:szCs w:val="16"/>
        </w:rPr>
        <w:t>Packaging Impacts Consultation Regulation Impact Statement</w:t>
      </w:r>
      <w:r w:rsidRPr="00DC7F17">
        <w:rPr>
          <w:rFonts w:cs="Arial"/>
          <w:sz w:val="16"/>
          <w:szCs w:val="16"/>
        </w:rPr>
        <w:t xml:space="preserve">. Canberra. </w:t>
      </w:r>
      <w:r w:rsidRPr="00DC7F17">
        <w:rPr>
          <w:sz w:val="16"/>
          <w:szCs w:val="16"/>
          <w:lang w:val="en-AU"/>
        </w:rPr>
        <w:t xml:space="preserve"> p 42.</w:t>
      </w:r>
    </w:p>
    <w:p w14:paraId="6C341B11" w14:textId="77777777" w:rsidR="00290CD0" w:rsidRPr="00F73181" w:rsidRDefault="00290CD0" w:rsidP="00030089">
      <w:pPr>
        <w:pStyle w:val="FootnoteText"/>
        <w:rPr>
          <w:sz w:val="16"/>
          <w:szCs w:val="16"/>
          <w:lang w:val="en-AU"/>
        </w:rPr>
      </w:pPr>
    </w:p>
  </w:footnote>
  <w:footnote w:id="35">
    <w:p w14:paraId="25FF50D1" w14:textId="77777777" w:rsidR="00290CD0" w:rsidRPr="00F73181" w:rsidRDefault="00290CD0" w:rsidP="00030089">
      <w:pPr>
        <w:pStyle w:val="FootnoteText"/>
        <w:rPr>
          <w:sz w:val="16"/>
          <w:szCs w:val="16"/>
          <w:lang w:val="en-AU"/>
        </w:rPr>
      </w:pPr>
      <w:r w:rsidRPr="00DC7F17">
        <w:rPr>
          <w:rStyle w:val="FootnoteReference"/>
          <w:sz w:val="16"/>
          <w:szCs w:val="16"/>
        </w:rPr>
        <w:footnoteRef/>
      </w:r>
      <w:r w:rsidRPr="00DC7F17">
        <w:rPr>
          <w:sz w:val="16"/>
          <w:szCs w:val="16"/>
        </w:rPr>
        <w:t xml:space="preserve"> </w:t>
      </w:r>
      <w:r w:rsidRPr="00DC7F17">
        <w:rPr>
          <w:rFonts w:cs="Arial"/>
          <w:sz w:val="16"/>
          <w:szCs w:val="16"/>
        </w:rPr>
        <w:t>Ibid</w:t>
      </w:r>
      <w:r w:rsidRPr="00DC7F17">
        <w:rPr>
          <w:sz w:val="16"/>
          <w:szCs w:val="16"/>
          <w:lang w:val="en-AU"/>
        </w:rPr>
        <w:t xml:space="preserve"> p 2.</w:t>
      </w:r>
    </w:p>
    <w:p w14:paraId="4ECC1C25" w14:textId="77777777" w:rsidR="00290CD0" w:rsidRPr="00F73181" w:rsidRDefault="00290CD0" w:rsidP="00030089">
      <w:pPr>
        <w:pStyle w:val="FootnoteText"/>
        <w:rPr>
          <w:sz w:val="16"/>
          <w:szCs w:val="16"/>
          <w:lang w:val="en-AU"/>
        </w:rPr>
      </w:pPr>
    </w:p>
  </w:footnote>
  <w:footnote w:id="36">
    <w:p w14:paraId="07609674" w14:textId="77777777" w:rsidR="00290CD0" w:rsidRPr="00F73181" w:rsidRDefault="00290CD0" w:rsidP="00030089">
      <w:pPr>
        <w:pStyle w:val="FootnoteText"/>
        <w:rPr>
          <w:sz w:val="16"/>
          <w:szCs w:val="16"/>
          <w:lang w:val="en-AU"/>
        </w:rPr>
      </w:pPr>
      <w:r w:rsidRPr="00DC7F17">
        <w:rPr>
          <w:rStyle w:val="FootnoteReference"/>
          <w:sz w:val="16"/>
          <w:szCs w:val="16"/>
        </w:rPr>
        <w:footnoteRef/>
      </w:r>
      <w:r w:rsidRPr="00DC7F17">
        <w:rPr>
          <w:sz w:val="16"/>
          <w:szCs w:val="16"/>
        </w:rPr>
        <w:t xml:space="preserve"> </w:t>
      </w:r>
      <w:r w:rsidRPr="00DC7F17">
        <w:rPr>
          <w:rFonts w:cs="Arial"/>
          <w:sz w:val="16"/>
          <w:szCs w:val="16"/>
        </w:rPr>
        <w:t>Ibid</w:t>
      </w:r>
      <w:r w:rsidRPr="00DC7F17">
        <w:rPr>
          <w:sz w:val="16"/>
          <w:szCs w:val="16"/>
          <w:lang w:val="en-AU"/>
        </w:rPr>
        <w:t xml:space="preserve"> p 3.</w:t>
      </w:r>
    </w:p>
  </w:footnote>
  <w:footnote w:id="37">
    <w:p w14:paraId="1F789FE8" w14:textId="77777777" w:rsidR="00290CD0" w:rsidRPr="00203D9D" w:rsidRDefault="00290CD0" w:rsidP="00030089">
      <w:pPr>
        <w:pStyle w:val="FootnoteText"/>
        <w:rPr>
          <w:lang w:val="en-AU"/>
        </w:rPr>
      </w:pPr>
      <w:r>
        <w:rPr>
          <w:rStyle w:val="FootnoteReference"/>
        </w:rPr>
        <w:footnoteRef/>
      </w:r>
      <w:r>
        <w:t xml:space="preserve"> </w:t>
      </w:r>
      <w:r w:rsidRPr="000729A4">
        <w:rPr>
          <w:rFonts w:cs="Arial"/>
          <w:sz w:val="18"/>
          <w:szCs w:val="18"/>
        </w:rPr>
        <w:t>$</w:t>
      </w:r>
      <w:r>
        <w:rPr>
          <w:rFonts w:cs="Arial"/>
          <w:sz w:val="18"/>
          <w:szCs w:val="18"/>
        </w:rPr>
        <w:t xml:space="preserve">1 414 </w:t>
      </w:r>
      <w:r w:rsidRPr="000729A4">
        <w:rPr>
          <w:rFonts w:cs="Arial"/>
          <w:sz w:val="18"/>
          <w:szCs w:val="18"/>
        </w:rPr>
        <w:t>000 000 appears in</w:t>
      </w:r>
      <w:r>
        <w:rPr>
          <w:rFonts w:cs="Arial"/>
          <w:sz w:val="18"/>
          <w:szCs w:val="18"/>
        </w:rPr>
        <w:t xml:space="preserve"> the</w:t>
      </w:r>
      <w:r w:rsidRPr="000729A4">
        <w:rPr>
          <w:rFonts w:cs="Arial"/>
          <w:sz w:val="18"/>
          <w:szCs w:val="18"/>
        </w:rPr>
        <w:t xml:space="preserve"> </w:t>
      </w:r>
      <w:r w:rsidRPr="000729A4">
        <w:rPr>
          <w:rFonts w:cs="Arial"/>
          <w:i/>
          <w:sz w:val="18"/>
          <w:szCs w:val="18"/>
        </w:rPr>
        <w:t>Pack Imp CRIS</w:t>
      </w:r>
      <w:r w:rsidRPr="000729A4">
        <w:rPr>
          <w:rFonts w:cs="Arial"/>
          <w:sz w:val="18"/>
          <w:szCs w:val="18"/>
        </w:rPr>
        <w:t>. However</w:t>
      </w:r>
      <w:r>
        <w:rPr>
          <w:rFonts w:cs="Arial"/>
          <w:sz w:val="18"/>
          <w:szCs w:val="18"/>
        </w:rPr>
        <w:t>,</w:t>
      </w:r>
      <w:r w:rsidRPr="000729A4">
        <w:rPr>
          <w:rFonts w:cs="Arial"/>
          <w:sz w:val="18"/>
          <w:szCs w:val="18"/>
        </w:rPr>
        <w:t xml:space="preserve"> this appears to be a mistake.</w:t>
      </w:r>
    </w:p>
    <w:p w14:paraId="719B50DC" w14:textId="77777777" w:rsidR="00290CD0" w:rsidRPr="00DA2C23" w:rsidRDefault="00290CD0" w:rsidP="00030089">
      <w:pPr>
        <w:pStyle w:val="FootnoteText"/>
        <w:rPr>
          <w:lang w:val="en-AU"/>
        </w:rPr>
      </w:pPr>
    </w:p>
  </w:footnote>
  <w:footnote w:id="38">
    <w:p w14:paraId="6E79EFFF" w14:textId="77777777" w:rsidR="00290CD0" w:rsidRPr="00DA2C23" w:rsidRDefault="00290CD0" w:rsidP="00030089">
      <w:pPr>
        <w:pStyle w:val="FootnoteText"/>
        <w:rPr>
          <w:sz w:val="16"/>
          <w:szCs w:val="16"/>
          <w:lang w:val="en-AU"/>
        </w:rPr>
      </w:pPr>
      <w:r w:rsidRPr="00DA2C23">
        <w:rPr>
          <w:rStyle w:val="FootnoteReference"/>
          <w:sz w:val="16"/>
          <w:szCs w:val="16"/>
        </w:rPr>
        <w:footnoteRef/>
      </w:r>
      <w:r w:rsidRPr="00DA2C23">
        <w:rPr>
          <w:sz w:val="16"/>
          <w:szCs w:val="16"/>
        </w:rPr>
        <w:t xml:space="preserve"> </w:t>
      </w:r>
      <w:r w:rsidRPr="00DA2C23">
        <w:rPr>
          <w:sz w:val="16"/>
          <w:szCs w:val="16"/>
          <w:lang w:val="en-AU"/>
        </w:rPr>
        <w:t>As this number is a negative, it has been attributed to a benefit in our calculations, however it does not impact NPV.</w:t>
      </w:r>
    </w:p>
  </w:footnote>
  <w:footnote w:id="39">
    <w:p w14:paraId="56F8EF03" w14:textId="77777777" w:rsidR="00290CD0" w:rsidRPr="00DA2C23" w:rsidRDefault="00290CD0" w:rsidP="00030089">
      <w:pPr>
        <w:pStyle w:val="FootnoteText"/>
        <w:rPr>
          <w:sz w:val="16"/>
          <w:szCs w:val="16"/>
          <w:lang w:val="en-AU"/>
        </w:rPr>
      </w:pPr>
      <w:r w:rsidRPr="00DA2C23">
        <w:rPr>
          <w:rStyle w:val="FootnoteReference"/>
          <w:sz w:val="16"/>
          <w:szCs w:val="16"/>
        </w:rPr>
        <w:footnoteRef/>
      </w:r>
      <w:r w:rsidRPr="00DA2C23">
        <w:rPr>
          <w:sz w:val="16"/>
          <w:szCs w:val="16"/>
        </w:rPr>
        <w:t xml:space="preserve"> </w:t>
      </w:r>
      <w:r w:rsidRPr="00DA2C23">
        <w:rPr>
          <w:sz w:val="16"/>
          <w:szCs w:val="16"/>
          <w:lang w:val="en-AU"/>
        </w:rPr>
        <w:t>Total benefits are $3 433 in our calculations it includes $2 723 for collection, transport, process at MRF.  Does not impact NPV.</w:t>
      </w:r>
    </w:p>
  </w:footnote>
  <w:footnote w:id="40">
    <w:p w14:paraId="26F63D27" w14:textId="77777777" w:rsidR="00290CD0" w:rsidRPr="00F73181" w:rsidRDefault="00290CD0" w:rsidP="00030089">
      <w:pPr>
        <w:pStyle w:val="FootnoteText"/>
        <w:rPr>
          <w:sz w:val="16"/>
          <w:szCs w:val="16"/>
          <w:lang w:val="en-AU"/>
        </w:rPr>
      </w:pPr>
      <w:r w:rsidRPr="00DC7F17">
        <w:rPr>
          <w:rStyle w:val="FootnoteReference"/>
          <w:sz w:val="16"/>
          <w:szCs w:val="16"/>
        </w:rPr>
        <w:footnoteRef/>
      </w:r>
      <w:r w:rsidRPr="00DC7F17">
        <w:rPr>
          <w:sz w:val="16"/>
          <w:szCs w:val="16"/>
        </w:rPr>
        <w:t xml:space="preserve"> The rate of increase in the return rate for the Hawai’i CDS is available at: </w:t>
      </w:r>
      <w:hyperlink r:id="rId1" w:history="1">
        <w:r w:rsidRPr="00DC7F17">
          <w:rPr>
            <w:rStyle w:val="Hyperlink"/>
            <w:sz w:val="16"/>
            <w:szCs w:val="16"/>
          </w:rPr>
          <w:t>http://hawaii.gov/health/about/pr/2011/11-044.pdf</w:t>
        </w:r>
      </w:hyperlink>
      <w:r w:rsidRPr="00DC7F17">
        <w:rPr>
          <w:sz w:val="16"/>
          <w:szCs w:val="16"/>
        </w:rPr>
        <w:t xml:space="preserve"> and </w:t>
      </w:r>
      <w:hyperlink r:id="rId2" w:history="1">
        <w:r w:rsidRPr="00DC7F17">
          <w:rPr>
            <w:rStyle w:val="Hyperlink"/>
            <w:sz w:val="16"/>
            <w:szCs w:val="16"/>
          </w:rPr>
          <w:t>http://www.hi5deposit.com/health/about/pr/2006/06-36.pdf</w:t>
        </w:r>
      </w:hyperlink>
    </w:p>
  </w:footnote>
  <w:footnote w:id="41">
    <w:p w14:paraId="4F94CCB2" w14:textId="77777777" w:rsidR="00290CD0" w:rsidRPr="00203D9D" w:rsidRDefault="00290CD0" w:rsidP="00030089">
      <w:pPr>
        <w:pStyle w:val="FootnoteText"/>
        <w:rPr>
          <w:lang w:val="en-AU"/>
        </w:rPr>
      </w:pPr>
      <w:r>
        <w:rPr>
          <w:rStyle w:val="FootnoteReference"/>
        </w:rPr>
        <w:footnoteRef/>
      </w:r>
      <w:r>
        <w:t xml:space="preserve"> </w:t>
      </w:r>
      <w:r w:rsidRPr="000729A4">
        <w:rPr>
          <w:rFonts w:cs="Arial"/>
          <w:sz w:val="18"/>
          <w:szCs w:val="18"/>
        </w:rPr>
        <w:t>$258 000 000 appears in</w:t>
      </w:r>
      <w:r>
        <w:rPr>
          <w:rFonts w:cs="Arial"/>
          <w:sz w:val="18"/>
          <w:szCs w:val="18"/>
        </w:rPr>
        <w:t xml:space="preserve"> the</w:t>
      </w:r>
      <w:r w:rsidRPr="000729A4">
        <w:rPr>
          <w:rFonts w:cs="Arial"/>
          <w:sz w:val="18"/>
          <w:szCs w:val="18"/>
        </w:rPr>
        <w:t xml:space="preserve"> </w:t>
      </w:r>
      <w:r w:rsidRPr="000729A4">
        <w:rPr>
          <w:rFonts w:cs="Arial"/>
          <w:i/>
          <w:sz w:val="18"/>
          <w:szCs w:val="18"/>
        </w:rPr>
        <w:t>Pack Imp CRIS</w:t>
      </w:r>
      <w:r w:rsidRPr="000729A4">
        <w:rPr>
          <w:rFonts w:cs="Arial"/>
          <w:sz w:val="18"/>
          <w:szCs w:val="18"/>
        </w:rPr>
        <w:t>. However</w:t>
      </w:r>
      <w:r>
        <w:rPr>
          <w:rFonts w:cs="Arial"/>
          <w:sz w:val="18"/>
          <w:szCs w:val="18"/>
        </w:rPr>
        <w:t>,</w:t>
      </w:r>
      <w:r w:rsidRPr="000729A4">
        <w:rPr>
          <w:rFonts w:cs="Arial"/>
          <w:sz w:val="18"/>
          <w:szCs w:val="18"/>
        </w:rPr>
        <w:t xml:space="preserve"> this appears to be a mistake.</w:t>
      </w:r>
    </w:p>
  </w:footnote>
  <w:footnote w:id="42">
    <w:p w14:paraId="1A7DA61A" w14:textId="77777777" w:rsidR="00290CD0" w:rsidRPr="00286299" w:rsidRDefault="00290CD0" w:rsidP="00030089">
      <w:pPr>
        <w:pStyle w:val="FootnoteText"/>
        <w:rPr>
          <w:lang w:val="en-AU"/>
        </w:rPr>
      </w:pPr>
      <w:r>
        <w:rPr>
          <w:rStyle w:val="FootnoteReference"/>
        </w:rPr>
        <w:footnoteRef/>
      </w:r>
      <w:r>
        <w:t xml:space="preserve"> </w:t>
      </w:r>
      <w:r w:rsidRPr="00E62DE8">
        <w:rPr>
          <w:rFonts w:cs="Arial"/>
          <w:sz w:val="16"/>
          <w:szCs w:val="16"/>
        </w:rPr>
        <w:t>Garry Bull</w:t>
      </w:r>
      <w:r>
        <w:rPr>
          <w:rFonts w:cs="Arial"/>
          <w:sz w:val="16"/>
          <w:szCs w:val="16"/>
        </w:rPr>
        <w:t>.</w:t>
      </w:r>
      <w:r w:rsidRPr="00286299">
        <w:rPr>
          <w:rFonts w:cs="Arial"/>
          <w:i/>
          <w:sz w:val="16"/>
          <w:szCs w:val="16"/>
        </w:rPr>
        <w:t xml:space="preserve"> </w:t>
      </w:r>
      <w:r w:rsidRPr="00E62DE8">
        <w:rPr>
          <w:rFonts w:cs="Arial"/>
          <w:sz w:val="16"/>
          <w:szCs w:val="16"/>
        </w:rPr>
        <w:t>2012</w:t>
      </w:r>
      <w:r>
        <w:rPr>
          <w:rFonts w:cs="Arial"/>
          <w:sz w:val="16"/>
          <w:szCs w:val="16"/>
        </w:rPr>
        <w:t>.</w:t>
      </w:r>
      <w:r w:rsidRPr="00E62DE8">
        <w:rPr>
          <w:rFonts w:cs="Arial"/>
          <w:sz w:val="16"/>
          <w:szCs w:val="16"/>
        </w:rPr>
        <w:t xml:space="preserve"> </w:t>
      </w:r>
      <w:r w:rsidRPr="00286299">
        <w:rPr>
          <w:rFonts w:cs="Arial"/>
          <w:i/>
          <w:sz w:val="16"/>
          <w:szCs w:val="16"/>
        </w:rPr>
        <w:t>Senate Inquiry into Container Deposit Schemes in South Australia &amp; the Northern Territory</w:t>
      </w:r>
      <w:r>
        <w:rPr>
          <w:rFonts w:cs="Arial"/>
          <w:i/>
          <w:sz w:val="16"/>
          <w:szCs w:val="16"/>
        </w:rPr>
        <w:t xml:space="preserve">. </w:t>
      </w:r>
      <w:r w:rsidRPr="00E62DE8">
        <w:rPr>
          <w:rFonts w:cs="Arial"/>
          <w:sz w:val="16"/>
          <w:szCs w:val="16"/>
        </w:rPr>
        <w:t>Australian Government. Canberra</w:t>
      </w:r>
      <w:r>
        <w:rPr>
          <w:rFonts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45A65692"/>
    <w:name w:val="WW8Num5"/>
    <w:lvl w:ilvl="0">
      <w:start w:val="1"/>
      <w:numFmt w:val="decimal"/>
      <w:pStyle w:val="CabSubnormaltxt"/>
      <w:lvlText w:val="%1."/>
      <w:lvlJc w:val="left"/>
      <w:pPr>
        <w:tabs>
          <w:tab w:val="num" w:pos="567"/>
        </w:tabs>
        <w:ind w:left="567" w:hanging="567"/>
      </w:pPr>
      <w:rPr>
        <w:rFonts w:ascii="Symbol" w:hAnsi="Symbol"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5E66726"/>
    <w:multiLevelType w:val="hybridMultilevel"/>
    <w:tmpl w:val="5EA41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1C0B59"/>
    <w:multiLevelType w:val="hybridMultilevel"/>
    <w:tmpl w:val="1938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41349"/>
    <w:multiLevelType w:val="hybridMultilevel"/>
    <w:tmpl w:val="3BAA5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353D57"/>
    <w:multiLevelType w:val="multilevel"/>
    <w:tmpl w:val="8ED2A0E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ascii="Arial" w:hAnsi="Arial" w:cs="Arial" w:hint="default"/>
        <w:b/>
        <w:color w:val="auto"/>
        <w:sz w:val="22"/>
        <w:szCs w:val="22"/>
      </w:rPr>
    </w:lvl>
    <w:lvl w:ilvl="3">
      <w:start w:val="1"/>
      <w:numFmt w:val="decimal"/>
      <w:lvlText w:val="%1.%2.%3.%4."/>
      <w:lvlJc w:val="left"/>
      <w:pPr>
        <w:ind w:left="1500" w:hanging="648"/>
      </w:pPr>
      <w:rPr>
        <w:rFonts w:ascii="Arial" w:hAnsi="Arial" w:cs="Arial" w:hint="default"/>
        <w:sz w:val="22"/>
        <w:szCs w:val="22"/>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690557C"/>
    <w:multiLevelType w:val="hybridMultilevel"/>
    <w:tmpl w:val="8A229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97096E"/>
    <w:multiLevelType w:val="hybridMultilevel"/>
    <w:tmpl w:val="F5D80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BD0A8B"/>
    <w:multiLevelType w:val="hybridMultilevel"/>
    <w:tmpl w:val="3CC49CB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620AC9"/>
    <w:multiLevelType w:val="hybridMultilevel"/>
    <w:tmpl w:val="FFE6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2A45AD"/>
    <w:multiLevelType w:val="hybridMultilevel"/>
    <w:tmpl w:val="8D14E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5258D6"/>
    <w:multiLevelType w:val="hybridMultilevel"/>
    <w:tmpl w:val="BBE03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F95117"/>
    <w:multiLevelType w:val="hybridMultilevel"/>
    <w:tmpl w:val="4FE43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D209E9"/>
    <w:multiLevelType w:val="hybridMultilevel"/>
    <w:tmpl w:val="DBA4B0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AD07DCE"/>
    <w:multiLevelType w:val="hybridMultilevel"/>
    <w:tmpl w:val="1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211EB1"/>
    <w:multiLevelType w:val="hybridMultilevel"/>
    <w:tmpl w:val="449C8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1A62DA"/>
    <w:multiLevelType w:val="hybridMultilevel"/>
    <w:tmpl w:val="3006B428"/>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nsid w:val="45F17244"/>
    <w:multiLevelType w:val="hybridMultilevel"/>
    <w:tmpl w:val="3D426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6A1E8E"/>
    <w:multiLevelType w:val="multilevel"/>
    <w:tmpl w:val="06F40472"/>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numFmt w:val="decimal"/>
      <w:lvlText w:val="%1.%2.%3."/>
      <w:lvlJc w:val="left"/>
      <w:pPr>
        <w:ind w:left="788" w:hanging="504"/>
      </w:pPr>
      <w:rPr>
        <w:rFonts w:cs="Times New Roman" w:hint="default"/>
        <w:b/>
        <w:color w:val="auto"/>
      </w:rPr>
    </w:lvl>
    <w:lvl w:ilvl="3">
      <w:start w:val="1"/>
      <w:numFmt w:val="decimal"/>
      <w:lvlText w:val="%1.%2.%3.%4."/>
      <w:lvlJc w:val="left"/>
      <w:pPr>
        <w:ind w:left="1728" w:hanging="648"/>
      </w:pPr>
      <w:rPr>
        <w:rFonts w:ascii="Arial" w:hAnsi="Arial" w:cs="Arial" w:hint="default"/>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E305A74"/>
    <w:multiLevelType w:val="hybridMultilevel"/>
    <w:tmpl w:val="C4D0E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805B80"/>
    <w:multiLevelType w:val="hybridMultilevel"/>
    <w:tmpl w:val="05169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946377"/>
    <w:multiLevelType w:val="hybridMultilevel"/>
    <w:tmpl w:val="12547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D927A1"/>
    <w:multiLevelType w:val="hybridMultilevel"/>
    <w:tmpl w:val="013C9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A1B0973"/>
    <w:multiLevelType w:val="hybridMultilevel"/>
    <w:tmpl w:val="820C8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FB84F8F"/>
    <w:multiLevelType w:val="hybridMultilevel"/>
    <w:tmpl w:val="A9DE3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390E4D"/>
    <w:multiLevelType w:val="hybridMultilevel"/>
    <w:tmpl w:val="9F04CDBA"/>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25">
    <w:nsid w:val="61874EAE"/>
    <w:multiLevelType w:val="hybridMultilevel"/>
    <w:tmpl w:val="4B64C9B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nsid w:val="660E6731"/>
    <w:multiLevelType w:val="hybridMultilevel"/>
    <w:tmpl w:val="04AED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AA61DCF"/>
    <w:multiLevelType w:val="hybridMultilevel"/>
    <w:tmpl w:val="7DDCC29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C3E4340"/>
    <w:multiLevelType w:val="hybridMultilevel"/>
    <w:tmpl w:val="A6B64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C7354FA"/>
    <w:multiLevelType w:val="hybridMultilevel"/>
    <w:tmpl w:val="85524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0C922CC"/>
    <w:multiLevelType w:val="hybridMultilevel"/>
    <w:tmpl w:val="56CA15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72D07359"/>
    <w:multiLevelType w:val="hybridMultilevel"/>
    <w:tmpl w:val="D0748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3F13AD0"/>
    <w:multiLevelType w:val="hybridMultilevel"/>
    <w:tmpl w:val="1EB0C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4D846AC"/>
    <w:multiLevelType w:val="hybridMultilevel"/>
    <w:tmpl w:val="091CC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5F63845"/>
    <w:multiLevelType w:val="hybridMultilevel"/>
    <w:tmpl w:val="EF9A9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7280301"/>
    <w:multiLevelType w:val="hybridMultilevel"/>
    <w:tmpl w:val="DB9A4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5D13F9"/>
    <w:multiLevelType w:val="hybridMultilevel"/>
    <w:tmpl w:val="E982D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0"/>
  </w:num>
  <w:num w:numId="5">
    <w:abstractNumId w:val="16"/>
  </w:num>
  <w:num w:numId="6">
    <w:abstractNumId w:val="24"/>
  </w:num>
  <w:num w:numId="7">
    <w:abstractNumId w:val="17"/>
  </w:num>
  <w:num w:numId="8">
    <w:abstractNumId w:val="22"/>
  </w:num>
  <w:num w:numId="9">
    <w:abstractNumId w:val="14"/>
  </w:num>
  <w:num w:numId="10">
    <w:abstractNumId w:val="3"/>
  </w:num>
  <w:num w:numId="11">
    <w:abstractNumId w:val="1"/>
  </w:num>
  <w:num w:numId="12">
    <w:abstractNumId w:val="21"/>
  </w:num>
  <w:num w:numId="13">
    <w:abstractNumId w:val="19"/>
  </w:num>
  <w:num w:numId="14">
    <w:abstractNumId w:val="5"/>
  </w:num>
  <w:num w:numId="15">
    <w:abstractNumId w:val="20"/>
  </w:num>
  <w:num w:numId="16">
    <w:abstractNumId w:val="31"/>
  </w:num>
  <w:num w:numId="17">
    <w:abstractNumId w:val="32"/>
  </w:num>
  <w:num w:numId="18">
    <w:abstractNumId w:val="9"/>
  </w:num>
  <w:num w:numId="19">
    <w:abstractNumId w:val="36"/>
  </w:num>
  <w:num w:numId="20">
    <w:abstractNumId w:val="29"/>
  </w:num>
  <w:num w:numId="21">
    <w:abstractNumId w:val="18"/>
  </w:num>
  <w:num w:numId="22">
    <w:abstractNumId w:val="6"/>
  </w:num>
  <w:num w:numId="23">
    <w:abstractNumId w:val="28"/>
  </w:num>
  <w:num w:numId="24">
    <w:abstractNumId w:val="8"/>
  </w:num>
  <w:num w:numId="25">
    <w:abstractNumId w:val="12"/>
  </w:num>
  <w:num w:numId="26">
    <w:abstractNumId w:val="11"/>
  </w:num>
  <w:num w:numId="27">
    <w:abstractNumId w:val="23"/>
  </w:num>
  <w:num w:numId="28">
    <w:abstractNumId w:val="34"/>
  </w:num>
  <w:num w:numId="29">
    <w:abstractNumId w:val="25"/>
  </w:num>
  <w:num w:numId="30">
    <w:abstractNumId w:val="30"/>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3"/>
  </w:num>
  <w:num w:numId="34">
    <w:abstractNumId w:val="27"/>
  </w:num>
  <w:num w:numId="35">
    <w:abstractNumId w:val="7"/>
  </w:num>
  <w:num w:numId="36">
    <w:abstractNumId w:val="26"/>
  </w:num>
  <w:num w:numId="37">
    <w:abstractNumId w:val="35"/>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E6"/>
    <w:rsid w:val="00013F76"/>
    <w:rsid w:val="000163E3"/>
    <w:rsid w:val="000236D4"/>
    <w:rsid w:val="0002409A"/>
    <w:rsid w:val="00030089"/>
    <w:rsid w:val="00030E85"/>
    <w:rsid w:val="000372EA"/>
    <w:rsid w:val="000A1B92"/>
    <w:rsid w:val="000A28F7"/>
    <w:rsid w:val="000B7D79"/>
    <w:rsid w:val="000C0DF6"/>
    <w:rsid w:val="000C11D6"/>
    <w:rsid w:val="000D7F92"/>
    <w:rsid w:val="000E3C25"/>
    <w:rsid w:val="000E579A"/>
    <w:rsid w:val="000E5F17"/>
    <w:rsid w:val="00122B6D"/>
    <w:rsid w:val="00133E2C"/>
    <w:rsid w:val="0014012E"/>
    <w:rsid w:val="00153AAF"/>
    <w:rsid w:val="00155CDF"/>
    <w:rsid w:val="00164A70"/>
    <w:rsid w:val="00164B45"/>
    <w:rsid w:val="001856A5"/>
    <w:rsid w:val="001954E6"/>
    <w:rsid w:val="001A3194"/>
    <w:rsid w:val="001A5F92"/>
    <w:rsid w:val="001B452E"/>
    <w:rsid w:val="001C4EFC"/>
    <w:rsid w:val="001E0216"/>
    <w:rsid w:val="001E2C61"/>
    <w:rsid w:val="001E4511"/>
    <w:rsid w:val="001E66F2"/>
    <w:rsid w:val="001F60E1"/>
    <w:rsid w:val="001F78CC"/>
    <w:rsid w:val="002069D6"/>
    <w:rsid w:val="00244E6D"/>
    <w:rsid w:val="00251A8D"/>
    <w:rsid w:val="00251BDA"/>
    <w:rsid w:val="002533F0"/>
    <w:rsid w:val="00262C70"/>
    <w:rsid w:val="00290CD0"/>
    <w:rsid w:val="002B1CE7"/>
    <w:rsid w:val="002B404C"/>
    <w:rsid w:val="002B5509"/>
    <w:rsid w:val="002B68A8"/>
    <w:rsid w:val="002C2B68"/>
    <w:rsid w:val="002D15C3"/>
    <w:rsid w:val="002E56E5"/>
    <w:rsid w:val="002F671E"/>
    <w:rsid w:val="0030234F"/>
    <w:rsid w:val="0030495B"/>
    <w:rsid w:val="00323D5F"/>
    <w:rsid w:val="00334CB8"/>
    <w:rsid w:val="00335A4D"/>
    <w:rsid w:val="00377BB3"/>
    <w:rsid w:val="00390109"/>
    <w:rsid w:val="0039059B"/>
    <w:rsid w:val="00392985"/>
    <w:rsid w:val="003A680C"/>
    <w:rsid w:val="003A7DF6"/>
    <w:rsid w:val="003B7677"/>
    <w:rsid w:val="003C4A62"/>
    <w:rsid w:val="003C5F0A"/>
    <w:rsid w:val="003D1953"/>
    <w:rsid w:val="003D3593"/>
    <w:rsid w:val="003E0D47"/>
    <w:rsid w:val="003E6EFE"/>
    <w:rsid w:val="003F2895"/>
    <w:rsid w:val="003F4CB3"/>
    <w:rsid w:val="00407335"/>
    <w:rsid w:val="00410C5C"/>
    <w:rsid w:val="00414F9E"/>
    <w:rsid w:val="004242AE"/>
    <w:rsid w:val="00424ADC"/>
    <w:rsid w:val="00426E2F"/>
    <w:rsid w:val="004512C0"/>
    <w:rsid w:val="00466860"/>
    <w:rsid w:val="004827E3"/>
    <w:rsid w:val="0049654D"/>
    <w:rsid w:val="004A25AB"/>
    <w:rsid w:val="004A3B52"/>
    <w:rsid w:val="004B59DF"/>
    <w:rsid w:val="004C77AF"/>
    <w:rsid w:val="004F0817"/>
    <w:rsid w:val="00506D09"/>
    <w:rsid w:val="005113A5"/>
    <w:rsid w:val="0051489D"/>
    <w:rsid w:val="0053189D"/>
    <w:rsid w:val="005342FF"/>
    <w:rsid w:val="005527CF"/>
    <w:rsid w:val="00554139"/>
    <w:rsid w:val="005619B0"/>
    <w:rsid w:val="0056495B"/>
    <w:rsid w:val="00580B82"/>
    <w:rsid w:val="00581D05"/>
    <w:rsid w:val="00595032"/>
    <w:rsid w:val="005A0832"/>
    <w:rsid w:val="005A1CBD"/>
    <w:rsid w:val="005A651B"/>
    <w:rsid w:val="005A6A6F"/>
    <w:rsid w:val="005B2A26"/>
    <w:rsid w:val="005B5AA4"/>
    <w:rsid w:val="005C45D8"/>
    <w:rsid w:val="005D48CD"/>
    <w:rsid w:val="005D7CBD"/>
    <w:rsid w:val="005E0D4C"/>
    <w:rsid w:val="005F3E5E"/>
    <w:rsid w:val="00601BA8"/>
    <w:rsid w:val="006064AE"/>
    <w:rsid w:val="00606A2B"/>
    <w:rsid w:val="00621AB4"/>
    <w:rsid w:val="006362B2"/>
    <w:rsid w:val="00643D70"/>
    <w:rsid w:val="0068302A"/>
    <w:rsid w:val="006933DB"/>
    <w:rsid w:val="006A160E"/>
    <w:rsid w:val="006A321B"/>
    <w:rsid w:val="006B0B77"/>
    <w:rsid w:val="006B0DE7"/>
    <w:rsid w:val="006C3B1D"/>
    <w:rsid w:val="006C4022"/>
    <w:rsid w:val="006D495B"/>
    <w:rsid w:val="006E7E3D"/>
    <w:rsid w:val="006F4715"/>
    <w:rsid w:val="0070273D"/>
    <w:rsid w:val="0070674F"/>
    <w:rsid w:val="00712F91"/>
    <w:rsid w:val="00716C60"/>
    <w:rsid w:val="00730504"/>
    <w:rsid w:val="00740026"/>
    <w:rsid w:val="00745062"/>
    <w:rsid w:val="00761B69"/>
    <w:rsid w:val="00782D02"/>
    <w:rsid w:val="0078321B"/>
    <w:rsid w:val="00792802"/>
    <w:rsid w:val="007974EE"/>
    <w:rsid w:val="00797814"/>
    <w:rsid w:val="007C2064"/>
    <w:rsid w:val="007C5E92"/>
    <w:rsid w:val="007E1E21"/>
    <w:rsid w:val="007F4E20"/>
    <w:rsid w:val="00811A4D"/>
    <w:rsid w:val="0082717A"/>
    <w:rsid w:val="00830CA1"/>
    <w:rsid w:val="0083657F"/>
    <w:rsid w:val="00837077"/>
    <w:rsid w:val="00843925"/>
    <w:rsid w:val="008471C8"/>
    <w:rsid w:val="008538A9"/>
    <w:rsid w:val="008547F7"/>
    <w:rsid w:val="008647E7"/>
    <w:rsid w:val="00893C06"/>
    <w:rsid w:val="00893FD1"/>
    <w:rsid w:val="008A7E94"/>
    <w:rsid w:val="008B236F"/>
    <w:rsid w:val="008D1E81"/>
    <w:rsid w:val="008F5689"/>
    <w:rsid w:val="0093020A"/>
    <w:rsid w:val="009411F8"/>
    <w:rsid w:val="009442AF"/>
    <w:rsid w:val="00946663"/>
    <w:rsid w:val="009553B2"/>
    <w:rsid w:val="00962C03"/>
    <w:rsid w:val="00965FDA"/>
    <w:rsid w:val="00966ECB"/>
    <w:rsid w:val="00972786"/>
    <w:rsid w:val="00987133"/>
    <w:rsid w:val="009929D3"/>
    <w:rsid w:val="009A6180"/>
    <w:rsid w:val="009B5741"/>
    <w:rsid w:val="009C1298"/>
    <w:rsid w:val="009F3216"/>
    <w:rsid w:val="009F7EE3"/>
    <w:rsid w:val="00A066C7"/>
    <w:rsid w:val="00A13BC6"/>
    <w:rsid w:val="00A13BE3"/>
    <w:rsid w:val="00A164CC"/>
    <w:rsid w:val="00A31B84"/>
    <w:rsid w:val="00A456BB"/>
    <w:rsid w:val="00A63C66"/>
    <w:rsid w:val="00A73396"/>
    <w:rsid w:val="00A73D7A"/>
    <w:rsid w:val="00A77782"/>
    <w:rsid w:val="00A8142C"/>
    <w:rsid w:val="00A836C0"/>
    <w:rsid w:val="00A949F5"/>
    <w:rsid w:val="00AA3AA9"/>
    <w:rsid w:val="00AB155C"/>
    <w:rsid w:val="00AD20AF"/>
    <w:rsid w:val="00AD5B6B"/>
    <w:rsid w:val="00AE738A"/>
    <w:rsid w:val="00B01B8B"/>
    <w:rsid w:val="00B02AF9"/>
    <w:rsid w:val="00B21788"/>
    <w:rsid w:val="00B222BB"/>
    <w:rsid w:val="00B317DE"/>
    <w:rsid w:val="00B37F1F"/>
    <w:rsid w:val="00B41F93"/>
    <w:rsid w:val="00B5739C"/>
    <w:rsid w:val="00B622FC"/>
    <w:rsid w:val="00B64DFD"/>
    <w:rsid w:val="00B664C6"/>
    <w:rsid w:val="00B70BAD"/>
    <w:rsid w:val="00B80AA7"/>
    <w:rsid w:val="00B81BED"/>
    <w:rsid w:val="00B84045"/>
    <w:rsid w:val="00BA13A0"/>
    <w:rsid w:val="00BA5366"/>
    <w:rsid w:val="00BB2991"/>
    <w:rsid w:val="00BB5FC0"/>
    <w:rsid w:val="00BC0EB3"/>
    <w:rsid w:val="00BD5F28"/>
    <w:rsid w:val="00BE19D4"/>
    <w:rsid w:val="00BE19FA"/>
    <w:rsid w:val="00BE5521"/>
    <w:rsid w:val="00BF2A46"/>
    <w:rsid w:val="00BF5BEF"/>
    <w:rsid w:val="00BF6739"/>
    <w:rsid w:val="00C170AE"/>
    <w:rsid w:val="00C175A2"/>
    <w:rsid w:val="00C36816"/>
    <w:rsid w:val="00C56485"/>
    <w:rsid w:val="00C77338"/>
    <w:rsid w:val="00C90777"/>
    <w:rsid w:val="00CB0FB8"/>
    <w:rsid w:val="00CB34E5"/>
    <w:rsid w:val="00CC1FE6"/>
    <w:rsid w:val="00CD0CAA"/>
    <w:rsid w:val="00CD65B6"/>
    <w:rsid w:val="00CE226F"/>
    <w:rsid w:val="00CF546D"/>
    <w:rsid w:val="00D06EE6"/>
    <w:rsid w:val="00D30C63"/>
    <w:rsid w:val="00D411B6"/>
    <w:rsid w:val="00D45975"/>
    <w:rsid w:val="00D47A8C"/>
    <w:rsid w:val="00D656CB"/>
    <w:rsid w:val="00DA0D9C"/>
    <w:rsid w:val="00DA1745"/>
    <w:rsid w:val="00DB109F"/>
    <w:rsid w:val="00DB2274"/>
    <w:rsid w:val="00DB2AAB"/>
    <w:rsid w:val="00DC13D4"/>
    <w:rsid w:val="00DC7FFE"/>
    <w:rsid w:val="00DD417B"/>
    <w:rsid w:val="00DD4593"/>
    <w:rsid w:val="00DD639B"/>
    <w:rsid w:val="00DE2C18"/>
    <w:rsid w:val="00DE5674"/>
    <w:rsid w:val="00DE6796"/>
    <w:rsid w:val="00DE74DF"/>
    <w:rsid w:val="00DF6763"/>
    <w:rsid w:val="00E254E0"/>
    <w:rsid w:val="00E271A1"/>
    <w:rsid w:val="00E319B2"/>
    <w:rsid w:val="00E41C13"/>
    <w:rsid w:val="00E63550"/>
    <w:rsid w:val="00E64C4F"/>
    <w:rsid w:val="00E65EDE"/>
    <w:rsid w:val="00E76CB9"/>
    <w:rsid w:val="00E84AFA"/>
    <w:rsid w:val="00E91B9E"/>
    <w:rsid w:val="00E93292"/>
    <w:rsid w:val="00EA6A7F"/>
    <w:rsid w:val="00EC7F12"/>
    <w:rsid w:val="00ED777C"/>
    <w:rsid w:val="00EE0A92"/>
    <w:rsid w:val="00EE2C51"/>
    <w:rsid w:val="00EE7760"/>
    <w:rsid w:val="00EF3834"/>
    <w:rsid w:val="00EF6BD5"/>
    <w:rsid w:val="00EF783F"/>
    <w:rsid w:val="00F0360A"/>
    <w:rsid w:val="00F16313"/>
    <w:rsid w:val="00F20275"/>
    <w:rsid w:val="00F2384B"/>
    <w:rsid w:val="00F528EF"/>
    <w:rsid w:val="00F702E2"/>
    <w:rsid w:val="00F84CAF"/>
    <w:rsid w:val="00F92616"/>
    <w:rsid w:val="00FA0CE6"/>
    <w:rsid w:val="00FB6E1E"/>
    <w:rsid w:val="00FC4D74"/>
    <w:rsid w:val="00FD1D0C"/>
    <w:rsid w:val="00FD20A4"/>
    <w:rsid w:val="00FD3F41"/>
    <w:rsid w:val="00FF5C77"/>
    <w:rsid w:val="00FF5F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0E3A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120"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2"/>
  </w:style>
  <w:style w:type="paragraph" w:styleId="Heading1">
    <w:name w:val="heading 1"/>
    <w:basedOn w:val="Normal"/>
    <w:next w:val="Normal"/>
    <w:link w:val="Heading1Char"/>
    <w:uiPriority w:val="9"/>
    <w:qFormat/>
    <w:rsid w:val="00030089"/>
    <w:pPr>
      <w:spacing w:before="480" w:after="0"/>
      <w:ind w:left="0" w:firstLine="0"/>
      <w:contextualSpacing/>
      <w:outlineLvl w:val="0"/>
    </w:pPr>
    <w:rPr>
      <w:rFonts w:asciiTheme="majorHAnsi" w:eastAsiaTheme="majorEastAsia" w:hAnsiTheme="majorHAnsi" w:cstheme="majorBidi"/>
      <w:b/>
      <w:bCs/>
      <w:sz w:val="28"/>
      <w:szCs w:val="28"/>
      <w:lang w:eastAsia="en-AU"/>
    </w:rPr>
  </w:style>
  <w:style w:type="paragraph" w:styleId="Heading2">
    <w:name w:val="heading 2"/>
    <w:basedOn w:val="Normal"/>
    <w:next w:val="Normal"/>
    <w:link w:val="Heading2Char"/>
    <w:uiPriority w:val="9"/>
    <w:semiHidden/>
    <w:unhideWhenUsed/>
    <w:qFormat/>
    <w:rsid w:val="00030089"/>
    <w:pPr>
      <w:spacing w:before="200" w:after="0"/>
      <w:ind w:left="0" w:firstLine="0"/>
      <w:outlineLvl w:val="1"/>
    </w:pPr>
    <w:rPr>
      <w:rFonts w:asciiTheme="majorHAnsi" w:eastAsiaTheme="majorEastAsia" w:hAnsiTheme="majorHAnsi" w:cstheme="majorBidi"/>
      <w:b/>
      <w:bCs/>
      <w:sz w:val="26"/>
      <w:szCs w:val="26"/>
      <w:lang w:eastAsia="en-AU"/>
    </w:rPr>
  </w:style>
  <w:style w:type="paragraph" w:styleId="Heading3">
    <w:name w:val="heading 3"/>
    <w:basedOn w:val="Normal"/>
    <w:next w:val="Normal"/>
    <w:link w:val="Heading3Char"/>
    <w:uiPriority w:val="9"/>
    <w:semiHidden/>
    <w:unhideWhenUsed/>
    <w:qFormat/>
    <w:rsid w:val="00030089"/>
    <w:pPr>
      <w:spacing w:before="200" w:after="0" w:line="271" w:lineRule="auto"/>
      <w:ind w:left="0" w:firstLine="0"/>
      <w:outlineLvl w:val="2"/>
    </w:pPr>
    <w:rPr>
      <w:rFonts w:asciiTheme="majorHAnsi" w:eastAsiaTheme="majorEastAsia" w:hAnsiTheme="majorHAnsi" w:cstheme="majorBidi"/>
      <w:b/>
      <w:bCs/>
      <w:sz w:val="22"/>
      <w:lang w:eastAsia="en-AU"/>
    </w:rPr>
  </w:style>
  <w:style w:type="paragraph" w:styleId="Heading4">
    <w:name w:val="heading 4"/>
    <w:basedOn w:val="Normal"/>
    <w:next w:val="Normal"/>
    <w:link w:val="Heading4Char"/>
    <w:uiPriority w:val="9"/>
    <w:semiHidden/>
    <w:unhideWhenUsed/>
    <w:qFormat/>
    <w:rsid w:val="00030089"/>
    <w:pPr>
      <w:spacing w:before="200" w:after="0"/>
      <w:ind w:left="0" w:firstLine="0"/>
      <w:outlineLvl w:val="3"/>
    </w:pPr>
    <w:rPr>
      <w:rFonts w:asciiTheme="majorHAnsi" w:eastAsiaTheme="majorEastAsia" w:hAnsiTheme="majorHAnsi" w:cstheme="majorBidi"/>
      <w:b/>
      <w:bCs/>
      <w:i/>
      <w:iCs/>
      <w:sz w:val="22"/>
      <w:lang w:eastAsia="en-AU"/>
    </w:rPr>
  </w:style>
  <w:style w:type="paragraph" w:styleId="Heading5">
    <w:name w:val="heading 5"/>
    <w:basedOn w:val="Normal"/>
    <w:next w:val="Normal"/>
    <w:link w:val="Heading5Char"/>
    <w:uiPriority w:val="9"/>
    <w:semiHidden/>
    <w:unhideWhenUsed/>
    <w:qFormat/>
    <w:rsid w:val="00030089"/>
    <w:pPr>
      <w:spacing w:before="200" w:after="0"/>
      <w:ind w:left="0" w:firstLine="0"/>
      <w:outlineLvl w:val="4"/>
    </w:pPr>
    <w:rPr>
      <w:rFonts w:asciiTheme="majorHAnsi" w:eastAsiaTheme="majorEastAsia" w:hAnsiTheme="majorHAnsi" w:cstheme="majorBidi"/>
      <w:b/>
      <w:bCs/>
      <w:color w:val="7F7F7F" w:themeColor="text1" w:themeTint="80"/>
      <w:sz w:val="22"/>
      <w:lang w:eastAsia="en-AU"/>
    </w:rPr>
  </w:style>
  <w:style w:type="paragraph" w:styleId="Heading6">
    <w:name w:val="heading 6"/>
    <w:basedOn w:val="Normal"/>
    <w:next w:val="Normal"/>
    <w:link w:val="Heading6Char"/>
    <w:uiPriority w:val="9"/>
    <w:semiHidden/>
    <w:unhideWhenUsed/>
    <w:qFormat/>
    <w:rsid w:val="00030089"/>
    <w:pPr>
      <w:spacing w:after="0" w:line="271" w:lineRule="auto"/>
      <w:ind w:left="0" w:firstLine="0"/>
      <w:outlineLvl w:val="5"/>
    </w:pPr>
    <w:rPr>
      <w:rFonts w:asciiTheme="majorHAnsi" w:eastAsiaTheme="majorEastAsia" w:hAnsiTheme="majorHAnsi" w:cstheme="majorBidi"/>
      <w:b/>
      <w:bCs/>
      <w:i/>
      <w:iCs/>
      <w:color w:val="7F7F7F" w:themeColor="text1" w:themeTint="80"/>
      <w:sz w:val="22"/>
      <w:lang w:eastAsia="en-AU"/>
    </w:rPr>
  </w:style>
  <w:style w:type="paragraph" w:styleId="Heading7">
    <w:name w:val="heading 7"/>
    <w:basedOn w:val="Normal"/>
    <w:next w:val="Normal"/>
    <w:link w:val="Heading7Char"/>
    <w:uiPriority w:val="9"/>
    <w:semiHidden/>
    <w:unhideWhenUsed/>
    <w:qFormat/>
    <w:rsid w:val="00030089"/>
    <w:pPr>
      <w:spacing w:after="0"/>
      <w:ind w:left="0" w:firstLine="0"/>
      <w:outlineLvl w:val="6"/>
    </w:pPr>
    <w:rPr>
      <w:rFonts w:asciiTheme="majorHAnsi" w:eastAsiaTheme="majorEastAsia" w:hAnsiTheme="majorHAnsi" w:cstheme="majorBidi"/>
      <w:i/>
      <w:iCs/>
      <w:sz w:val="22"/>
      <w:lang w:eastAsia="en-AU"/>
    </w:rPr>
  </w:style>
  <w:style w:type="paragraph" w:styleId="Heading8">
    <w:name w:val="heading 8"/>
    <w:basedOn w:val="Normal"/>
    <w:next w:val="Normal"/>
    <w:link w:val="Heading8Char"/>
    <w:uiPriority w:val="9"/>
    <w:semiHidden/>
    <w:unhideWhenUsed/>
    <w:qFormat/>
    <w:rsid w:val="00030089"/>
    <w:pPr>
      <w:spacing w:after="0"/>
      <w:ind w:left="0" w:firstLine="0"/>
      <w:outlineLvl w:val="7"/>
    </w:pPr>
    <w:rPr>
      <w:rFonts w:asciiTheme="majorHAnsi" w:eastAsiaTheme="majorEastAsia" w:hAnsiTheme="majorHAnsi" w:cstheme="majorBidi"/>
      <w:sz w:val="20"/>
      <w:szCs w:val="20"/>
      <w:lang w:eastAsia="en-AU"/>
    </w:rPr>
  </w:style>
  <w:style w:type="paragraph" w:styleId="Heading9">
    <w:name w:val="heading 9"/>
    <w:basedOn w:val="Normal"/>
    <w:next w:val="Normal"/>
    <w:link w:val="Heading9Char"/>
    <w:uiPriority w:val="9"/>
    <w:semiHidden/>
    <w:unhideWhenUsed/>
    <w:qFormat/>
    <w:rsid w:val="00030089"/>
    <w:pPr>
      <w:spacing w:after="0"/>
      <w:ind w:left="0" w:firstLine="0"/>
      <w:outlineLvl w:val="8"/>
    </w:pPr>
    <w:rPr>
      <w:rFonts w:asciiTheme="majorHAnsi" w:eastAsiaTheme="majorEastAsia" w:hAnsiTheme="majorHAnsi" w:cstheme="majorBidi"/>
      <w:i/>
      <w:iCs/>
      <w:spacing w:val="5"/>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EF6BD5"/>
    <w:pPr>
      <w:spacing w:after="0" w:line="240" w:lineRule="auto"/>
      <w:ind w:left="0" w:firstLine="0"/>
    </w:pPr>
    <w:rPr>
      <w:rFonts w:ascii="Arial" w:eastAsia="Times New Roman" w:hAnsi="Arial" w:cs="Arial"/>
      <w:sz w:val="22"/>
    </w:rPr>
  </w:style>
  <w:style w:type="paragraph" w:styleId="Header">
    <w:name w:val="header"/>
    <w:basedOn w:val="Normal"/>
    <w:link w:val="HeaderChar"/>
    <w:uiPriority w:val="99"/>
    <w:unhideWhenUsed/>
    <w:rsid w:val="003F2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895"/>
  </w:style>
  <w:style w:type="paragraph" w:styleId="Footer">
    <w:name w:val="footer"/>
    <w:basedOn w:val="Normal"/>
    <w:link w:val="FooterChar"/>
    <w:uiPriority w:val="99"/>
    <w:unhideWhenUsed/>
    <w:rsid w:val="003F2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895"/>
  </w:style>
  <w:style w:type="paragraph" w:styleId="BalloonText">
    <w:name w:val="Balloon Text"/>
    <w:basedOn w:val="Normal"/>
    <w:link w:val="BalloonTextChar"/>
    <w:uiPriority w:val="99"/>
    <w:semiHidden/>
    <w:unhideWhenUsed/>
    <w:rsid w:val="00392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985"/>
    <w:rPr>
      <w:rFonts w:ascii="Tahoma" w:hAnsi="Tahoma" w:cs="Tahoma"/>
      <w:sz w:val="16"/>
      <w:szCs w:val="16"/>
    </w:rPr>
  </w:style>
  <w:style w:type="table" w:styleId="TableGrid">
    <w:name w:val="Table Grid"/>
    <w:basedOn w:val="TableNormal"/>
    <w:uiPriority w:val="59"/>
    <w:rsid w:val="00F20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0CAA"/>
    <w:pPr>
      <w:ind w:left="720"/>
      <w:contextualSpacing/>
    </w:pPr>
  </w:style>
  <w:style w:type="character" w:styleId="CommentReference">
    <w:name w:val="annotation reference"/>
    <w:basedOn w:val="DefaultParagraphFont"/>
    <w:uiPriority w:val="99"/>
    <w:semiHidden/>
    <w:unhideWhenUsed/>
    <w:rsid w:val="006933DB"/>
    <w:rPr>
      <w:sz w:val="16"/>
      <w:szCs w:val="16"/>
    </w:rPr>
  </w:style>
  <w:style w:type="paragraph" w:styleId="CommentText">
    <w:name w:val="annotation text"/>
    <w:basedOn w:val="Normal"/>
    <w:link w:val="CommentTextChar"/>
    <w:uiPriority w:val="99"/>
    <w:unhideWhenUsed/>
    <w:rsid w:val="006933DB"/>
    <w:pPr>
      <w:spacing w:line="240" w:lineRule="auto"/>
    </w:pPr>
    <w:rPr>
      <w:sz w:val="20"/>
      <w:szCs w:val="20"/>
    </w:rPr>
  </w:style>
  <w:style w:type="character" w:customStyle="1" w:styleId="CommentTextChar">
    <w:name w:val="Comment Text Char"/>
    <w:basedOn w:val="DefaultParagraphFont"/>
    <w:link w:val="CommentText"/>
    <w:uiPriority w:val="99"/>
    <w:rsid w:val="006933DB"/>
    <w:rPr>
      <w:sz w:val="20"/>
      <w:szCs w:val="20"/>
    </w:rPr>
  </w:style>
  <w:style w:type="paragraph" w:styleId="CommentSubject">
    <w:name w:val="annotation subject"/>
    <w:basedOn w:val="CommentText"/>
    <w:next w:val="CommentText"/>
    <w:link w:val="CommentSubjectChar"/>
    <w:uiPriority w:val="99"/>
    <w:semiHidden/>
    <w:unhideWhenUsed/>
    <w:rsid w:val="006933DB"/>
    <w:rPr>
      <w:b/>
      <w:bCs/>
    </w:rPr>
  </w:style>
  <w:style w:type="character" w:customStyle="1" w:styleId="CommentSubjectChar">
    <w:name w:val="Comment Subject Char"/>
    <w:basedOn w:val="CommentTextChar"/>
    <w:link w:val="CommentSubject"/>
    <w:uiPriority w:val="99"/>
    <w:semiHidden/>
    <w:rsid w:val="006933DB"/>
    <w:rPr>
      <w:b/>
      <w:bCs/>
      <w:sz w:val="20"/>
      <w:szCs w:val="20"/>
    </w:rPr>
  </w:style>
  <w:style w:type="character" w:customStyle="1" w:styleId="Heading1Char">
    <w:name w:val="Heading 1 Char"/>
    <w:basedOn w:val="DefaultParagraphFont"/>
    <w:link w:val="Heading1"/>
    <w:uiPriority w:val="9"/>
    <w:rsid w:val="00030089"/>
    <w:rPr>
      <w:rFonts w:asciiTheme="majorHAnsi" w:eastAsiaTheme="majorEastAsia" w:hAnsiTheme="majorHAnsi" w:cstheme="majorBidi"/>
      <w:b/>
      <w:bCs/>
      <w:sz w:val="28"/>
      <w:szCs w:val="28"/>
      <w:lang w:eastAsia="en-AU"/>
    </w:rPr>
  </w:style>
  <w:style w:type="character" w:customStyle="1" w:styleId="Heading2Char">
    <w:name w:val="Heading 2 Char"/>
    <w:basedOn w:val="DefaultParagraphFont"/>
    <w:link w:val="Heading2"/>
    <w:uiPriority w:val="9"/>
    <w:semiHidden/>
    <w:rsid w:val="00030089"/>
    <w:rPr>
      <w:rFonts w:asciiTheme="majorHAnsi" w:eastAsiaTheme="majorEastAsia" w:hAnsiTheme="majorHAnsi" w:cstheme="majorBidi"/>
      <w:b/>
      <w:bCs/>
      <w:sz w:val="26"/>
      <w:szCs w:val="26"/>
      <w:lang w:eastAsia="en-AU"/>
    </w:rPr>
  </w:style>
  <w:style w:type="character" w:customStyle="1" w:styleId="Heading3Char">
    <w:name w:val="Heading 3 Char"/>
    <w:basedOn w:val="DefaultParagraphFont"/>
    <w:link w:val="Heading3"/>
    <w:uiPriority w:val="9"/>
    <w:semiHidden/>
    <w:rsid w:val="00030089"/>
    <w:rPr>
      <w:rFonts w:asciiTheme="majorHAnsi" w:eastAsiaTheme="majorEastAsia" w:hAnsiTheme="majorHAnsi" w:cstheme="majorBidi"/>
      <w:b/>
      <w:bCs/>
      <w:sz w:val="22"/>
      <w:lang w:eastAsia="en-AU"/>
    </w:rPr>
  </w:style>
  <w:style w:type="character" w:customStyle="1" w:styleId="Heading4Char">
    <w:name w:val="Heading 4 Char"/>
    <w:basedOn w:val="DefaultParagraphFont"/>
    <w:link w:val="Heading4"/>
    <w:uiPriority w:val="9"/>
    <w:semiHidden/>
    <w:rsid w:val="00030089"/>
    <w:rPr>
      <w:rFonts w:asciiTheme="majorHAnsi" w:eastAsiaTheme="majorEastAsia" w:hAnsiTheme="majorHAnsi" w:cstheme="majorBidi"/>
      <w:b/>
      <w:bCs/>
      <w:i/>
      <w:iCs/>
      <w:sz w:val="22"/>
      <w:lang w:eastAsia="en-AU"/>
    </w:rPr>
  </w:style>
  <w:style w:type="character" w:customStyle="1" w:styleId="Heading5Char">
    <w:name w:val="Heading 5 Char"/>
    <w:basedOn w:val="DefaultParagraphFont"/>
    <w:link w:val="Heading5"/>
    <w:uiPriority w:val="9"/>
    <w:semiHidden/>
    <w:rsid w:val="00030089"/>
    <w:rPr>
      <w:rFonts w:asciiTheme="majorHAnsi" w:eastAsiaTheme="majorEastAsia" w:hAnsiTheme="majorHAnsi" w:cstheme="majorBidi"/>
      <w:b/>
      <w:bCs/>
      <w:color w:val="7F7F7F" w:themeColor="text1" w:themeTint="80"/>
      <w:sz w:val="22"/>
      <w:lang w:eastAsia="en-AU"/>
    </w:rPr>
  </w:style>
  <w:style w:type="character" w:customStyle="1" w:styleId="Heading6Char">
    <w:name w:val="Heading 6 Char"/>
    <w:basedOn w:val="DefaultParagraphFont"/>
    <w:link w:val="Heading6"/>
    <w:uiPriority w:val="9"/>
    <w:semiHidden/>
    <w:rsid w:val="00030089"/>
    <w:rPr>
      <w:rFonts w:asciiTheme="majorHAnsi" w:eastAsiaTheme="majorEastAsia" w:hAnsiTheme="majorHAnsi" w:cstheme="majorBidi"/>
      <w:b/>
      <w:bCs/>
      <w:i/>
      <w:iCs/>
      <w:color w:val="7F7F7F" w:themeColor="text1" w:themeTint="80"/>
      <w:sz w:val="22"/>
      <w:lang w:eastAsia="en-AU"/>
    </w:rPr>
  </w:style>
  <w:style w:type="character" w:customStyle="1" w:styleId="Heading7Char">
    <w:name w:val="Heading 7 Char"/>
    <w:basedOn w:val="DefaultParagraphFont"/>
    <w:link w:val="Heading7"/>
    <w:uiPriority w:val="9"/>
    <w:semiHidden/>
    <w:rsid w:val="00030089"/>
    <w:rPr>
      <w:rFonts w:asciiTheme="majorHAnsi" w:eastAsiaTheme="majorEastAsia" w:hAnsiTheme="majorHAnsi" w:cstheme="majorBidi"/>
      <w:i/>
      <w:iCs/>
      <w:sz w:val="22"/>
      <w:lang w:eastAsia="en-AU"/>
    </w:rPr>
  </w:style>
  <w:style w:type="character" w:customStyle="1" w:styleId="Heading8Char">
    <w:name w:val="Heading 8 Char"/>
    <w:basedOn w:val="DefaultParagraphFont"/>
    <w:link w:val="Heading8"/>
    <w:uiPriority w:val="9"/>
    <w:semiHidden/>
    <w:rsid w:val="00030089"/>
    <w:rPr>
      <w:rFonts w:asciiTheme="majorHAnsi" w:eastAsiaTheme="majorEastAsia" w:hAnsiTheme="majorHAnsi" w:cstheme="majorBidi"/>
      <w:sz w:val="20"/>
      <w:szCs w:val="20"/>
      <w:lang w:eastAsia="en-AU"/>
    </w:rPr>
  </w:style>
  <w:style w:type="character" w:customStyle="1" w:styleId="Heading9Char">
    <w:name w:val="Heading 9 Char"/>
    <w:basedOn w:val="DefaultParagraphFont"/>
    <w:link w:val="Heading9"/>
    <w:uiPriority w:val="9"/>
    <w:semiHidden/>
    <w:rsid w:val="00030089"/>
    <w:rPr>
      <w:rFonts w:asciiTheme="majorHAnsi" w:eastAsiaTheme="majorEastAsia" w:hAnsiTheme="majorHAnsi" w:cstheme="majorBidi"/>
      <w:i/>
      <w:iCs/>
      <w:spacing w:val="5"/>
      <w:sz w:val="20"/>
      <w:szCs w:val="20"/>
      <w:lang w:eastAsia="en-AU"/>
    </w:rPr>
  </w:style>
  <w:style w:type="paragraph" w:customStyle="1" w:styleId="CabSubnormaltxt">
    <w:name w:val="Cab Sub normal txt"/>
    <w:basedOn w:val="Normal"/>
    <w:rsid w:val="00030089"/>
    <w:pPr>
      <w:numPr>
        <w:numId w:val="2"/>
      </w:numPr>
      <w:spacing w:after="0"/>
    </w:pPr>
    <w:rPr>
      <w:rFonts w:ascii="Bookman Old Style" w:eastAsiaTheme="minorEastAsia" w:hAnsi="Bookman Old Style"/>
      <w:szCs w:val="20"/>
      <w:lang w:eastAsia="en-AU"/>
    </w:rPr>
  </w:style>
  <w:style w:type="paragraph" w:styleId="EndnoteText">
    <w:name w:val="endnote text"/>
    <w:basedOn w:val="Normal"/>
    <w:link w:val="EndnoteTextChar"/>
    <w:uiPriority w:val="99"/>
    <w:semiHidden/>
    <w:rsid w:val="00030089"/>
    <w:pPr>
      <w:spacing w:after="0" w:line="240" w:lineRule="auto"/>
      <w:ind w:left="0" w:firstLine="0"/>
    </w:pPr>
    <w:rPr>
      <w:rFonts w:eastAsiaTheme="minorEastAsia"/>
      <w:sz w:val="20"/>
      <w:szCs w:val="20"/>
      <w:lang w:eastAsia="en-AU"/>
    </w:rPr>
  </w:style>
  <w:style w:type="character" w:customStyle="1" w:styleId="EndnoteTextChar">
    <w:name w:val="Endnote Text Char"/>
    <w:basedOn w:val="DefaultParagraphFont"/>
    <w:link w:val="EndnoteText"/>
    <w:uiPriority w:val="99"/>
    <w:semiHidden/>
    <w:rsid w:val="00030089"/>
    <w:rPr>
      <w:rFonts w:eastAsiaTheme="minorEastAsia"/>
      <w:sz w:val="20"/>
      <w:szCs w:val="20"/>
      <w:lang w:eastAsia="en-AU"/>
    </w:rPr>
  </w:style>
  <w:style w:type="character" w:styleId="EndnoteReference">
    <w:name w:val="endnote reference"/>
    <w:basedOn w:val="DefaultParagraphFont"/>
    <w:uiPriority w:val="99"/>
    <w:semiHidden/>
    <w:rsid w:val="00030089"/>
    <w:rPr>
      <w:rFonts w:ascii="Arial" w:hAnsi="Arial" w:cs="Times New Roman"/>
      <w:i/>
      <w:sz w:val="24"/>
      <w:szCs w:val="24"/>
      <w:vertAlign w:val="superscript"/>
    </w:rPr>
  </w:style>
  <w:style w:type="paragraph" w:styleId="TOC1">
    <w:name w:val="toc 1"/>
    <w:basedOn w:val="Normal"/>
    <w:next w:val="Normal"/>
    <w:autoRedefine/>
    <w:uiPriority w:val="39"/>
    <w:unhideWhenUsed/>
    <w:qFormat/>
    <w:rsid w:val="00030089"/>
    <w:pPr>
      <w:spacing w:before="120"/>
      <w:ind w:left="0" w:firstLine="0"/>
    </w:pPr>
    <w:rPr>
      <w:rFonts w:asciiTheme="minorHAnsi" w:eastAsiaTheme="minorEastAsia" w:hAnsiTheme="minorHAnsi"/>
      <w:b/>
      <w:bCs/>
      <w:caps/>
      <w:sz w:val="20"/>
      <w:szCs w:val="20"/>
      <w:lang w:eastAsia="en-AU"/>
    </w:rPr>
  </w:style>
  <w:style w:type="character" w:styleId="Hyperlink">
    <w:name w:val="Hyperlink"/>
    <w:basedOn w:val="DefaultParagraphFont"/>
    <w:uiPriority w:val="99"/>
    <w:unhideWhenUsed/>
    <w:rsid w:val="00030089"/>
    <w:rPr>
      <w:rFonts w:cs="Times New Roman"/>
      <w:color w:val="0000FF"/>
      <w:u w:val="single"/>
    </w:rPr>
  </w:style>
  <w:style w:type="paragraph" w:styleId="TOCHeading">
    <w:name w:val="TOC Heading"/>
    <w:basedOn w:val="Heading1"/>
    <w:next w:val="Normal"/>
    <w:uiPriority w:val="39"/>
    <w:unhideWhenUsed/>
    <w:qFormat/>
    <w:rsid w:val="00030089"/>
    <w:pPr>
      <w:outlineLvl w:val="9"/>
    </w:pPr>
  </w:style>
  <w:style w:type="paragraph" w:styleId="TOC2">
    <w:name w:val="toc 2"/>
    <w:basedOn w:val="Normal"/>
    <w:next w:val="Normal"/>
    <w:autoRedefine/>
    <w:uiPriority w:val="39"/>
    <w:unhideWhenUsed/>
    <w:qFormat/>
    <w:rsid w:val="00030089"/>
    <w:pPr>
      <w:spacing w:after="0"/>
      <w:ind w:left="220" w:firstLine="0"/>
    </w:pPr>
    <w:rPr>
      <w:rFonts w:asciiTheme="minorHAnsi" w:eastAsiaTheme="minorEastAsia" w:hAnsiTheme="minorHAnsi"/>
      <w:smallCaps/>
      <w:sz w:val="20"/>
      <w:szCs w:val="20"/>
      <w:lang w:eastAsia="en-AU"/>
    </w:rPr>
  </w:style>
  <w:style w:type="paragraph" w:styleId="TOC3">
    <w:name w:val="toc 3"/>
    <w:basedOn w:val="Normal"/>
    <w:next w:val="Normal"/>
    <w:autoRedefine/>
    <w:uiPriority w:val="39"/>
    <w:unhideWhenUsed/>
    <w:qFormat/>
    <w:rsid w:val="00030089"/>
    <w:pPr>
      <w:spacing w:after="0"/>
      <w:ind w:left="440" w:firstLine="0"/>
    </w:pPr>
    <w:rPr>
      <w:rFonts w:asciiTheme="minorHAnsi" w:eastAsiaTheme="minorEastAsia" w:hAnsiTheme="minorHAnsi"/>
      <w:i/>
      <w:iCs/>
      <w:sz w:val="20"/>
      <w:szCs w:val="20"/>
      <w:lang w:eastAsia="en-AU"/>
    </w:rPr>
  </w:style>
  <w:style w:type="paragraph" w:styleId="FootnoteText">
    <w:name w:val="footnote text"/>
    <w:basedOn w:val="Normal"/>
    <w:link w:val="FootnoteTextChar"/>
    <w:uiPriority w:val="99"/>
    <w:rsid w:val="00030089"/>
    <w:pPr>
      <w:spacing w:after="0" w:line="240" w:lineRule="auto"/>
      <w:ind w:left="0" w:firstLine="0"/>
    </w:pPr>
    <w:rPr>
      <w:rFonts w:ascii="Arial" w:eastAsiaTheme="minorEastAsia" w:hAnsi="Arial"/>
      <w:sz w:val="20"/>
      <w:szCs w:val="20"/>
      <w:lang w:val="en-GB" w:eastAsia="en-AU"/>
    </w:rPr>
  </w:style>
  <w:style w:type="character" w:customStyle="1" w:styleId="FootnoteTextChar">
    <w:name w:val="Footnote Text Char"/>
    <w:basedOn w:val="DefaultParagraphFont"/>
    <w:link w:val="FootnoteText"/>
    <w:uiPriority w:val="99"/>
    <w:rsid w:val="00030089"/>
    <w:rPr>
      <w:rFonts w:ascii="Arial" w:eastAsiaTheme="minorEastAsia" w:hAnsi="Arial"/>
      <w:sz w:val="20"/>
      <w:szCs w:val="20"/>
      <w:lang w:val="en-GB" w:eastAsia="en-AU"/>
    </w:rPr>
  </w:style>
  <w:style w:type="character" w:styleId="FootnoteReference">
    <w:name w:val="footnote reference"/>
    <w:basedOn w:val="DefaultParagraphFont"/>
    <w:uiPriority w:val="99"/>
    <w:rsid w:val="00030089"/>
    <w:rPr>
      <w:rFonts w:cs="Times New Roman"/>
      <w:vertAlign w:val="superscript"/>
    </w:rPr>
  </w:style>
  <w:style w:type="paragraph" w:customStyle="1" w:styleId="exsumm">
    <w:name w:val="exsumm"/>
    <w:basedOn w:val="Normal"/>
    <w:rsid w:val="00030089"/>
    <w:pPr>
      <w:spacing w:after="360"/>
      <w:ind w:left="1701" w:firstLine="0"/>
    </w:pPr>
    <w:rPr>
      <w:rFonts w:ascii="Arial" w:eastAsiaTheme="minorEastAsia" w:hAnsi="Arial" w:cs="Arial"/>
      <w:sz w:val="21"/>
      <w:lang w:eastAsia="en-AU"/>
    </w:rPr>
  </w:style>
  <w:style w:type="character" w:styleId="PageNumber">
    <w:name w:val="page number"/>
    <w:basedOn w:val="DefaultParagraphFont"/>
    <w:uiPriority w:val="99"/>
    <w:rsid w:val="00030089"/>
    <w:rPr>
      <w:rFonts w:cs="Times New Roman"/>
    </w:rPr>
  </w:style>
  <w:style w:type="paragraph" w:customStyle="1" w:styleId="Pa1">
    <w:name w:val="Pa1"/>
    <w:basedOn w:val="Normal"/>
    <w:uiPriority w:val="99"/>
    <w:rsid w:val="00030089"/>
    <w:pPr>
      <w:autoSpaceDE w:val="0"/>
      <w:autoSpaceDN w:val="0"/>
      <w:spacing w:after="80" w:line="241" w:lineRule="atLeast"/>
      <w:ind w:left="0" w:firstLine="0"/>
    </w:pPr>
    <w:rPr>
      <w:rFonts w:ascii="Arial" w:eastAsiaTheme="minorEastAsia" w:hAnsi="Arial" w:cs="Arial"/>
      <w:szCs w:val="24"/>
      <w:lang w:eastAsia="en-AU"/>
    </w:rPr>
  </w:style>
  <w:style w:type="character" w:customStyle="1" w:styleId="A2">
    <w:name w:val="A2"/>
    <w:basedOn w:val="DefaultParagraphFont"/>
    <w:uiPriority w:val="99"/>
    <w:rsid w:val="00030089"/>
    <w:rPr>
      <w:rFonts w:cs="Times New Roman"/>
      <w:color w:val="000000"/>
    </w:rPr>
  </w:style>
  <w:style w:type="character" w:customStyle="1" w:styleId="st1">
    <w:name w:val="st1"/>
    <w:basedOn w:val="DefaultParagraphFont"/>
    <w:rsid w:val="00030089"/>
    <w:rPr>
      <w:rFonts w:cs="Times New Roman"/>
    </w:rPr>
  </w:style>
  <w:style w:type="paragraph" w:styleId="NoSpacing">
    <w:name w:val="No Spacing"/>
    <w:basedOn w:val="Normal"/>
    <w:uiPriority w:val="1"/>
    <w:qFormat/>
    <w:rsid w:val="00030089"/>
    <w:pPr>
      <w:spacing w:after="0" w:line="240" w:lineRule="auto"/>
      <w:ind w:left="0" w:firstLine="0"/>
    </w:pPr>
    <w:rPr>
      <w:rFonts w:asciiTheme="minorHAnsi" w:eastAsiaTheme="minorEastAsia" w:hAnsiTheme="minorHAnsi"/>
      <w:sz w:val="22"/>
      <w:lang w:eastAsia="en-AU"/>
    </w:rPr>
  </w:style>
  <w:style w:type="paragraph" w:customStyle="1" w:styleId="Default">
    <w:name w:val="Default"/>
    <w:link w:val="DefaultChar"/>
    <w:qFormat/>
    <w:rsid w:val="00030089"/>
    <w:pPr>
      <w:autoSpaceDE w:val="0"/>
      <w:autoSpaceDN w:val="0"/>
      <w:adjustRightInd w:val="0"/>
      <w:spacing w:before="240" w:after="240" w:line="360" w:lineRule="auto"/>
      <w:ind w:left="0" w:firstLine="0"/>
      <w:jc w:val="both"/>
    </w:pPr>
    <w:rPr>
      <w:rFonts w:ascii="Arial" w:eastAsiaTheme="minorEastAsia" w:hAnsi="Arial" w:cs="Arial"/>
      <w:sz w:val="22"/>
      <w:szCs w:val="28"/>
      <w:lang w:val="en-US" w:eastAsia="en-AU" w:bidi="en-US"/>
    </w:rPr>
  </w:style>
  <w:style w:type="paragraph" w:styleId="NormalWeb">
    <w:name w:val="Normal (Web)"/>
    <w:basedOn w:val="Normal"/>
    <w:uiPriority w:val="99"/>
    <w:unhideWhenUsed/>
    <w:rsid w:val="00030089"/>
    <w:pPr>
      <w:spacing w:before="100" w:beforeAutospacing="1" w:after="100" w:afterAutospacing="1" w:line="240" w:lineRule="auto"/>
      <w:ind w:left="0" w:firstLine="0"/>
    </w:pPr>
    <w:rPr>
      <w:rFonts w:eastAsiaTheme="minorEastAsia"/>
      <w:szCs w:val="24"/>
      <w:lang w:eastAsia="en-AU"/>
    </w:rPr>
  </w:style>
  <w:style w:type="paragraph" w:styleId="TOC4">
    <w:name w:val="toc 4"/>
    <w:basedOn w:val="Normal"/>
    <w:next w:val="Normal"/>
    <w:autoRedefine/>
    <w:uiPriority w:val="39"/>
    <w:unhideWhenUsed/>
    <w:rsid w:val="00030089"/>
    <w:pPr>
      <w:spacing w:after="0"/>
      <w:ind w:left="660" w:firstLine="0"/>
    </w:pPr>
    <w:rPr>
      <w:rFonts w:asciiTheme="minorHAnsi" w:eastAsiaTheme="minorEastAsia" w:hAnsiTheme="minorHAnsi"/>
      <w:sz w:val="18"/>
      <w:szCs w:val="18"/>
      <w:lang w:eastAsia="en-AU"/>
    </w:rPr>
  </w:style>
  <w:style w:type="paragraph" w:styleId="TOC5">
    <w:name w:val="toc 5"/>
    <w:basedOn w:val="Normal"/>
    <w:next w:val="Normal"/>
    <w:autoRedefine/>
    <w:uiPriority w:val="39"/>
    <w:unhideWhenUsed/>
    <w:rsid w:val="00030089"/>
    <w:pPr>
      <w:spacing w:after="0"/>
      <w:ind w:left="880" w:firstLine="0"/>
    </w:pPr>
    <w:rPr>
      <w:rFonts w:asciiTheme="minorHAnsi" w:eastAsiaTheme="minorEastAsia" w:hAnsiTheme="minorHAnsi"/>
      <w:sz w:val="18"/>
      <w:szCs w:val="18"/>
      <w:lang w:eastAsia="en-AU"/>
    </w:rPr>
  </w:style>
  <w:style w:type="paragraph" w:styleId="TOC6">
    <w:name w:val="toc 6"/>
    <w:basedOn w:val="Normal"/>
    <w:next w:val="Normal"/>
    <w:autoRedefine/>
    <w:uiPriority w:val="39"/>
    <w:unhideWhenUsed/>
    <w:rsid w:val="00030089"/>
    <w:pPr>
      <w:spacing w:after="0"/>
      <w:ind w:left="1100" w:firstLine="0"/>
    </w:pPr>
    <w:rPr>
      <w:rFonts w:asciiTheme="minorHAnsi" w:eastAsiaTheme="minorEastAsia" w:hAnsiTheme="minorHAnsi"/>
      <w:sz w:val="18"/>
      <w:szCs w:val="18"/>
      <w:lang w:eastAsia="en-AU"/>
    </w:rPr>
  </w:style>
  <w:style w:type="paragraph" w:styleId="TOC7">
    <w:name w:val="toc 7"/>
    <w:basedOn w:val="Normal"/>
    <w:next w:val="Normal"/>
    <w:autoRedefine/>
    <w:uiPriority w:val="39"/>
    <w:unhideWhenUsed/>
    <w:rsid w:val="00030089"/>
    <w:pPr>
      <w:spacing w:after="0"/>
      <w:ind w:left="1320" w:firstLine="0"/>
    </w:pPr>
    <w:rPr>
      <w:rFonts w:asciiTheme="minorHAnsi" w:eastAsiaTheme="minorEastAsia" w:hAnsiTheme="minorHAnsi"/>
      <w:sz w:val="18"/>
      <w:szCs w:val="18"/>
      <w:lang w:eastAsia="en-AU"/>
    </w:rPr>
  </w:style>
  <w:style w:type="paragraph" w:styleId="TOC8">
    <w:name w:val="toc 8"/>
    <w:basedOn w:val="Normal"/>
    <w:next w:val="Normal"/>
    <w:autoRedefine/>
    <w:uiPriority w:val="39"/>
    <w:unhideWhenUsed/>
    <w:rsid w:val="00030089"/>
    <w:pPr>
      <w:spacing w:after="0"/>
      <w:ind w:left="1540" w:firstLine="0"/>
    </w:pPr>
    <w:rPr>
      <w:rFonts w:asciiTheme="minorHAnsi" w:eastAsiaTheme="minorEastAsia" w:hAnsiTheme="minorHAnsi"/>
      <w:sz w:val="18"/>
      <w:szCs w:val="18"/>
      <w:lang w:eastAsia="en-AU"/>
    </w:rPr>
  </w:style>
  <w:style w:type="paragraph" w:styleId="TOC9">
    <w:name w:val="toc 9"/>
    <w:basedOn w:val="Normal"/>
    <w:next w:val="Normal"/>
    <w:autoRedefine/>
    <w:uiPriority w:val="39"/>
    <w:unhideWhenUsed/>
    <w:rsid w:val="00030089"/>
    <w:pPr>
      <w:spacing w:after="0"/>
      <w:ind w:left="1760" w:firstLine="0"/>
    </w:pPr>
    <w:rPr>
      <w:rFonts w:asciiTheme="minorHAnsi" w:eastAsiaTheme="minorEastAsia" w:hAnsiTheme="minorHAnsi"/>
      <w:sz w:val="18"/>
      <w:szCs w:val="18"/>
      <w:lang w:eastAsia="en-AU"/>
    </w:rPr>
  </w:style>
  <w:style w:type="paragraph" w:styleId="Revision">
    <w:name w:val="Revision"/>
    <w:hidden/>
    <w:uiPriority w:val="99"/>
    <w:semiHidden/>
    <w:rsid w:val="00030089"/>
    <w:pPr>
      <w:spacing w:before="240" w:after="200"/>
      <w:ind w:left="0" w:firstLine="0"/>
      <w:jc w:val="both"/>
    </w:pPr>
    <w:rPr>
      <w:rFonts w:asciiTheme="minorHAnsi" w:eastAsiaTheme="minorEastAsia" w:hAnsiTheme="minorHAnsi" w:cs="Times New Roman"/>
      <w:sz w:val="22"/>
      <w:lang w:val="en-US" w:eastAsia="en-AU" w:bidi="en-US"/>
    </w:rPr>
  </w:style>
  <w:style w:type="character" w:styleId="HTMLCite">
    <w:name w:val="HTML Cite"/>
    <w:basedOn w:val="DefaultParagraphFont"/>
    <w:uiPriority w:val="99"/>
    <w:semiHidden/>
    <w:unhideWhenUsed/>
    <w:rsid w:val="00030089"/>
    <w:rPr>
      <w:rFonts w:cs="Times New Roman"/>
      <w:color w:val="009933"/>
    </w:rPr>
  </w:style>
  <w:style w:type="paragraph" w:customStyle="1" w:styleId="graph">
    <w:name w:val="graph"/>
    <w:basedOn w:val="Normal"/>
    <w:next w:val="Normal"/>
    <w:rsid w:val="00030089"/>
    <w:pPr>
      <w:spacing w:after="200" w:line="240" w:lineRule="atLeast"/>
      <w:ind w:left="0" w:firstLine="0"/>
      <w:jc w:val="center"/>
    </w:pPr>
    <w:rPr>
      <w:rFonts w:ascii="Arial" w:eastAsiaTheme="minorEastAsia" w:hAnsi="Arial" w:cs="Arial"/>
      <w:noProof/>
      <w:sz w:val="21"/>
      <w:lang w:eastAsia="en-AU"/>
    </w:rPr>
  </w:style>
  <w:style w:type="paragraph" w:customStyle="1" w:styleId="Pa4">
    <w:name w:val="Pa4"/>
    <w:basedOn w:val="Default"/>
    <w:next w:val="Default"/>
    <w:uiPriority w:val="99"/>
    <w:rsid w:val="00030089"/>
    <w:pPr>
      <w:spacing w:after="100" w:line="241" w:lineRule="atLeast"/>
    </w:pPr>
  </w:style>
  <w:style w:type="paragraph" w:customStyle="1" w:styleId="Pa7">
    <w:name w:val="Pa7"/>
    <w:basedOn w:val="Default"/>
    <w:next w:val="Default"/>
    <w:uiPriority w:val="99"/>
    <w:rsid w:val="00030089"/>
    <w:pPr>
      <w:spacing w:after="100" w:line="241" w:lineRule="atLeast"/>
    </w:pPr>
  </w:style>
  <w:style w:type="character" w:customStyle="1" w:styleId="A6">
    <w:name w:val="A6"/>
    <w:uiPriority w:val="99"/>
    <w:rsid w:val="00030089"/>
    <w:rPr>
      <w:rFonts w:ascii="Symbol" w:hAnsi="Symbol"/>
      <w:color w:val="000000"/>
    </w:rPr>
  </w:style>
  <w:style w:type="paragraph" w:styleId="Caption">
    <w:name w:val="caption"/>
    <w:basedOn w:val="Normal"/>
    <w:next w:val="Normal"/>
    <w:uiPriority w:val="35"/>
    <w:unhideWhenUsed/>
    <w:rsid w:val="00030089"/>
    <w:pPr>
      <w:spacing w:after="200" w:line="240" w:lineRule="auto"/>
      <w:ind w:left="0" w:firstLine="0"/>
    </w:pPr>
    <w:rPr>
      <w:rFonts w:asciiTheme="minorHAnsi" w:eastAsiaTheme="minorEastAsia" w:hAnsiTheme="minorHAnsi"/>
      <w:b/>
      <w:bCs/>
      <w:color w:val="4F81BD"/>
      <w:sz w:val="18"/>
      <w:szCs w:val="18"/>
      <w:lang w:eastAsia="en-AU"/>
    </w:rPr>
  </w:style>
  <w:style w:type="character" w:styleId="Strong">
    <w:name w:val="Strong"/>
    <w:uiPriority w:val="22"/>
    <w:qFormat/>
    <w:rsid w:val="00030089"/>
    <w:rPr>
      <w:b/>
      <w:bCs/>
    </w:rPr>
  </w:style>
  <w:style w:type="character" w:styleId="Emphasis">
    <w:name w:val="Emphasis"/>
    <w:uiPriority w:val="20"/>
    <w:qFormat/>
    <w:rsid w:val="00030089"/>
    <w:rPr>
      <w:b/>
      <w:bCs/>
      <w:i/>
      <w:iCs/>
      <w:spacing w:val="10"/>
      <w:bdr w:val="none" w:sz="0" w:space="0" w:color="auto"/>
      <w:shd w:val="clear" w:color="auto" w:fill="auto"/>
    </w:rPr>
  </w:style>
  <w:style w:type="paragraph" w:customStyle="1" w:styleId="CoverTitleLarge">
    <w:name w:val="Cover Title Large"/>
    <w:autoRedefine/>
    <w:rsid w:val="00030089"/>
    <w:pPr>
      <w:ind w:left="0" w:firstLine="0"/>
    </w:pPr>
    <w:rPr>
      <w:rFonts w:ascii="Arial" w:eastAsiaTheme="minorEastAsia" w:hAnsi="Arial" w:cs="Arial"/>
      <w:b/>
      <w:color w:val="FFFFFF"/>
      <w:sz w:val="40"/>
      <w:szCs w:val="36"/>
      <w:lang w:val="en-US" w:eastAsia="en-AU" w:bidi="en-US"/>
    </w:rPr>
  </w:style>
  <w:style w:type="paragraph" w:customStyle="1" w:styleId="CoverTitlesmall">
    <w:name w:val="Cover Title small"/>
    <w:basedOn w:val="CoverTitleLarge"/>
    <w:rsid w:val="00030089"/>
    <w:rPr>
      <w:sz w:val="32"/>
      <w:szCs w:val="32"/>
    </w:rPr>
  </w:style>
  <w:style w:type="paragraph" w:customStyle="1" w:styleId="PublicationDate">
    <w:name w:val="Publication Date"/>
    <w:rsid w:val="00030089"/>
    <w:pPr>
      <w:spacing w:after="200"/>
      <w:ind w:left="0" w:firstLine="0"/>
      <w:jc w:val="right"/>
    </w:pPr>
    <w:rPr>
      <w:rFonts w:ascii="Arial" w:eastAsiaTheme="minorEastAsia" w:hAnsi="Arial" w:cs="Arial"/>
      <w:b/>
      <w:color w:val="FFFFFF"/>
      <w:sz w:val="28"/>
      <w:szCs w:val="28"/>
      <w:lang w:val="en-US" w:eastAsia="en-AU" w:bidi="en-US"/>
    </w:rPr>
  </w:style>
  <w:style w:type="paragraph" w:styleId="Title">
    <w:name w:val="Title"/>
    <w:basedOn w:val="Normal"/>
    <w:next w:val="Normal"/>
    <w:link w:val="TitleChar"/>
    <w:uiPriority w:val="10"/>
    <w:qFormat/>
    <w:rsid w:val="00030089"/>
    <w:pPr>
      <w:pBdr>
        <w:bottom w:val="single" w:sz="4" w:space="1" w:color="auto"/>
      </w:pBdr>
      <w:spacing w:after="200" w:line="240" w:lineRule="auto"/>
      <w:ind w:left="0" w:firstLine="0"/>
      <w:contextualSpacing/>
    </w:pPr>
    <w:rPr>
      <w:rFonts w:asciiTheme="majorHAnsi" w:eastAsiaTheme="majorEastAsia" w:hAnsiTheme="majorHAnsi" w:cstheme="majorBidi"/>
      <w:spacing w:val="5"/>
      <w:sz w:val="52"/>
      <w:szCs w:val="52"/>
      <w:lang w:eastAsia="en-AU"/>
    </w:rPr>
  </w:style>
  <w:style w:type="character" w:customStyle="1" w:styleId="TitleChar">
    <w:name w:val="Title Char"/>
    <w:basedOn w:val="DefaultParagraphFont"/>
    <w:link w:val="Title"/>
    <w:uiPriority w:val="10"/>
    <w:rsid w:val="00030089"/>
    <w:rPr>
      <w:rFonts w:asciiTheme="majorHAnsi" w:eastAsiaTheme="majorEastAsia" w:hAnsiTheme="majorHAnsi" w:cstheme="majorBidi"/>
      <w:spacing w:val="5"/>
      <w:sz w:val="52"/>
      <w:szCs w:val="52"/>
      <w:lang w:eastAsia="en-AU"/>
    </w:rPr>
  </w:style>
  <w:style w:type="paragraph" w:styleId="Subtitle">
    <w:name w:val="Subtitle"/>
    <w:basedOn w:val="Normal"/>
    <w:next w:val="Normal"/>
    <w:link w:val="SubtitleChar"/>
    <w:uiPriority w:val="11"/>
    <w:qFormat/>
    <w:rsid w:val="00030089"/>
    <w:pPr>
      <w:spacing w:after="600"/>
      <w:ind w:left="0" w:firstLine="0"/>
    </w:pPr>
    <w:rPr>
      <w:rFonts w:asciiTheme="majorHAnsi" w:eastAsiaTheme="majorEastAsia" w:hAnsiTheme="majorHAnsi" w:cstheme="majorBidi"/>
      <w:i/>
      <w:iCs/>
      <w:spacing w:val="13"/>
      <w:szCs w:val="24"/>
      <w:lang w:eastAsia="en-AU"/>
    </w:rPr>
  </w:style>
  <w:style w:type="character" w:customStyle="1" w:styleId="SubtitleChar">
    <w:name w:val="Subtitle Char"/>
    <w:basedOn w:val="DefaultParagraphFont"/>
    <w:link w:val="Subtitle"/>
    <w:uiPriority w:val="11"/>
    <w:rsid w:val="00030089"/>
    <w:rPr>
      <w:rFonts w:asciiTheme="majorHAnsi" w:eastAsiaTheme="majorEastAsia" w:hAnsiTheme="majorHAnsi" w:cstheme="majorBidi"/>
      <w:i/>
      <w:iCs/>
      <w:spacing w:val="13"/>
      <w:szCs w:val="24"/>
      <w:lang w:eastAsia="en-AU"/>
    </w:rPr>
  </w:style>
  <w:style w:type="paragraph" w:styleId="Quote">
    <w:name w:val="Quote"/>
    <w:basedOn w:val="Normal"/>
    <w:next w:val="Normal"/>
    <w:link w:val="QuoteChar"/>
    <w:uiPriority w:val="29"/>
    <w:qFormat/>
    <w:rsid w:val="00030089"/>
    <w:pPr>
      <w:spacing w:before="200" w:after="0"/>
      <w:ind w:left="360" w:right="360" w:firstLine="0"/>
    </w:pPr>
    <w:rPr>
      <w:rFonts w:asciiTheme="minorHAnsi" w:eastAsiaTheme="minorEastAsia" w:hAnsiTheme="minorHAnsi"/>
      <w:i/>
      <w:iCs/>
      <w:sz w:val="22"/>
      <w:lang w:eastAsia="en-AU"/>
    </w:rPr>
  </w:style>
  <w:style w:type="character" w:customStyle="1" w:styleId="QuoteChar">
    <w:name w:val="Quote Char"/>
    <w:basedOn w:val="DefaultParagraphFont"/>
    <w:link w:val="Quote"/>
    <w:uiPriority w:val="29"/>
    <w:rsid w:val="00030089"/>
    <w:rPr>
      <w:rFonts w:asciiTheme="minorHAnsi" w:eastAsiaTheme="minorEastAsia" w:hAnsiTheme="minorHAnsi"/>
      <w:i/>
      <w:iCs/>
      <w:sz w:val="22"/>
      <w:lang w:eastAsia="en-AU"/>
    </w:rPr>
  </w:style>
  <w:style w:type="paragraph" w:styleId="IntenseQuote">
    <w:name w:val="Intense Quote"/>
    <w:basedOn w:val="Normal"/>
    <w:next w:val="Normal"/>
    <w:link w:val="IntenseQuoteChar"/>
    <w:uiPriority w:val="30"/>
    <w:qFormat/>
    <w:rsid w:val="00030089"/>
    <w:pPr>
      <w:pBdr>
        <w:bottom w:val="single" w:sz="4" w:space="1" w:color="auto"/>
      </w:pBdr>
      <w:spacing w:before="200" w:after="280"/>
      <w:ind w:left="1008" w:right="1152" w:firstLine="0"/>
      <w:jc w:val="both"/>
    </w:pPr>
    <w:rPr>
      <w:rFonts w:asciiTheme="minorHAnsi" w:eastAsiaTheme="minorEastAsia" w:hAnsiTheme="minorHAnsi"/>
      <w:b/>
      <w:bCs/>
      <w:i/>
      <w:iCs/>
      <w:sz w:val="22"/>
      <w:lang w:eastAsia="en-AU"/>
    </w:rPr>
  </w:style>
  <w:style w:type="character" w:customStyle="1" w:styleId="IntenseQuoteChar">
    <w:name w:val="Intense Quote Char"/>
    <w:basedOn w:val="DefaultParagraphFont"/>
    <w:link w:val="IntenseQuote"/>
    <w:uiPriority w:val="30"/>
    <w:rsid w:val="00030089"/>
    <w:rPr>
      <w:rFonts w:asciiTheme="minorHAnsi" w:eastAsiaTheme="minorEastAsia" w:hAnsiTheme="minorHAnsi"/>
      <w:b/>
      <w:bCs/>
      <w:i/>
      <w:iCs/>
      <w:sz w:val="22"/>
      <w:lang w:eastAsia="en-AU"/>
    </w:rPr>
  </w:style>
  <w:style w:type="character" w:styleId="SubtleEmphasis">
    <w:name w:val="Subtle Emphasis"/>
    <w:uiPriority w:val="19"/>
    <w:qFormat/>
    <w:rsid w:val="00030089"/>
    <w:rPr>
      <w:i/>
      <w:iCs/>
    </w:rPr>
  </w:style>
  <w:style w:type="character" w:styleId="IntenseEmphasis">
    <w:name w:val="Intense Emphasis"/>
    <w:uiPriority w:val="21"/>
    <w:qFormat/>
    <w:rsid w:val="00030089"/>
    <w:rPr>
      <w:b/>
      <w:bCs/>
    </w:rPr>
  </w:style>
  <w:style w:type="character" w:styleId="SubtleReference">
    <w:name w:val="Subtle Reference"/>
    <w:uiPriority w:val="31"/>
    <w:qFormat/>
    <w:rsid w:val="00030089"/>
    <w:rPr>
      <w:smallCaps/>
    </w:rPr>
  </w:style>
  <w:style w:type="character" w:styleId="IntenseReference">
    <w:name w:val="Intense Reference"/>
    <w:uiPriority w:val="32"/>
    <w:qFormat/>
    <w:rsid w:val="00030089"/>
    <w:rPr>
      <w:smallCaps/>
      <w:spacing w:val="5"/>
      <w:u w:val="single"/>
    </w:rPr>
  </w:style>
  <w:style w:type="character" w:styleId="BookTitle">
    <w:name w:val="Book Title"/>
    <w:uiPriority w:val="33"/>
    <w:qFormat/>
    <w:rsid w:val="00030089"/>
    <w:rPr>
      <w:i/>
      <w:iCs/>
      <w:smallCaps/>
      <w:spacing w:val="5"/>
    </w:rPr>
  </w:style>
  <w:style w:type="paragraph" w:customStyle="1" w:styleId="Style1">
    <w:name w:val="Style1"/>
    <w:basedOn w:val="Default"/>
    <w:link w:val="Style1Char"/>
    <w:qFormat/>
    <w:rsid w:val="00030089"/>
  </w:style>
  <w:style w:type="character" w:customStyle="1" w:styleId="DefaultChar">
    <w:name w:val="Default Char"/>
    <w:basedOn w:val="DefaultParagraphFont"/>
    <w:link w:val="Default"/>
    <w:rsid w:val="00030089"/>
    <w:rPr>
      <w:rFonts w:ascii="Arial" w:eastAsiaTheme="minorEastAsia" w:hAnsi="Arial" w:cs="Arial"/>
      <w:sz w:val="22"/>
      <w:szCs w:val="28"/>
      <w:lang w:val="en-US" w:eastAsia="en-AU" w:bidi="en-US"/>
    </w:rPr>
  </w:style>
  <w:style w:type="character" w:customStyle="1" w:styleId="Style1Char">
    <w:name w:val="Style1 Char"/>
    <w:basedOn w:val="DefaultChar"/>
    <w:link w:val="Style1"/>
    <w:rsid w:val="00030089"/>
    <w:rPr>
      <w:rFonts w:ascii="Arial" w:eastAsiaTheme="minorEastAsia" w:hAnsi="Arial" w:cs="Arial"/>
      <w:sz w:val="22"/>
      <w:szCs w:val="28"/>
      <w:lang w:val="en-US" w:eastAsia="en-AU" w:bidi="en-US"/>
    </w:rPr>
  </w:style>
  <w:style w:type="character" w:styleId="FollowedHyperlink">
    <w:name w:val="FollowedHyperlink"/>
    <w:basedOn w:val="DefaultParagraphFont"/>
    <w:uiPriority w:val="99"/>
    <w:semiHidden/>
    <w:unhideWhenUsed/>
    <w:rsid w:val="00030089"/>
    <w:rPr>
      <w:color w:val="800080" w:themeColor="followedHyperlink"/>
      <w:u w:val="single"/>
    </w:rPr>
  </w:style>
  <w:style w:type="character" w:customStyle="1" w:styleId="HeaderChar1">
    <w:name w:val="Header Char1"/>
    <w:basedOn w:val="DefaultParagraphFont"/>
    <w:uiPriority w:val="99"/>
    <w:locked/>
    <w:rsid w:val="00030089"/>
    <w:rPr>
      <w:rFonts w:ascii="Cambria" w:eastAsia="MS ??" w:hAnsi="Cambria" w:cs="Cambria"/>
      <w:sz w:val="24"/>
      <w:szCs w:val="24"/>
    </w:rPr>
  </w:style>
  <w:style w:type="paragraph" w:styleId="DocumentMap">
    <w:name w:val="Document Map"/>
    <w:basedOn w:val="Normal"/>
    <w:link w:val="DocumentMapChar"/>
    <w:uiPriority w:val="99"/>
    <w:semiHidden/>
    <w:unhideWhenUsed/>
    <w:rsid w:val="00030089"/>
    <w:pPr>
      <w:spacing w:after="0" w:line="240" w:lineRule="auto"/>
      <w:ind w:left="0" w:firstLine="0"/>
    </w:pPr>
    <w:rPr>
      <w:rFonts w:ascii="Tahoma" w:eastAsiaTheme="minorEastAsia" w:hAnsi="Tahoma" w:cs="Tahoma"/>
      <w:sz w:val="16"/>
      <w:szCs w:val="16"/>
      <w:lang w:eastAsia="en-AU"/>
    </w:rPr>
  </w:style>
  <w:style w:type="character" w:customStyle="1" w:styleId="DocumentMapChar">
    <w:name w:val="Document Map Char"/>
    <w:basedOn w:val="DefaultParagraphFont"/>
    <w:link w:val="DocumentMap"/>
    <w:uiPriority w:val="99"/>
    <w:semiHidden/>
    <w:rsid w:val="00030089"/>
    <w:rPr>
      <w:rFonts w:ascii="Tahoma" w:eastAsiaTheme="minorEastAsia" w:hAnsi="Tahoma" w:cs="Tahoma"/>
      <w:sz w:val="16"/>
      <w:szCs w:val="16"/>
      <w:lang w:eastAsia="en-AU"/>
    </w:rPr>
  </w:style>
  <w:style w:type="paragraph" w:styleId="TableofFigures">
    <w:name w:val="table of figures"/>
    <w:basedOn w:val="Normal"/>
    <w:next w:val="Normal"/>
    <w:uiPriority w:val="99"/>
    <w:unhideWhenUsed/>
    <w:rsid w:val="00030089"/>
    <w:pPr>
      <w:spacing w:after="0"/>
      <w:ind w:left="0" w:firstLine="0"/>
    </w:pPr>
    <w:rPr>
      <w:rFonts w:asciiTheme="minorHAnsi" w:eastAsiaTheme="minorEastAsia" w:hAnsiTheme="minorHAnsi"/>
      <w:sz w:val="22"/>
      <w:lang w:eastAsia="en-AU"/>
    </w:rPr>
  </w:style>
  <w:style w:type="paragraph" w:styleId="PlainText">
    <w:name w:val="Plain Text"/>
    <w:basedOn w:val="Normal"/>
    <w:link w:val="PlainTextChar"/>
    <w:uiPriority w:val="99"/>
    <w:semiHidden/>
    <w:unhideWhenUsed/>
    <w:rsid w:val="00030089"/>
    <w:pPr>
      <w:spacing w:after="0" w:line="240" w:lineRule="auto"/>
      <w:ind w:left="0" w:firstLine="0"/>
    </w:pPr>
    <w:rPr>
      <w:rFonts w:ascii="Consolas" w:hAnsi="Consolas"/>
      <w:sz w:val="21"/>
      <w:szCs w:val="21"/>
      <w:lang w:eastAsia="en-AU"/>
    </w:rPr>
  </w:style>
  <w:style w:type="character" w:customStyle="1" w:styleId="PlainTextChar">
    <w:name w:val="Plain Text Char"/>
    <w:basedOn w:val="DefaultParagraphFont"/>
    <w:link w:val="PlainText"/>
    <w:uiPriority w:val="99"/>
    <w:semiHidden/>
    <w:rsid w:val="00030089"/>
    <w:rPr>
      <w:rFonts w:ascii="Consolas" w:hAnsi="Consolas"/>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120"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2"/>
  </w:style>
  <w:style w:type="paragraph" w:styleId="Heading1">
    <w:name w:val="heading 1"/>
    <w:basedOn w:val="Normal"/>
    <w:next w:val="Normal"/>
    <w:link w:val="Heading1Char"/>
    <w:uiPriority w:val="9"/>
    <w:qFormat/>
    <w:rsid w:val="00030089"/>
    <w:pPr>
      <w:spacing w:before="480" w:after="0"/>
      <w:ind w:left="0" w:firstLine="0"/>
      <w:contextualSpacing/>
      <w:outlineLvl w:val="0"/>
    </w:pPr>
    <w:rPr>
      <w:rFonts w:asciiTheme="majorHAnsi" w:eastAsiaTheme="majorEastAsia" w:hAnsiTheme="majorHAnsi" w:cstheme="majorBidi"/>
      <w:b/>
      <w:bCs/>
      <w:sz w:val="28"/>
      <w:szCs w:val="28"/>
      <w:lang w:eastAsia="en-AU"/>
    </w:rPr>
  </w:style>
  <w:style w:type="paragraph" w:styleId="Heading2">
    <w:name w:val="heading 2"/>
    <w:basedOn w:val="Normal"/>
    <w:next w:val="Normal"/>
    <w:link w:val="Heading2Char"/>
    <w:uiPriority w:val="9"/>
    <w:semiHidden/>
    <w:unhideWhenUsed/>
    <w:qFormat/>
    <w:rsid w:val="00030089"/>
    <w:pPr>
      <w:spacing w:before="200" w:after="0"/>
      <w:ind w:left="0" w:firstLine="0"/>
      <w:outlineLvl w:val="1"/>
    </w:pPr>
    <w:rPr>
      <w:rFonts w:asciiTheme="majorHAnsi" w:eastAsiaTheme="majorEastAsia" w:hAnsiTheme="majorHAnsi" w:cstheme="majorBidi"/>
      <w:b/>
      <w:bCs/>
      <w:sz w:val="26"/>
      <w:szCs w:val="26"/>
      <w:lang w:eastAsia="en-AU"/>
    </w:rPr>
  </w:style>
  <w:style w:type="paragraph" w:styleId="Heading3">
    <w:name w:val="heading 3"/>
    <w:basedOn w:val="Normal"/>
    <w:next w:val="Normal"/>
    <w:link w:val="Heading3Char"/>
    <w:uiPriority w:val="9"/>
    <w:semiHidden/>
    <w:unhideWhenUsed/>
    <w:qFormat/>
    <w:rsid w:val="00030089"/>
    <w:pPr>
      <w:spacing w:before="200" w:after="0" w:line="271" w:lineRule="auto"/>
      <w:ind w:left="0" w:firstLine="0"/>
      <w:outlineLvl w:val="2"/>
    </w:pPr>
    <w:rPr>
      <w:rFonts w:asciiTheme="majorHAnsi" w:eastAsiaTheme="majorEastAsia" w:hAnsiTheme="majorHAnsi" w:cstheme="majorBidi"/>
      <w:b/>
      <w:bCs/>
      <w:sz w:val="22"/>
      <w:lang w:eastAsia="en-AU"/>
    </w:rPr>
  </w:style>
  <w:style w:type="paragraph" w:styleId="Heading4">
    <w:name w:val="heading 4"/>
    <w:basedOn w:val="Normal"/>
    <w:next w:val="Normal"/>
    <w:link w:val="Heading4Char"/>
    <w:uiPriority w:val="9"/>
    <w:semiHidden/>
    <w:unhideWhenUsed/>
    <w:qFormat/>
    <w:rsid w:val="00030089"/>
    <w:pPr>
      <w:spacing w:before="200" w:after="0"/>
      <w:ind w:left="0" w:firstLine="0"/>
      <w:outlineLvl w:val="3"/>
    </w:pPr>
    <w:rPr>
      <w:rFonts w:asciiTheme="majorHAnsi" w:eastAsiaTheme="majorEastAsia" w:hAnsiTheme="majorHAnsi" w:cstheme="majorBidi"/>
      <w:b/>
      <w:bCs/>
      <w:i/>
      <w:iCs/>
      <w:sz w:val="22"/>
      <w:lang w:eastAsia="en-AU"/>
    </w:rPr>
  </w:style>
  <w:style w:type="paragraph" w:styleId="Heading5">
    <w:name w:val="heading 5"/>
    <w:basedOn w:val="Normal"/>
    <w:next w:val="Normal"/>
    <w:link w:val="Heading5Char"/>
    <w:uiPriority w:val="9"/>
    <w:semiHidden/>
    <w:unhideWhenUsed/>
    <w:qFormat/>
    <w:rsid w:val="00030089"/>
    <w:pPr>
      <w:spacing w:before="200" w:after="0"/>
      <w:ind w:left="0" w:firstLine="0"/>
      <w:outlineLvl w:val="4"/>
    </w:pPr>
    <w:rPr>
      <w:rFonts w:asciiTheme="majorHAnsi" w:eastAsiaTheme="majorEastAsia" w:hAnsiTheme="majorHAnsi" w:cstheme="majorBidi"/>
      <w:b/>
      <w:bCs/>
      <w:color w:val="7F7F7F" w:themeColor="text1" w:themeTint="80"/>
      <w:sz w:val="22"/>
      <w:lang w:eastAsia="en-AU"/>
    </w:rPr>
  </w:style>
  <w:style w:type="paragraph" w:styleId="Heading6">
    <w:name w:val="heading 6"/>
    <w:basedOn w:val="Normal"/>
    <w:next w:val="Normal"/>
    <w:link w:val="Heading6Char"/>
    <w:uiPriority w:val="9"/>
    <w:semiHidden/>
    <w:unhideWhenUsed/>
    <w:qFormat/>
    <w:rsid w:val="00030089"/>
    <w:pPr>
      <w:spacing w:after="0" w:line="271" w:lineRule="auto"/>
      <w:ind w:left="0" w:firstLine="0"/>
      <w:outlineLvl w:val="5"/>
    </w:pPr>
    <w:rPr>
      <w:rFonts w:asciiTheme="majorHAnsi" w:eastAsiaTheme="majorEastAsia" w:hAnsiTheme="majorHAnsi" w:cstheme="majorBidi"/>
      <w:b/>
      <w:bCs/>
      <w:i/>
      <w:iCs/>
      <w:color w:val="7F7F7F" w:themeColor="text1" w:themeTint="80"/>
      <w:sz w:val="22"/>
      <w:lang w:eastAsia="en-AU"/>
    </w:rPr>
  </w:style>
  <w:style w:type="paragraph" w:styleId="Heading7">
    <w:name w:val="heading 7"/>
    <w:basedOn w:val="Normal"/>
    <w:next w:val="Normal"/>
    <w:link w:val="Heading7Char"/>
    <w:uiPriority w:val="9"/>
    <w:semiHidden/>
    <w:unhideWhenUsed/>
    <w:qFormat/>
    <w:rsid w:val="00030089"/>
    <w:pPr>
      <w:spacing w:after="0"/>
      <w:ind w:left="0" w:firstLine="0"/>
      <w:outlineLvl w:val="6"/>
    </w:pPr>
    <w:rPr>
      <w:rFonts w:asciiTheme="majorHAnsi" w:eastAsiaTheme="majorEastAsia" w:hAnsiTheme="majorHAnsi" w:cstheme="majorBidi"/>
      <w:i/>
      <w:iCs/>
      <w:sz w:val="22"/>
      <w:lang w:eastAsia="en-AU"/>
    </w:rPr>
  </w:style>
  <w:style w:type="paragraph" w:styleId="Heading8">
    <w:name w:val="heading 8"/>
    <w:basedOn w:val="Normal"/>
    <w:next w:val="Normal"/>
    <w:link w:val="Heading8Char"/>
    <w:uiPriority w:val="9"/>
    <w:semiHidden/>
    <w:unhideWhenUsed/>
    <w:qFormat/>
    <w:rsid w:val="00030089"/>
    <w:pPr>
      <w:spacing w:after="0"/>
      <w:ind w:left="0" w:firstLine="0"/>
      <w:outlineLvl w:val="7"/>
    </w:pPr>
    <w:rPr>
      <w:rFonts w:asciiTheme="majorHAnsi" w:eastAsiaTheme="majorEastAsia" w:hAnsiTheme="majorHAnsi" w:cstheme="majorBidi"/>
      <w:sz w:val="20"/>
      <w:szCs w:val="20"/>
      <w:lang w:eastAsia="en-AU"/>
    </w:rPr>
  </w:style>
  <w:style w:type="paragraph" w:styleId="Heading9">
    <w:name w:val="heading 9"/>
    <w:basedOn w:val="Normal"/>
    <w:next w:val="Normal"/>
    <w:link w:val="Heading9Char"/>
    <w:uiPriority w:val="9"/>
    <w:semiHidden/>
    <w:unhideWhenUsed/>
    <w:qFormat/>
    <w:rsid w:val="00030089"/>
    <w:pPr>
      <w:spacing w:after="0"/>
      <w:ind w:left="0" w:firstLine="0"/>
      <w:outlineLvl w:val="8"/>
    </w:pPr>
    <w:rPr>
      <w:rFonts w:asciiTheme="majorHAnsi" w:eastAsiaTheme="majorEastAsia" w:hAnsiTheme="majorHAnsi" w:cstheme="majorBidi"/>
      <w:i/>
      <w:iCs/>
      <w:spacing w:val="5"/>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EF6BD5"/>
    <w:pPr>
      <w:spacing w:after="0" w:line="240" w:lineRule="auto"/>
      <w:ind w:left="0" w:firstLine="0"/>
    </w:pPr>
    <w:rPr>
      <w:rFonts w:ascii="Arial" w:eastAsia="Times New Roman" w:hAnsi="Arial" w:cs="Arial"/>
      <w:sz w:val="22"/>
    </w:rPr>
  </w:style>
  <w:style w:type="paragraph" w:styleId="Header">
    <w:name w:val="header"/>
    <w:basedOn w:val="Normal"/>
    <w:link w:val="HeaderChar"/>
    <w:uiPriority w:val="99"/>
    <w:unhideWhenUsed/>
    <w:rsid w:val="003F2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895"/>
  </w:style>
  <w:style w:type="paragraph" w:styleId="Footer">
    <w:name w:val="footer"/>
    <w:basedOn w:val="Normal"/>
    <w:link w:val="FooterChar"/>
    <w:uiPriority w:val="99"/>
    <w:unhideWhenUsed/>
    <w:rsid w:val="003F2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895"/>
  </w:style>
  <w:style w:type="paragraph" w:styleId="BalloonText">
    <w:name w:val="Balloon Text"/>
    <w:basedOn w:val="Normal"/>
    <w:link w:val="BalloonTextChar"/>
    <w:uiPriority w:val="99"/>
    <w:semiHidden/>
    <w:unhideWhenUsed/>
    <w:rsid w:val="00392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985"/>
    <w:rPr>
      <w:rFonts w:ascii="Tahoma" w:hAnsi="Tahoma" w:cs="Tahoma"/>
      <w:sz w:val="16"/>
      <w:szCs w:val="16"/>
    </w:rPr>
  </w:style>
  <w:style w:type="table" w:styleId="TableGrid">
    <w:name w:val="Table Grid"/>
    <w:basedOn w:val="TableNormal"/>
    <w:uiPriority w:val="59"/>
    <w:rsid w:val="00F20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0CAA"/>
    <w:pPr>
      <w:ind w:left="720"/>
      <w:contextualSpacing/>
    </w:pPr>
  </w:style>
  <w:style w:type="character" w:styleId="CommentReference">
    <w:name w:val="annotation reference"/>
    <w:basedOn w:val="DefaultParagraphFont"/>
    <w:uiPriority w:val="99"/>
    <w:semiHidden/>
    <w:unhideWhenUsed/>
    <w:rsid w:val="006933DB"/>
    <w:rPr>
      <w:sz w:val="16"/>
      <w:szCs w:val="16"/>
    </w:rPr>
  </w:style>
  <w:style w:type="paragraph" w:styleId="CommentText">
    <w:name w:val="annotation text"/>
    <w:basedOn w:val="Normal"/>
    <w:link w:val="CommentTextChar"/>
    <w:uiPriority w:val="99"/>
    <w:unhideWhenUsed/>
    <w:rsid w:val="006933DB"/>
    <w:pPr>
      <w:spacing w:line="240" w:lineRule="auto"/>
    </w:pPr>
    <w:rPr>
      <w:sz w:val="20"/>
      <w:szCs w:val="20"/>
    </w:rPr>
  </w:style>
  <w:style w:type="character" w:customStyle="1" w:styleId="CommentTextChar">
    <w:name w:val="Comment Text Char"/>
    <w:basedOn w:val="DefaultParagraphFont"/>
    <w:link w:val="CommentText"/>
    <w:uiPriority w:val="99"/>
    <w:rsid w:val="006933DB"/>
    <w:rPr>
      <w:sz w:val="20"/>
      <w:szCs w:val="20"/>
    </w:rPr>
  </w:style>
  <w:style w:type="paragraph" w:styleId="CommentSubject">
    <w:name w:val="annotation subject"/>
    <w:basedOn w:val="CommentText"/>
    <w:next w:val="CommentText"/>
    <w:link w:val="CommentSubjectChar"/>
    <w:uiPriority w:val="99"/>
    <w:semiHidden/>
    <w:unhideWhenUsed/>
    <w:rsid w:val="006933DB"/>
    <w:rPr>
      <w:b/>
      <w:bCs/>
    </w:rPr>
  </w:style>
  <w:style w:type="character" w:customStyle="1" w:styleId="CommentSubjectChar">
    <w:name w:val="Comment Subject Char"/>
    <w:basedOn w:val="CommentTextChar"/>
    <w:link w:val="CommentSubject"/>
    <w:uiPriority w:val="99"/>
    <w:semiHidden/>
    <w:rsid w:val="006933DB"/>
    <w:rPr>
      <w:b/>
      <w:bCs/>
      <w:sz w:val="20"/>
      <w:szCs w:val="20"/>
    </w:rPr>
  </w:style>
  <w:style w:type="character" w:customStyle="1" w:styleId="Heading1Char">
    <w:name w:val="Heading 1 Char"/>
    <w:basedOn w:val="DefaultParagraphFont"/>
    <w:link w:val="Heading1"/>
    <w:uiPriority w:val="9"/>
    <w:rsid w:val="00030089"/>
    <w:rPr>
      <w:rFonts w:asciiTheme="majorHAnsi" w:eastAsiaTheme="majorEastAsia" w:hAnsiTheme="majorHAnsi" w:cstheme="majorBidi"/>
      <w:b/>
      <w:bCs/>
      <w:sz w:val="28"/>
      <w:szCs w:val="28"/>
      <w:lang w:eastAsia="en-AU"/>
    </w:rPr>
  </w:style>
  <w:style w:type="character" w:customStyle="1" w:styleId="Heading2Char">
    <w:name w:val="Heading 2 Char"/>
    <w:basedOn w:val="DefaultParagraphFont"/>
    <w:link w:val="Heading2"/>
    <w:uiPriority w:val="9"/>
    <w:semiHidden/>
    <w:rsid w:val="00030089"/>
    <w:rPr>
      <w:rFonts w:asciiTheme="majorHAnsi" w:eastAsiaTheme="majorEastAsia" w:hAnsiTheme="majorHAnsi" w:cstheme="majorBidi"/>
      <w:b/>
      <w:bCs/>
      <w:sz w:val="26"/>
      <w:szCs w:val="26"/>
      <w:lang w:eastAsia="en-AU"/>
    </w:rPr>
  </w:style>
  <w:style w:type="character" w:customStyle="1" w:styleId="Heading3Char">
    <w:name w:val="Heading 3 Char"/>
    <w:basedOn w:val="DefaultParagraphFont"/>
    <w:link w:val="Heading3"/>
    <w:uiPriority w:val="9"/>
    <w:semiHidden/>
    <w:rsid w:val="00030089"/>
    <w:rPr>
      <w:rFonts w:asciiTheme="majorHAnsi" w:eastAsiaTheme="majorEastAsia" w:hAnsiTheme="majorHAnsi" w:cstheme="majorBidi"/>
      <w:b/>
      <w:bCs/>
      <w:sz w:val="22"/>
      <w:lang w:eastAsia="en-AU"/>
    </w:rPr>
  </w:style>
  <w:style w:type="character" w:customStyle="1" w:styleId="Heading4Char">
    <w:name w:val="Heading 4 Char"/>
    <w:basedOn w:val="DefaultParagraphFont"/>
    <w:link w:val="Heading4"/>
    <w:uiPriority w:val="9"/>
    <w:semiHidden/>
    <w:rsid w:val="00030089"/>
    <w:rPr>
      <w:rFonts w:asciiTheme="majorHAnsi" w:eastAsiaTheme="majorEastAsia" w:hAnsiTheme="majorHAnsi" w:cstheme="majorBidi"/>
      <w:b/>
      <w:bCs/>
      <w:i/>
      <w:iCs/>
      <w:sz w:val="22"/>
      <w:lang w:eastAsia="en-AU"/>
    </w:rPr>
  </w:style>
  <w:style w:type="character" w:customStyle="1" w:styleId="Heading5Char">
    <w:name w:val="Heading 5 Char"/>
    <w:basedOn w:val="DefaultParagraphFont"/>
    <w:link w:val="Heading5"/>
    <w:uiPriority w:val="9"/>
    <w:semiHidden/>
    <w:rsid w:val="00030089"/>
    <w:rPr>
      <w:rFonts w:asciiTheme="majorHAnsi" w:eastAsiaTheme="majorEastAsia" w:hAnsiTheme="majorHAnsi" w:cstheme="majorBidi"/>
      <w:b/>
      <w:bCs/>
      <w:color w:val="7F7F7F" w:themeColor="text1" w:themeTint="80"/>
      <w:sz w:val="22"/>
      <w:lang w:eastAsia="en-AU"/>
    </w:rPr>
  </w:style>
  <w:style w:type="character" w:customStyle="1" w:styleId="Heading6Char">
    <w:name w:val="Heading 6 Char"/>
    <w:basedOn w:val="DefaultParagraphFont"/>
    <w:link w:val="Heading6"/>
    <w:uiPriority w:val="9"/>
    <w:semiHidden/>
    <w:rsid w:val="00030089"/>
    <w:rPr>
      <w:rFonts w:asciiTheme="majorHAnsi" w:eastAsiaTheme="majorEastAsia" w:hAnsiTheme="majorHAnsi" w:cstheme="majorBidi"/>
      <w:b/>
      <w:bCs/>
      <w:i/>
      <w:iCs/>
      <w:color w:val="7F7F7F" w:themeColor="text1" w:themeTint="80"/>
      <w:sz w:val="22"/>
      <w:lang w:eastAsia="en-AU"/>
    </w:rPr>
  </w:style>
  <w:style w:type="character" w:customStyle="1" w:styleId="Heading7Char">
    <w:name w:val="Heading 7 Char"/>
    <w:basedOn w:val="DefaultParagraphFont"/>
    <w:link w:val="Heading7"/>
    <w:uiPriority w:val="9"/>
    <w:semiHidden/>
    <w:rsid w:val="00030089"/>
    <w:rPr>
      <w:rFonts w:asciiTheme="majorHAnsi" w:eastAsiaTheme="majorEastAsia" w:hAnsiTheme="majorHAnsi" w:cstheme="majorBidi"/>
      <w:i/>
      <w:iCs/>
      <w:sz w:val="22"/>
      <w:lang w:eastAsia="en-AU"/>
    </w:rPr>
  </w:style>
  <w:style w:type="character" w:customStyle="1" w:styleId="Heading8Char">
    <w:name w:val="Heading 8 Char"/>
    <w:basedOn w:val="DefaultParagraphFont"/>
    <w:link w:val="Heading8"/>
    <w:uiPriority w:val="9"/>
    <w:semiHidden/>
    <w:rsid w:val="00030089"/>
    <w:rPr>
      <w:rFonts w:asciiTheme="majorHAnsi" w:eastAsiaTheme="majorEastAsia" w:hAnsiTheme="majorHAnsi" w:cstheme="majorBidi"/>
      <w:sz w:val="20"/>
      <w:szCs w:val="20"/>
      <w:lang w:eastAsia="en-AU"/>
    </w:rPr>
  </w:style>
  <w:style w:type="character" w:customStyle="1" w:styleId="Heading9Char">
    <w:name w:val="Heading 9 Char"/>
    <w:basedOn w:val="DefaultParagraphFont"/>
    <w:link w:val="Heading9"/>
    <w:uiPriority w:val="9"/>
    <w:semiHidden/>
    <w:rsid w:val="00030089"/>
    <w:rPr>
      <w:rFonts w:asciiTheme="majorHAnsi" w:eastAsiaTheme="majorEastAsia" w:hAnsiTheme="majorHAnsi" w:cstheme="majorBidi"/>
      <w:i/>
      <w:iCs/>
      <w:spacing w:val="5"/>
      <w:sz w:val="20"/>
      <w:szCs w:val="20"/>
      <w:lang w:eastAsia="en-AU"/>
    </w:rPr>
  </w:style>
  <w:style w:type="paragraph" w:customStyle="1" w:styleId="CabSubnormaltxt">
    <w:name w:val="Cab Sub normal txt"/>
    <w:basedOn w:val="Normal"/>
    <w:rsid w:val="00030089"/>
    <w:pPr>
      <w:numPr>
        <w:numId w:val="2"/>
      </w:numPr>
      <w:spacing w:after="0"/>
    </w:pPr>
    <w:rPr>
      <w:rFonts w:ascii="Bookman Old Style" w:eastAsiaTheme="minorEastAsia" w:hAnsi="Bookman Old Style"/>
      <w:szCs w:val="20"/>
      <w:lang w:eastAsia="en-AU"/>
    </w:rPr>
  </w:style>
  <w:style w:type="paragraph" w:styleId="EndnoteText">
    <w:name w:val="endnote text"/>
    <w:basedOn w:val="Normal"/>
    <w:link w:val="EndnoteTextChar"/>
    <w:uiPriority w:val="99"/>
    <w:semiHidden/>
    <w:rsid w:val="00030089"/>
    <w:pPr>
      <w:spacing w:after="0" w:line="240" w:lineRule="auto"/>
      <w:ind w:left="0" w:firstLine="0"/>
    </w:pPr>
    <w:rPr>
      <w:rFonts w:eastAsiaTheme="minorEastAsia"/>
      <w:sz w:val="20"/>
      <w:szCs w:val="20"/>
      <w:lang w:eastAsia="en-AU"/>
    </w:rPr>
  </w:style>
  <w:style w:type="character" w:customStyle="1" w:styleId="EndnoteTextChar">
    <w:name w:val="Endnote Text Char"/>
    <w:basedOn w:val="DefaultParagraphFont"/>
    <w:link w:val="EndnoteText"/>
    <w:uiPriority w:val="99"/>
    <w:semiHidden/>
    <w:rsid w:val="00030089"/>
    <w:rPr>
      <w:rFonts w:eastAsiaTheme="minorEastAsia"/>
      <w:sz w:val="20"/>
      <w:szCs w:val="20"/>
      <w:lang w:eastAsia="en-AU"/>
    </w:rPr>
  </w:style>
  <w:style w:type="character" w:styleId="EndnoteReference">
    <w:name w:val="endnote reference"/>
    <w:basedOn w:val="DefaultParagraphFont"/>
    <w:uiPriority w:val="99"/>
    <w:semiHidden/>
    <w:rsid w:val="00030089"/>
    <w:rPr>
      <w:rFonts w:ascii="Arial" w:hAnsi="Arial" w:cs="Times New Roman"/>
      <w:i/>
      <w:sz w:val="24"/>
      <w:szCs w:val="24"/>
      <w:vertAlign w:val="superscript"/>
    </w:rPr>
  </w:style>
  <w:style w:type="paragraph" w:styleId="TOC1">
    <w:name w:val="toc 1"/>
    <w:basedOn w:val="Normal"/>
    <w:next w:val="Normal"/>
    <w:autoRedefine/>
    <w:uiPriority w:val="39"/>
    <w:unhideWhenUsed/>
    <w:qFormat/>
    <w:rsid w:val="00030089"/>
    <w:pPr>
      <w:spacing w:before="120"/>
      <w:ind w:left="0" w:firstLine="0"/>
    </w:pPr>
    <w:rPr>
      <w:rFonts w:asciiTheme="minorHAnsi" w:eastAsiaTheme="minorEastAsia" w:hAnsiTheme="minorHAnsi"/>
      <w:b/>
      <w:bCs/>
      <w:caps/>
      <w:sz w:val="20"/>
      <w:szCs w:val="20"/>
      <w:lang w:eastAsia="en-AU"/>
    </w:rPr>
  </w:style>
  <w:style w:type="character" w:styleId="Hyperlink">
    <w:name w:val="Hyperlink"/>
    <w:basedOn w:val="DefaultParagraphFont"/>
    <w:uiPriority w:val="99"/>
    <w:unhideWhenUsed/>
    <w:rsid w:val="00030089"/>
    <w:rPr>
      <w:rFonts w:cs="Times New Roman"/>
      <w:color w:val="0000FF"/>
      <w:u w:val="single"/>
    </w:rPr>
  </w:style>
  <w:style w:type="paragraph" w:styleId="TOCHeading">
    <w:name w:val="TOC Heading"/>
    <w:basedOn w:val="Heading1"/>
    <w:next w:val="Normal"/>
    <w:uiPriority w:val="39"/>
    <w:unhideWhenUsed/>
    <w:qFormat/>
    <w:rsid w:val="00030089"/>
    <w:pPr>
      <w:outlineLvl w:val="9"/>
    </w:pPr>
  </w:style>
  <w:style w:type="paragraph" w:styleId="TOC2">
    <w:name w:val="toc 2"/>
    <w:basedOn w:val="Normal"/>
    <w:next w:val="Normal"/>
    <w:autoRedefine/>
    <w:uiPriority w:val="39"/>
    <w:unhideWhenUsed/>
    <w:qFormat/>
    <w:rsid w:val="00030089"/>
    <w:pPr>
      <w:spacing w:after="0"/>
      <w:ind w:left="220" w:firstLine="0"/>
    </w:pPr>
    <w:rPr>
      <w:rFonts w:asciiTheme="minorHAnsi" w:eastAsiaTheme="minorEastAsia" w:hAnsiTheme="minorHAnsi"/>
      <w:smallCaps/>
      <w:sz w:val="20"/>
      <w:szCs w:val="20"/>
      <w:lang w:eastAsia="en-AU"/>
    </w:rPr>
  </w:style>
  <w:style w:type="paragraph" w:styleId="TOC3">
    <w:name w:val="toc 3"/>
    <w:basedOn w:val="Normal"/>
    <w:next w:val="Normal"/>
    <w:autoRedefine/>
    <w:uiPriority w:val="39"/>
    <w:unhideWhenUsed/>
    <w:qFormat/>
    <w:rsid w:val="00030089"/>
    <w:pPr>
      <w:spacing w:after="0"/>
      <w:ind w:left="440" w:firstLine="0"/>
    </w:pPr>
    <w:rPr>
      <w:rFonts w:asciiTheme="minorHAnsi" w:eastAsiaTheme="minorEastAsia" w:hAnsiTheme="minorHAnsi"/>
      <w:i/>
      <w:iCs/>
      <w:sz w:val="20"/>
      <w:szCs w:val="20"/>
      <w:lang w:eastAsia="en-AU"/>
    </w:rPr>
  </w:style>
  <w:style w:type="paragraph" w:styleId="FootnoteText">
    <w:name w:val="footnote text"/>
    <w:basedOn w:val="Normal"/>
    <w:link w:val="FootnoteTextChar"/>
    <w:uiPriority w:val="99"/>
    <w:rsid w:val="00030089"/>
    <w:pPr>
      <w:spacing w:after="0" w:line="240" w:lineRule="auto"/>
      <w:ind w:left="0" w:firstLine="0"/>
    </w:pPr>
    <w:rPr>
      <w:rFonts w:ascii="Arial" w:eastAsiaTheme="minorEastAsia" w:hAnsi="Arial"/>
      <w:sz w:val="20"/>
      <w:szCs w:val="20"/>
      <w:lang w:val="en-GB" w:eastAsia="en-AU"/>
    </w:rPr>
  </w:style>
  <w:style w:type="character" w:customStyle="1" w:styleId="FootnoteTextChar">
    <w:name w:val="Footnote Text Char"/>
    <w:basedOn w:val="DefaultParagraphFont"/>
    <w:link w:val="FootnoteText"/>
    <w:uiPriority w:val="99"/>
    <w:rsid w:val="00030089"/>
    <w:rPr>
      <w:rFonts w:ascii="Arial" w:eastAsiaTheme="minorEastAsia" w:hAnsi="Arial"/>
      <w:sz w:val="20"/>
      <w:szCs w:val="20"/>
      <w:lang w:val="en-GB" w:eastAsia="en-AU"/>
    </w:rPr>
  </w:style>
  <w:style w:type="character" w:styleId="FootnoteReference">
    <w:name w:val="footnote reference"/>
    <w:basedOn w:val="DefaultParagraphFont"/>
    <w:uiPriority w:val="99"/>
    <w:rsid w:val="00030089"/>
    <w:rPr>
      <w:rFonts w:cs="Times New Roman"/>
      <w:vertAlign w:val="superscript"/>
    </w:rPr>
  </w:style>
  <w:style w:type="paragraph" w:customStyle="1" w:styleId="exsumm">
    <w:name w:val="exsumm"/>
    <w:basedOn w:val="Normal"/>
    <w:rsid w:val="00030089"/>
    <w:pPr>
      <w:spacing w:after="360"/>
      <w:ind w:left="1701" w:firstLine="0"/>
    </w:pPr>
    <w:rPr>
      <w:rFonts w:ascii="Arial" w:eastAsiaTheme="minorEastAsia" w:hAnsi="Arial" w:cs="Arial"/>
      <w:sz w:val="21"/>
      <w:lang w:eastAsia="en-AU"/>
    </w:rPr>
  </w:style>
  <w:style w:type="character" w:styleId="PageNumber">
    <w:name w:val="page number"/>
    <w:basedOn w:val="DefaultParagraphFont"/>
    <w:uiPriority w:val="99"/>
    <w:rsid w:val="00030089"/>
    <w:rPr>
      <w:rFonts w:cs="Times New Roman"/>
    </w:rPr>
  </w:style>
  <w:style w:type="paragraph" w:customStyle="1" w:styleId="Pa1">
    <w:name w:val="Pa1"/>
    <w:basedOn w:val="Normal"/>
    <w:uiPriority w:val="99"/>
    <w:rsid w:val="00030089"/>
    <w:pPr>
      <w:autoSpaceDE w:val="0"/>
      <w:autoSpaceDN w:val="0"/>
      <w:spacing w:after="80" w:line="241" w:lineRule="atLeast"/>
      <w:ind w:left="0" w:firstLine="0"/>
    </w:pPr>
    <w:rPr>
      <w:rFonts w:ascii="Arial" w:eastAsiaTheme="minorEastAsia" w:hAnsi="Arial" w:cs="Arial"/>
      <w:szCs w:val="24"/>
      <w:lang w:eastAsia="en-AU"/>
    </w:rPr>
  </w:style>
  <w:style w:type="character" w:customStyle="1" w:styleId="A2">
    <w:name w:val="A2"/>
    <w:basedOn w:val="DefaultParagraphFont"/>
    <w:uiPriority w:val="99"/>
    <w:rsid w:val="00030089"/>
    <w:rPr>
      <w:rFonts w:cs="Times New Roman"/>
      <w:color w:val="000000"/>
    </w:rPr>
  </w:style>
  <w:style w:type="character" w:customStyle="1" w:styleId="st1">
    <w:name w:val="st1"/>
    <w:basedOn w:val="DefaultParagraphFont"/>
    <w:rsid w:val="00030089"/>
    <w:rPr>
      <w:rFonts w:cs="Times New Roman"/>
    </w:rPr>
  </w:style>
  <w:style w:type="paragraph" w:styleId="NoSpacing">
    <w:name w:val="No Spacing"/>
    <w:basedOn w:val="Normal"/>
    <w:uiPriority w:val="1"/>
    <w:qFormat/>
    <w:rsid w:val="00030089"/>
    <w:pPr>
      <w:spacing w:after="0" w:line="240" w:lineRule="auto"/>
      <w:ind w:left="0" w:firstLine="0"/>
    </w:pPr>
    <w:rPr>
      <w:rFonts w:asciiTheme="minorHAnsi" w:eastAsiaTheme="minorEastAsia" w:hAnsiTheme="minorHAnsi"/>
      <w:sz w:val="22"/>
      <w:lang w:eastAsia="en-AU"/>
    </w:rPr>
  </w:style>
  <w:style w:type="paragraph" w:customStyle="1" w:styleId="Default">
    <w:name w:val="Default"/>
    <w:link w:val="DefaultChar"/>
    <w:qFormat/>
    <w:rsid w:val="00030089"/>
    <w:pPr>
      <w:autoSpaceDE w:val="0"/>
      <w:autoSpaceDN w:val="0"/>
      <w:adjustRightInd w:val="0"/>
      <w:spacing w:before="240" w:after="240" w:line="360" w:lineRule="auto"/>
      <w:ind w:left="0" w:firstLine="0"/>
      <w:jc w:val="both"/>
    </w:pPr>
    <w:rPr>
      <w:rFonts w:ascii="Arial" w:eastAsiaTheme="minorEastAsia" w:hAnsi="Arial" w:cs="Arial"/>
      <w:sz w:val="22"/>
      <w:szCs w:val="28"/>
      <w:lang w:val="en-US" w:eastAsia="en-AU" w:bidi="en-US"/>
    </w:rPr>
  </w:style>
  <w:style w:type="paragraph" w:styleId="NormalWeb">
    <w:name w:val="Normal (Web)"/>
    <w:basedOn w:val="Normal"/>
    <w:uiPriority w:val="99"/>
    <w:unhideWhenUsed/>
    <w:rsid w:val="00030089"/>
    <w:pPr>
      <w:spacing w:before="100" w:beforeAutospacing="1" w:after="100" w:afterAutospacing="1" w:line="240" w:lineRule="auto"/>
      <w:ind w:left="0" w:firstLine="0"/>
    </w:pPr>
    <w:rPr>
      <w:rFonts w:eastAsiaTheme="minorEastAsia"/>
      <w:szCs w:val="24"/>
      <w:lang w:eastAsia="en-AU"/>
    </w:rPr>
  </w:style>
  <w:style w:type="paragraph" w:styleId="TOC4">
    <w:name w:val="toc 4"/>
    <w:basedOn w:val="Normal"/>
    <w:next w:val="Normal"/>
    <w:autoRedefine/>
    <w:uiPriority w:val="39"/>
    <w:unhideWhenUsed/>
    <w:rsid w:val="00030089"/>
    <w:pPr>
      <w:spacing w:after="0"/>
      <w:ind w:left="660" w:firstLine="0"/>
    </w:pPr>
    <w:rPr>
      <w:rFonts w:asciiTheme="minorHAnsi" w:eastAsiaTheme="minorEastAsia" w:hAnsiTheme="minorHAnsi"/>
      <w:sz w:val="18"/>
      <w:szCs w:val="18"/>
      <w:lang w:eastAsia="en-AU"/>
    </w:rPr>
  </w:style>
  <w:style w:type="paragraph" w:styleId="TOC5">
    <w:name w:val="toc 5"/>
    <w:basedOn w:val="Normal"/>
    <w:next w:val="Normal"/>
    <w:autoRedefine/>
    <w:uiPriority w:val="39"/>
    <w:unhideWhenUsed/>
    <w:rsid w:val="00030089"/>
    <w:pPr>
      <w:spacing w:after="0"/>
      <w:ind w:left="880" w:firstLine="0"/>
    </w:pPr>
    <w:rPr>
      <w:rFonts w:asciiTheme="minorHAnsi" w:eastAsiaTheme="minorEastAsia" w:hAnsiTheme="minorHAnsi"/>
      <w:sz w:val="18"/>
      <w:szCs w:val="18"/>
      <w:lang w:eastAsia="en-AU"/>
    </w:rPr>
  </w:style>
  <w:style w:type="paragraph" w:styleId="TOC6">
    <w:name w:val="toc 6"/>
    <w:basedOn w:val="Normal"/>
    <w:next w:val="Normal"/>
    <w:autoRedefine/>
    <w:uiPriority w:val="39"/>
    <w:unhideWhenUsed/>
    <w:rsid w:val="00030089"/>
    <w:pPr>
      <w:spacing w:after="0"/>
      <w:ind w:left="1100" w:firstLine="0"/>
    </w:pPr>
    <w:rPr>
      <w:rFonts w:asciiTheme="minorHAnsi" w:eastAsiaTheme="minorEastAsia" w:hAnsiTheme="minorHAnsi"/>
      <w:sz w:val="18"/>
      <w:szCs w:val="18"/>
      <w:lang w:eastAsia="en-AU"/>
    </w:rPr>
  </w:style>
  <w:style w:type="paragraph" w:styleId="TOC7">
    <w:name w:val="toc 7"/>
    <w:basedOn w:val="Normal"/>
    <w:next w:val="Normal"/>
    <w:autoRedefine/>
    <w:uiPriority w:val="39"/>
    <w:unhideWhenUsed/>
    <w:rsid w:val="00030089"/>
    <w:pPr>
      <w:spacing w:after="0"/>
      <w:ind w:left="1320" w:firstLine="0"/>
    </w:pPr>
    <w:rPr>
      <w:rFonts w:asciiTheme="minorHAnsi" w:eastAsiaTheme="minorEastAsia" w:hAnsiTheme="minorHAnsi"/>
      <w:sz w:val="18"/>
      <w:szCs w:val="18"/>
      <w:lang w:eastAsia="en-AU"/>
    </w:rPr>
  </w:style>
  <w:style w:type="paragraph" w:styleId="TOC8">
    <w:name w:val="toc 8"/>
    <w:basedOn w:val="Normal"/>
    <w:next w:val="Normal"/>
    <w:autoRedefine/>
    <w:uiPriority w:val="39"/>
    <w:unhideWhenUsed/>
    <w:rsid w:val="00030089"/>
    <w:pPr>
      <w:spacing w:after="0"/>
      <w:ind w:left="1540" w:firstLine="0"/>
    </w:pPr>
    <w:rPr>
      <w:rFonts w:asciiTheme="minorHAnsi" w:eastAsiaTheme="minorEastAsia" w:hAnsiTheme="minorHAnsi"/>
      <w:sz w:val="18"/>
      <w:szCs w:val="18"/>
      <w:lang w:eastAsia="en-AU"/>
    </w:rPr>
  </w:style>
  <w:style w:type="paragraph" w:styleId="TOC9">
    <w:name w:val="toc 9"/>
    <w:basedOn w:val="Normal"/>
    <w:next w:val="Normal"/>
    <w:autoRedefine/>
    <w:uiPriority w:val="39"/>
    <w:unhideWhenUsed/>
    <w:rsid w:val="00030089"/>
    <w:pPr>
      <w:spacing w:after="0"/>
      <w:ind w:left="1760" w:firstLine="0"/>
    </w:pPr>
    <w:rPr>
      <w:rFonts w:asciiTheme="minorHAnsi" w:eastAsiaTheme="minorEastAsia" w:hAnsiTheme="minorHAnsi"/>
      <w:sz w:val="18"/>
      <w:szCs w:val="18"/>
      <w:lang w:eastAsia="en-AU"/>
    </w:rPr>
  </w:style>
  <w:style w:type="paragraph" w:styleId="Revision">
    <w:name w:val="Revision"/>
    <w:hidden/>
    <w:uiPriority w:val="99"/>
    <w:semiHidden/>
    <w:rsid w:val="00030089"/>
    <w:pPr>
      <w:spacing w:before="240" w:after="200"/>
      <w:ind w:left="0" w:firstLine="0"/>
      <w:jc w:val="both"/>
    </w:pPr>
    <w:rPr>
      <w:rFonts w:asciiTheme="minorHAnsi" w:eastAsiaTheme="minorEastAsia" w:hAnsiTheme="minorHAnsi" w:cs="Times New Roman"/>
      <w:sz w:val="22"/>
      <w:lang w:val="en-US" w:eastAsia="en-AU" w:bidi="en-US"/>
    </w:rPr>
  </w:style>
  <w:style w:type="character" w:styleId="HTMLCite">
    <w:name w:val="HTML Cite"/>
    <w:basedOn w:val="DefaultParagraphFont"/>
    <w:uiPriority w:val="99"/>
    <w:semiHidden/>
    <w:unhideWhenUsed/>
    <w:rsid w:val="00030089"/>
    <w:rPr>
      <w:rFonts w:cs="Times New Roman"/>
      <w:color w:val="009933"/>
    </w:rPr>
  </w:style>
  <w:style w:type="paragraph" w:customStyle="1" w:styleId="graph">
    <w:name w:val="graph"/>
    <w:basedOn w:val="Normal"/>
    <w:next w:val="Normal"/>
    <w:rsid w:val="00030089"/>
    <w:pPr>
      <w:spacing w:after="200" w:line="240" w:lineRule="atLeast"/>
      <w:ind w:left="0" w:firstLine="0"/>
      <w:jc w:val="center"/>
    </w:pPr>
    <w:rPr>
      <w:rFonts w:ascii="Arial" w:eastAsiaTheme="minorEastAsia" w:hAnsi="Arial" w:cs="Arial"/>
      <w:noProof/>
      <w:sz w:val="21"/>
      <w:lang w:eastAsia="en-AU"/>
    </w:rPr>
  </w:style>
  <w:style w:type="paragraph" w:customStyle="1" w:styleId="Pa4">
    <w:name w:val="Pa4"/>
    <w:basedOn w:val="Default"/>
    <w:next w:val="Default"/>
    <w:uiPriority w:val="99"/>
    <w:rsid w:val="00030089"/>
    <w:pPr>
      <w:spacing w:after="100" w:line="241" w:lineRule="atLeast"/>
    </w:pPr>
  </w:style>
  <w:style w:type="paragraph" w:customStyle="1" w:styleId="Pa7">
    <w:name w:val="Pa7"/>
    <w:basedOn w:val="Default"/>
    <w:next w:val="Default"/>
    <w:uiPriority w:val="99"/>
    <w:rsid w:val="00030089"/>
    <w:pPr>
      <w:spacing w:after="100" w:line="241" w:lineRule="atLeast"/>
    </w:pPr>
  </w:style>
  <w:style w:type="character" w:customStyle="1" w:styleId="A6">
    <w:name w:val="A6"/>
    <w:uiPriority w:val="99"/>
    <w:rsid w:val="00030089"/>
    <w:rPr>
      <w:rFonts w:ascii="Symbol" w:hAnsi="Symbol"/>
      <w:color w:val="000000"/>
    </w:rPr>
  </w:style>
  <w:style w:type="paragraph" w:styleId="Caption">
    <w:name w:val="caption"/>
    <w:basedOn w:val="Normal"/>
    <w:next w:val="Normal"/>
    <w:uiPriority w:val="35"/>
    <w:unhideWhenUsed/>
    <w:rsid w:val="00030089"/>
    <w:pPr>
      <w:spacing w:after="200" w:line="240" w:lineRule="auto"/>
      <w:ind w:left="0" w:firstLine="0"/>
    </w:pPr>
    <w:rPr>
      <w:rFonts w:asciiTheme="minorHAnsi" w:eastAsiaTheme="minorEastAsia" w:hAnsiTheme="minorHAnsi"/>
      <w:b/>
      <w:bCs/>
      <w:color w:val="4F81BD"/>
      <w:sz w:val="18"/>
      <w:szCs w:val="18"/>
      <w:lang w:eastAsia="en-AU"/>
    </w:rPr>
  </w:style>
  <w:style w:type="character" w:styleId="Strong">
    <w:name w:val="Strong"/>
    <w:uiPriority w:val="22"/>
    <w:qFormat/>
    <w:rsid w:val="00030089"/>
    <w:rPr>
      <w:b/>
      <w:bCs/>
    </w:rPr>
  </w:style>
  <w:style w:type="character" w:styleId="Emphasis">
    <w:name w:val="Emphasis"/>
    <w:uiPriority w:val="20"/>
    <w:qFormat/>
    <w:rsid w:val="00030089"/>
    <w:rPr>
      <w:b/>
      <w:bCs/>
      <w:i/>
      <w:iCs/>
      <w:spacing w:val="10"/>
      <w:bdr w:val="none" w:sz="0" w:space="0" w:color="auto"/>
      <w:shd w:val="clear" w:color="auto" w:fill="auto"/>
    </w:rPr>
  </w:style>
  <w:style w:type="paragraph" w:customStyle="1" w:styleId="CoverTitleLarge">
    <w:name w:val="Cover Title Large"/>
    <w:autoRedefine/>
    <w:rsid w:val="00030089"/>
    <w:pPr>
      <w:ind w:left="0" w:firstLine="0"/>
    </w:pPr>
    <w:rPr>
      <w:rFonts w:ascii="Arial" w:eastAsiaTheme="minorEastAsia" w:hAnsi="Arial" w:cs="Arial"/>
      <w:b/>
      <w:color w:val="FFFFFF"/>
      <w:sz w:val="40"/>
      <w:szCs w:val="36"/>
      <w:lang w:val="en-US" w:eastAsia="en-AU" w:bidi="en-US"/>
    </w:rPr>
  </w:style>
  <w:style w:type="paragraph" w:customStyle="1" w:styleId="CoverTitlesmall">
    <w:name w:val="Cover Title small"/>
    <w:basedOn w:val="CoverTitleLarge"/>
    <w:rsid w:val="00030089"/>
    <w:rPr>
      <w:sz w:val="32"/>
      <w:szCs w:val="32"/>
    </w:rPr>
  </w:style>
  <w:style w:type="paragraph" w:customStyle="1" w:styleId="PublicationDate">
    <w:name w:val="Publication Date"/>
    <w:rsid w:val="00030089"/>
    <w:pPr>
      <w:spacing w:after="200"/>
      <w:ind w:left="0" w:firstLine="0"/>
      <w:jc w:val="right"/>
    </w:pPr>
    <w:rPr>
      <w:rFonts w:ascii="Arial" w:eastAsiaTheme="minorEastAsia" w:hAnsi="Arial" w:cs="Arial"/>
      <w:b/>
      <w:color w:val="FFFFFF"/>
      <w:sz w:val="28"/>
      <w:szCs w:val="28"/>
      <w:lang w:val="en-US" w:eastAsia="en-AU" w:bidi="en-US"/>
    </w:rPr>
  </w:style>
  <w:style w:type="paragraph" w:styleId="Title">
    <w:name w:val="Title"/>
    <w:basedOn w:val="Normal"/>
    <w:next w:val="Normal"/>
    <w:link w:val="TitleChar"/>
    <w:uiPriority w:val="10"/>
    <w:qFormat/>
    <w:rsid w:val="00030089"/>
    <w:pPr>
      <w:pBdr>
        <w:bottom w:val="single" w:sz="4" w:space="1" w:color="auto"/>
      </w:pBdr>
      <w:spacing w:after="200" w:line="240" w:lineRule="auto"/>
      <w:ind w:left="0" w:firstLine="0"/>
      <w:contextualSpacing/>
    </w:pPr>
    <w:rPr>
      <w:rFonts w:asciiTheme="majorHAnsi" w:eastAsiaTheme="majorEastAsia" w:hAnsiTheme="majorHAnsi" w:cstheme="majorBidi"/>
      <w:spacing w:val="5"/>
      <w:sz w:val="52"/>
      <w:szCs w:val="52"/>
      <w:lang w:eastAsia="en-AU"/>
    </w:rPr>
  </w:style>
  <w:style w:type="character" w:customStyle="1" w:styleId="TitleChar">
    <w:name w:val="Title Char"/>
    <w:basedOn w:val="DefaultParagraphFont"/>
    <w:link w:val="Title"/>
    <w:uiPriority w:val="10"/>
    <w:rsid w:val="00030089"/>
    <w:rPr>
      <w:rFonts w:asciiTheme="majorHAnsi" w:eastAsiaTheme="majorEastAsia" w:hAnsiTheme="majorHAnsi" w:cstheme="majorBidi"/>
      <w:spacing w:val="5"/>
      <w:sz w:val="52"/>
      <w:szCs w:val="52"/>
      <w:lang w:eastAsia="en-AU"/>
    </w:rPr>
  </w:style>
  <w:style w:type="paragraph" w:styleId="Subtitle">
    <w:name w:val="Subtitle"/>
    <w:basedOn w:val="Normal"/>
    <w:next w:val="Normal"/>
    <w:link w:val="SubtitleChar"/>
    <w:uiPriority w:val="11"/>
    <w:qFormat/>
    <w:rsid w:val="00030089"/>
    <w:pPr>
      <w:spacing w:after="600"/>
      <w:ind w:left="0" w:firstLine="0"/>
    </w:pPr>
    <w:rPr>
      <w:rFonts w:asciiTheme="majorHAnsi" w:eastAsiaTheme="majorEastAsia" w:hAnsiTheme="majorHAnsi" w:cstheme="majorBidi"/>
      <w:i/>
      <w:iCs/>
      <w:spacing w:val="13"/>
      <w:szCs w:val="24"/>
      <w:lang w:eastAsia="en-AU"/>
    </w:rPr>
  </w:style>
  <w:style w:type="character" w:customStyle="1" w:styleId="SubtitleChar">
    <w:name w:val="Subtitle Char"/>
    <w:basedOn w:val="DefaultParagraphFont"/>
    <w:link w:val="Subtitle"/>
    <w:uiPriority w:val="11"/>
    <w:rsid w:val="00030089"/>
    <w:rPr>
      <w:rFonts w:asciiTheme="majorHAnsi" w:eastAsiaTheme="majorEastAsia" w:hAnsiTheme="majorHAnsi" w:cstheme="majorBidi"/>
      <w:i/>
      <w:iCs/>
      <w:spacing w:val="13"/>
      <w:szCs w:val="24"/>
      <w:lang w:eastAsia="en-AU"/>
    </w:rPr>
  </w:style>
  <w:style w:type="paragraph" w:styleId="Quote">
    <w:name w:val="Quote"/>
    <w:basedOn w:val="Normal"/>
    <w:next w:val="Normal"/>
    <w:link w:val="QuoteChar"/>
    <w:uiPriority w:val="29"/>
    <w:qFormat/>
    <w:rsid w:val="00030089"/>
    <w:pPr>
      <w:spacing w:before="200" w:after="0"/>
      <w:ind w:left="360" w:right="360" w:firstLine="0"/>
    </w:pPr>
    <w:rPr>
      <w:rFonts w:asciiTheme="minorHAnsi" w:eastAsiaTheme="minorEastAsia" w:hAnsiTheme="minorHAnsi"/>
      <w:i/>
      <w:iCs/>
      <w:sz w:val="22"/>
      <w:lang w:eastAsia="en-AU"/>
    </w:rPr>
  </w:style>
  <w:style w:type="character" w:customStyle="1" w:styleId="QuoteChar">
    <w:name w:val="Quote Char"/>
    <w:basedOn w:val="DefaultParagraphFont"/>
    <w:link w:val="Quote"/>
    <w:uiPriority w:val="29"/>
    <w:rsid w:val="00030089"/>
    <w:rPr>
      <w:rFonts w:asciiTheme="minorHAnsi" w:eastAsiaTheme="minorEastAsia" w:hAnsiTheme="minorHAnsi"/>
      <w:i/>
      <w:iCs/>
      <w:sz w:val="22"/>
      <w:lang w:eastAsia="en-AU"/>
    </w:rPr>
  </w:style>
  <w:style w:type="paragraph" w:styleId="IntenseQuote">
    <w:name w:val="Intense Quote"/>
    <w:basedOn w:val="Normal"/>
    <w:next w:val="Normal"/>
    <w:link w:val="IntenseQuoteChar"/>
    <w:uiPriority w:val="30"/>
    <w:qFormat/>
    <w:rsid w:val="00030089"/>
    <w:pPr>
      <w:pBdr>
        <w:bottom w:val="single" w:sz="4" w:space="1" w:color="auto"/>
      </w:pBdr>
      <w:spacing w:before="200" w:after="280"/>
      <w:ind w:left="1008" w:right="1152" w:firstLine="0"/>
      <w:jc w:val="both"/>
    </w:pPr>
    <w:rPr>
      <w:rFonts w:asciiTheme="minorHAnsi" w:eastAsiaTheme="minorEastAsia" w:hAnsiTheme="minorHAnsi"/>
      <w:b/>
      <w:bCs/>
      <w:i/>
      <w:iCs/>
      <w:sz w:val="22"/>
      <w:lang w:eastAsia="en-AU"/>
    </w:rPr>
  </w:style>
  <w:style w:type="character" w:customStyle="1" w:styleId="IntenseQuoteChar">
    <w:name w:val="Intense Quote Char"/>
    <w:basedOn w:val="DefaultParagraphFont"/>
    <w:link w:val="IntenseQuote"/>
    <w:uiPriority w:val="30"/>
    <w:rsid w:val="00030089"/>
    <w:rPr>
      <w:rFonts w:asciiTheme="minorHAnsi" w:eastAsiaTheme="minorEastAsia" w:hAnsiTheme="minorHAnsi"/>
      <w:b/>
      <w:bCs/>
      <w:i/>
      <w:iCs/>
      <w:sz w:val="22"/>
      <w:lang w:eastAsia="en-AU"/>
    </w:rPr>
  </w:style>
  <w:style w:type="character" w:styleId="SubtleEmphasis">
    <w:name w:val="Subtle Emphasis"/>
    <w:uiPriority w:val="19"/>
    <w:qFormat/>
    <w:rsid w:val="00030089"/>
    <w:rPr>
      <w:i/>
      <w:iCs/>
    </w:rPr>
  </w:style>
  <w:style w:type="character" w:styleId="IntenseEmphasis">
    <w:name w:val="Intense Emphasis"/>
    <w:uiPriority w:val="21"/>
    <w:qFormat/>
    <w:rsid w:val="00030089"/>
    <w:rPr>
      <w:b/>
      <w:bCs/>
    </w:rPr>
  </w:style>
  <w:style w:type="character" w:styleId="SubtleReference">
    <w:name w:val="Subtle Reference"/>
    <w:uiPriority w:val="31"/>
    <w:qFormat/>
    <w:rsid w:val="00030089"/>
    <w:rPr>
      <w:smallCaps/>
    </w:rPr>
  </w:style>
  <w:style w:type="character" w:styleId="IntenseReference">
    <w:name w:val="Intense Reference"/>
    <w:uiPriority w:val="32"/>
    <w:qFormat/>
    <w:rsid w:val="00030089"/>
    <w:rPr>
      <w:smallCaps/>
      <w:spacing w:val="5"/>
      <w:u w:val="single"/>
    </w:rPr>
  </w:style>
  <w:style w:type="character" w:styleId="BookTitle">
    <w:name w:val="Book Title"/>
    <w:uiPriority w:val="33"/>
    <w:qFormat/>
    <w:rsid w:val="00030089"/>
    <w:rPr>
      <w:i/>
      <w:iCs/>
      <w:smallCaps/>
      <w:spacing w:val="5"/>
    </w:rPr>
  </w:style>
  <w:style w:type="paragraph" w:customStyle="1" w:styleId="Style1">
    <w:name w:val="Style1"/>
    <w:basedOn w:val="Default"/>
    <w:link w:val="Style1Char"/>
    <w:qFormat/>
    <w:rsid w:val="00030089"/>
  </w:style>
  <w:style w:type="character" w:customStyle="1" w:styleId="DefaultChar">
    <w:name w:val="Default Char"/>
    <w:basedOn w:val="DefaultParagraphFont"/>
    <w:link w:val="Default"/>
    <w:rsid w:val="00030089"/>
    <w:rPr>
      <w:rFonts w:ascii="Arial" w:eastAsiaTheme="minorEastAsia" w:hAnsi="Arial" w:cs="Arial"/>
      <w:sz w:val="22"/>
      <w:szCs w:val="28"/>
      <w:lang w:val="en-US" w:eastAsia="en-AU" w:bidi="en-US"/>
    </w:rPr>
  </w:style>
  <w:style w:type="character" w:customStyle="1" w:styleId="Style1Char">
    <w:name w:val="Style1 Char"/>
    <w:basedOn w:val="DefaultChar"/>
    <w:link w:val="Style1"/>
    <w:rsid w:val="00030089"/>
    <w:rPr>
      <w:rFonts w:ascii="Arial" w:eastAsiaTheme="minorEastAsia" w:hAnsi="Arial" w:cs="Arial"/>
      <w:sz w:val="22"/>
      <w:szCs w:val="28"/>
      <w:lang w:val="en-US" w:eastAsia="en-AU" w:bidi="en-US"/>
    </w:rPr>
  </w:style>
  <w:style w:type="character" w:styleId="FollowedHyperlink">
    <w:name w:val="FollowedHyperlink"/>
    <w:basedOn w:val="DefaultParagraphFont"/>
    <w:uiPriority w:val="99"/>
    <w:semiHidden/>
    <w:unhideWhenUsed/>
    <w:rsid w:val="00030089"/>
    <w:rPr>
      <w:color w:val="800080" w:themeColor="followedHyperlink"/>
      <w:u w:val="single"/>
    </w:rPr>
  </w:style>
  <w:style w:type="character" w:customStyle="1" w:styleId="HeaderChar1">
    <w:name w:val="Header Char1"/>
    <w:basedOn w:val="DefaultParagraphFont"/>
    <w:uiPriority w:val="99"/>
    <w:locked/>
    <w:rsid w:val="00030089"/>
    <w:rPr>
      <w:rFonts w:ascii="Cambria" w:eastAsia="MS ??" w:hAnsi="Cambria" w:cs="Cambria"/>
      <w:sz w:val="24"/>
      <w:szCs w:val="24"/>
    </w:rPr>
  </w:style>
  <w:style w:type="paragraph" w:styleId="DocumentMap">
    <w:name w:val="Document Map"/>
    <w:basedOn w:val="Normal"/>
    <w:link w:val="DocumentMapChar"/>
    <w:uiPriority w:val="99"/>
    <w:semiHidden/>
    <w:unhideWhenUsed/>
    <w:rsid w:val="00030089"/>
    <w:pPr>
      <w:spacing w:after="0" w:line="240" w:lineRule="auto"/>
      <w:ind w:left="0" w:firstLine="0"/>
    </w:pPr>
    <w:rPr>
      <w:rFonts w:ascii="Tahoma" w:eastAsiaTheme="minorEastAsia" w:hAnsi="Tahoma" w:cs="Tahoma"/>
      <w:sz w:val="16"/>
      <w:szCs w:val="16"/>
      <w:lang w:eastAsia="en-AU"/>
    </w:rPr>
  </w:style>
  <w:style w:type="character" w:customStyle="1" w:styleId="DocumentMapChar">
    <w:name w:val="Document Map Char"/>
    <w:basedOn w:val="DefaultParagraphFont"/>
    <w:link w:val="DocumentMap"/>
    <w:uiPriority w:val="99"/>
    <w:semiHidden/>
    <w:rsid w:val="00030089"/>
    <w:rPr>
      <w:rFonts w:ascii="Tahoma" w:eastAsiaTheme="minorEastAsia" w:hAnsi="Tahoma" w:cs="Tahoma"/>
      <w:sz w:val="16"/>
      <w:szCs w:val="16"/>
      <w:lang w:eastAsia="en-AU"/>
    </w:rPr>
  </w:style>
  <w:style w:type="paragraph" w:styleId="TableofFigures">
    <w:name w:val="table of figures"/>
    <w:basedOn w:val="Normal"/>
    <w:next w:val="Normal"/>
    <w:uiPriority w:val="99"/>
    <w:unhideWhenUsed/>
    <w:rsid w:val="00030089"/>
    <w:pPr>
      <w:spacing w:after="0"/>
      <w:ind w:left="0" w:firstLine="0"/>
    </w:pPr>
    <w:rPr>
      <w:rFonts w:asciiTheme="minorHAnsi" w:eastAsiaTheme="minorEastAsia" w:hAnsiTheme="minorHAnsi"/>
      <w:sz w:val="22"/>
      <w:lang w:eastAsia="en-AU"/>
    </w:rPr>
  </w:style>
  <w:style w:type="paragraph" w:styleId="PlainText">
    <w:name w:val="Plain Text"/>
    <w:basedOn w:val="Normal"/>
    <w:link w:val="PlainTextChar"/>
    <w:uiPriority w:val="99"/>
    <w:semiHidden/>
    <w:unhideWhenUsed/>
    <w:rsid w:val="00030089"/>
    <w:pPr>
      <w:spacing w:after="0" w:line="240" w:lineRule="auto"/>
      <w:ind w:left="0" w:firstLine="0"/>
    </w:pPr>
    <w:rPr>
      <w:rFonts w:ascii="Consolas" w:hAnsi="Consolas"/>
      <w:sz w:val="21"/>
      <w:szCs w:val="21"/>
      <w:lang w:eastAsia="en-AU"/>
    </w:rPr>
  </w:style>
  <w:style w:type="character" w:customStyle="1" w:styleId="PlainTextChar">
    <w:name w:val="Plain Text Char"/>
    <w:basedOn w:val="DefaultParagraphFont"/>
    <w:link w:val="PlainText"/>
    <w:uiPriority w:val="99"/>
    <w:semiHidden/>
    <w:rsid w:val="00030089"/>
    <w:rPr>
      <w:rFonts w:ascii="Consolas" w:hAnsi="Consolas"/>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554952">
      <w:bodyDiv w:val="1"/>
      <w:marLeft w:val="0"/>
      <w:marRight w:val="0"/>
      <w:marTop w:val="0"/>
      <w:marBottom w:val="0"/>
      <w:divBdr>
        <w:top w:val="none" w:sz="0" w:space="0" w:color="auto"/>
        <w:left w:val="none" w:sz="0" w:space="0" w:color="auto"/>
        <w:bottom w:val="none" w:sz="0" w:space="0" w:color="auto"/>
        <w:right w:val="none" w:sz="0" w:space="0" w:color="auto"/>
      </w:divBdr>
    </w:div>
    <w:div w:id="210888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hi5deposit.com/health/about/pr/2006/06-36.pdf" TargetMode="External"/><Relationship Id="rId1" Type="http://schemas.openxmlformats.org/officeDocument/2006/relationships/hyperlink" Target="http://hawaii.gov/health/about/pr/2011/11-044.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Sheet1!$A$77:$A$80</c:f>
              <c:strCache>
                <c:ptCount val="4"/>
                <c:pt idx="0">
                  <c:v>Jan-Mar</c:v>
                </c:pt>
                <c:pt idx="1">
                  <c:v>Apr-Jun</c:v>
                </c:pt>
                <c:pt idx="2">
                  <c:v>Jul-Sept</c:v>
                </c:pt>
                <c:pt idx="3">
                  <c:v>Oct-Dec</c:v>
                </c:pt>
              </c:strCache>
            </c:strRef>
          </c:cat>
          <c:val>
            <c:numRef>
              <c:f>Sheet1!$B$77:$B$80</c:f>
              <c:numCache>
                <c:formatCode>General</c:formatCode>
                <c:ptCount val="4"/>
                <c:pt idx="0">
                  <c:v>6921093</c:v>
                </c:pt>
                <c:pt idx="1">
                  <c:v>11754173</c:v>
                </c:pt>
                <c:pt idx="2">
                  <c:v>16856657</c:v>
                </c:pt>
                <c:pt idx="3">
                  <c:v>16949761</c:v>
                </c:pt>
              </c:numCache>
            </c:numRef>
          </c:val>
        </c:ser>
        <c:dLbls>
          <c:showLegendKey val="0"/>
          <c:showVal val="0"/>
          <c:showCatName val="0"/>
          <c:showSerName val="0"/>
          <c:showPercent val="0"/>
          <c:showBubbleSize val="0"/>
        </c:dLbls>
        <c:gapWidth val="150"/>
        <c:axId val="170907520"/>
        <c:axId val="170909696"/>
      </c:barChart>
      <c:catAx>
        <c:axId val="170907520"/>
        <c:scaling>
          <c:orientation val="minMax"/>
        </c:scaling>
        <c:delete val="0"/>
        <c:axPos val="b"/>
        <c:title>
          <c:tx>
            <c:rich>
              <a:bodyPr/>
              <a:lstStyle/>
              <a:p>
                <a:pPr>
                  <a:defRPr/>
                </a:pPr>
                <a:r>
                  <a:rPr lang="en-US"/>
                  <a:t>Quarter</a:t>
                </a:r>
              </a:p>
            </c:rich>
          </c:tx>
          <c:layout/>
          <c:overlay val="0"/>
        </c:title>
        <c:majorTickMark val="out"/>
        <c:minorTickMark val="none"/>
        <c:tickLblPos val="nextTo"/>
        <c:crossAx val="170909696"/>
        <c:crosses val="autoZero"/>
        <c:auto val="1"/>
        <c:lblAlgn val="ctr"/>
        <c:lblOffset val="100"/>
        <c:noMultiLvlLbl val="0"/>
      </c:catAx>
      <c:valAx>
        <c:axId val="170909696"/>
        <c:scaling>
          <c:orientation val="minMax"/>
        </c:scaling>
        <c:delete val="0"/>
        <c:axPos val="l"/>
        <c:majorGridlines/>
        <c:title>
          <c:tx>
            <c:rich>
              <a:bodyPr rot="-5400000" vert="horz"/>
              <a:lstStyle/>
              <a:p>
                <a:pPr>
                  <a:defRPr/>
                </a:pPr>
                <a:r>
                  <a:rPr lang="en-US"/>
                  <a:t>Number of containers</a:t>
                </a:r>
              </a:p>
            </c:rich>
          </c:tx>
          <c:layout/>
          <c:overlay val="0"/>
        </c:title>
        <c:numFmt formatCode="General" sourceLinked="1"/>
        <c:majorTickMark val="out"/>
        <c:minorTickMark val="none"/>
        <c:tickLblPos val="nextTo"/>
        <c:crossAx val="1709075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Sheet1!$D$4</c:f>
              <c:strCache>
                <c:ptCount val="1"/>
                <c:pt idx="0">
                  <c:v>Return Rate</c:v>
                </c:pt>
              </c:strCache>
            </c:strRef>
          </c:tx>
          <c:invertIfNegative val="0"/>
          <c:cat>
            <c:strRef>
              <c:f>Sheet1!$C$5:$C$29</c:f>
              <c:strCache>
                <c:ptCount val="2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pt idx="22">
                  <c:v>2034</c:v>
                </c:pt>
                <c:pt idx="23">
                  <c:v>2035</c:v>
                </c:pt>
                <c:pt idx="24">
                  <c:v>2036</c:v>
                </c:pt>
              </c:strCache>
            </c:strRef>
          </c:cat>
          <c:val>
            <c:numRef>
              <c:f>Sheet1!$D$5:$D$29</c:f>
              <c:numCache>
                <c:formatCode>General</c:formatCode>
                <c:ptCount val="25"/>
                <c:pt idx="0">
                  <c:v>33.800000000000004</c:v>
                </c:pt>
                <c:pt idx="1">
                  <c:v>53.8</c:v>
                </c:pt>
                <c:pt idx="2">
                  <c:v>56.8</c:v>
                </c:pt>
                <c:pt idx="3">
                  <c:v>59.8</c:v>
                </c:pt>
                <c:pt idx="4">
                  <c:v>62.8</c:v>
                </c:pt>
                <c:pt idx="5">
                  <c:v>65.8</c:v>
                </c:pt>
                <c:pt idx="6">
                  <c:v>68.8</c:v>
                </c:pt>
                <c:pt idx="7">
                  <c:v>69.8</c:v>
                </c:pt>
                <c:pt idx="8">
                  <c:v>70.8</c:v>
                </c:pt>
                <c:pt idx="9">
                  <c:v>71.8</c:v>
                </c:pt>
                <c:pt idx="10">
                  <c:v>72.8</c:v>
                </c:pt>
                <c:pt idx="11">
                  <c:v>73.8</c:v>
                </c:pt>
                <c:pt idx="12">
                  <c:v>74.8</c:v>
                </c:pt>
                <c:pt idx="13">
                  <c:v>75.8</c:v>
                </c:pt>
                <c:pt idx="14">
                  <c:v>76.8</c:v>
                </c:pt>
                <c:pt idx="15">
                  <c:v>77.8</c:v>
                </c:pt>
                <c:pt idx="16">
                  <c:v>78.8</c:v>
                </c:pt>
                <c:pt idx="17">
                  <c:v>79.8</c:v>
                </c:pt>
                <c:pt idx="18">
                  <c:v>80</c:v>
                </c:pt>
                <c:pt idx="19">
                  <c:v>80</c:v>
                </c:pt>
                <c:pt idx="20">
                  <c:v>80</c:v>
                </c:pt>
                <c:pt idx="21">
                  <c:v>80</c:v>
                </c:pt>
                <c:pt idx="22">
                  <c:v>80</c:v>
                </c:pt>
                <c:pt idx="23">
                  <c:v>80</c:v>
                </c:pt>
                <c:pt idx="24">
                  <c:v>80</c:v>
                </c:pt>
              </c:numCache>
            </c:numRef>
          </c:val>
        </c:ser>
        <c:dLbls>
          <c:showLegendKey val="0"/>
          <c:showVal val="0"/>
          <c:showCatName val="0"/>
          <c:showSerName val="0"/>
          <c:showPercent val="0"/>
          <c:showBubbleSize val="0"/>
        </c:dLbls>
        <c:gapWidth val="150"/>
        <c:axId val="172716416"/>
        <c:axId val="172718336"/>
      </c:barChart>
      <c:catAx>
        <c:axId val="172716416"/>
        <c:scaling>
          <c:orientation val="minMax"/>
        </c:scaling>
        <c:delete val="0"/>
        <c:axPos val="b"/>
        <c:title>
          <c:tx>
            <c:rich>
              <a:bodyPr/>
              <a:lstStyle/>
              <a:p>
                <a:pPr>
                  <a:defRPr/>
                </a:pPr>
                <a:r>
                  <a:rPr lang="en-US"/>
                  <a:t>Year</a:t>
                </a:r>
              </a:p>
            </c:rich>
          </c:tx>
          <c:layout/>
          <c:overlay val="0"/>
        </c:title>
        <c:majorTickMark val="out"/>
        <c:minorTickMark val="none"/>
        <c:tickLblPos val="nextTo"/>
        <c:crossAx val="172718336"/>
        <c:crosses val="autoZero"/>
        <c:auto val="0"/>
        <c:lblAlgn val="ctr"/>
        <c:lblOffset val="100"/>
        <c:noMultiLvlLbl val="0"/>
      </c:catAx>
      <c:valAx>
        <c:axId val="172718336"/>
        <c:scaling>
          <c:orientation val="minMax"/>
        </c:scaling>
        <c:delete val="0"/>
        <c:axPos val="l"/>
        <c:majorGridlines/>
        <c:title>
          <c:tx>
            <c:rich>
              <a:bodyPr rot="-5400000" vert="horz"/>
              <a:lstStyle/>
              <a:p>
                <a:pPr>
                  <a:defRPr/>
                </a:pPr>
                <a:r>
                  <a:rPr lang="en-US"/>
                  <a:t>Return Rate</a:t>
                </a:r>
              </a:p>
            </c:rich>
          </c:tx>
          <c:layout/>
          <c:overlay val="0"/>
        </c:title>
        <c:numFmt formatCode="General" sourceLinked="1"/>
        <c:majorTickMark val="out"/>
        <c:minorTickMark val="none"/>
        <c:tickLblPos val="nextTo"/>
        <c:crossAx val="1727164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E700A-948C-4121-B82E-A8B0E279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20998</Words>
  <Characters>119690</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Baker Judith</dc:creator>
  <cp:lastModifiedBy>Henry, Nicole</cp:lastModifiedBy>
  <cp:revision>3</cp:revision>
  <cp:lastPrinted>2013-10-25T01:10:00Z</cp:lastPrinted>
  <dcterms:created xsi:type="dcterms:W3CDTF">2013-10-25T01:09:00Z</dcterms:created>
  <dcterms:modified xsi:type="dcterms:W3CDTF">2013-10-25T01:10:00Z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VersionNumber">
    <vt:i4>0</vt:i4>
  </property>
  <property fmtid="{D5CDD505-2E9C-101B-9397-08002B2CF9AE}" pid="9" name="ClassificationPty">
    <vt:lpwstr/>
  </property>
  <property fmtid="{D5CDD505-2E9C-101B-9397-08002B2CF9AE}" pid="10" name="FileNumberPty">
    <vt:lpwstr/>
  </property>
  <property fmtid="{D5CDD505-2E9C-101B-9397-08002B2CF9AE}" pid="11" name="CorporateTmplBased">
    <vt:lpwstr>No</vt:lpwstr>
  </property>
</Properties>
</file>