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F6" w:rsidRDefault="00007EF6" w:rsidP="00007EF6">
      <w:pPr>
        <w:pStyle w:val="Title"/>
      </w:pPr>
      <w:r>
        <w:t>EXPLANATORY STATEMENT</w:t>
      </w:r>
    </w:p>
    <w:p w:rsidR="00007EF6" w:rsidRDefault="00007EF6" w:rsidP="00007EF6">
      <w:pPr>
        <w:rPr>
          <w:sz w:val="24"/>
        </w:rPr>
      </w:pPr>
    </w:p>
    <w:p w:rsidR="00007EF6" w:rsidRPr="001B11B3" w:rsidRDefault="001B11B3" w:rsidP="00007EF6">
      <w:pPr>
        <w:pStyle w:val="BodyText3"/>
        <w:jc w:val="center"/>
        <w:rPr>
          <w:b/>
        </w:rPr>
      </w:pPr>
      <w:r>
        <w:rPr>
          <w:b/>
        </w:rPr>
        <w:t>Select Legislative Instrument 2013 No. 216</w:t>
      </w:r>
    </w:p>
    <w:p w:rsidR="00007EF6" w:rsidRDefault="00007EF6" w:rsidP="00007EF6">
      <w:pPr>
        <w:pStyle w:val="BodyText3"/>
        <w:jc w:val="center"/>
      </w:pPr>
    </w:p>
    <w:p w:rsidR="00007EF6" w:rsidRDefault="00007EF6" w:rsidP="00007EF6">
      <w:pPr>
        <w:pStyle w:val="BodyText"/>
      </w:pPr>
      <w:r>
        <w:t xml:space="preserve">Issued by the Authority of the Minister for Broadband, Communications </w:t>
      </w:r>
    </w:p>
    <w:p w:rsidR="00007EF6" w:rsidRDefault="00007EF6" w:rsidP="00007EF6">
      <w:pPr>
        <w:pStyle w:val="BodyText"/>
      </w:pPr>
      <w:r>
        <w:t>and the Digital Economy</w:t>
      </w:r>
    </w:p>
    <w:p w:rsidR="00007EF6" w:rsidRDefault="00007EF6" w:rsidP="00007EF6">
      <w:pPr>
        <w:rPr>
          <w:sz w:val="24"/>
        </w:rPr>
      </w:pPr>
    </w:p>
    <w:p w:rsidR="00007EF6" w:rsidRPr="00007EF6" w:rsidRDefault="00007EF6" w:rsidP="00007EF6">
      <w:pPr>
        <w:pStyle w:val="Heading1"/>
      </w:pPr>
      <w:r>
        <w:t>Broadcasting Services Act 1992</w:t>
      </w:r>
    </w:p>
    <w:p w:rsidR="00007EF6" w:rsidRDefault="00007EF6" w:rsidP="00007EF6">
      <w:pPr>
        <w:jc w:val="center"/>
        <w:rPr>
          <w:i/>
          <w:sz w:val="24"/>
        </w:rPr>
      </w:pPr>
    </w:p>
    <w:p w:rsidR="00007EF6" w:rsidRPr="00007EF6" w:rsidRDefault="00007EF6" w:rsidP="00007EF6">
      <w:pPr>
        <w:pStyle w:val="Heading1"/>
      </w:pPr>
      <w:r w:rsidRPr="00007EF6">
        <w:t>Broadcasting Services (Regional Commercial Radio) Regulation 2013</w:t>
      </w:r>
    </w:p>
    <w:p w:rsidR="00007EF6" w:rsidRDefault="00007EF6" w:rsidP="00007EF6"/>
    <w:p w:rsidR="00007EF6" w:rsidRDefault="00007EF6" w:rsidP="00007EF6">
      <w:pPr>
        <w:rPr>
          <w:sz w:val="24"/>
          <w:szCs w:val="24"/>
        </w:rPr>
      </w:pPr>
    </w:p>
    <w:p w:rsidR="00007EF6" w:rsidRDefault="00007EF6" w:rsidP="00007E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Purpose</w:t>
      </w:r>
    </w:p>
    <w:p w:rsidR="00007EF6" w:rsidRDefault="00007EF6" w:rsidP="00007EF6">
      <w:pPr>
        <w:rPr>
          <w:sz w:val="24"/>
        </w:rPr>
      </w:pPr>
    </w:p>
    <w:p w:rsidR="00007EF6" w:rsidRDefault="0044327A" w:rsidP="00007EF6">
      <w:pPr>
        <w:pStyle w:val="Heading1"/>
        <w:jc w:val="left"/>
        <w:rPr>
          <w:i w:val="0"/>
          <w:szCs w:val="24"/>
        </w:rPr>
      </w:pPr>
      <w:r>
        <w:rPr>
          <w:i w:val="0"/>
          <w:szCs w:val="24"/>
        </w:rPr>
        <w:t>S</w:t>
      </w:r>
      <w:r w:rsidRPr="0044327A">
        <w:rPr>
          <w:i w:val="0"/>
          <w:szCs w:val="24"/>
        </w:rPr>
        <w:t>ubsections 61CB(1D), 61CB(2C) and 61CB(5)</w:t>
      </w:r>
      <w:r>
        <w:rPr>
          <w:i w:val="0"/>
          <w:szCs w:val="24"/>
        </w:rPr>
        <w:t xml:space="preserve"> </w:t>
      </w:r>
      <w:r w:rsidR="00007EF6">
        <w:rPr>
          <w:i w:val="0"/>
          <w:szCs w:val="24"/>
        </w:rPr>
        <w:t xml:space="preserve">of the </w:t>
      </w:r>
      <w:r w:rsidR="00007EF6">
        <w:t>Broadcasting Services Act 1</w:t>
      </w:r>
      <w:bookmarkStart w:id="0" w:name="_GoBack"/>
      <w:bookmarkEnd w:id="0"/>
      <w:r w:rsidR="00007EF6">
        <w:t>992</w:t>
      </w:r>
      <w:r w:rsidR="00007EF6">
        <w:rPr>
          <w:i w:val="0"/>
          <w:szCs w:val="24"/>
        </w:rPr>
        <w:t xml:space="preserve"> (the Act) </w:t>
      </w:r>
      <w:r w:rsidR="00305991">
        <w:rPr>
          <w:i w:val="0"/>
          <w:szCs w:val="24"/>
        </w:rPr>
        <w:t xml:space="preserve">state that the </w:t>
      </w:r>
      <w:r w:rsidR="00090183">
        <w:rPr>
          <w:i w:val="0"/>
          <w:szCs w:val="24"/>
        </w:rPr>
        <w:t xml:space="preserve">regulations </w:t>
      </w:r>
      <w:r w:rsidR="00305991">
        <w:rPr>
          <w:i w:val="0"/>
          <w:szCs w:val="24"/>
        </w:rPr>
        <w:t>may provide for</w:t>
      </w:r>
      <w:r w:rsidR="00090183">
        <w:rPr>
          <w:i w:val="0"/>
          <w:szCs w:val="24"/>
        </w:rPr>
        <w:t xml:space="preserve"> exemptions from the definition of </w:t>
      </w:r>
      <w:r w:rsidR="00C92A5B">
        <w:rPr>
          <w:i w:val="0"/>
          <w:szCs w:val="24"/>
        </w:rPr>
        <w:t>‘</w:t>
      </w:r>
      <w:r w:rsidR="00090183">
        <w:rPr>
          <w:i w:val="0"/>
          <w:szCs w:val="24"/>
        </w:rPr>
        <w:t>trigger event</w:t>
      </w:r>
      <w:r w:rsidR="00C92A5B">
        <w:rPr>
          <w:i w:val="0"/>
          <w:szCs w:val="24"/>
        </w:rPr>
        <w:t>’</w:t>
      </w:r>
      <w:r w:rsidR="00090183">
        <w:rPr>
          <w:i w:val="0"/>
          <w:szCs w:val="24"/>
        </w:rPr>
        <w:t xml:space="preserve"> contained in, respectively, subsections 61CB(1A), 61CB(2) and 61CB(3) of the Act</w:t>
      </w:r>
      <w:r w:rsidR="00007EF6">
        <w:rPr>
          <w:i w:val="0"/>
          <w:szCs w:val="24"/>
        </w:rPr>
        <w:t>.</w:t>
      </w:r>
    </w:p>
    <w:p w:rsidR="00007EF6" w:rsidRDefault="00007EF6" w:rsidP="00007EF6">
      <w:pPr>
        <w:rPr>
          <w:sz w:val="24"/>
          <w:szCs w:val="24"/>
        </w:rPr>
      </w:pPr>
    </w:p>
    <w:p w:rsidR="00007EF6" w:rsidRPr="0044327A" w:rsidRDefault="00007EF6" w:rsidP="00007EF6">
      <w:pPr>
        <w:rPr>
          <w:sz w:val="24"/>
          <w:szCs w:val="24"/>
        </w:rPr>
      </w:pPr>
      <w:r>
        <w:rPr>
          <w:sz w:val="24"/>
          <w:szCs w:val="24"/>
        </w:rPr>
        <w:t xml:space="preserve">The purpose of </w:t>
      </w:r>
      <w:r w:rsidR="00305991">
        <w:rPr>
          <w:sz w:val="24"/>
          <w:szCs w:val="24"/>
        </w:rPr>
        <w:t xml:space="preserve">the </w:t>
      </w:r>
      <w:r w:rsidR="00305991" w:rsidRPr="00305991">
        <w:rPr>
          <w:i/>
          <w:sz w:val="24"/>
          <w:szCs w:val="24"/>
        </w:rPr>
        <w:t>Broadcasting Services (Regional Commercial Radio) Regulation 2013</w:t>
      </w:r>
      <w:r>
        <w:rPr>
          <w:sz w:val="24"/>
          <w:szCs w:val="24"/>
        </w:rPr>
        <w:t xml:space="preserve"> </w:t>
      </w:r>
      <w:r w:rsidR="00305991">
        <w:rPr>
          <w:sz w:val="24"/>
          <w:szCs w:val="24"/>
        </w:rPr>
        <w:t>(the R</w:t>
      </w:r>
      <w:r>
        <w:rPr>
          <w:sz w:val="24"/>
          <w:szCs w:val="24"/>
        </w:rPr>
        <w:t>egulation</w:t>
      </w:r>
      <w:r w:rsidR="00305991">
        <w:rPr>
          <w:sz w:val="24"/>
          <w:szCs w:val="24"/>
        </w:rPr>
        <w:t>)</w:t>
      </w:r>
      <w:r>
        <w:rPr>
          <w:sz w:val="24"/>
          <w:szCs w:val="24"/>
        </w:rPr>
        <w:t xml:space="preserve"> is </w:t>
      </w:r>
      <w:r w:rsidRPr="0044327A">
        <w:rPr>
          <w:sz w:val="24"/>
          <w:szCs w:val="24"/>
        </w:rPr>
        <w:t xml:space="preserve">to </w:t>
      </w:r>
      <w:r w:rsidR="003C727A">
        <w:rPr>
          <w:sz w:val="24"/>
          <w:szCs w:val="24"/>
        </w:rPr>
        <w:t>provide for</w:t>
      </w:r>
      <w:r w:rsidR="00090183">
        <w:rPr>
          <w:sz w:val="24"/>
          <w:szCs w:val="24"/>
        </w:rPr>
        <w:t xml:space="preserve"> such exemptions</w:t>
      </w:r>
      <w:r w:rsidR="0044327A" w:rsidRPr="0044327A">
        <w:rPr>
          <w:sz w:val="24"/>
          <w:szCs w:val="24"/>
        </w:rPr>
        <w:t>.</w:t>
      </w:r>
    </w:p>
    <w:p w:rsidR="0044327A" w:rsidRDefault="0044327A" w:rsidP="00007EF6">
      <w:pPr>
        <w:rPr>
          <w:color w:val="0000FF"/>
          <w:sz w:val="24"/>
          <w:szCs w:val="24"/>
        </w:rPr>
      </w:pPr>
    </w:p>
    <w:p w:rsidR="00007EF6" w:rsidRDefault="003C727A" w:rsidP="00007EF6">
      <w:pPr>
        <w:rPr>
          <w:sz w:val="24"/>
          <w:szCs w:val="24"/>
        </w:rPr>
      </w:pPr>
      <w:r>
        <w:rPr>
          <w:sz w:val="24"/>
          <w:szCs w:val="24"/>
        </w:rPr>
        <w:t>The R</w:t>
      </w:r>
      <w:r w:rsidR="00007EF6">
        <w:rPr>
          <w:sz w:val="24"/>
          <w:szCs w:val="24"/>
        </w:rPr>
        <w:t xml:space="preserve">egulation is a legislative instrument for the purposes of the </w:t>
      </w:r>
      <w:r w:rsidR="00007EF6">
        <w:rPr>
          <w:i/>
          <w:sz w:val="24"/>
          <w:szCs w:val="24"/>
        </w:rPr>
        <w:t>Legislative Instruments Act 2003</w:t>
      </w:r>
      <w:r w:rsidR="00007EF6">
        <w:rPr>
          <w:sz w:val="24"/>
          <w:szCs w:val="24"/>
        </w:rPr>
        <w:t xml:space="preserve"> (LIA) (see paragraph 6(a) of the LIA).  </w:t>
      </w:r>
    </w:p>
    <w:p w:rsidR="00007EF6" w:rsidRDefault="00007EF6" w:rsidP="00007EF6">
      <w:pPr>
        <w:rPr>
          <w:sz w:val="24"/>
          <w:szCs w:val="24"/>
        </w:rPr>
      </w:pPr>
    </w:p>
    <w:p w:rsidR="00007EF6" w:rsidRDefault="003C727A" w:rsidP="00007EF6">
      <w:pPr>
        <w:rPr>
          <w:color w:val="0000FF"/>
          <w:sz w:val="24"/>
          <w:szCs w:val="24"/>
        </w:rPr>
      </w:pPr>
      <w:r>
        <w:rPr>
          <w:sz w:val="24"/>
          <w:szCs w:val="24"/>
        </w:rPr>
        <w:t>The R</w:t>
      </w:r>
      <w:r w:rsidR="00007EF6">
        <w:rPr>
          <w:sz w:val="24"/>
          <w:szCs w:val="24"/>
        </w:rPr>
        <w:t>egulation commences on the day after it is registered on the Federal Register of Legislative Instruments</w:t>
      </w:r>
      <w:r w:rsidR="00007EF6">
        <w:rPr>
          <w:color w:val="0000FF"/>
          <w:sz w:val="24"/>
          <w:szCs w:val="24"/>
        </w:rPr>
        <w:t>.</w:t>
      </w:r>
    </w:p>
    <w:p w:rsidR="00007EF6" w:rsidRDefault="00007EF6" w:rsidP="00007EF6">
      <w:pPr>
        <w:rPr>
          <w:color w:val="0000FF"/>
          <w:sz w:val="24"/>
          <w:szCs w:val="24"/>
        </w:rPr>
      </w:pPr>
    </w:p>
    <w:p w:rsidR="00007EF6" w:rsidRDefault="00007EF6" w:rsidP="00007E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Background</w:t>
      </w:r>
    </w:p>
    <w:p w:rsidR="001F2ABC" w:rsidRDefault="001F2ABC" w:rsidP="001F2ABC">
      <w:pPr>
        <w:rPr>
          <w:sz w:val="24"/>
          <w:szCs w:val="24"/>
        </w:rPr>
      </w:pPr>
    </w:p>
    <w:p w:rsidR="00305991" w:rsidRPr="00305991" w:rsidRDefault="00305991" w:rsidP="001F2ABC">
      <w:pPr>
        <w:rPr>
          <w:sz w:val="24"/>
          <w:szCs w:val="24"/>
        </w:rPr>
      </w:pPr>
      <w:r w:rsidRPr="00305991">
        <w:rPr>
          <w:sz w:val="24"/>
          <w:szCs w:val="24"/>
        </w:rPr>
        <w:t xml:space="preserve">One of the objects of the </w:t>
      </w:r>
      <w:r>
        <w:rPr>
          <w:sz w:val="24"/>
          <w:szCs w:val="24"/>
        </w:rPr>
        <w:t xml:space="preserve">Act </w:t>
      </w:r>
      <w:r w:rsidRPr="00305991">
        <w:rPr>
          <w:sz w:val="24"/>
          <w:szCs w:val="24"/>
        </w:rPr>
        <w:t>is to promote the availability to audiences throughout Australia of television and radio programs about matters of local significance (paragraph 3(1)(</w:t>
      </w:r>
      <w:proofErr w:type="spellStart"/>
      <w:r w:rsidRPr="00305991">
        <w:rPr>
          <w:sz w:val="24"/>
          <w:szCs w:val="24"/>
        </w:rPr>
        <w:t>ea</w:t>
      </w:r>
      <w:proofErr w:type="spellEnd"/>
      <w:r w:rsidRPr="00305991">
        <w:rPr>
          <w:sz w:val="24"/>
          <w:szCs w:val="24"/>
        </w:rPr>
        <w:t>)).</w:t>
      </w:r>
    </w:p>
    <w:p w:rsidR="001F2ABC" w:rsidRDefault="001F2ABC" w:rsidP="00305991">
      <w:pPr>
        <w:rPr>
          <w:sz w:val="24"/>
          <w:szCs w:val="24"/>
        </w:rPr>
      </w:pPr>
    </w:p>
    <w:p w:rsidR="00245DA8" w:rsidRPr="00245DA8" w:rsidRDefault="00305991" w:rsidP="00245DA8">
      <w:pPr>
        <w:rPr>
          <w:sz w:val="24"/>
          <w:szCs w:val="24"/>
        </w:rPr>
      </w:pPr>
      <w:r w:rsidRPr="00305991">
        <w:rPr>
          <w:sz w:val="24"/>
          <w:szCs w:val="24"/>
        </w:rPr>
        <w:t>In furtherance of that object</w:t>
      </w:r>
      <w:r>
        <w:rPr>
          <w:sz w:val="24"/>
          <w:szCs w:val="24"/>
        </w:rPr>
        <w:t xml:space="preserve">, Division 5C of Part 5 of the Act sets out local news and information requirements for regional commercial radio broadcasting licensees. </w:t>
      </w:r>
      <w:r w:rsidR="00563541" w:rsidRPr="005D7F3A">
        <w:rPr>
          <w:sz w:val="24"/>
          <w:szCs w:val="24"/>
        </w:rPr>
        <w:t xml:space="preserve">Where </w:t>
      </w:r>
      <w:r w:rsidR="00563541">
        <w:rPr>
          <w:sz w:val="24"/>
          <w:szCs w:val="24"/>
        </w:rPr>
        <w:t xml:space="preserve">regional commercial radio broadcasting licences </w:t>
      </w:r>
      <w:r w:rsidR="00563541" w:rsidRPr="005D7F3A">
        <w:rPr>
          <w:sz w:val="24"/>
          <w:szCs w:val="24"/>
        </w:rPr>
        <w:t>are subject to particular changes in control</w:t>
      </w:r>
      <w:r w:rsidR="00563541">
        <w:rPr>
          <w:sz w:val="24"/>
          <w:szCs w:val="24"/>
        </w:rPr>
        <w:t xml:space="preserve"> (including changes in ownership)</w:t>
      </w:r>
      <w:r w:rsidR="00563541" w:rsidRPr="005D7F3A">
        <w:rPr>
          <w:sz w:val="24"/>
          <w:szCs w:val="24"/>
        </w:rPr>
        <w:t>, known as a ‘trigger event’, the</w:t>
      </w:r>
      <w:r w:rsidR="00563541">
        <w:rPr>
          <w:sz w:val="24"/>
          <w:szCs w:val="24"/>
        </w:rPr>
        <w:t xml:space="preserve"> licence holder</w:t>
      </w:r>
      <w:r w:rsidR="00563541" w:rsidRPr="005D7F3A">
        <w:rPr>
          <w:sz w:val="24"/>
          <w:szCs w:val="24"/>
        </w:rPr>
        <w:t xml:space="preserve"> must comply </w:t>
      </w:r>
      <w:r w:rsidR="00090183" w:rsidRPr="00090183">
        <w:rPr>
          <w:sz w:val="24"/>
          <w:szCs w:val="24"/>
        </w:rPr>
        <w:t xml:space="preserve"> with local presence obligations (</w:t>
      </w:r>
      <w:r w:rsidR="00090183">
        <w:rPr>
          <w:sz w:val="24"/>
          <w:szCs w:val="24"/>
        </w:rPr>
        <w:t>s</w:t>
      </w:r>
      <w:r w:rsidR="00090183" w:rsidRPr="00090183">
        <w:rPr>
          <w:sz w:val="24"/>
          <w:szCs w:val="24"/>
        </w:rPr>
        <w:t>. 43B</w:t>
      </w:r>
      <w:r w:rsidR="00090183">
        <w:rPr>
          <w:sz w:val="24"/>
          <w:szCs w:val="24"/>
        </w:rPr>
        <w:t xml:space="preserve"> of the Act</w:t>
      </w:r>
      <w:r w:rsidR="00090183" w:rsidRPr="00090183">
        <w:rPr>
          <w:sz w:val="24"/>
          <w:szCs w:val="24"/>
        </w:rPr>
        <w:t xml:space="preserve">) </w:t>
      </w:r>
      <w:r w:rsidR="00E2598C">
        <w:rPr>
          <w:sz w:val="24"/>
          <w:szCs w:val="24"/>
        </w:rPr>
        <w:t>and</w:t>
      </w:r>
      <w:r w:rsidR="00821083">
        <w:rPr>
          <w:sz w:val="24"/>
          <w:szCs w:val="24"/>
        </w:rPr>
        <w:t xml:space="preserve"> minimum service standards </w:t>
      </w:r>
      <w:r w:rsidR="00E2598C">
        <w:rPr>
          <w:sz w:val="24"/>
          <w:szCs w:val="24"/>
        </w:rPr>
        <w:t xml:space="preserve">for the provision of </w:t>
      </w:r>
      <w:r w:rsidR="00090183" w:rsidRPr="00090183">
        <w:rPr>
          <w:sz w:val="24"/>
          <w:szCs w:val="24"/>
        </w:rPr>
        <w:t>local news and information (</w:t>
      </w:r>
      <w:r w:rsidR="00090183">
        <w:rPr>
          <w:sz w:val="24"/>
          <w:szCs w:val="24"/>
        </w:rPr>
        <w:t>s.</w:t>
      </w:r>
      <w:r w:rsidR="00090183" w:rsidRPr="00090183">
        <w:rPr>
          <w:sz w:val="24"/>
          <w:szCs w:val="24"/>
        </w:rPr>
        <w:t xml:space="preserve"> 61CD and 61CE</w:t>
      </w:r>
      <w:r w:rsidR="00090183">
        <w:rPr>
          <w:sz w:val="24"/>
          <w:szCs w:val="24"/>
        </w:rPr>
        <w:t xml:space="preserve"> of the Act</w:t>
      </w:r>
      <w:r w:rsidR="00090183" w:rsidRPr="00245DA8">
        <w:rPr>
          <w:sz w:val="24"/>
          <w:szCs w:val="24"/>
        </w:rPr>
        <w:t>)</w:t>
      </w:r>
      <w:r w:rsidR="00D256D3" w:rsidRPr="00245DA8">
        <w:rPr>
          <w:sz w:val="24"/>
          <w:szCs w:val="24"/>
        </w:rPr>
        <w:t>.</w:t>
      </w:r>
      <w:r w:rsidR="00245DA8">
        <w:rPr>
          <w:sz w:val="24"/>
          <w:szCs w:val="24"/>
        </w:rPr>
        <w:t xml:space="preserve"> </w:t>
      </w:r>
      <w:r w:rsidR="00005F03" w:rsidRPr="00245DA8">
        <w:rPr>
          <w:sz w:val="24"/>
          <w:szCs w:val="24"/>
        </w:rPr>
        <w:t xml:space="preserve">Specifically, regional commercial radio broadcasting licensees that are subject to a trigger event must: </w:t>
      </w:r>
    </w:p>
    <w:p w:rsidR="00245DA8" w:rsidRDefault="00245DA8" w:rsidP="00245DA8">
      <w:pPr>
        <w:pStyle w:val="NormalWeb"/>
        <w:spacing w:before="0" w:beforeAutospacing="0" w:after="0" w:afterAutospacing="0"/>
      </w:pPr>
    </w:p>
    <w:p w:rsidR="00005F03" w:rsidRPr="00B86E7C" w:rsidRDefault="00005F03" w:rsidP="00467F57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B86E7C">
        <w:rPr>
          <w:sz w:val="24"/>
          <w:szCs w:val="24"/>
        </w:rPr>
        <w:t xml:space="preserve">meet minimum service standards for local news and information – these include minimum amounts of local news, local weather, community service announcements and emergency warnings; </w:t>
      </w:r>
    </w:p>
    <w:p w:rsidR="00005F03" w:rsidRPr="00B86E7C" w:rsidRDefault="00005F03" w:rsidP="00467F57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B86E7C">
        <w:rPr>
          <w:sz w:val="24"/>
          <w:szCs w:val="24"/>
        </w:rPr>
        <w:t xml:space="preserve">maintain at least their existing level of local presence (involving staff, studios and production facilities) for 24 months from the date of the trigger event; </w:t>
      </w:r>
    </w:p>
    <w:p w:rsidR="00005F03" w:rsidRPr="00B86E7C" w:rsidRDefault="00005F03" w:rsidP="00467F57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B86E7C">
        <w:rPr>
          <w:sz w:val="24"/>
          <w:szCs w:val="24"/>
        </w:rPr>
        <w:t xml:space="preserve">within 90 days of the trigger event occurring, provide the </w:t>
      </w:r>
      <w:r w:rsidR="00224367">
        <w:rPr>
          <w:sz w:val="24"/>
          <w:szCs w:val="24"/>
        </w:rPr>
        <w:t xml:space="preserve">Australian Communications and Media Authority (the </w:t>
      </w:r>
      <w:r w:rsidRPr="00B86E7C">
        <w:rPr>
          <w:sz w:val="24"/>
          <w:szCs w:val="24"/>
        </w:rPr>
        <w:t>ACMA</w:t>
      </w:r>
      <w:r w:rsidR="00224367">
        <w:rPr>
          <w:sz w:val="24"/>
          <w:szCs w:val="24"/>
        </w:rPr>
        <w:t>)</w:t>
      </w:r>
      <w:r w:rsidRPr="00B86E7C">
        <w:rPr>
          <w:sz w:val="24"/>
          <w:szCs w:val="24"/>
        </w:rPr>
        <w:t xml:space="preserve"> with a draft local content plan detailing how </w:t>
      </w:r>
      <w:r>
        <w:rPr>
          <w:sz w:val="24"/>
          <w:szCs w:val="24"/>
        </w:rPr>
        <w:t>the licensee</w:t>
      </w:r>
      <w:r w:rsidRPr="00B86E7C">
        <w:rPr>
          <w:sz w:val="24"/>
          <w:szCs w:val="24"/>
        </w:rPr>
        <w:t xml:space="preserve"> intends to meet the minimum service standards </w:t>
      </w:r>
      <w:r>
        <w:rPr>
          <w:sz w:val="24"/>
          <w:szCs w:val="24"/>
        </w:rPr>
        <w:t>and including</w:t>
      </w:r>
      <w:r w:rsidRPr="00B86E7C">
        <w:rPr>
          <w:sz w:val="24"/>
          <w:szCs w:val="24"/>
        </w:rPr>
        <w:t xml:space="preserve"> information about the existing level of local presence; and </w:t>
      </w:r>
    </w:p>
    <w:p w:rsidR="00005F03" w:rsidRPr="00B86E7C" w:rsidRDefault="00005F03" w:rsidP="00467F57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B86E7C">
        <w:rPr>
          <w:sz w:val="24"/>
          <w:szCs w:val="24"/>
        </w:rPr>
        <w:t>report to the ACMA</w:t>
      </w:r>
      <w:r>
        <w:rPr>
          <w:sz w:val="24"/>
          <w:szCs w:val="24"/>
        </w:rPr>
        <w:t xml:space="preserve"> about</w:t>
      </w:r>
      <w:r w:rsidRPr="00B86E7C">
        <w:rPr>
          <w:sz w:val="24"/>
          <w:szCs w:val="24"/>
        </w:rPr>
        <w:t xml:space="preserve"> </w:t>
      </w:r>
      <w:r>
        <w:rPr>
          <w:sz w:val="24"/>
          <w:szCs w:val="24"/>
        </w:rPr>
        <w:t>the licensee’s</w:t>
      </w:r>
      <w:r w:rsidRPr="00B86E7C">
        <w:rPr>
          <w:sz w:val="24"/>
          <w:szCs w:val="24"/>
        </w:rPr>
        <w:t xml:space="preserve"> compliance with these local content and presence obligations by 30 September each year.</w:t>
      </w:r>
    </w:p>
    <w:p w:rsidR="00090183" w:rsidRDefault="00090183" w:rsidP="00D256D3">
      <w:pPr>
        <w:keepNext/>
        <w:rPr>
          <w:sz w:val="24"/>
          <w:szCs w:val="24"/>
        </w:rPr>
      </w:pPr>
      <w:r w:rsidRPr="00090183">
        <w:rPr>
          <w:sz w:val="24"/>
          <w:szCs w:val="24"/>
        </w:rPr>
        <w:lastRenderedPageBreak/>
        <w:t xml:space="preserve">A ‘trigger event’ </w:t>
      </w:r>
      <w:r w:rsidR="00E2598C">
        <w:rPr>
          <w:sz w:val="24"/>
          <w:szCs w:val="24"/>
        </w:rPr>
        <w:t xml:space="preserve">will </w:t>
      </w:r>
      <w:r w:rsidRPr="00090183">
        <w:rPr>
          <w:sz w:val="24"/>
          <w:szCs w:val="24"/>
        </w:rPr>
        <w:t>occur where there is a:</w:t>
      </w:r>
    </w:p>
    <w:p w:rsidR="00245DA8" w:rsidRPr="00090183" w:rsidRDefault="00245DA8" w:rsidP="00D256D3">
      <w:pPr>
        <w:keepNext/>
        <w:rPr>
          <w:sz w:val="24"/>
          <w:szCs w:val="24"/>
        </w:rPr>
      </w:pPr>
    </w:p>
    <w:p w:rsidR="00090183" w:rsidRPr="00090183" w:rsidRDefault="00090183" w:rsidP="00D256D3">
      <w:pPr>
        <w:pStyle w:val="ListParagraph"/>
        <w:keepNext/>
        <w:numPr>
          <w:ilvl w:val="0"/>
          <w:numId w:val="1"/>
        </w:numPr>
        <w:rPr>
          <w:sz w:val="24"/>
          <w:szCs w:val="24"/>
        </w:rPr>
      </w:pPr>
      <w:r w:rsidRPr="00090183">
        <w:rPr>
          <w:sz w:val="24"/>
          <w:szCs w:val="24"/>
        </w:rPr>
        <w:t xml:space="preserve">transfer of a </w:t>
      </w:r>
      <w:r w:rsidR="00D256D3" w:rsidRPr="00090183">
        <w:rPr>
          <w:sz w:val="24"/>
          <w:szCs w:val="24"/>
        </w:rPr>
        <w:t xml:space="preserve">regional commercial radio broadcasting licence </w:t>
      </w:r>
      <w:r w:rsidRPr="00090183">
        <w:rPr>
          <w:sz w:val="24"/>
          <w:szCs w:val="24"/>
        </w:rPr>
        <w:t>from one person to another</w:t>
      </w:r>
      <w:r w:rsidR="00D256D3">
        <w:rPr>
          <w:sz w:val="24"/>
          <w:szCs w:val="24"/>
        </w:rPr>
        <w:t>, prior to 15 October 2012</w:t>
      </w:r>
      <w:r w:rsidRPr="00090183">
        <w:rPr>
          <w:sz w:val="24"/>
          <w:szCs w:val="24"/>
        </w:rPr>
        <w:t xml:space="preserve"> (s. 61CB(1));</w:t>
      </w:r>
    </w:p>
    <w:p w:rsidR="00090183" w:rsidRPr="00090183" w:rsidRDefault="00090183" w:rsidP="00D256D3">
      <w:pPr>
        <w:pStyle w:val="ListParagraph"/>
        <w:keepNext/>
        <w:numPr>
          <w:ilvl w:val="0"/>
          <w:numId w:val="1"/>
        </w:numPr>
        <w:rPr>
          <w:sz w:val="24"/>
          <w:szCs w:val="24"/>
        </w:rPr>
      </w:pPr>
      <w:r w:rsidRPr="00090183">
        <w:rPr>
          <w:sz w:val="24"/>
          <w:szCs w:val="24"/>
        </w:rPr>
        <w:t>change in control of a regional commercial radio broadcasting licence (s. 61CB(1A));</w:t>
      </w:r>
    </w:p>
    <w:p w:rsidR="00090183" w:rsidRPr="00090183" w:rsidRDefault="00090183" w:rsidP="00D256D3">
      <w:pPr>
        <w:pStyle w:val="ListParagraph"/>
        <w:keepNext/>
        <w:numPr>
          <w:ilvl w:val="0"/>
          <w:numId w:val="1"/>
        </w:numPr>
        <w:rPr>
          <w:sz w:val="24"/>
          <w:szCs w:val="24"/>
        </w:rPr>
      </w:pPr>
      <w:r w:rsidRPr="00090183">
        <w:rPr>
          <w:sz w:val="24"/>
          <w:szCs w:val="24"/>
        </w:rPr>
        <w:t>formation of a new registrable media group</w:t>
      </w:r>
      <w:r w:rsidR="00D256D3">
        <w:rPr>
          <w:sz w:val="24"/>
          <w:szCs w:val="24"/>
        </w:rPr>
        <w:t xml:space="preserve">, containing a </w:t>
      </w:r>
      <w:r w:rsidR="00D256D3" w:rsidRPr="00090183">
        <w:rPr>
          <w:sz w:val="24"/>
          <w:szCs w:val="24"/>
        </w:rPr>
        <w:t>regional commercial radio broadcasting licence</w:t>
      </w:r>
      <w:r w:rsidRPr="00090183">
        <w:rPr>
          <w:sz w:val="24"/>
          <w:szCs w:val="24"/>
        </w:rPr>
        <w:t xml:space="preserve"> (s. 61CB(2)); or</w:t>
      </w:r>
    </w:p>
    <w:p w:rsidR="00090183" w:rsidRPr="00090183" w:rsidRDefault="00090183" w:rsidP="00D256D3">
      <w:pPr>
        <w:pStyle w:val="ListParagraph"/>
        <w:keepNext/>
        <w:numPr>
          <w:ilvl w:val="0"/>
          <w:numId w:val="1"/>
        </w:numPr>
        <w:rPr>
          <w:sz w:val="24"/>
          <w:szCs w:val="24"/>
        </w:rPr>
      </w:pPr>
      <w:r w:rsidRPr="00090183">
        <w:rPr>
          <w:sz w:val="24"/>
          <w:szCs w:val="24"/>
        </w:rPr>
        <w:t xml:space="preserve">change of controller of a registrable media group </w:t>
      </w:r>
      <w:r w:rsidR="00D256D3">
        <w:rPr>
          <w:sz w:val="24"/>
          <w:szCs w:val="24"/>
        </w:rPr>
        <w:t xml:space="preserve">containing a </w:t>
      </w:r>
      <w:r w:rsidR="00D256D3" w:rsidRPr="00090183">
        <w:rPr>
          <w:sz w:val="24"/>
          <w:szCs w:val="24"/>
        </w:rPr>
        <w:t xml:space="preserve">regional commercial radio broadcasting licence </w:t>
      </w:r>
      <w:r w:rsidRPr="00090183">
        <w:rPr>
          <w:sz w:val="24"/>
          <w:szCs w:val="24"/>
        </w:rPr>
        <w:t>(BSA s. 61CB(3)).</w:t>
      </w:r>
    </w:p>
    <w:p w:rsidR="00090183" w:rsidRPr="00090183" w:rsidRDefault="00090183" w:rsidP="00090183">
      <w:pPr>
        <w:rPr>
          <w:sz w:val="24"/>
          <w:szCs w:val="24"/>
        </w:rPr>
      </w:pPr>
    </w:p>
    <w:p w:rsidR="00D256D3" w:rsidRDefault="00E2598C" w:rsidP="00B86E7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90183" w:rsidRPr="00090183">
        <w:rPr>
          <w:sz w:val="24"/>
          <w:szCs w:val="24"/>
        </w:rPr>
        <w:t xml:space="preserve">he </w:t>
      </w:r>
      <w:r w:rsidRPr="00E2598C">
        <w:rPr>
          <w:i/>
          <w:sz w:val="24"/>
          <w:szCs w:val="24"/>
        </w:rPr>
        <w:t>Broadcasting Services Amendment (Regional Commercial Radio) Act 2012</w:t>
      </w:r>
      <w:r w:rsidR="00090183" w:rsidRPr="00090183">
        <w:rPr>
          <w:sz w:val="24"/>
          <w:szCs w:val="24"/>
        </w:rPr>
        <w:t xml:space="preserve"> </w:t>
      </w:r>
      <w:r w:rsidR="00460AA3">
        <w:rPr>
          <w:sz w:val="24"/>
          <w:szCs w:val="24"/>
        </w:rPr>
        <w:t xml:space="preserve">(Radio Act) </w:t>
      </w:r>
      <w:r w:rsidR="00090183" w:rsidRPr="00090183">
        <w:rPr>
          <w:sz w:val="24"/>
          <w:szCs w:val="24"/>
        </w:rPr>
        <w:t xml:space="preserve">introduced a number of </w:t>
      </w:r>
      <w:r w:rsidR="00563541">
        <w:rPr>
          <w:sz w:val="24"/>
          <w:szCs w:val="24"/>
        </w:rPr>
        <w:t xml:space="preserve">exceptions to </w:t>
      </w:r>
      <w:r w:rsidR="00090183" w:rsidRPr="00090183">
        <w:rPr>
          <w:sz w:val="24"/>
          <w:szCs w:val="24"/>
        </w:rPr>
        <w:t>the definition</w:t>
      </w:r>
      <w:r>
        <w:rPr>
          <w:sz w:val="24"/>
          <w:szCs w:val="24"/>
        </w:rPr>
        <w:t xml:space="preserve"> of </w:t>
      </w:r>
      <w:r w:rsidR="00460AA3">
        <w:rPr>
          <w:sz w:val="24"/>
          <w:szCs w:val="24"/>
        </w:rPr>
        <w:t>‘</w:t>
      </w:r>
      <w:r>
        <w:rPr>
          <w:sz w:val="24"/>
          <w:szCs w:val="24"/>
        </w:rPr>
        <w:t>trigger event</w:t>
      </w:r>
      <w:r w:rsidR="00460AA3">
        <w:rPr>
          <w:sz w:val="24"/>
          <w:szCs w:val="24"/>
        </w:rPr>
        <w:t xml:space="preserve">’, designed to reduce the regulatory burden on regional commercial radio broadcasting licensees. </w:t>
      </w:r>
      <w:r w:rsidR="00B86E7C">
        <w:rPr>
          <w:sz w:val="24"/>
          <w:szCs w:val="24"/>
        </w:rPr>
        <w:t>These included exemptions for trigger events arising from</w:t>
      </w:r>
      <w:r w:rsidR="006558EE">
        <w:rPr>
          <w:sz w:val="24"/>
          <w:szCs w:val="24"/>
        </w:rPr>
        <w:t>:</w:t>
      </w:r>
      <w:r w:rsidR="00B86E7C">
        <w:rPr>
          <w:sz w:val="24"/>
          <w:szCs w:val="24"/>
        </w:rPr>
        <w:t xml:space="preserve"> </w:t>
      </w:r>
      <w:r w:rsidR="00B86E7C" w:rsidRPr="00B86E7C">
        <w:rPr>
          <w:sz w:val="24"/>
          <w:szCs w:val="24"/>
        </w:rPr>
        <w:t xml:space="preserve">inter-generational </w:t>
      </w:r>
      <w:r w:rsidR="00B86E7C">
        <w:rPr>
          <w:sz w:val="24"/>
          <w:szCs w:val="24"/>
        </w:rPr>
        <w:t xml:space="preserve">transfers of shares between near relatives without </w:t>
      </w:r>
      <w:r w:rsidR="00FD27E1">
        <w:rPr>
          <w:sz w:val="24"/>
          <w:szCs w:val="24"/>
        </w:rPr>
        <w:t xml:space="preserve">legal </w:t>
      </w:r>
      <w:r w:rsidR="00B86E7C">
        <w:rPr>
          <w:sz w:val="24"/>
          <w:szCs w:val="24"/>
        </w:rPr>
        <w:t xml:space="preserve">consideration (e.g. </w:t>
      </w:r>
      <w:r w:rsidR="00B86E7C" w:rsidRPr="00B86E7C">
        <w:rPr>
          <w:sz w:val="24"/>
          <w:szCs w:val="24"/>
        </w:rPr>
        <w:t xml:space="preserve">transfer </w:t>
      </w:r>
      <w:r w:rsidR="00B86E7C">
        <w:rPr>
          <w:sz w:val="24"/>
          <w:szCs w:val="24"/>
        </w:rPr>
        <w:t>b</w:t>
      </w:r>
      <w:r w:rsidR="00B86E7C" w:rsidRPr="00B86E7C">
        <w:rPr>
          <w:sz w:val="24"/>
          <w:szCs w:val="24"/>
        </w:rPr>
        <w:t>y inheritance);</w:t>
      </w:r>
      <w:r w:rsidR="00B86E7C">
        <w:rPr>
          <w:sz w:val="24"/>
          <w:szCs w:val="24"/>
        </w:rPr>
        <w:t xml:space="preserve"> </w:t>
      </w:r>
      <w:r w:rsidR="00B86E7C" w:rsidRPr="00B86E7C">
        <w:rPr>
          <w:sz w:val="24"/>
          <w:szCs w:val="24"/>
        </w:rPr>
        <w:t xml:space="preserve">change in control of a licence, or registrable media group, due to circumstances beyond the control of relevant parties (e.g. </w:t>
      </w:r>
      <w:r w:rsidR="00B86E7C">
        <w:rPr>
          <w:sz w:val="24"/>
          <w:szCs w:val="24"/>
        </w:rPr>
        <w:t xml:space="preserve">medical </w:t>
      </w:r>
      <w:r w:rsidR="00B86E7C" w:rsidRPr="00B86E7C">
        <w:rPr>
          <w:sz w:val="24"/>
          <w:szCs w:val="24"/>
        </w:rPr>
        <w:t>incapacitation); and</w:t>
      </w:r>
      <w:r w:rsidR="005A135B">
        <w:rPr>
          <w:sz w:val="24"/>
          <w:szCs w:val="24"/>
        </w:rPr>
        <w:t xml:space="preserve"> </w:t>
      </w:r>
      <w:r w:rsidR="00B86E7C" w:rsidRPr="00B86E7C">
        <w:rPr>
          <w:sz w:val="24"/>
          <w:szCs w:val="24"/>
        </w:rPr>
        <w:t>changes in licence area boundaries</w:t>
      </w:r>
      <w:r w:rsidR="005A135B">
        <w:rPr>
          <w:sz w:val="24"/>
          <w:szCs w:val="24"/>
        </w:rPr>
        <w:t xml:space="preserve"> or populations</w:t>
      </w:r>
      <w:r w:rsidR="00B86E7C" w:rsidRPr="00B86E7C">
        <w:rPr>
          <w:sz w:val="24"/>
          <w:szCs w:val="24"/>
        </w:rPr>
        <w:t xml:space="preserve"> caused by </w:t>
      </w:r>
      <w:r w:rsidR="006558EE">
        <w:rPr>
          <w:sz w:val="24"/>
          <w:szCs w:val="24"/>
        </w:rPr>
        <w:t xml:space="preserve">certain </w:t>
      </w:r>
      <w:r w:rsidR="00B86E7C" w:rsidRPr="00B86E7C">
        <w:rPr>
          <w:sz w:val="24"/>
          <w:szCs w:val="24"/>
        </w:rPr>
        <w:t>ACMA</w:t>
      </w:r>
      <w:r w:rsidR="006558EE">
        <w:rPr>
          <w:sz w:val="24"/>
          <w:szCs w:val="24"/>
        </w:rPr>
        <w:t xml:space="preserve"> action</w:t>
      </w:r>
      <w:r w:rsidR="00B86E7C" w:rsidRPr="00B86E7C">
        <w:rPr>
          <w:sz w:val="24"/>
          <w:szCs w:val="24"/>
        </w:rPr>
        <w:t>.</w:t>
      </w:r>
    </w:p>
    <w:p w:rsidR="00D256D3" w:rsidRDefault="00D256D3" w:rsidP="00090183">
      <w:pPr>
        <w:rPr>
          <w:sz w:val="24"/>
          <w:szCs w:val="24"/>
        </w:rPr>
      </w:pPr>
    </w:p>
    <w:p w:rsidR="00007EF6" w:rsidRDefault="00460AA3" w:rsidP="00090183">
      <w:pPr>
        <w:rPr>
          <w:sz w:val="24"/>
          <w:szCs w:val="24"/>
        </w:rPr>
      </w:pPr>
      <w:r>
        <w:rPr>
          <w:sz w:val="24"/>
          <w:szCs w:val="24"/>
        </w:rPr>
        <w:t xml:space="preserve">The Radio Act also introduced </w:t>
      </w:r>
      <w:r w:rsidR="00090183" w:rsidRPr="00090183">
        <w:rPr>
          <w:sz w:val="24"/>
          <w:szCs w:val="24"/>
        </w:rPr>
        <w:t>new regulation making powers to provide for further exemptions (subsections 61CB(1D), 61CB(2C) and 61CB(5)</w:t>
      </w:r>
      <w:r w:rsidR="00D256D3">
        <w:rPr>
          <w:sz w:val="24"/>
          <w:szCs w:val="24"/>
        </w:rPr>
        <w:t xml:space="preserve"> of the Act</w:t>
      </w:r>
      <w:r w:rsidR="00090183" w:rsidRPr="00090183">
        <w:rPr>
          <w:sz w:val="24"/>
          <w:szCs w:val="24"/>
        </w:rPr>
        <w:t>).</w:t>
      </w:r>
    </w:p>
    <w:p w:rsidR="003E731B" w:rsidRDefault="003E731B" w:rsidP="00090183">
      <w:pPr>
        <w:rPr>
          <w:sz w:val="24"/>
          <w:szCs w:val="24"/>
        </w:rPr>
      </w:pPr>
    </w:p>
    <w:p w:rsidR="003E731B" w:rsidRDefault="003E731B" w:rsidP="00090183">
      <w:pPr>
        <w:rPr>
          <w:sz w:val="24"/>
          <w:szCs w:val="24"/>
        </w:rPr>
      </w:pPr>
      <w:r>
        <w:rPr>
          <w:sz w:val="24"/>
          <w:szCs w:val="24"/>
        </w:rPr>
        <w:t xml:space="preserve">The Regulation </w:t>
      </w:r>
      <w:r w:rsidR="00FD27E1">
        <w:rPr>
          <w:sz w:val="24"/>
          <w:szCs w:val="24"/>
        </w:rPr>
        <w:t xml:space="preserve">would insert further exemptions </w:t>
      </w:r>
      <w:r>
        <w:rPr>
          <w:sz w:val="24"/>
          <w:szCs w:val="24"/>
        </w:rPr>
        <w:t>cover</w:t>
      </w:r>
      <w:r w:rsidR="00FD27E1">
        <w:rPr>
          <w:sz w:val="24"/>
          <w:szCs w:val="24"/>
        </w:rPr>
        <w:t>ing</w:t>
      </w:r>
      <w:r>
        <w:rPr>
          <w:sz w:val="24"/>
          <w:szCs w:val="24"/>
        </w:rPr>
        <w:t xml:space="preserve"> a variety of scenarios </w:t>
      </w:r>
      <w:r w:rsidR="00FD27E1">
        <w:rPr>
          <w:sz w:val="24"/>
          <w:szCs w:val="24"/>
        </w:rPr>
        <w:t>which</w:t>
      </w:r>
      <w:r>
        <w:rPr>
          <w:sz w:val="24"/>
          <w:szCs w:val="24"/>
        </w:rPr>
        <w:t xml:space="preserve">, in general, </w:t>
      </w:r>
      <w:r w:rsidR="00563541" w:rsidRPr="005D7F3A">
        <w:rPr>
          <w:sz w:val="24"/>
          <w:szCs w:val="24"/>
        </w:rPr>
        <w:t>are designed to exclude from the definition of</w:t>
      </w:r>
      <w:r w:rsidR="00563541">
        <w:rPr>
          <w:sz w:val="24"/>
          <w:szCs w:val="24"/>
        </w:rPr>
        <w:t xml:space="preserve"> a</w:t>
      </w:r>
      <w:r w:rsidR="00563541" w:rsidRPr="005D7F3A">
        <w:rPr>
          <w:sz w:val="24"/>
          <w:szCs w:val="24"/>
        </w:rPr>
        <w:t xml:space="preserve"> trigger event transactions resulting from corporate group restructures where there is su</w:t>
      </w:r>
      <w:r w:rsidR="00563541">
        <w:rPr>
          <w:sz w:val="24"/>
          <w:szCs w:val="24"/>
        </w:rPr>
        <w:t>bstantial</w:t>
      </w:r>
      <w:r w:rsidR="00563541" w:rsidRPr="005D7F3A">
        <w:rPr>
          <w:sz w:val="24"/>
          <w:szCs w:val="24"/>
        </w:rPr>
        <w:t xml:space="preserve"> continuity of control of the relevant licence </w:t>
      </w:r>
      <w:r w:rsidR="00563541">
        <w:rPr>
          <w:sz w:val="24"/>
          <w:szCs w:val="24"/>
        </w:rPr>
        <w:t xml:space="preserve">(and associated station) </w:t>
      </w:r>
      <w:r w:rsidR="00563541" w:rsidRPr="005D7F3A">
        <w:rPr>
          <w:sz w:val="24"/>
          <w:szCs w:val="24"/>
        </w:rPr>
        <w:t>or registrable media group</w:t>
      </w:r>
      <w:r w:rsidR="00563541">
        <w:rPr>
          <w:sz w:val="24"/>
          <w:szCs w:val="24"/>
        </w:rPr>
        <w:t>, from higher up the corporate chain</w:t>
      </w:r>
      <w:r w:rsidR="00563541" w:rsidRPr="005D7F3A">
        <w:rPr>
          <w:sz w:val="24"/>
          <w:szCs w:val="24"/>
        </w:rPr>
        <w:t xml:space="preserve">. </w:t>
      </w:r>
      <w:r w:rsidR="00EA038D">
        <w:rPr>
          <w:sz w:val="24"/>
          <w:szCs w:val="24"/>
        </w:rPr>
        <w:t>Such transactions are considered likely t</w:t>
      </w:r>
      <w:r>
        <w:rPr>
          <w:sz w:val="24"/>
          <w:szCs w:val="24"/>
        </w:rPr>
        <w:t>o have</w:t>
      </w:r>
      <w:r w:rsidR="00EA038D">
        <w:rPr>
          <w:sz w:val="24"/>
          <w:szCs w:val="24"/>
        </w:rPr>
        <w:t xml:space="preserve"> relatively </w:t>
      </w:r>
      <w:r w:rsidR="007C24DD">
        <w:rPr>
          <w:sz w:val="24"/>
          <w:szCs w:val="24"/>
        </w:rPr>
        <w:t>minimal</w:t>
      </w:r>
      <w:r>
        <w:rPr>
          <w:sz w:val="24"/>
          <w:szCs w:val="24"/>
        </w:rPr>
        <w:t xml:space="preserve"> effect on the day-to-day operation</w:t>
      </w:r>
      <w:r w:rsidR="007C24DD">
        <w:rPr>
          <w:sz w:val="24"/>
          <w:szCs w:val="24"/>
        </w:rPr>
        <w:t>s</w:t>
      </w:r>
      <w:r>
        <w:rPr>
          <w:sz w:val="24"/>
          <w:szCs w:val="24"/>
        </w:rPr>
        <w:t xml:space="preserve"> of a licensee company or </w:t>
      </w:r>
      <w:r w:rsidR="00597748">
        <w:rPr>
          <w:sz w:val="24"/>
          <w:szCs w:val="24"/>
        </w:rPr>
        <w:t>group</w:t>
      </w:r>
      <w:r w:rsidR="00210D0A">
        <w:rPr>
          <w:sz w:val="24"/>
          <w:szCs w:val="24"/>
        </w:rPr>
        <w:t>,</w:t>
      </w:r>
      <w:r w:rsidR="007C24DD">
        <w:rPr>
          <w:sz w:val="24"/>
          <w:szCs w:val="24"/>
        </w:rPr>
        <w:t xml:space="preserve"> such that they should not trigger regulatory obligations in relation to local presence and minimum service standards</w:t>
      </w:r>
      <w:r w:rsidR="005977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90183" w:rsidRPr="00090183" w:rsidRDefault="00090183" w:rsidP="00090183">
      <w:pPr>
        <w:rPr>
          <w:sz w:val="24"/>
          <w:szCs w:val="24"/>
        </w:rPr>
      </w:pPr>
    </w:p>
    <w:p w:rsidR="00007EF6" w:rsidRDefault="00007EF6" w:rsidP="00007E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Regulation Impact Statement</w:t>
      </w:r>
    </w:p>
    <w:p w:rsidR="00007EF6" w:rsidRPr="0049251E" w:rsidRDefault="00007EF6" w:rsidP="00007EF6">
      <w:pPr>
        <w:spacing w:before="100" w:beforeAutospacing="1" w:after="100" w:afterAutospacing="1"/>
        <w:rPr>
          <w:sz w:val="24"/>
          <w:szCs w:val="24"/>
        </w:rPr>
      </w:pPr>
      <w:r w:rsidRPr="0049251E">
        <w:rPr>
          <w:sz w:val="24"/>
          <w:szCs w:val="24"/>
        </w:rPr>
        <w:t>The Office of Best Practice Regulation has confirmed that the preparation of a Regulation Impact Statement is not necessary, as the amendments have a nil or low impact on business or the economy or individuals</w:t>
      </w:r>
      <w:r w:rsidR="00224367">
        <w:rPr>
          <w:sz w:val="24"/>
          <w:szCs w:val="24"/>
        </w:rPr>
        <w:t>.</w:t>
      </w:r>
      <w:r w:rsidR="00245DA8">
        <w:rPr>
          <w:sz w:val="24"/>
          <w:szCs w:val="24"/>
        </w:rPr>
        <w:t xml:space="preserve"> </w:t>
      </w:r>
    </w:p>
    <w:p w:rsidR="00E171ED" w:rsidRDefault="00E171ED" w:rsidP="00E171ED">
      <w:pPr>
        <w:spacing w:before="100" w:beforeAutospacing="1" w:after="100" w:afterAutospacing="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Consultation</w:t>
      </w:r>
    </w:p>
    <w:p w:rsidR="00E171ED" w:rsidRPr="004B58FA" w:rsidRDefault="00E171ED" w:rsidP="00E171ED">
      <w:pPr>
        <w:pStyle w:val="BodyText2"/>
        <w:spacing w:before="240"/>
        <w:rPr>
          <w:szCs w:val="24"/>
        </w:rPr>
      </w:pPr>
      <w:r w:rsidRPr="004B58FA">
        <w:rPr>
          <w:szCs w:val="24"/>
        </w:rPr>
        <w:t>Both Commercial Radio Australia and the ACMA have been consulted in the preparation of this Regulation.</w:t>
      </w:r>
    </w:p>
    <w:p w:rsidR="00E171ED" w:rsidRDefault="00E171ED" w:rsidP="00E171ED">
      <w:pPr>
        <w:pStyle w:val="BodyText2"/>
        <w:spacing w:before="240"/>
        <w:rPr>
          <w:szCs w:val="24"/>
        </w:rPr>
      </w:pPr>
      <w:r>
        <w:rPr>
          <w:szCs w:val="24"/>
        </w:rPr>
        <w:t xml:space="preserve">Details of the accompanying regulation are set out in the </w:t>
      </w:r>
      <w:r>
        <w:rPr>
          <w:szCs w:val="24"/>
          <w:u w:val="single"/>
        </w:rPr>
        <w:t>Attachment</w:t>
      </w:r>
      <w:r>
        <w:rPr>
          <w:szCs w:val="24"/>
        </w:rPr>
        <w:t>.</w:t>
      </w:r>
    </w:p>
    <w:p w:rsidR="00D256D3" w:rsidRDefault="00D256D3">
      <w:pPr>
        <w:spacing w:after="200"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br w:type="page"/>
      </w:r>
    </w:p>
    <w:p w:rsidR="007F5E5D" w:rsidRPr="007F5E5D" w:rsidRDefault="007F5E5D" w:rsidP="00F46E52">
      <w:pPr>
        <w:spacing w:after="200" w:line="276" w:lineRule="auto"/>
        <w:ind w:right="-46"/>
        <w:jc w:val="center"/>
        <w:rPr>
          <w:b/>
          <w:bCs/>
          <w:sz w:val="24"/>
          <w:szCs w:val="24"/>
        </w:rPr>
      </w:pPr>
      <w:r w:rsidRPr="007F5E5D">
        <w:rPr>
          <w:b/>
          <w:bCs/>
          <w:sz w:val="24"/>
          <w:szCs w:val="24"/>
        </w:rPr>
        <w:lastRenderedPageBreak/>
        <w:t>STATEMENT OF COMPATIBILITY WITH HUMAN RIGHTS</w:t>
      </w:r>
    </w:p>
    <w:p w:rsidR="007F5E5D" w:rsidRPr="007F5E5D" w:rsidRDefault="007F5E5D" w:rsidP="00F46E52">
      <w:pPr>
        <w:spacing w:after="200" w:line="276" w:lineRule="auto"/>
        <w:ind w:right="-46"/>
        <w:jc w:val="center"/>
        <w:rPr>
          <w:bCs/>
          <w:sz w:val="24"/>
          <w:szCs w:val="24"/>
        </w:rPr>
      </w:pPr>
      <w:r w:rsidRPr="007F5E5D">
        <w:rPr>
          <w:bCs/>
          <w:i/>
          <w:sz w:val="24"/>
          <w:szCs w:val="24"/>
        </w:rPr>
        <w:t>Prepared in accordance with Part 3 of the Human Rights (Parliamentary Scrutiny) Act 2011</w:t>
      </w:r>
    </w:p>
    <w:p w:rsidR="007F5E5D" w:rsidRDefault="007F5E5D" w:rsidP="00F46E52">
      <w:pPr>
        <w:spacing w:before="100" w:beforeAutospacing="1" w:after="100" w:afterAutospacing="1"/>
        <w:ind w:right="-46"/>
        <w:jc w:val="center"/>
        <w:rPr>
          <w:b/>
          <w:sz w:val="24"/>
          <w:szCs w:val="24"/>
        </w:rPr>
      </w:pPr>
      <w:r w:rsidRPr="007F5E5D">
        <w:rPr>
          <w:b/>
          <w:i/>
          <w:sz w:val="24"/>
          <w:szCs w:val="24"/>
        </w:rPr>
        <w:t>Broadcasting Services (Regional Commercial Radio) Regulation 2013</w:t>
      </w:r>
    </w:p>
    <w:p w:rsidR="007F5E5D" w:rsidRPr="007F5E5D" w:rsidRDefault="007F5E5D" w:rsidP="0049251E">
      <w:pPr>
        <w:rPr>
          <w:sz w:val="24"/>
          <w:szCs w:val="24"/>
        </w:rPr>
      </w:pPr>
      <w:r w:rsidRPr="007F5E5D">
        <w:rPr>
          <w:sz w:val="24"/>
          <w:szCs w:val="24"/>
        </w:rPr>
        <w:t xml:space="preserve">This </w:t>
      </w:r>
      <w:r>
        <w:rPr>
          <w:sz w:val="24"/>
          <w:szCs w:val="24"/>
        </w:rPr>
        <w:t>Regulation</w:t>
      </w:r>
      <w:r w:rsidRPr="007F5E5D">
        <w:rPr>
          <w:sz w:val="24"/>
          <w:szCs w:val="24"/>
        </w:rPr>
        <w:t xml:space="preserve"> is compatible with the human rights and freedoms recognised or declared in the international instruments listed in section 3 of the </w:t>
      </w:r>
      <w:r w:rsidRPr="0049251E">
        <w:rPr>
          <w:i/>
          <w:sz w:val="24"/>
          <w:szCs w:val="24"/>
        </w:rPr>
        <w:t>Human Rights (Parliamentary Scrutiny) Act 2011</w:t>
      </w:r>
      <w:r w:rsidRPr="007F5E5D">
        <w:rPr>
          <w:sz w:val="24"/>
          <w:szCs w:val="24"/>
        </w:rPr>
        <w:t xml:space="preserve">. </w:t>
      </w:r>
    </w:p>
    <w:p w:rsidR="007F5E5D" w:rsidRPr="007F5E5D" w:rsidRDefault="007F5E5D" w:rsidP="007F5E5D">
      <w:pPr>
        <w:spacing w:before="100" w:beforeAutospacing="1" w:after="100" w:afterAutospacing="1"/>
        <w:ind w:right="-1180"/>
        <w:rPr>
          <w:sz w:val="24"/>
          <w:szCs w:val="24"/>
          <w:u w:val="single"/>
        </w:rPr>
      </w:pPr>
      <w:r w:rsidRPr="007F5E5D">
        <w:rPr>
          <w:bCs/>
          <w:sz w:val="24"/>
          <w:szCs w:val="24"/>
          <w:u w:val="single"/>
        </w:rPr>
        <w:t xml:space="preserve">Overview of the </w:t>
      </w:r>
      <w:r>
        <w:rPr>
          <w:bCs/>
          <w:sz w:val="24"/>
          <w:szCs w:val="24"/>
          <w:u w:val="single"/>
        </w:rPr>
        <w:t>Regulation</w:t>
      </w:r>
    </w:p>
    <w:p w:rsidR="00F46E52" w:rsidRDefault="00F46E52" w:rsidP="00F46E52">
      <w:pPr>
        <w:rPr>
          <w:sz w:val="24"/>
          <w:szCs w:val="24"/>
        </w:rPr>
      </w:pPr>
      <w:r>
        <w:rPr>
          <w:sz w:val="24"/>
          <w:szCs w:val="24"/>
        </w:rPr>
        <w:t xml:space="preserve">Division 5C of Part 5 of the </w:t>
      </w:r>
      <w:r w:rsidRPr="00F46E52">
        <w:rPr>
          <w:i/>
          <w:sz w:val="24"/>
          <w:szCs w:val="24"/>
        </w:rPr>
        <w:t>Broadcasting Services Act 1992</w:t>
      </w:r>
      <w:r w:rsidRPr="00F46E52">
        <w:rPr>
          <w:sz w:val="24"/>
          <w:szCs w:val="24"/>
        </w:rPr>
        <w:t xml:space="preserve"> (the Act)</w:t>
      </w:r>
      <w:r>
        <w:rPr>
          <w:sz w:val="24"/>
          <w:szCs w:val="24"/>
        </w:rPr>
        <w:t xml:space="preserve"> sets out local news and information requirements for regional commercial radio broadcasting licensees. </w:t>
      </w:r>
    </w:p>
    <w:p w:rsidR="00F46E52" w:rsidRDefault="00F46E52" w:rsidP="00F46E52">
      <w:pPr>
        <w:rPr>
          <w:sz w:val="24"/>
          <w:szCs w:val="24"/>
        </w:rPr>
      </w:pPr>
    </w:p>
    <w:p w:rsidR="00F46E52" w:rsidRDefault="00F46E52" w:rsidP="00F46E52">
      <w:pPr>
        <w:rPr>
          <w:sz w:val="24"/>
          <w:szCs w:val="24"/>
        </w:rPr>
      </w:pPr>
      <w:r>
        <w:rPr>
          <w:sz w:val="24"/>
          <w:szCs w:val="24"/>
        </w:rPr>
        <w:t>Where such licensees are</w:t>
      </w:r>
      <w:r w:rsidRPr="00090183">
        <w:rPr>
          <w:sz w:val="24"/>
          <w:szCs w:val="24"/>
        </w:rPr>
        <w:t xml:space="preserve"> subject to </w:t>
      </w:r>
      <w:r>
        <w:rPr>
          <w:sz w:val="24"/>
          <w:szCs w:val="24"/>
        </w:rPr>
        <w:t>particular</w:t>
      </w:r>
      <w:r w:rsidRPr="00090183">
        <w:rPr>
          <w:sz w:val="24"/>
          <w:szCs w:val="24"/>
        </w:rPr>
        <w:t xml:space="preserve"> changes in ownership and</w:t>
      </w:r>
      <w:r>
        <w:rPr>
          <w:sz w:val="24"/>
          <w:szCs w:val="24"/>
        </w:rPr>
        <w:t>/or</w:t>
      </w:r>
      <w:r w:rsidRPr="00090183">
        <w:rPr>
          <w:sz w:val="24"/>
          <w:szCs w:val="24"/>
        </w:rPr>
        <w:t xml:space="preserve"> control, known as </w:t>
      </w:r>
      <w:r>
        <w:rPr>
          <w:sz w:val="24"/>
          <w:szCs w:val="24"/>
        </w:rPr>
        <w:t xml:space="preserve">a </w:t>
      </w:r>
      <w:r w:rsidR="00563541">
        <w:rPr>
          <w:sz w:val="24"/>
          <w:szCs w:val="24"/>
        </w:rPr>
        <w:t>‘</w:t>
      </w:r>
      <w:r w:rsidRPr="00090183">
        <w:rPr>
          <w:sz w:val="24"/>
          <w:szCs w:val="24"/>
        </w:rPr>
        <w:t>trigger event</w:t>
      </w:r>
      <w:r w:rsidR="00563541">
        <w:rPr>
          <w:sz w:val="24"/>
          <w:szCs w:val="24"/>
        </w:rPr>
        <w:t>’</w:t>
      </w:r>
      <w:r>
        <w:rPr>
          <w:sz w:val="24"/>
          <w:szCs w:val="24"/>
        </w:rPr>
        <w:t xml:space="preserve">, they must </w:t>
      </w:r>
      <w:r w:rsidRPr="00090183">
        <w:rPr>
          <w:sz w:val="24"/>
          <w:szCs w:val="24"/>
        </w:rPr>
        <w:t>comply with local presence obligations (</w:t>
      </w:r>
      <w:r>
        <w:rPr>
          <w:sz w:val="24"/>
          <w:szCs w:val="24"/>
        </w:rPr>
        <w:t>s</w:t>
      </w:r>
      <w:r w:rsidRPr="00090183">
        <w:rPr>
          <w:sz w:val="24"/>
          <w:szCs w:val="24"/>
        </w:rPr>
        <w:t>. 43B</w:t>
      </w:r>
      <w:r>
        <w:rPr>
          <w:sz w:val="24"/>
          <w:szCs w:val="24"/>
        </w:rPr>
        <w:t xml:space="preserve"> of the Act</w:t>
      </w:r>
      <w:r w:rsidRPr="0009018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minimum service standards for the provision of </w:t>
      </w:r>
      <w:r w:rsidRPr="00090183">
        <w:rPr>
          <w:sz w:val="24"/>
          <w:szCs w:val="24"/>
        </w:rPr>
        <w:t>local news and information (</w:t>
      </w:r>
      <w:r>
        <w:rPr>
          <w:sz w:val="24"/>
          <w:szCs w:val="24"/>
        </w:rPr>
        <w:t>s.</w:t>
      </w:r>
      <w:r w:rsidRPr="00090183">
        <w:rPr>
          <w:sz w:val="24"/>
          <w:szCs w:val="24"/>
        </w:rPr>
        <w:t xml:space="preserve"> 61CD and 61CE</w:t>
      </w:r>
      <w:r>
        <w:rPr>
          <w:sz w:val="24"/>
          <w:szCs w:val="24"/>
        </w:rPr>
        <w:t xml:space="preserve"> of the Act</w:t>
      </w:r>
      <w:r w:rsidRPr="00090183">
        <w:rPr>
          <w:sz w:val="24"/>
          <w:szCs w:val="24"/>
        </w:rPr>
        <w:t>)</w:t>
      </w:r>
      <w:r>
        <w:rPr>
          <w:sz w:val="24"/>
          <w:szCs w:val="24"/>
        </w:rPr>
        <w:t>. L</w:t>
      </w:r>
      <w:r w:rsidRPr="00821083">
        <w:rPr>
          <w:sz w:val="24"/>
          <w:szCs w:val="24"/>
        </w:rPr>
        <w:t xml:space="preserve">ocal presence requirements relate to </w:t>
      </w:r>
      <w:r>
        <w:rPr>
          <w:sz w:val="24"/>
          <w:szCs w:val="24"/>
        </w:rPr>
        <w:t xml:space="preserve">the maintenance of </w:t>
      </w:r>
      <w:r w:rsidRPr="00821083">
        <w:rPr>
          <w:sz w:val="24"/>
          <w:szCs w:val="24"/>
        </w:rPr>
        <w:t>local staffing levels and facilities</w:t>
      </w:r>
      <w:r>
        <w:rPr>
          <w:sz w:val="24"/>
          <w:szCs w:val="24"/>
        </w:rPr>
        <w:t>, while minimum service standards relate to the provision of local news, local weather, community service announcements and emergency warnings</w:t>
      </w:r>
      <w:r w:rsidRPr="0082108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46E52" w:rsidRDefault="00F46E52" w:rsidP="00F46E52">
      <w:pPr>
        <w:rPr>
          <w:sz w:val="24"/>
          <w:szCs w:val="24"/>
        </w:rPr>
      </w:pPr>
    </w:p>
    <w:p w:rsidR="00F46E52" w:rsidRDefault="00F46E52" w:rsidP="00F46E52">
      <w:pPr>
        <w:rPr>
          <w:sz w:val="24"/>
          <w:szCs w:val="24"/>
        </w:rPr>
      </w:pPr>
      <w:r w:rsidRPr="007F5E5D">
        <w:rPr>
          <w:sz w:val="24"/>
          <w:szCs w:val="24"/>
        </w:rPr>
        <w:t xml:space="preserve">The effect of the </w:t>
      </w:r>
      <w:r>
        <w:rPr>
          <w:sz w:val="24"/>
          <w:szCs w:val="24"/>
        </w:rPr>
        <w:t>Regulation is to provide exemptions</w:t>
      </w:r>
      <w:r w:rsidRPr="0049251E">
        <w:rPr>
          <w:sz w:val="24"/>
          <w:szCs w:val="24"/>
        </w:rPr>
        <w:t xml:space="preserve"> from the definition of </w:t>
      </w:r>
      <w:r w:rsidR="00563541">
        <w:rPr>
          <w:sz w:val="24"/>
          <w:szCs w:val="24"/>
        </w:rPr>
        <w:t>‘</w:t>
      </w:r>
      <w:r w:rsidRPr="0049251E">
        <w:rPr>
          <w:sz w:val="24"/>
          <w:szCs w:val="24"/>
        </w:rPr>
        <w:t>trigger event</w:t>
      </w:r>
      <w:r w:rsidR="00563541">
        <w:rPr>
          <w:sz w:val="24"/>
          <w:szCs w:val="24"/>
        </w:rPr>
        <w:t>’</w:t>
      </w:r>
      <w:r w:rsidRPr="0049251E">
        <w:rPr>
          <w:sz w:val="24"/>
          <w:szCs w:val="24"/>
        </w:rPr>
        <w:t xml:space="preserve"> contained in subsections 61CB(1A), 61CB(2) and 61CB(3) of the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Act. The exemptions are designed to exclude from the definition of trigger event </w:t>
      </w:r>
      <w:r w:rsidR="005B33FA">
        <w:rPr>
          <w:sz w:val="24"/>
          <w:szCs w:val="24"/>
        </w:rPr>
        <w:t xml:space="preserve">certain </w:t>
      </w:r>
      <w:r>
        <w:rPr>
          <w:sz w:val="24"/>
          <w:szCs w:val="24"/>
        </w:rPr>
        <w:t xml:space="preserve">transactions </w:t>
      </w:r>
      <w:r w:rsidR="005B33FA">
        <w:rPr>
          <w:sz w:val="24"/>
          <w:szCs w:val="24"/>
        </w:rPr>
        <w:t xml:space="preserve">including those </w:t>
      </w:r>
      <w:r>
        <w:rPr>
          <w:sz w:val="24"/>
          <w:szCs w:val="24"/>
        </w:rPr>
        <w:t xml:space="preserve">resulting from corporate group restructures where there is continuity of ‘upstream’ control of the relevant </w:t>
      </w:r>
      <w:r w:rsidR="005E2A37">
        <w:rPr>
          <w:sz w:val="24"/>
          <w:szCs w:val="24"/>
        </w:rPr>
        <w:t xml:space="preserve">regional commercial radio broadcasting </w:t>
      </w:r>
      <w:r>
        <w:rPr>
          <w:sz w:val="24"/>
          <w:szCs w:val="24"/>
        </w:rPr>
        <w:t>licence or registrable media group.</w:t>
      </w:r>
    </w:p>
    <w:p w:rsidR="00F46E52" w:rsidRDefault="00F46E52" w:rsidP="00F46E52">
      <w:pPr>
        <w:rPr>
          <w:bCs/>
          <w:sz w:val="24"/>
          <w:szCs w:val="24"/>
          <w:u w:val="single"/>
        </w:rPr>
      </w:pPr>
    </w:p>
    <w:p w:rsidR="007F5E5D" w:rsidRPr="007F5E5D" w:rsidRDefault="007F5E5D" w:rsidP="007F5E5D">
      <w:pPr>
        <w:spacing w:after="200" w:line="276" w:lineRule="auto"/>
        <w:ind w:right="-1180"/>
        <w:rPr>
          <w:bCs/>
          <w:sz w:val="24"/>
          <w:szCs w:val="24"/>
          <w:u w:val="single"/>
        </w:rPr>
      </w:pPr>
      <w:r w:rsidRPr="007F5E5D">
        <w:rPr>
          <w:bCs/>
          <w:sz w:val="24"/>
          <w:szCs w:val="24"/>
          <w:u w:val="single"/>
        </w:rPr>
        <w:t>Human rights implications</w:t>
      </w:r>
    </w:p>
    <w:p w:rsidR="00A16816" w:rsidRDefault="00A16816" w:rsidP="00A16816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A16816">
        <w:rPr>
          <w:rFonts w:eastAsia="Calibri"/>
          <w:sz w:val="24"/>
          <w:szCs w:val="24"/>
          <w:lang w:eastAsia="en-US"/>
        </w:rPr>
        <w:t xml:space="preserve">This </w:t>
      </w:r>
      <w:r>
        <w:rPr>
          <w:rFonts w:eastAsia="Calibri"/>
          <w:sz w:val="24"/>
          <w:szCs w:val="24"/>
          <w:lang w:eastAsia="en-US"/>
        </w:rPr>
        <w:t>Regulation</w:t>
      </w:r>
      <w:r w:rsidRPr="00A16816">
        <w:rPr>
          <w:rFonts w:eastAsia="Calibri"/>
          <w:sz w:val="24"/>
          <w:szCs w:val="24"/>
          <w:lang w:eastAsia="en-US"/>
        </w:rPr>
        <w:t xml:space="preserve"> does not engage any of the applicable rights or freedoms.</w:t>
      </w:r>
    </w:p>
    <w:p w:rsidR="00A16816" w:rsidRPr="00A16816" w:rsidRDefault="00A16816" w:rsidP="00A16816">
      <w:pPr>
        <w:spacing w:before="120" w:after="120" w:line="276" w:lineRule="auto"/>
        <w:rPr>
          <w:rFonts w:eastAsia="Calibri"/>
          <w:sz w:val="24"/>
          <w:szCs w:val="24"/>
          <w:u w:val="single"/>
          <w:lang w:eastAsia="en-US"/>
        </w:rPr>
      </w:pPr>
      <w:r w:rsidRPr="00A16816">
        <w:rPr>
          <w:rFonts w:eastAsia="Calibri"/>
          <w:sz w:val="24"/>
          <w:szCs w:val="24"/>
          <w:u w:val="single"/>
          <w:lang w:eastAsia="en-US"/>
        </w:rPr>
        <w:t>Conclusion</w:t>
      </w:r>
    </w:p>
    <w:p w:rsidR="00A16816" w:rsidRPr="00A16816" w:rsidRDefault="00A16816" w:rsidP="00A16816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A16816">
        <w:rPr>
          <w:rFonts w:eastAsia="Calibri"/>
          <w:sz w:val="24"/>
          <w:szCs w:val="24"/>
          <w:lang w:eastAsia="en-US"/>
        </w:rPr>
        <w:t xml:space="preserve">This </w:t>
      </w:r>
      <w:r>
        <w:rPr>
          <w:rFonts w:eastAsia="Calibri"/>
          <w:sz w:val="24"/>
          <w:szCs w:val="24"/>
          <w:lang w:eastAsia="en-US"/>
        </w:rPr>
        <w:t>Regulation</w:t>
      </w:r>
      <w:r w:rsidRPr="00A16816">
        <w:rPr>
          <w:rFonts w:eastAsia="Calibri"/>
          <w:sz w:val="24"/>
          <w:szCs w:val="24"/>
          <w:lang w:eastAsia="en-US"/>
        </w:rPr>
        <w:t xml:space="preserve"> is compatible with human rights as it does not raise any human rights issues.</w:t>
      </w:r>
    </w:p>
    <w:p w:rsidR="00241B94" w:rsidRDefault="00241B94" w:rsidP="00007EF6">
      <w:pPr>
        <w:spacing w:before="100" w:beforeAutospacing="1" w:after="100" w:afterAutospacing="1"/>
        <w:rPr>
          <w:color w:val="0000FF"/>
          <w:sz w:val="24"/>
          <w:szCs w:val="24"/>
        </w:rPr>
      </w:pPr>
    </w:p>
    <w:p w:rsidR="00007EF6" w:rsidRDefault="00007EF6" w:rsidP="00007EF6">
      <w:pPr>
        <w:pStyle w:val="BodyText2"/>
        <w:rPr>
          <w:szCs w:val="24"/>
        </w:rPr>
      </w:pPr>
    </w:p>
    <w:p w:rsidR="00007EF6" w:rsidRDefault="00007EF6" w:rsidP="00007EF6">
      <w:pPr>
        <w:rPr>
          <w:sz w:val="24"/>
          <w:szCs w:val="24"/>
        </w:rPr>
      </w:pPr>
    </w:p>
    <w:p w:rsidR="00007EF6" w:rsidRDefault="00007EF6" w:rsidP="00007EF6">
      <w:pPr>
        <w:rPr>
          <w:szCs w:val="24"/>
        </w:rPr>
      </w:pPr>
    </w:p>
    <w:p w:rsidR="00007EF6" w:rsidRDefault="00007EF6" w:rsidP="00007EF6">
      <w:pPr>
        <w:rPr>
          <w:szCs w:val="24"/>
        </w:rPr>
      </w:pPr>
    </w:p>
    <w:p w:rsidR="00007EF6" w:rsidRDefault="00007EF6" w:rsidP="00007EF6">
      <w:pPr>
        <w:ind w:right="91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  <w:u w:val="single"/>
        </w:rPr>
        <w:lastRenderedPageBreak/>
        <w:t>ATTACHMENT</w:t>
      </w:r>
    </w:p>
    <w:p w:rsidR="00007EF6" w:rsidRDefault="00007EF6" w:rsidP="00007EF6">
      <w:pPr>
        <w:ind w:right="91"/>
        <w:jc w:val="right"/>
        <w:rPr>
          <w:sz w:val="24"/>
          <w:szCs w:val="24"/>
        </w:rPr>
      </w:pPr>
    </w:p>
    <w:p w:rsidR="00007EF6" w:rsidRPr="00E171ED" w:rsidRDefault="00007EF6" w:rsidP="00007EF6">
      <w:pPr>
        <w:ind w:right="91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Details of the </w:t>
      </w:r>
      <w:r w:rsidR="00E171ED" w:rsidRPr="00E171ED">
        <w:rPr>
          <w:b/>
          <w:i/>
          <w:sz w:val="24"/>
          <w:szCs w:val="24"/>
          <w:u w:val="single"/>
        </w:rPr>
        <w:t>Broadcasting Services (Regional Commercial Radio) Regulation 2013</w:t>
      </w:r>
    </w:p>
    <w:p w:rsidR="00007EF6" w:rsidRDefault="00007EF6" w:rsidP="00007EF6">
      <w:pPr>
        <w:ind w:right="91"/>
        <w:rPr>
          <w:sz w:val="24"/>
          <w:szCs w:val="24"/>
        </w:rPr>
      </w:pPr>
    </w:p>
    <w:p w:rsidR="00007EF6" w:rsidRDefault="00007EF6" w:rsidP="00007EF6">
      <w:pPr>
        <w:ind w:right="91"/>
        <w:rPr>
          <w:sz w:val="24"/>
          <w:szCs w:val="24"/>
        </w:rPr>
      </w:pPr>
      <w:r>
        <w:rPr>
          <w:sz w:val="24"/>
          <w:szCs w:val="24"/>
          <w:u w:val="single"/>
        </w:rPr>
        <w:t>Section 1 – Name of regulation</w:t>
      </w:r>
    </w:p>
    <w:p w:rsidR="00007EF6" w:rsidRDefault="00007EF6" w:rsidP="00007EF6">
      <w:pPr>
        <w:ind w:right="91"/>
        <w:rPr>
          <w:sz w:val="24"/>
          <w:szCs w:val="24"/>
        </w:rPr>
      </w:pPr>
    </w:p>
    <w:p w:rsidR="00007EF6" w:rsidRPr="00E171ED" w:rsidRDefault="00E171ED" w:rsidP="00007EF6">
      <w:pPr>
        <w:ind w:right="91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 w:rsidR="00007EF6">
        <w:rPr>
          <w:sz w:val="24"/>
          <w:szCs w:val="24"/>
        </w:rPr>
        <w:t>ection</w:t>
      </w:r>
      <w:r>
        <w:rPr>
          <w:sz w:val="24"/>
          <w:szCs w:val="24"/>
        </w:rPr>
        <w:t xml:space="preserve"> 1</w:t>
      </w:r>
      <w:r w:rsidR="00007EF6">
        <w:rPr>
          <w:sz w:val="24"/>
          <w:szCs w:val="24"/>
        </w:rPr>
        <w:t xml:space="preserve"> provides that the title of the regulation is the </w:t>
      </w:r>
      <w:r w:rsidRPr="00E171ED">
        <w:rPr>
          <w:i/>
          <w:color w:val="000000"/>
          <w:sz w:val="24"/>
          <w:szCs w:val="24"/>
        </w:rPr>
        <w:t>Broadcasting Services (Regional Commercial Radio) Regulation 2013</w:t>
      </w:r>
      <w:r w:rsidR="00007EF6" w:rsidRPr="00E171ED">
        <w:rPr>
          <w:i/>
          <w:color w:val="000000"/>
          <w:sz w:val="24"/>
          <w:szCs w:val="24"/>
        </w:rPr>
        <w:t>.</w:t>
      </w:r>
    </w:p>
    <w:p w:rsidR="00007EF6" w:rsidRDefault="00007EF6" w:rsidP="00007EF6">
      <w:pPr>
        <w:ind w:right="91"/>
        <w:rPr>
          <w:sz w:val="24"/>
          <w:szCs w:val="24"/>
        </w:rPr>
      </w:pPr>
    </w:p>
    <w:p w:rsidR="00007EF6" w:rsidRDefault="00007EF6" w:rsidP="00007EF6">
      <w:pPr>
        <w:ind w:right="9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Section 2 – Commencement</w:t>
      </w:r>
    </w:p>
    <w:p w:rsidR="00007EF6" w:rsidRDefault="00007EF6" w:rsidP="00007EF6">
      <w:pPr>
        <w:ind w:right="91"/>
        <w:rPr>
          <w:sz w:val="24"/>
          <w:szCs w:val="24"/>
        </w:rPr>
      </w:pPr>
    </w:p>
    <w:p w:rsidR="00007EF6" w:rsidRDefault="00E171ED" w:rsidP="00007EF6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Section 2 </w:t>
      </w:r>
      <w:r w:rsidRPr="00423E30">
        <w:rPr>
          <w:sz w:val="24"/>
          <w:szCs w:val="24"/>
        </w:rPr>
        <w:t xml:space="preserve">provides that the </w:t>
      </w:r>
      <w:r>
        <w:rPr>
          <w:sz w:val="24"/>
          <w:szCs w:val="24"/>
        </w:rPr>
        <w:t>Regulation</w:t>
      </w:r>
      <w:r w:rsidRPr="00423E30">
        <w:rPr>
          <w:sz w:val="24"/>
          <w:szCs w:val="24"/>
        </w:rPr>
        <w:t xml:space="preserve"> takes effect on the day </w:t>
      </w:r>
      <w:r>
        <w:rPr>
          <w:sz w:val="24"/>
          <w:szCs w:val="24"/>
        </w:rPr>
        <w:t xml:space="preserve">after </w:t>
      </w:r>
      <w:r w:rsidRPr="00423E30">
        <w:rPr>
          <w:sz w:val="24"/>
          <w:szCs w:val="24"/>
        </w:rPr>
        <w:t>it is registered on the Federal Register of Legislative Instruments.</w:t>
      </w:r>
    </w:p>
    <w:p w:rsidR="00E171ED" w:rsidRDefault="00E171ED" w:rsidP="00007EF6">
      <w:pPr>
        <w:ind w:right="91"/>
        <w:rPr>
          <w:sz w:val="24"/>
          <w:szCs w:val="24"/>
        </w:rPr>
      </w:pPr>
    </w:p>
    <w:p w:rsidR="00007EF6" w:rsidRDefault="00007EF6" w:rsidP="00007EF6">
      <w:pPr>
        <w:ind w:right="9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Section 3 –</w:t>
      </w:r>
      <w:r w:rsidR="00E171ED">
        <w:rPr>
          <w:sz w:val="24"/>
          <w:szCs w:val="24"/>
          <w:u w:val="single"/>
        </w:rPr>
        <w:t xml:space="preserve"> Authority</w:t>
      </w:r>
    </w:p>
    <w:p w:rsidR="00E171ED" w:rsidRDefault="00E171ED" w:rsidP="00007EF6">
      <w:pPr>
        <w:ind w:right="91"/>
        <w:rPr>
          <w:sz w:val="24"/>
          <w:szCs w:val="24"/>
          <w:u w:val="single"/>
        </w:rPr>
      </w:pPr>
    </w:p>
    <w:p w:rsidR="00E171ED" w:rsidRPr="00E171ED" w:rsidRDefault="00E171ED" w:rsidP="00007EF6">
      <w:pPr>
        <w:ind w:right="91"/>
        <w:rPr>
          <w:sz w:val="24"/>
          <w:szCs w:val="24"/>
        </w:rPr>
      </w:pPr>
      <w:r w:rsidRPr="00E171ED">
        <w:rPr>
          <w:sz w:val="24"/>
          <w:szCs w:val="24"/>
        </w:rPr>
        <w:t xml:space="preserve">Section 3 provides that the Regulation is made under the </w:t>
      </w:r>
      <w:r w:rsidRPr="00E171ED">
        <w:rPr>
          <w:i/>
          <w:sz w:val="24"/>
          <w:szCs w:val="24"/>
        </w:rPr>
        <w:t>Broadcasting Services Act 1992</w:t>
      </w:r>
      <w:r>
        <w:rPr>
          <w:sz w:val="24"/>
          <w:szCs w:val="24"/>
        </w:rPr>
        <w:t>.</w:t>
      </w:r>
    </w:p>
    <w:p w:rsidR="00007EF6" w:rsidRDefault="00007EF6" w:rsidP="00007EF6">
      <w:pPr>
        <w:ind w:right="91"/>
        <w:rPr>
          <w:sz w:val="24"/>
          <w:szCs w:val="24"/>
        </w:rPr>
      </w:pPr>
    </w:p>
    <w:p w:rsidR="00007EF6" w:rsidRDefault="00007EF6" w:rsidP="00007EF6">
      <w:pPr>
        <w:keepNext/>
        <w:ind w:right="9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Section 4 –</w:t>
      </w:r>
      <w:r w:rsidR="00E171ED">
        <w:rPr>
          <w:sz w:val="24"/>
          <w:szCs w:val="24"/>
          <w:u w:val="single"/>
        </w:rPr>
        <w:t xml:space="preserve"> Definitions</w:t>
      </w:r>
    </w:p>
    <w:p w:rsidR="00007EF6" w:rsidRDefault="00007EF6" w:rsidP="00007EF6">
      <w:pPr>
        <w:keepNext/>
        <w:ind w:right="91"/>
        <w:rPr>
          <w:sz w:val="24"/>
          <w:szCs w:val="24"/>
        </w:rPr>
      </w:pPr>
    </w:p>
    <w:p w:rsidR="00E171ED" w:rsidRDefault="00E171ED" w:rsidP="00E171ED">
      <w:pPr>
        <w:ind w:right="91"/>
        <w:rPr>
          <w:sz w:val="24"/>
          <w:szCs w:val="24"/>
        </w:rPr>
      </w:pPr>
      <w:r w:rsidRPr="00E171ED">
        <w:rPr>
          <w:sz w:val="24"/>
          <w:szCs w:val="24"/>
        </w:rPr>
        <w:t>Section</w:t>
      </w:r>
      <w:r>
        <w:rPr>
          <w:sz w:val="24"/>
          <w:szCs w:val="24"/>
        </w:rPr>
        <w:t xml:space="preserve"> 4 is a definitions clause.</w:t>
      </w:r>
    </w:p>
    <w:p w:rsidR="00E171ED" w:rsidRDefault="00E171ED" w:rsidP="00E171ED">
      <w:pPr>
        <w:ind w:right="91"/>
        <w:rPr>
          <w:sz w:val="24"/>
          <w:szCs w:val="24"/>
        </w:rPr>
      </w:pPr>
    </w:p>
    <w:p w:rsidR="00007EF6" w:rsidRPr="00E171ED" w:rsidRDefault="00E171ED" w:rsidP="00E171ED">
      <w:pPr>
        <w:keepNext/>
        <w:ind w:right="91"/>
        <w:rPr>
          <w:sz w:val="24"/>
          <w:szCs w:val="24"/>
          <w:u w:val="single"/>
        </w:rPr>
      </w:pPr>
      <w:r w:rsidRPr="00E171ED">
        <w:rPr>
          <w:sz w:val="24"/>
          <w:szCs w:val="24"/>
          <w:u w:val="single"/>
        </w:rPr>
        <w:t xml:space="preserve">Section 5 – Trigger event - exemptions </w:t>
      </w:r>
    </w:p>
    <w:p w:rsidR="00563541" w:rsidRDefault="00563541" w:rsidP="00B767B3">
      <w:pPr>
        <w:ind w:right="91"/>
        <w:rPr>
          <w:sz w:val="24"/>
          <w:szCs w:val="24"/>
        </w:rPr>
      </w:pPr>
    </w:p>
    <w:p w:rsidR="00E171ED" w:rsidRDefault="00E171ED" w:rsidP="00B767B3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Section 5 </w:t>
      </w:r>
      <w:r w:rsidRPr="00E171ED">
        <w:rPr>
          <w:sz w:val="24"/>
          <w:szCs w:val="24"/>
        </w:rPr>
        <w:t>is the main operative clause.</w:t>
      </w:r>
      <w:r>
        <w:rPr>
          <w:sz w:val="24"/>
          <w:szCs w:val="24"/>
        </w:rPr>
        <w:t xml:space="preserve"> It sets out a series of exemptions from </w:t>
      </w:r>
      <w:r w:rsidR="0027189B">
        <w:rPr>
          <w:sz w:val="24"/>
          <w:szCs w:val="24"/>
        </w:rPr>
        <w:t xml:space="preserve">the </w:t>
      </w:r>
      <w:r>
        <w:rPr>
          <w:sz w:val="24"/>
          <w:szCs w:val="24"/>
        </w:rPr>
        <w:t>different types of trigger events</w:t>
      </w:r>
      <w:r w:rsidR="004C672B">
        <w:rPr>
          <w:sz w:val="24"/>
          <w:szCs w:val="24"/>
        </w:rPr>
        <w:t xml:space="preserve"> contained in subsections 61CB(1A), (2) and (3) of the Act.</w:t>
      </w:r>
    </w:p>
    <w:p w:rsidR="009B3950" w:rsidRPr="009B3950" w:rsidRDefault="009B3950" w:rsidP="00E171ED">
      <w:pPr>
        <w:spacing w:before="100" w:beforeAutospacing="1" w:after="100" w:afterAutospacing="1"/>
        <w:ind w:right="-1180"/>
        <w:rPr>
          <w:i/>
          <w:sz w:val="24"/>
          <w:szCs w:val="24"/>
        </w:rPr>
      </w:pPr>
      <w:r>
        <w:rPr>
          <w:i/>
          <w:sz w:val="24"/>
          <w:szCs w:val="24"/>
        </w:rPr>
        <w:t>Change in control of licence</w:t>
      </w:r>
    </w:p>
    <w:p w:rsidR="0027189B" w:rsidRDefault="00EA038D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Subsection 5(2) </w:t>
      </w:r>
      <w:r w:rsidR="001C5888">
        <w:rPr>
          <w:sz w:val="24"/>
          <w:szCs w:val="24"/>
        </w:rPr>
        <w:t xml:space="preserve">of the Regulation </w:t>
      </w:r>
      <w:r>
        <w:rPr>
          <w:sz w:val="24"/>
          <w:szCs w:val="24"/>
        </w:rPr>
        <w:t xml:space="preserve">provides that subsection 61CB(1A) of the Act </w:t>
      </w:r>
      <w:r w:rsidR="0027189B">
        <w:rPr>
          <w:sz w:val="24"/>
          <w:szCs w:val="24"/>
        </w:rPr>
        <w:t xml:space="preserve">(‘Change in control of licence’) </w:t>
      </w:r>
      <w:r w:rsidR="00A111AC">
        <w:rPr>
          <w:sz w:val="24"/>
          <w:szCs w:val="24"/>
        </w:rPr>
        <w:t>does not apply to a ‘control event’</w:t>
      </w:r>
      <w:r w:rsidR="00C15ECC">
        <w:rPr>
          <w:sz w:val="24"/>
          <w:szCs w:val="24"/>
        </w:rPr>
        <w:t>, mentioned in that subsection,</w:t>
      </w:r>
      <w:r w:rsidR="00A111AC">
        <w:rPr>
          <w:sz w:val="24"/>
          <w:szCs w:val="24"/>
        </w:rPr>
        <w:t xml:space="preserve"> </w:t>
      </w:r>
      <w:r w:rsidR="009B3950">
        <w:rPr>
          <w:sz w:val="24"/>
          <w:szCs w:val="24"/>
        </w:rPr>
        <w:t xml:space="preserve">in specified circumstances. A control event occurs </w:t>
      </w:r>
      <w:r w:rsidR="00A111AC">
        <w:rPr>
          <w:sz w:val="24"/>
          <w:szCs w:val="24"/>
        </w:rPr>
        <w:t>whe</w:t>
      </w:r>
      <w:r w:rsidR="00C15ECC">
        <w:rPr>
          <w:sz w:val="24"/>
          <w:szCs w:val="24"/>
        </w:rPr>
        <w:t>re</w:t>
      </w:r>
      <w:r w:rsidR="00A111AC">
        <w:rPr>
          <w:sz w:val="24"/>
          <w:szCs w:val="24"/>
        </w:rPr>
        <w:t xml:space="preserve"> a person </w:t>
      </w:r>
      <w:r w:rsidR="009B3950">
        <w:rPr>
          <w:sz w:val="24"/>
          <w:szCs w:val="24"/>
        </w:rPr>
        <w:t xml:space="preserve">either </w:t>
      </w:r>
      <w:r w:rsidR="00A111AC">
        <w:rPr>
          <w:sz w:val="24"/>
          <w:szCs w:val="24"/>
        </w:rPr>
        <w:t>starts or ceases to be in a position to exercise control of a regional commercial radio broadcasting licence</w:t>
      </w:r>
      <w:r w:rsidR="009B3950">
        <w:rPr>
          <w:sz w:val="24"/>
          <w:szCs w:val="24"/>
        </w:rPr>
        <w:t xml:space="preserve">. </w:t>
      </w:r>
      <w:r w:rsidR="0027189B">
        <w:rPr>
          <w:sz w:val="24"/>
          <w:szCs w:val="24"/>
        </w:rPr>
        <w:t xml:space="preserve">Such an </w:t>
      </w:r>
      <w:r w:rsidR="009B3950">
        <w:rPr>
          <w:sz w:val="24"/>
          <w:szCs w:val="24"/>
        </w:rPr>
        <w:t>event will normally constitute a trigger event</w:t>
      </w:r>
      <w:r w:rsidR="00C15ECC">
        <w:rPr>
          <w:sz w:val="24"/>
          <w:szCs w:val="24"/>
        </w:rPr>
        <w:t xml:space="preserve">, subject to </w:t>
      </w:r>
      <w:r w:rsidR="00433377">
        <w:rPr>
          <w:sz w:val="24"/>
          <w:szCs w:val="24"/>
        </w:rPr>
        <w:t xml:space="preserve">certain </w:t>
      </w:r>
      <w:r w:rsidR="00224367">
        <w:rPr>
          <w:sz w:val="24"/>
          <w:szCs w:val="24"/>
        </w:rPr>
        <w:t>exceptions in subsections </w:t>
      </w:r>
      <w:r w:rsidR="00C15ECC">
        <w:rPr>
          <w:sz w:val="24"/>
          <w:szCs w:val="24"/>
        </w:rPr>
        <w:t>61CB(1B) and (1C)</w:t>
      </w:r>
      <w:r w:rsidR="009B3950">
        <w:rPr>
          <w:sz w:val="24"/>
          <w:szCs w:val="24"/>
        </w:rPr>
        <w:t xml:space="preserve">.  </w:t>
      </w:r>
    </w:p>
    <w:p w:rsidR="00620C06" w:rsidRDefault="00620C06" w:rsidP="00B767B3">
      <w:pPr>
        <w:rPr>
          <w:sz w:val="24"/>
          <w:szCs w:val="24"/>
        </w:rPr>
      </w:pPr>
    </w:p>
    <w:p w:rsidR="009A3491" w:rsidRDefault="00C15ECC" w:rsidP="00B767B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9B3950">
        <w:rPr>
          <w:sz w:val="24"/>
          <w:szCs w:val="24"/>
        </w:rPr>
        <w:t xml:space="preserve">ubsection 5(2) </w:t>
      </w:r>
      <w:r w:rsidR="001C5888">
        <w:rPr>
          <w:sz w:val="24"/>
          <w:szCs w:val="24"/>
        </w:rPr>
        <w:t xml:space="preserve">of the Regulation </w:t>
      </w:r>
      <w:r>
        <w:rPr>
          <w:sz w:val="24"/>
          <w:szCs w:val="24"/>
        </w:rPr>
        <w:t>creates an additional exe</w:t>
      </w:r>
      <w:r w:rsidR="00391563">
        <w:rPr>
          <w:sz w:val="24"/>
          <w:szCs w:val="24"/>
        </w:rPr>
        <w:t>m</w:t>
      </w:r>
      <w:r>
        <w:rPr>
          <w:sz w:val="24"/>
          <w:szCs w:val="24"/>
        </w:rPr>
        <w:t>ption for</w:t>
      </w:r>
      <w:r w:rsidR="009B3950">
        <w:rPr>
          <w:sz w:val="24"/>
          <w:szCs w:val="24"/>
        </w:rPr>
        <w:t xml:space="preserve"> a</w:t>
      </w:r>
      <w:r w:rsidR="0027189B">
        <w:rPr>
          <w:sz w:val="24"/>
          <w:szCs w:val="24"/>
        </w:rPr>
        <w:t>ny</w:t>
      </w:r>
      <w:r w:rsidR="009B3950">
        <w:rPr>
          <w:sz w:val="24"/>
          <w:szCs w:val="24"/>
        </w:rPr>
        <w:t xml:space="preserve"> control event </w:t>
      </w:r>
      <w:r>
        <w:rPr>
          <w:sz w:val="24"/>
          <w:szCs w:val="24"/>
        </w:rPr>
        <w:t>which</w:t>
      </w:r>
      <w:r w:rsidR="009A3491">
        <w:rPr>
          <w:sz w:val="24"/>
          <w:szCs w:val="24"/>
        </w:rPr>
        <w:t xml:space="preserve"> occurs in </w:t>
      </w:r>
      <w:r w:rsidR="001C5888">
        <w:rPr>
          <w:sz w:val="24"/>
          <w:szCs w:val="24"/>
        </w:rPr>
        <w:t xml:space="preserve">the following </w:t>
      </w:r>
      <w:r w:rsidR="009A3491">
        <w:rPr>
          <w:sz w:val="24"/>
          <w:szCs w:val="24"/>
        </w:rPr>
        <w:t>circumstances</w:t>
      </w:r>
      <w:r w:rsidR="009B3950">
        <w:rPr>
          <w:sz w:val="24"/>
          <w:szCs w:val="24"/>
        </w:rPr>
        <w:t xml:space="preserve">: </w:t>
      </w:r>
      <w:r>
        <w:rPr>
          <w:sz w:val="24"/>
          <w:szCs w:val="24"/>
        </w:rPr>
        <w:t>(</w:t>
      </w:r>
      <w:r w:rsidR="0082029E">
        <w:rPr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 w:rsidR="009B3950">
        <w:rPr>
          <w:sz w:val="24"/>
          <w:szCs w:val="24"/>
        </w:rPr>
        <w:t>a person ceases to be in a position to exercise control of a regional commercial radio broadcasting licence</w:t>
      </w:r>
      <w:r w:rsidR="009A3491">
        <w:rPr>
          <w:sz w:val="24"/>
          <w:szCs w:val="24"/>
        </w:rPr>
        <w:t xml:space="preserve">; </w:t>
      </w:r>
      <w:r>
        <w:rPr>
          <w:sz w:val="24"/>
          <w:szCs w:val="24"/>
        </w:rPr>
        <w:t>(</w:t>
      </w:r>
      <w:r w:rsidR="0082029E"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 w:rsidR="009A3491">
        <w:rPr>
          <w:sz w:val="24"/>
          <w:szCs w:val="24"/>
        </w:rPr>
        <w:t xml:space="preserve">a second person starts to be in a position to exercise control of the licence; </w:t>
      </w:r>
      <w:r>
        <w:rPr>
          <w:sz w:val="24"/>
          <w:szCs w:val="24"/>
        </w:rPr>
        <w:t>(</w:t>
      </w:r>
      <w:r w:rsidR="0082029E">
        <w:rPr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 w:rsidR="009A3491">
        <w:rPr>
          <w:sz w:val="24"/>
          <w:szCs w:val="24"/>
        </w:rPr>
        <w:t xml:space="preserve">the second person is controlled in the same way as the first person; and </w:t>
      </w:r>
      <w:r>
        <w:rPr>
          <w:sz w:val="24"/>
          <w:szCs w:val="24"/>
        </w:rPr>
        <w:t>(</w:t>
      </w:r>
      <w:r w:rsidR="0082029E">
        <w:rPr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 w:rsidR="0027189B">
        <w:rPr>
          <w:sz w:val="24"/>
          <w:szCs w:val="24"/>
        </w:rPr>
        <w:t xml:space="preserve">either </w:t>
      </w:r>
      <w:r w:rsidR="009A3491">
        <w:rPr>
          <w:sz w:val="24"/>
          <w:szCs w:val="24"/>
        </w:rPr>
        <w:t>the persons in a position to exercise control of the licence do not otherwise change</w:t>
      </w:r>
      <w:r w:rsidR="0027189B">
        <w:rPr>
          <w:sz w:val="24"/>
          <w:szCs w:val="24"/>
        </w:rPr>
        <w:t xml:space="preserve"> </w:t>
      </w:r>
      <w:r w:rsidR="0027189B" w:rsidRPr="00B767B3">
        <w:rPr>
          <w:sz w:val="24"/>
          <w:szCs w:val="24"/>
          <w:u w:val="single"/>
        </w:rPr>
        <w:t>or</w:t>
      </w:r>
      <w:r w:rsidR="0027189B">
        <w:rPr>
          <w:sz w:val="24"/>
          <w:szCs w:val="24"/>
        </w:rPr>
        <w:t xml:space="preserve">, if they do change, </w:t>
      </w:r>
      <w:r w:rsidR="005D5A54">
        <w:rPr>
          <w:sz w:val="24"/>
          <w:szCs w:val="24"/>
        </w:rPr>
        <w:t>any</w:t>
      </w:r>
      <w:r w:rsidR="0027189B">
        <w:rPr>
          <w:sz w:val="24"/>
          <w:szCs w:val="24"/>
        </w:rPr>
        <w:t xml:space="preserve"> change is not a trigger event</w:t>
      </w:r>
      <w:r w:rsidR="009A3491">
        <w:rPr>
          <w:sz w:val="24"/>
          <w:szCs w:val="24"/>
        </w:rPr>
        <w:t xml:space="preserve">.    </w:t>
      </w:r>
    </w:p>
    <w:p w:rsidR="00620C06" w:rsidRDefault="00620C06" w:rsidP="00B767B3">
      <w:pPr>
        <w:rPr>
          <w:sz w:val="24"/>
          <w:szCs w:val="24"/>
        </w:rPr>
      </w:pPr>
    </w:p>
    <w:p w:rsidR="009A3491" w:rsidRDefault="009A3491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This exemption </w:t>
      </w:r>
      <w:r w:rsidR="001C5888">
        <w:rPr>
          <w:sz w:val="24"/>
          <w:szCs w:val="24"/>
        </w:rPr>
        <w:t xml:space="preserve">is intended to </w:t>
      </w:r>
      <w:r w:rsidRPr="009A3491">
        <w:rPr>
          <w:sz w:val="24"/>
          <w:szCs w:val="24"/>
        </w:rPr>
        <w:t xml:space="preserve">apply where </w:t>
      </w:r>
      <w:r w:rsidR="001C5888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9A3491">
        <w:rPr>
          <w:sz w:val="24"/>
          <w:szCs w:val="24"/>
        </w:rPr>
        <w:t xml:space="preserve"> incoming controller </w:t>
      </w:r>
      <w:r w:rsidR="001C5888">
        <w:rPr>
          <w:sz w:val="24"/>
          <w:szCs w:val="24"/>
        </w:rPr>
        <w:t>replaces</w:t>
      </w:r>
      <w:r>
        <w:rPr>
          <w:sz w:val="24"/>
          <w:szCs w:val="24"/>
        </w:rPr>
        <w:t xml:space="preserve"> an outgoing controller and both parties are controlled in the same way (for example both companies are wholly controlled subsidiaries of </w:t>
      </w:r>
      <w:r w:rsidR="0065161B">
        <w:rPr>
          <w:sz w:val="24"/>
          <w:szCs w:val="24"/>
        </w:rPr>
        <w:t>the same parent company</w:t>
      </w:r>
      <w:r>
        <w:rPr>
          <w:sz w:val="24"/>
          <w:szCs w:val="24"/>
        </w:rPr>
        <w:t>)</w:t>
      </w:r>
      <w:r w:rsidRPr="009A3491">
        <w:rPr>
          <w:sz w:val="24"/>
          <w:szCs w:val="24"/>
        </w:rPr>
        <w:t>.</w:t>
      </w:r>
      <w:r w:rsidR="005D5A54">
        <w:rPr>
          <w:sz w:val="24"/>
          <w:szCs w:val="24"/>
        </w:rPr>
        <w:t xml:space="preserve"> </w:t>
      </w:r>
      <w:r w:rsidR="0065161B">
        <w:rPr>
          <w:sz w:val="24"/>
          <w:szCs w:val="24"/>
        </w:rPr>
        <w:t>More broadly, w</w:t>
      </w:r>
      <w:r w:rsidR="005D5A54">
        <w:rPr>
          <w:sz w:val="24"/>
          <w:szCs w:val="24"/>
        </w:rPr>
        <w:t xml:space="preserve">here </w:t>
      </w:r>
      <w:r w:rsidR="00676884">
        <w:rPr>
          <w:sz w:val="24"/>
          <w:szCs w:val="24"/>
        </w:rPr>
        <w:t>the first and second person are</w:t>
      </w:r>
      <w:r w:rsidR="0065161B">
        <w:rPr>
          <w:sz w:val="24"/>
          <w:szCs w:val="24"/>
        </w:rPr>
        <w:t xml:space="preserve"> not wholly owned subsidiaries of the same parent company, </w:t>
      </w:r>
      <w:r w:rsidR="005D5A54">
        <w:rPr>
          <w:sz w:val="24"/>
          <w:szCs w:val="24"/>
        </w:rPr>
        <w:t>the phrase “controlled in the same way” i</w:t>
      </w:r>
      <w:r w:rsidR="0065161B">
        <w:rPr>
          <w:sz w:val="24"/>
          <w:szCs w:val="24"/>
        </w:rPr>
        <w:t>s</w:t>
      </w:r>
      <w:r w:rsidR="005D5A54">
        <w:rPr>
          <w:sz w:val="24"/>
          <w:szCs w:val="24"/>
        </w:rPr>
        <w:t xml:space="preserve"> generally intended to mean </w:t>
      </w:r>
      <w:r w:rsidR="0065161B">
        <w:rPr>
          <w:sz w:val="24"/>
          <w:szCs w:val="24"/>
        </w:rPr>
        <w:t xml:space="preserve">that the first and second persons are ultimately </w:t>
      </w:r>
      <w:r w:rsidR="005D5A54">
        <w:rPr>
          <w:sz w:val="24"/>
          <w:szCs w:val="24"/>
        </w:rPr>
        <w:t xml:space="preserve">controlled by the </w:t>
      </w:r>
      <w:r w:rsidR="0065161B">
        <w:rPr>
          <w:sz w:val="24"/>
          <w:szCs w:val="24"/>
        </w:rPr>
        <w:t xml:space="preserve">same person or persons, </w:t>
      </w:r>
      <w:r w:rsidR="00391563">
        <w:rPr>
          <w:sz w:val="24"/>
          <w:szCs w:val="24"/>
        </w:rPr>
        <w:t>both before and after the event</w:t>
      </w:r>
      <w:r w:rsidR="005D5A54">
        <w:rPr>
          <w:sz w:val="24"/>
          <w:szCs w:val="24"/>
        </w:rPr>
        <w:t xml:space="preserve">. </w:t>
      </w:r>
    </w:p>
    <w:p w:rsidR="00620C06" w:rsidRDefault="00620C06" w:rsidP="00B767B3">
      <w:pPr>
        <w:rPr>
          <w:sz w:val="24"/>
          <w:szCs w:val="24"/>
        </w:rPr>
      </w:pPr>
    </w:p>
    <w:p w:rsidR="00676884" w:rsidRDefault="00676884" w:rsidP="00B76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example, a person in control of a </w:t>
      </w:r>
      <w:r w:rsidR="00EE5F0D">
        <w:rPr>
          <w:sz w:val="24"/>
          <w:szCs w:val="24"/>
        </w:rPr>
        <w:t>regional commercial radio broadcasting</w:t>
      </w:r>
      <w:r w:rsidR="00EE5F0D" w:rsidRPr="005161E7">
        <w:rPr>
          <w:sz w:val="24"/>
          <w:szCs w:val="24"/>
        </w:rPr>
        <w:t xml:space="preserve"> licence </w:t>
      </w:r>
      <w:r w:rsidR="0061639E">
        <w:rPr>
          <w:sz w:val="24"/>
          <w:szCs w:val="24"/>
        </w:rPr>
        <w:t xml:space="preserve">enters into an agreement to sell or transfer their holding in a </w:t>
      </w:r>
      <w:r w:rsidR="0061639E" w:rsidRPr="00B767B3">
        <w:rPr>
          <w:sz w:val="24"/>
          <w:szCs w:val="24"/>
        </w:rPr>
        <w:t xml:space="preserve">licensee company (one that controls and manages the day-to-day operations of a </w:t>
      </w:r>
      <w:r w:rsidR="005E2A37">
        <w:rPr>
          <w:sz w:val="24"/>
          <w:szCs w:val="24"/>
        </w:rPr>
        <w:t xml:space="preserve">regional </w:t>
      </w:r>
      <w:r w:rsidR="0061639E" w:rsidRPr="00B767B3">
        <w:rPr>
          <w:sz w:val="24"/>
          <w:szCs w:val="24"/>
        </w:rPr>
        <w:t xml:space="preserve">commercial radio </w:t>
      </w:r>
      <w:r w:rsidR="005E2A37">
        <w:rPr>
          <w:sz w:val="24"/>
          <w:szCs w:val="24"/>
        </w:rPr>
        <w:t xml:space="preserve">broadcasting </w:t>
      </w:r>
      <w:r w:rsidR="0061639E" w:rsidRPr="00B767B3">
        <w:rPr>
          <w:sz w:val="24"/>
          <w:szCs w:val="24"/>
        </w:rPr>
        <w:t xml:space="preserve">licence) </w:t>
      </w:r>
      <w:r w:rsidR="00005F03" w:rsidRPr="00B767B3">
        <w:rPr>
          <w:sz w:val="24"/>
          <w:szCs w:val="24"/>
        </w:rPr>
        <w:t>to</w:t>
      </w:r>
      <w:r w:rsidR="0061639E" w:rsidRPr="00B767B3">
        <w:rPr>
          <w:sz w:val="24"/>
          <w:szCs w:val="24"/>
        </w:rPr>
        <w:t xml:space="preserve"> another person. </w:t>
      </w:r>
      <w:r w:rsidR="0061639E">
        <w:rPr>
          <w:sz w:val="24"/>
          <w:szCs w:val="24"/>
        </w:rPr>
        <w:t xml:space="preserve">The incoming controller steps into the role of the outgoing controller, and both </w:t>
      </w:r>
      <w:r w:rsidR="00005F03">
        <w:rPr>
          <w:sz w:val="24"/>
          <w:szCs w:val="24"/>
        </w:rPr>
        <w:t>are controlled by the same person or persons</w:t>
      </w:r>
      <w:r w:rsidR="0061639E">
        <w:rPr>
          <w:sz w:val="24"/>
          <w:szCs w:val="24"/>
        </w:rPr>
        <w:t xml:space="preserve">. A transaction of this nature would be exempt from the trigger event provisions. </w:t>
      </w:r>
    </w:p>
    <w:p w:rsidR="00C15ECC" w:rsidRDefault="00C15ECC" w:rsidP="00391563">
      <w:pPr>
        <w:keepNext/>
        <w:spacing w:before="100" w:beforeAutospacing="1" w:after="100" w:afterAutospacing="1"/>
        <w:ind w:right="-1179"/>
        <w:rPr>
          <w:sz w:val="24"/>
          <w:szCs w:val="24"/>
        </w:rPr>
      </w:pPr>
      <w:r>
        <w:rPr>
          <w:i/>
          <w:sz w:val="24"/>
          <w:szCs w:val="24"/>
        </w:rPr>
        <w:t>Change of controller of registrable media group</w:t>
      </w:r>
    </w:p>
    <w:p w:rsidR="007A2C2D" w:rsidRDefault="00C15ECC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Subsection 5(3) of the Regulation provides that subsection 61CB(3) of the Act </w:t>
      </w:r>
      <w:r w:rsidR="007A2C2D">
        <w:rPr>
          <w:sz w:val="24"/>
          <w:szCs w:val="24"/>
        </w:rPr>
        <w:t>(‘</w:t>
      </w:r>
      <w:r w:rsidR="007A2C2D" w:rsidRPr="007A2C2D">
        <w:rPr>
          <w:sz w:val="24"/>
          <w:szCs w:val="24"/>
        </w:rPr>
        <w:t>Change of controller of registrable media group</w:t>
      </w:r>
      <w:r w:rsidR="007A2C2D">
        <w:rPr>
          <w:sz w:val="24"/>
          <w:szCs w:val="24"/>
        </w:rPr>
        <w:t xml:space="preserve">’) </w:t>
      </w:r>
      <w:r>
        <w:rPr>
          <w:sz w:val="24"/>
          <w:szCs w:val="24"/>
        </w:rPr>
        <w:t>does not apply to a change of controller</w:t>
      </w:r>
      <w:r w:rsidR="00BB58C8">
        <w:rPr>
          <w:sz w:val="24"/>
          <w:szCs w:val="24"/>
        </w:rPr>
        <w:t xml:space="preserve"> of a registrable media group </w:t>
      </w:r>
      <w:r>
        <w:rPr>
          <w:sz w:val="24"/>
          <w:szCs w:val="24"/>
        </w:rPr>
        <w:t xml:space="preserve">which occurs in specified circumstances. </w:t>
      </w:r>
    </w:p>
    <w:p w:rsidR="00620C06" w:rsidRDefault="00620C06" w:rsidP="00B767B3">
      <w:pPr>
        <w:rPr>
          <w:sz w:val="24"/>
          <w:szCs w:val="24"/>
        </w:rPr>
      </w:pPr>
    </w:p>
    <w:p w:rsidR="00C15ECC" w:rsidRDefault="00F62A86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A registrable media group, in relation to a commercial radio broadcasting licence, means a media group covered by item 1 of the table in subsection 61AC(1) of the Act.  </w:t>
      </w:r>
      <w:r w:rsidR="00BB58C8">
        <w:rPr>
          <w:sz w:val="24"/>
          <w:szCs w:val="24"/>
        </w:rPr>
        <w:t>A change of controller of a registrable media group</w:t>
      </w:r>
      <w:r w:rsidR="00341A1A">
        <w:rPr>
          <w:sz w:val="24"/>
          <w:szCs w:val="24"/>
        </w:rPr>
        <w:t xml:space="preserve"> </w:t>
      </w:r>
      <w:r w:rsidR="00BB58C8">
        <w:rPr>
          <w:sz w:val="24"/>
          <w:szCs w:val="24"/>
        </w:rPr>
        <w:t>will normally constitute a trigger event</w:t>
      </w:r>
      <w:r w:rsidR="00341A1A">
        <w:rPr>
          <w:sz w:val="24"/>
          <w:szCs w:val="24"/>
        </w:rPr>
        <w:t xml:space="preserve"> (s. 61CB(3))</w:t>
      </w:r>
      <w:r w:rsidR="00BB58C8">
        <w:rPr>
          <w:sz w:val="24"/>
          <w:szCs w:val="24"/>
        </w:rPr>
        <w:t xml:space="preserve">.  </w:t>
      </w:r>
      <w:r w:rsidR="00433377">
        <w:rPr>
          <w:sz w:val="24"/>
          <w:szCs w:val="24"/>
        </w:rPr>
        <w:t>However, s</w:t>
      </w:r>
      <w:r w:rsidR="00C15ECC">
        <w:rPr>
          <w:sz w:val="24"/>
          <w:szCs w:val="24"/>
        </w:rPr>
        <w:t>ubsection 5(</w:t>
      </w:r>
      <w:r w:rsidR="00BB58C8">
        <w:rPr>
          <w:sz w:val="24"/>
          <w:szCs w:val="24"/>
        </w:rPr>
        <w:t>3</w:t>
      </w:r>
      <w:r w:rsidR="00C15ECC">
        <w:rPr>
          <w:sz w:val="24"/>
          <w:szCs w:val="24"/>
        </w:rPr>
        <w:t xml:space="preserve">) of the Regulation creates an exception </w:t>
      </w:r>
      <w:r w:rsidR="007A2C2D">
        <w:rPr>
          <w:sz w:val="24"/>
          <w:szCs w:val="24"/>
        </w:rPr>
        <w:t xml:space="preserve">for any change of controller which occurs </w:t>
      </w:r>
      <w:r w:rsidR="00C15ECC">
        <w:rPr>
          <w:sz w:val="24"/>
          <w:szCs w:val="24"/>
        </w:rPr>
        <w:t>in the following circumstances: (</w:t>
      </w:r>
      <w:r w:rsidR="0082029E">
        <w:rPr>
          <w:sz w:val="24"/>
          <w:szCs w:val="24"/>
        </w:rPr>
        <w:t>a</w:t>
      </w:r>
      <w:r w:rsidR="00C15ECC">
        <w:rPr>
          <w:sz w:val="24"/>
          <w:szCs w:val="24"/>
        </w:rPr>
        <w:t xml:space="preserve">) a </w:t>
      </w:r>
      <w:r w:rsidR="00BB58C8">
        <w:rPr>
          <w:sz w:val="24"/>
          <w:szCs w:val="24"/>
        </w:rPr>
        <w:t>controller of a registrable media group ceases to be a controller;</w:t>
      </w:r>
      <w:r w:rsidR="00C15ECC">
        <w:rPr>
          <w:sz w:val="24"/>
          <w:szCs w:val="24"/>
        </w:rPr>
        <w:t xml:space="preserve"> (</w:t>
      </w:r>
      <w:r w:rsidR="0082029E">
        <w:rPr>
          <w:sz w:val="24"/>
          <w:szCs w:val="24"/>
        </w:rPr>
        <w:t>b</w:t>
      </w:r>
      <w:r w:rsidR="00C15ECC">
        <w:rPr>
          <w:sz w:val="24"/>
          <w:szCs w:val="24"/>
        </w:rPr>
        <w:t xml:space="preserve">) a second person </w:t>
      </w:r>
      <w:r w:rsidR="00BB58C8">
        <w:rPr>
          <w:sz w:val="24"/>
          <w:szCs w:val="24"/>
        </w:rPr>
        <w:t>becomes a controller</w:t>
      </w:r>
      <w:r w:rsidR="00C15ECC">
        <w:rPr>
          <w:sz w:val="24"/>
          <w:szCs w:val="24"/>
        </w:rPr>
        <w:t xml:space="preserve"> of the </w:t>
      </w:r>
      <w:r w:rsidR="00BB58C8">
        <w:rPr>
          <w:sz w:val="24"/>
          <w:szCs w:val="24"/>
        </w:rPr>
        <w:t>group</w:t>
      </w:r>
      <w:r w:rsidR="00C15ECC">
        <w:rPr>
          <w:sz w:val="24"/>
          <w:szCs w:val="24"/>
        </w:rPr>
        <w:t>; (</w:t>
      </w:r>
      <w:r w:rsidR="0082029E">
        <w:rPr>
          <w:sz w:val="24"/>
          <w:szCs w:val="24"/>
        </w:rPr>
        <w:t>c</w:t>
      </w:r>
      <w:r w:rsidR="00C15ECC">
        <w:rPr>
          <w:sz w:val="24"/>
          <w:szCs w:val="24"/>
        </w:rPr>
        <w:t xml:space="preserve">) </w:t>
      </w:r>
      <w:r w:rsidR="00BB58C8">
        <w:rPr>
          <w:sz w:val="24"/>
          <w:szCs w:val="24"/>
        </w:rPr>
        <w:t>the registrable media group includes a regional commercial radio broadcasting licence</w:t>
      </w:r>
      <w:r w:rsidR="00C15ECC">
        <w:rPr>
          <w:sz w:val="24"/>
          <w:szCs w:val="24"/>
        </w:rPr>
        <w:t>; (</w:t>
      </w:r>
      <w:r w:rsidR="0082029E">
        <w:rPr>
          <w:sz w:val="24"/>
          <w:szCs w:val="24"/>
        </w:rPr>
        <w:t>d</w:t>
      </w:r>
      <w:r w:rsidR="00C15ECC">
        <w:rPr>
          <w:sz w:val="24"/>
          <w:szCs w:val="24"/>
        </w:rPr>
        <w:t xml:space="preserve">) </w:t>
      </w:r>
      <w:r w:rsidR="00BB58C8">
        <w:rPr>
          <w:sz w:val="24"/>
          <w:szCs w:val="24"/>
        </w:rPr>
        <w:t>the second controller is controlled in the same way as the first c</w:t>
      </w:r>
      <w:r w:rsidR="0082029E">
        <w:rPr>
          <w:sz w:val="24"/>
          <w:szCs w:val="24"/>
        </w:rPr>
        <w:t>ontroller was controlled; and (e</w:t>
      </w:r>
      <w:r w:rsidR="00BB58C8">
        <w:rPr>
          <w:sz w:val="24"/>
          <w:szCs w:val="24"/>
        </w:rPr>
        <w:t xml:space="preserve">) </w:t>
      </w:r>
      <w:r w:rsidR="007A2C2D">
        <w:rPr>
          <w:sz w:val="24"/>
          <w:szCs w:val="24"/>
        </w:rPr>
        <w:t xml:space="preserve">either </w:t>
      </w:r>
      <w:r w:rsidR="00C15ECC">
        <w:rPr>
          <w:sz w:val="24"/>
          <w:szCs w:val="24"/>
        </w:rPr>
        <w:t>the persons who are in a position to exercise control of the licence do not otherwise change</w:t>
      </w:r>
      <w:r w:rsidR="007A2C2D" w:rsidRPr="007A2C2D">
        <w:rPr>
          <w:sz w:val="24"/>
          <w:szCs w:val="24"/>
        </w:rPr>
        <w:t xml:space="preserve"> or, if they do change, any change is not a trigger event.    </w:t>
      </w:r>
    </w:p>
    <w:p w:rsidR="00620C06" w:rsidRDefault="00620C06" w:rsidP="00B767B3">
      <w:pPr>
        <w:rPr>
          <w:sz w:val="24"/>
          <w:szCs w:val="24"/>
        </w:rPr>
      </w:pPr>
    </w:p>
    <w:p w:rsidR="00341A1A" w:rsidRDefault="00BB58C8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This exemption largely mirrors </w:t>
      </w:r>
      <w:r w:rsidR="00EE149F">
        <w:rPr>
          <w:sz w:val="24"/>
          <w:szCs w:val="24"/>
        </w:rPr>
        <w:t xml:space="preserve">that in subsection 5(2), except that it applies to changes in control of a registrable media group </w:t>
      </w:r>
      <w:r w:rsidR="00433377">
        <w:rPr>
          <w:sz w:val="24"/>
          <w:szCs w:val="24"/>
        </w:rPr>
        <w:t xml:space="preserve">including </w:t>
      </w:r>
      <w:r w:rsidR="00EE149F">
        <w:rPr>
          <w:sz w:val="24"/>
          <w:szCs w:val="24"/>
        </w:rPr>
        <w:t xml:space="preserve">a </w:t>
      </w:r>
      <w:r w:rsidR="00EE5F0D">
        <w:rPr>
          <w:sz w:val="24"/>
          <w:szCs w:val="24"/>
        </w:rPr>
        <w:t xml:space="preserve">regional </w:t>
      </w:r>
      <w:r w:rsidR="00EE149F">
        <w:rPr>
          <w:sz w:val="24"/>
          <w:szCs w:val="24"/>
        </w:rPr>
        <w:t>commercial radio broadcasting licence</w:t>
      </w:r>
      <w:r w:rsidR="00433377">
        <w:rPr>
          <w:sz w:val="24"/>
          <w:szCs w:val="24"/>
        </w:rPr>
        <w:t>,</w:t>
      </w:r>
      <w:r w:rsidR="00EE149F">
        <w:rPr>
          <w:sz w:val="24"/>
          <w:szCs w:val="24"/>
        </w:rPr>
        <w:t xml:space="preserve"> rather than changes in control of the licence itself.</w:t>
      </w:r>
      <w:r w:rsidR="00391563">
        <w:rPr>
          <w:sz w:val="24"/>
          <w:szCs w:val="24"/>
        </w:rPr>
        <w:t xml:space="preserve"> As with subsection 5(2), the exemption</w:t>
      </w:r>
      <w:r w:rsidR="00341A1A">
        <w:rPr>
          <w:sz w:val="24"/>
          <w:szCs w:val="24"/>
        </w:rPr>
        <w:t xml:space="preserve"> is intended to apply </w:t>
      </w:r>
      <w:r w:rsidR="00341A1A" w:rsidRPr="009A3491">
        <w:rPr>
          <w:sz w:val="24"/>
          <w:szCs w:val="24"/>
        </w:rPr>
        <w:t xml:space="preserve">where </w:t>
      </w:r>
      <w:r w:rsidR="00341A1A">
        <w:rPr>
          <w:sz w:val="24"/>
          <w:szCs w:val="24"/>
        </w:rPr>
        <w:t>an</w:t>
      </w:r>
      <w:r w:rsidR="00341A1A" w:rsidRPr="009A3491">
        <w:rPr>
          <w:sz w:val="24"/>
          <w:szCs w:val="24"/>
        </w:rPr>
        <w:t xml:space="preserve"> incoming controller </w:t>
      </w:r>
      <w:r w:rsidR="00341A1A">
        <w:rPr>
          <w:sz w:val="24"/>
          <w:szCs w:val="24"/>
        </w:rPr>
        <w:t>replaces an outgoing controller and both parties are controlled in the same way</w:t>
      </w:r>
      <w:r w:rsidR="00341A1A" w:rsidRPr="009A3491">
        <w:rPr>
          <w:sz w:val="24"/>
          <w:szCs w:val="24"/>
        </w:rPr>
        <w:t>.</w:t>
      </w:r>
      <w:r w:rsidR="007A2C2D">
        <w:rPr>
          <w:sz w:val="24"/>
          <w:szCs w:val="24"/>
        </w:rPr>
        <w:t xml:space="preserve"> The phrase “controlled in the same way” has the same meaning as in subsection 5(2)</w:t>
      </w:r>
      <w:r w:rsidR="00391563">
        <w:rPr>
          <w:sz w:val="24"/>
          <w:szCs w:val="24"/>
        </w:rPr>
        <w:t>, described</w:t>
      </w:r>
      <w:r w:rsidR="007A2C2D">
        <w:rPr>
          <w:sz w:val="24"/>
          <w:szCs w:val="24"/>
        </w:rPr>
        <w:t xml:space="preserve"> above. </w:t>
      </w:r>
    </w:p>
    <w:p w:rsidR="00620C06" w:rsidRDefault="00620C06" w:rsidP="00B767B3">
      <w:pPr>
        <w:rPr>
          <w:sz w:val="24"/>
          <w:szCs w:val="24"/>
        </w:rPr>
      </w:pPr>
    </w:p>
    <w:p w:rsidR="00BC02CB" w:rsidRDefault="0061639E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For example, a </w:t>
      </w:r>
      <w:r w:rsidR="00BC02CB">
        <w:rPr>
          <w:sz w:val="24"/>
          <w:szCs w:val="24"/>
        </w:rPr>
        <w:t xml:space="preserve">person in control of a registrable media group that includes a </w:t>
      </w:r>
      <w:r w:rsidR="00EE5F0D">
        <w:rPr>
          <w:sz w:val="24"/>
          <w:szCs w:val="24"/>
        </w:rPr>
        <w:t xml:space="preserve">regional </w:t>
      </w:r>
      <w:r w:rsidR="00BC02CB">
        <w:rPr>
          <w:sz w:val="24"/>
          <w:szCs w:val="24"/>
        </w:rPr>
        <w:t>commercial radio</w:t>
      </w:r>
      <w:r w:rsidR="00EE5F0D">
        <w:rPr>
          <w:sz w:val="24"/>
          <w:szCs w:val="24"/>
        </w:rPr>
        <w:t xml:space="preserve"> broadcasting</w:t>
      </w:r>
      <w:r w:rsidR="00BC02CB">
        <w:rPr>
          <w:sz w:val="24"/>
          <w:szCs w:val="24"/>
        </w:rPr>
        <w:t xml:space="preserve"> licence enters into an agreement to sell or transfer their holding or interest in the group to </w:t>
      </w:r>
      <w:r w:rsidR="00BC02CB" w:rsidRPr="00B767B3">
        <w:rPr>
          <w:sz w:val="24"/>
          <w:szCs w:val="24"/>
        </w:rPr>
        <w:t xml:space="preserve">another person. </w:t>
      </w:r>
      <w:r w:rsidR="00BC02CB">
        <w:rPr>
          <w:sz w:val="24"/>
          <w:szCs w:val="24"/>
        </w:rPr>
        <w:t xml:space="preserve">The incoming controller steps into the role of the outgoing controller, and both </w:t>
      </w:r>
      <w:r w:rsidR="00005F03">
        <w:rPr>
          <w:sz w:val="24"/>
          <w:szCs w:val="24"/>
        </w:rPr>
        <w:t>are controlled by the same person or persons</w:t>
      </w:r>
      <w:r w:rsidR="00BC02CB">
        <w:rPr>
          <w:sz w:val="24"/>
          <w:szCs w:val="24"/>
        </w:rPr>
        <w:t xml:space="preserve">. A transaction of this nature would be exempt from the trigger event provisions. </w:t>
      </w:r>
    </w:p>
    <w:p w:rsidR="00EE149F" w:rsidRDefault="00EE149F" w:rsidP="009A3491">
      <w:pPr>
        <w:spacing w:before="100" w:beforeAutospacing="1" w:after="100" w:afterAutospacing="1"/>
        <w:ind w:right="-1180"/>
        <w:rPr>
          <w:sz w:val="24"/>
          <w:szCs w:val="24"/>
        </w:rPr>
      </w:pPr>
      <w:r>
        <w:rPr>
          <w:i/>
          <w:sz w:val="24"/>
          <w:szCs w:val="24"/>
        </w:rPr>
        <w:t>Change of directors</w:t>
      </w:r>
    </w:p>
    <w:p w:rsidR="00BE48CC" w:rsidRDefault="00433377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Subsection 5(4) of the Regulation provides that subsections 61CB(1A) </w:t>
      </w:r>
      <w:r w:rsidR="00BE48CC">
        <w:rPr>
          <w:sz w:val="24"/>
          <w:szCs w:val="24"/>
        </w:rPr>
        <w:t xml:space="preserve">(‘Change in control of licence’) </w:t>
      </w:r>
      <w:r>
        <w:rPr>
          <w:sz w:val="24"/>
          <w:szCs w:val="24"/>
        </w:rPr>
        <w:t xml:space="preserve">and 61CB(3) </w:t>
      </w:r>
      <w:r w:rsidR="00BE48CC">
        <w:rPr>
          <w:sz w:val="24"/>
          <w:szCs w:val="24"/>
        </w:rPr>
        <w:t>(‘</w:t>
      </w:r>
      <w:r w:rsidR="00BE48CC" w:rsidRPr="007A2C2D">
        <w:rPr>
          <w:sz w:val="24"/>
          <w:szCs w:val="24"/>
        </w:rPr>
        <w:t>Change of controller of registrable media group</w:t>
      </w:r>
      <w:r w:rsidR="00BE48CC">
        <w:rPr>
          <w:sz w:val="24"/>
          <w:szCs w:val="24"/>
        </w:rPr>
        <w:t xml:space="preserve">’) </w:t>
      </w:r>
      <w:r>
        <w:rPr>
          <w:sz w:val="24"/>
          <w:szCs w:val="24"/>
        </w:rPr>
        <w:t xml:space="preserve">of the Act do not apply to a change of control of a </w:t>
      </w:r>
      <w:r w:rsidR="00EE5F0D">
        <w:rPr>
          <w:sz w:val="24"/>
          <w:szCs w:val="24"/>
        </w:rPr>
        <w:t xml:space="preserve">regional commercial radio broadcasting </w:t>
      </w:r>
      <w:r w:rsidR="00EE5F0D" w:rsidRPr="005161E7">
        <w:rPr>
          <w:sz w:val="24"/>
          <w:szCs w:val="24"/>
        </w:rPr>
        <w:t xml:space="preserve">licence </w:t>
      </w:r>
      <w:r>
        <w:rPr>
          <w:sz w:val="24"/>
          <w:szCs w:val="24"/>
        </w:rPr>
        <w:t>or registrable media group aris</w:t>
      </w:r>
      <w:r w:rsidR="00EE586B">
        <w:rPr>
          <w:sz w:val="24"/>
          <w:szCs w:val="24"/>
        </w:rPr>
        <w:t>ing</w:t>
      </w:r>
      <w:r>
        <w:rPr>
          <w:sz w:val="24"/>
          <w:szCs w:val="24"/>
        </w:rPr>
        <w:t xml:space="preserve"> solely from a change of </w:t>
      </w:r>
      <w:r w:rsidR="00EE586B">
        <w:rPr>
          <w:sz w:val="24"/>
          <w:szCs w:val="24"/>
        </w:rPr>
        <w:t xml:space="preserve">company </w:t>
      </w:r>
      <w:r>
        <w:rPr>
          <w:sz w:val="24"/>
          <w:szCs w:val="24"/>
        </w:rPr>
        <w:t>directors</w:t>
      </w:r>
      <w:r w:rsidR="00391563">
        <w:rPr>
          <w:sz w:val="24"/>
          <w:szCs w:val="24"/>
        </w:rPr>
        <w:t>, in certain circumstances</w:t>
      </w:r>
      <w:r>
        <w:rPr>
          <w:sz w:val="24"/>
          <w:szCs w:val="24"/>
        </w:rPr>
        <w:t xml:space="preserve">. </w:t>
      </w:r>
    </w:p>
    <w:p w:rsidR="00620C06" w:rsidRDefault="00620C06" w:rsidP="00B767B3">
      <w:pPr>
        <w:rPr>
          <w:sz w:val="24"/>
          <w:szCs w:val="24"/>
        </w:rPr>
      </w:pPr>
    </w:p>
    <w:p w:rsidR="00592414" w:rsidRDefault="00433377" w:rsidP="00620C06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EE586B">
        <w:rPr>
          <w:sz w:val="24"/>
          <w:szCs w:val="24"/>
        </w:rPr>
        <w:t xml:space="preserve">exemption </w:t>
      </w:r>
      <w:r>
        <w:rPr>
          <w:sz w:val="24"/>
          <w:szCs w:val="24"/>
        </w:rPr>
        <w:t xml:space="preserve">is subject to the caveat that </w:t>
      </w:r>
      <w:r w:rsidR="00EE586B">
        <w:rPr>
          <w:sz w:val="24"/>
          <w:szCs w:val="24"/>
        </w:rPr>
        <w:t>the change must not result in more than 50 per cent of the total directors of the relevant company having</w:t>
      </w:r>
      <w:r w:rsidR="00224367">
        <w:rPr>
          <w:sz w:val="24"/>
          <w:szCs w:val="24"/>
        </w:rPr>
        <w:t xml:space="preserve"> changed during the previous 12 </w:t>
      </w:r>
      <w:r w:rsidR="00EE586B">
        <w:rPr>
          <w:sz w:val="24"/>
          <w:szCs w:val="24"/>
        </w:rPr>
        <w:t xml:space="preserve">months. </w:t>
      </w:r>
      <w:r w:rsidR="00BC02CB">
        <w:rPr>
          <w:sz w:val="24"/>
          <w:szCs w:val="24"/>
        </w:rPr>
        <w:t xml:space="preserve">For example, if a company board contained 9 directors, and the members of the company voted to remove and replace 4 of those directors, this </w:t>
      </w:r>
      <w:r w:rsidR="00592414">
        <w:rPr>
          <w:sz w:val="24"/>
          <w:szCs w:val="24"/>
        </w:rPr>
        <w:t xml:space="preserve">event </w:t>
      </w:r>
      <w:r w:rsidR="00BC02CB">
        <w:rPr>
          <w:sz w:val="24"/>
          <w:szCs w:val="24"/>
        </w:rPr>
        <w:t xml:space="preserve">would be </w:t>
      </w:r>
      <w:r w:rsidR="00BC02CB" w:rsidRPr="00B767B3">
        <w:rPr>
          <w:sz w:val="24"/>
          <w:szCs w:val="24"/>
        </w:rPr>
        <w:t xml:space="preserve">excluded from the definition of trigger event by this exemption. However, </w:t>
      </w:r>
      <w:r w:rsidR="00BC02CB">
        <w:rPr>
          <w:sz w:val="24"/>
          <w:szCs w:val="24"/>
        </w:rPr>
        <w:t xml:space="preserve">if more than </w:t>
      </w:r>
      <w:r w:rsidR="00EE586B">
        <w:rPr>
          <w:sz w:val="24"/>
          <w:szCs w:val="24"/>
        </w:rPr>
        <w:t xml:space="preserve">50 per cent </w:t>
      </w:r>
      <w:r w:rsidR="00BC02CB">
        <w:rPr>
          <w:sz w:val="24"/>
          <w:szCs w:val="24"/>
        </w:rPr>
        <w:t xml:space="preserve">of the directors changed in any 12 month period – whether as a result of one event or multiple </w:t>
      </w:r>
      <w:r w:rsidR="00BC02CB">
        <w:rPr>
          <w:sz w:val="24"/>
          <w:szCs w:val="24"/>
        </w:rPr>
        <w:lastRenderedPageBreak/>
        <w:t xml:space="preserve">events </w:t>
      </w:r>
      <w:r w:rsidR="00592414">
        <w:rPr>
          <w:sz w:val="24"/>
          <w:szCs w:val="24"/>
        </w:rPr>
        <w:t>– the</w:t>
      </w:r>
      <w:r w:rsidR="00BC02CB">
        <w:rPr>
          <w:sz w:val="24"/>
          <w:szCs w:val="24"/>
        </w:rPr>
        <w:t xml:space="preserve"> event </w:t>
      </w:r>
      <w:r w:rsidR="00592414">
        <w:rPr>
          <w:sz w:val="24"/>
          <w:szCs w:val="24"/>
        </w:rPr>
        <w:t xml:space="preserve">that breached the 50 per cent threshold </w:t>
      </w:r>
      <w:r w:rsidR="00BC02CB">
        <w:rPr>
          <w:sz w:val="24"/>
          <w:szCs w:val="24"/>
        </w:rPr>
        <w:t>would</w:t>
      </w:r>
      <w:r w:rsidR="00EE586B">
        <w:rPr>
          <w:sz w:val="24"/>
          <w:szCs w:val="24"/>
        </w:rPr>
        <w:t xml:space="preserve"> not gain the benefit of the exemption and would </w:t>
      </w:r>
      <w:r w:rsidR="0017051B">
        <w:rPr>
          <w:sz w:val="24"/>
          <w:szCs w:val="24"/>
        </w:rPr>
        <w:t xml:space="preserve">therefore </w:t>
      </w:r>
      <w:r w:rsidR="00005F03">
        <w:rPr>
          <w:sz w:val="24"/>
          <w:szCs w:val="24"/>
        </w:rPr>
        <w:t xml:space="preserve">potentially </w:t>
      </w:r>
      <w:r w:rsidR="00EE586B">
        <w:rPr>
          <w:sz w:val="24"/>
          <w:szCs w:val="24"/>
        </w:rPr>
        <w:t>remain a trigger event.</w:t>
      </w:r>
    </w:p>
    <w:p w:rsidR="00EE586B" w:rsidRDefault="00701982" w:rsidP="009A3491">
      <w:pPr>
        <w:spacing w:before="100" w:beforeAutospacing="1" w:after="100" w:afterAutospacing="1"/>
        <w:ind w:right="-1180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="00EE586B">
        <w:rPr>
          <w:i/>
          <w:sz w:val="24"/>
          <w:szCs w:val="24"/>
        </w:rPr>
        <w:t>ale or transfer of shares between companies</w:t>
      </w:r>
    </w:p>
    <w:p w:rsidR="00BD1035" w:rsidRDefault="00701982" w:rsidP="00B767B3">
      <w:pPr>
        <w:rPr>
          <w:sz w:val="24"/>
          <w:szCs w:val="24"/>
        </w:rPr>
      </w:pPr>
      <w:r>
        <w:rPr>
          <w:sz w:val="24"/>
          <w:szCs w:val="24"/>
        </w:rPr>
        <w:t>Subsection 5(5) of the Regulation provides that subsections 61CB(1A) (‘Change in control of licence’), 61CB(2) (‘Formation of new registrable media group’) and 61CB(3) (‘</w:t>
      </w:r>
      <w:r w:rsidRPr="007A2C2D">
        <w:rPr>
          <w:sz w:val="24"/>
          <w:szCs w:val="24"/>
        </w:rPr>
        <w:t>Change of controller of registrable media group</w:t>
      </w:r>
      <w:r>
        <w:rPr>
          <w:sz w:val="24"/>
          <w:szCs w:val="24"/>
        </w:rPr>
        <w:t>’) of the Act</w:t>
      </w:r>
      <w:r w:rsidRPr="00701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not apply to an event </w:t>
      </w:r>
      <w:r w:rsidR="00BD1035">
        <w:rPr>
          <w:sz w:val="24"/>
          <w:szCs w:val="24"/>
        </w:rPr>
        <w:t>occurring</w:t>
      </w:r>
      <w:r>
        <w:rPr>
          <w:sz w:val="24"/>
          <w:szCs w:val="24"/>
        </w:rPr>
        <w:t xml:space="preserve"> in specified circumstances</w:t>
      </w:r>
      <w:r w:rsidR="00BD1035">
        <w:rPr>
          <w:sz w:val="24"/>
          <w:szCs w:val="24"/>
        </w:rPr>
        <w:t xml:space="preserve"> relating to the sale or transfer of shares</w:t>
      </w:r>
      <w:r w:rsidR="004816D0">
        <w:rPr>
          <w:sz w:val="24"/>
          <w:szCs w:val="24"/>
        </w:rPr>
        <w:t xml:space="preserve">. </w:t>
      </w:r>
    </w:p>
    <w:p w:rsidR="00620C06" w:rsidRDefault="00620C06" w:rsidP="00B767B3">
      <w:pPr>
        <w:rPr>
          <w:sz w:val="24"/>
          <w:szCs w:val="24"/>
        </w:rPr>
      </w:pPr>
    </w:p>
    <w:p w:rsidR="00EA20E4" w:rsidRDefault="004816D0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Those subsections will not apply </w:t>
      </w:r>
      <w:r w:rsidR="0082029E">
        <w:rPr>
          <w:sz w:val="24"/>
          <w:szCs w:val="24"/>
        </w:rPr>
        <w:t>where</w:t>
      </w:r>
      <w:r w:rsidR="00701982">
        <w:rPr>
          <w:sz w:val="24"/>
          <w:szCs w:val="24"/>
        </w:rPr>
        <w:t>: (</w:t>
      </w:r>
      <w:r w:rsidR="0082029E">
        <w:rPr>
          <w:sz w:val="24"/>
          <w:szCs w:val="24"/>
        </w:rPr>
        <w:t>a</w:t>
      </w:r>
      <w:r w:rsidR="00701982">
        <w:rPr>
          <w:sz w:val="24"/>
          <w:szCs w:val="24"/>
        </w:rPr>
        <w:t xml:space="preserve">) </w:t>
      </w:r>
      <w:r w:rsidR="00701982" w:rsidRPr="00701982">
        <w:rPr>
          <w:sz w:val="24"/>
          <w:szCs w:val="24"/>
        </w:rPr>
        <w:t>there is a sale or transfer of shares between 2 or more companies;</w:t>
      </w:r>
      <w:r w:rsidR="00701982">
        <w:rPr>
          <w:sz w:val="24"/>
          <w:szCs w:val="24"/>
        </w:rPr>
        <w:t xml:space="preserve"> (</w:t>
      </w:r>
      <w:r w:rsidR="0082029E">
        <w:rPr>
          <w:sz w:val="24"/>
          <w:szCs w:val="24"/>
        </w:rPr>
        <w:t>b</w:t>
      </w:r>
      <w:r w:rsidR="00701982">
        <w:rPr>
          <w:sz w:val="24"/>
          <w:szCs w:val="24"/>
        </w:rPr>
        <w:t xml:space="preserve">) </w:t>
      </w:r>
      <w:r w:rsidR="00701982" w:rsidRPr="00701982">
        <w:rPr>
          <w:sz w:val="24"/>
          <w:szCs w:val="24"/>
        </w:rPr>
        <w:t>the companies are wholly owned subsidiaries of the same company (the parent company);</w:t>
      </w:r>
      <w:r w:rsidR="00701982">
        <w:rPr>
          <w:sz w:val="24"/>
          <w:szCs w:val="24"/>
        </w:rPr>
        <w:t xml:space="preserve"> (</w:t>
      </w:r>
      <w:r w:rsidR="0082029E">
        <w:rPr>
          <w:sz w:val="24"/>
          <w:szCs w:val="24"/>
        </w:rPr>
        <w:t>c</w:t>
      </w:r>
      <w:r w:rsidR="00701982">
        <w:rPr>
          <w:sz w:val="24"/>
          <w:szCs w:val="24"/>
        </w:rPr>
        <w:t xml:space="preserve">) </w:t>
      </w:r>
      <w:r w:rsidR="00701982" w:rsidRPr="00701982">
        <w:rPr>
          <w:sz w:val="24"/>
          <w:szCs w:val="24"/>
        </w:rPr>
        <w:t>both before and after the sale or transfer of the shares, the parent company is in a position to exercise control of a regional commercial radio broadcasting licence;</w:t>
      </w:r>
      <w:r w:rsidR="00701982">
        <w:rPr>
          <w:sz w:val="24"/>
          <w:szCs w:val="24"/>
        </w:rPr>
        <w:t xml:space="preserve"> and </w:t>
      </w:r>
      <w:r w:rsidR="0082029E">
        <w:rPr>
          <w:sz w:val="24"/>
          <w:szCs w:val="24"/>
        </w:rPr>
        <w:t xml:space="preserve">(d) </w:t>
      </w:r>
      <w:r w:rsidR="00701982" w:rsidRPr="00701982">
        <w:rPr>
          <w:sz w:val="24"/>
          <w:szCs w:val="24"/>
        </w:rPr>
        <w:t xml:space="preserve">either </w:t>
      </w:r>
      <w:r w:rsidR="00701982">
        <w:rPr>
          <w:sz w:val="24"/>
          <w:szCs w:val="24"/>
        </w:rPr>
        <w:t xml:space="preserve">the persons in a position to exercise control of the licence do not otherwise change </w:t>
      </w:r>
      <w:r w:rsidR="00701982" w:rsidRPr="00B767B3">
        <w:rPr>
          <w:sz w:val="24"/>
          <w:szCs w:val="24"/>
          <w:u w:val="single"/>
        </w:rPr>
        <w:t>or</w:t>
      </w:r>
      <w:r w:rsidR="00701982">
        <w:rPr>
          <w:sz w:val="24"/>
          <w:szCs w:val="24"/>
        </w:rPr>
        <w:t xml:space="preserve">, if they do change, any change is not a trigger event. </w:t>
      </w:r>
    </w:p>
    <w:p w:rsidR="00620C06" w:rsidRDefault="00620C06" w:rsidP="00B767B3">
      <w:pPr>
        <w:rPr>
          <w:sz w:val="24"/>
          <w:szCs w:val="24"/>
        </w:rPr>
      </w:pPr>
    </w:p>
    <w:p w:rsidR="00620C06" w:rsidRDefault="00BD1035" w:rsidP="00BD1035">
      <w:pPr>
        <w:rPr>
          <w:sz w:val="24"/>
          <w:szCs w:val="24"/>
        </w:rPr>
      </w:pPr>
      <w:r w:rsidRPr="00B767B3">
        <w:rPr>
          <w:sz w:val="24"/>
          <w:szCs w:val="24"/>
        </w:rPr>
        <w:t xml:space="preserve">For example, a parent company (company A) wholly owns two subsidiary companies (company B and company C). Company B transfers shares in a licensee company (one that controls and manages the day-to-day operations of a </w:t>
      </w:r>
      <w:r w:rsidR="00EE5F0D">
        <w:rPr>
          <w:sz w:val="24"/>
          <w:szCs w:val="24"/>
        </w:rPr>
        <w:t xml:space="preserve">regional </w:t>
      </w:r>
      <w:r w:rsidR="00EE5F0D" w:rsidRPr="005161E7">
        <w:rPr>
          <w:sz w:val="24"/>
          <w:szCs w:val="24"/>
        </w:rPr>
        <w:t>commercial radio</w:t>
      </w:r>
      <w:r w:rsidR="00EE5F0D">
        <w:rPr>
          <w:sz w:val="24"/>
          <w:szCs w:val="24"/>
        </w:rPr>
        <w:t xml:space="preserve"> broadcasting licence</w:t>
      </w:r>
      <w:r w:rsidR="007B2E5C">
        <w:rPr>
          <w:sz w:val="24"/>
          <w:szCs w:val="24"/>
        </w:rPr>
        <w:t>) to c</w:t>
      </w:r>
      <w:r w:rsidRPr="00B767B3">
        <w:rPr>
          <w:sz w:val="24"/>
          <w:szCs w:val="24"/>
        </w:rPr>
        <w:t xml:space="preserve">ompany C. This type of intra-group transfer would be excluded from the definition of trigger event by this exemption.  </w:t>
      </w:r>
    </w:p>
    <w:p w:rsidR="00BD1035" w:rsidRPr="00B767B3" w:rsidRDefault="00BD1035" w:rsidP="00BD1035">
      <w:pPr>
        <w:rPr>
          <w:sz w:val="24"/>
          <w:szCs w:val="24"/>
        </w:rPr>
      </w:pPr>
      <w:r w:rsidRPr="00B767B3">
        <w:rPr>
          <w:sz w:val="24"/>
          <w:szCs w:val="24"/>
        </w:rPr>
        <w:t xml:space="preserve"> </w:t>
      </w:r>
    </w:p>
    <w:p w:rsidR="00BD1035" w:rsidRDefault="00BD1035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The phrase “wholly owned subsidiary” has the same meaning as in the </w:t>
      </w:r>
      <w:r w:rsidR="00224367">
        <w:rPr>
          <w:i/>
          <w:sz w:val="24"/>
          <w:szCs w:val="24"/>
        </w:rPr>
        <w:t>Corporations Act </w:t>
      </w:r>
      <w:r w:rsidRPr="00620C06">
        <w:rPr>
          <w:i/>
          <w:sz w:val="24"/>
          <w:szCs w:val="24"/>
        </w:rPr>
        <w:t>2001</w:t>
      </w:r>
      <w:r w:rsidR="00737D99">
        <w:rPr>
          <w:sz w:val="24"/>
          <w:szCs w:val="24"/>
        </w:rPr>
        <w:t xml:space="preserve"> (see section 4)</w:t>
      </w:r>
      <w:r>
        <w:rPr>
          <w:sz w:val="24"/>
          <w:szCs w:val="24"/>
        </w:rPr>
        <w:t xml:space="preserve"> </w:t>
      </w:r>
    </w:p>
    <w:p w:rsidR="00EE586B" w:rsidRDefault="004816D0" w:rsidP="00701982">
      <w:pPr>
        <w:spacing w:before="100" w:beforeAutospacing="1" w:after="100" w:afterAutospacing="1"/>
        <w:ind w:right="-1180"/>
        <w:rPr>
          <w:sz w:val="24"/>
          <w:szCs w:val="24"/>
        </w:rPr>
      </w:pPr>
      <w:r>
        <w:rPr>
          <w:i/>
          <w:sz w:val="24"/>
          <w:szCs w:val="24"/>
        </w:rPr>
        <w:t>Formation of a new company</w:t>
      </w:r>
    </w:p>
    <w:p w:rsidR="00737D99" w:rsidRDefault="004816D0" w:rsidP="00B767B3">
      <w:pPr>
        <w:rPr>
          <w:sz w:val="24"/>
          <w:szCs w:val="24"/>
        </w:rPr>
      </w:pPr>
      <w:r>
        <w:rPr>
          <w:sz w:val="24"/>
          <w:szCs w:val="24"/>
        </w:rPr>
        <w:t>Subsection 5(6) of the Regulation provides that subsections 61CB(1A) (‘Change in control of licence’), 61CB(2) (‘Formation of new registrable media group’) and 61CB(3) (‘</w:t>
      </w:r>
      <w:r w:rsidRPr="007A2C2D">
        <w:rPr>
          <w:sz w:val="24"/>
          <w:szCs w:val="24"/>
        </w:rPr>
        <w:t>Change of controller of registrable media group</w:t>
      </w:r>
      <w:r>
        <w:rPr>
          <w:sz w:val="24"/>
          <w:szCs w:val="24"/>
        </w:rPr>
        <w:t>’) of the Act</w:t>
      </w:r>
      <w:r w:rsidRPr="00701982">
        <w:rPr>
          <w:sz w:val="24"/>
          <w:szCs w:val="24"/>
        </w:rPr>
        <w:t xml:space="preserve"> </w:t>
      </w:r>
      <w:r>
        <w:rPr>
          <w:sz w:val="24"/>
          <w:szCs w:val="24"/>
        </w:rPr>
        <w:t>do not apply to an event which occurs in specified circumstances</w:t>
      </w:r>
      <w:r w:rsidR="00737D99">
        <w:rPr>
          <w:sz w:val="24"/>
          <w:szCs w:val="24"/>
        </w:rPr>
        <w:t xml:space="preserve"> involving the formation of a new company</w:t>
      </w:r>
      <w:r>
        <w:rPr>
          <w:sz w:val="24"/>
          <w:szCs w:val="24"/>
        </w:rPr>
        <w:t xml:space="preserve">. </w:t>
      </w:r>
    </w:p>
    <w:p w:rsidR="00620C06" w:rsidRDefault="00620C06" w:rsidP="00B767B3">
      <w:pPr>
        <w:rPr>
          <w:sz w:val="24"/>
          <w:szCs w:val="24"/>
        </w:rPr>
      </w:pPr>
    </w:p>
    <w:p w:rsidR="00737D99" w:rsidRDefault="004816D0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Those subsections will not apply where: (a) </w:t>
      </w:r>
      <w:r w:rsidRPr="004816D0">
        <w:rPr>
          <w:sz w:val="24"/>
          <w:szCs w:val="24"/>
        </w:rPr>
        <w:t>a new company is formed;</w:t>
      </w:r>
      <w:r>
        <w:rPr>
          <w:sz w:val="24"/>
          <w:szCs w:val="24"/>
        </w:rPr>
        <w:t xml:space="preserve"> </w:t>
      </w:r>
      <w:r w:rsidRPr="004816D0">
        <w:rPr>
          <w:sz w:val="24"/>
          <w:szCs w:val="24"/>
        </w:rPr>
        <w:t>(b)</w:t>
      </w:r>
      <w:r>
        <w:rPr>
          <w:sz w:val="24"/>
          <w:szCs w:val="24"/>
        </w:rPr>
        <w:t xml:space="preserve"> </w:t>
      </w:r>
      <w:r w:rsidRPr="004816D0">
        <w:rPr>
          <w:sz w:val="24"/>
          <w:szCs w:val="24"/>
        </w:rPr>
        <w:t>the new company is a wholly owned subsidiary of another company (the parent company);</w:t>
      </w:r>
      <w:r>
        <w:rPr>
          <w:sz w:val="24"/>
          <w:szCs w:val="24"/>
        </w:rPr>
        <w:t xml:space="preserve"> </w:t>
      </w:r>
      <w:r w:rsidRPr="004816D0">
        <w:rPr>
          <w:sz w:val="24"/>
          <w:szCs w:val="24"/>
        </w:rPr>
        <w:t>(c)</w:t>
      </w:r>
      <w:r>
        <w:rPr>
          <w:sz w:val="24"/>
          <w:szCs w:val="24"/>
        </w:rPr>
        <w:t xml:space="preserve"> </w:t>
      </w:r>
      <w:r w:rsidRPr="004816D0">
        <w:rPr>
          <w:sz w:val="24"/>
          <w:szCs w:val="24"/>
        </w:rPr>
        <w:t>the new company starts to be in a position to exercise control of a regional commercial radio broadcasting licence;</w:t>
      </w:r>
      <w:r>
        <w:rPr>
          <w:sz w:val="24"/>
          <w:szCs w:val="24"/>
        </w:rPr>
        <w:t xml:space="preserve"> (d) </w:t>
      </w:r>
      <w:r w:rsidRPr="004816D0">
        <w:rPr>
          <w:sz w:val="24"/>
          <w:szCs w:val="24"/>
        </w:rPr>
        <w:t>both before and after the new company is formed, the parent company is in a position to exercise control of the regional commercial radio broadcasting licence;</w:t>
      </w:r>
      <w:r>
        <w:rPr>
          <w:sz w:val="24"/>
          <w:szCs w:val="24"/>
        </w:rPr>
        <w:t xml:space="preserve"> and </w:t>
      </w:r>
      <w:r w:rsidRPr="004816D0">
        <w:rPr>
          <w:sz w:val="24"/>
          <w:szCs w:val="24"/>
        </w:rPr>
        <w:t>(e)</w:t>
      </w:r>
      <w:r>
        <w:rPr>
          <w:sz w:val="24"/>
          <w:szCs w:val="24"/>
        </w:rPr>
        <w:t xml:space="preserve"> either the persons in a position to exercise control of the licence do not otherwise change </w:t>
      </w:r>
      <w:r w:rsidRPr="00B767B3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, if they do change, any change is not a trigger event. </w:t>
      </w:r>
      <w:r w:rsidR="00EE586B">
        <w:rPr>
          <w:sz w:val="24"/>
          <w:szCs w:val="24"/>
        </w:rPr>
        <w:t xml:space="preserve"> </w:t>
      </w:r>
    </w:p>
    <w:p w:rsidR="00620C06" w:rsidRDefault="00620C06" w:rsidP="00B767B3">
      <w:pPr>
        <w:rPr>
          <w:sz w:val="24"/>
          <w:szCs w:val="24"/>
        </w:rPr>
      </w:pPr>
    </w:p>
    <w:p w:rsidR="00737D99" w:rsidRPr="00B767B3" w:rsidRDefault="00737D99" w:rsidP="00737D99">
      <w:pPr>
        <w:rPr>
          <w:sz w:val="24"/>
          <w:szCs w:val="24"/>
        </w:rPr>
      </w:pPr>
      <w:r w:rsidRPr="00B767B3">
        <w:rPr>
          <w:sz w:val="24"/>
          <w:szCs w:val="24"/>
        </w:rPr>
        <w:t xml:space="preserve">For example, a parent company (company A) wholly owns a number of licensee companies (companies that control and manage the day-to-day operations of various </w:t>
      </w:r>
      <w:r w:rsidR="00FD27E1">
        <w:rPr>
          <w:sz w:val="24"/>
          <w:szCs w:val="24"/>
        </w:rPr>
        <w:t xml:space="preserve">regional commercial </w:t>
      </w:r>
      <w:r w:rsidR="00FD27E1" w:rsidRPr="005161E7">
        <w:rPr>
          <w:sz w:val="24"/>
          <w:szCs w:val="24"/>
        </w:rPr>
        <w:t xml:space="preserve">radio </w:t>
      </w:r>
      <w:r w:rsidR="00FD27E1">
        <w:rPr>
          <w:sz w:val="24"/>
          <w:szCs w:val="24"/>
        </w:rPr>
        <w:t xml:space="preserve">broadcasting </w:t>
      </w:r>
      <w:r w:rsidR="00FD27E1" w:rsidRPr="005161E7">
        <w:rPr>
          <w:sz w:val="24"/>
          <w:szCs w:val="24"/>
        </w:rPr>
        <w:t>licences</w:t>
      </w:r>
      <w:r w:rsidRPr="00B767B3">
        <w:rPr>
          <w:sz w:val="24"/>
          <w:szCs w:val="24"/>
        </w:rPr>
        <w:t>). Company A decides to restructure its existing radio oper</w:t>
      </w:r>
      <w:r w:rsidR="007B2E5C">
        <w:rPr>
          <w:sz w:val="24"/>
          <w:szCs w:val="24"/>
        </w:rPr>
        <w:t>ations and form a new company, c</w:t>
      </w:r>
      <w:r w:rsidRPr="00B767B3">
        <w:rPr>
          <w:sz w:val="24"/>
          <w:szCs w:val="24"/>
        </w:rPr>
        <w:t>ompany B, to sit between it and the licensee companies. Comp</w:t>
      </w:r>
      <w:r w:rsidR="007B2E5C">
        <w:rPr>
          <w:sz w:val="24"/>
          <w:szCs w:val="24"/>
        </w:rPr>
        <w:t>any B would be wholly owned by c</w:t>
      </w:r>
      <w:r w:rsidRPr="00B767B3">
        <w:rPr>
          <w:sz w:val="24"/>
          <w:szCs w:val="24"/>
        </w:rPr>
        <w:t xml:space="preserve">ompany A and would, in turn, wholly own the licensee companies. Such a restructure would be exempt from the trigger event provisions. </w:t>
      </w:r>
    </w:p>
    <w:p w:rsidR="009B3950" w:rsidRDefault="001B2156" w:rsidP="00224367">
      <w:pPr>
        <w:keepNext/>
        <w:spacing w:before="100" w:beforeAutospacing="1" w:after="100" w:afterAutospacing="1"/>
        <w:ind w:right="-118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Subsidiary company ceases to exercise control</w:t>
      </w:r>
    </w:p>
    <w:p w:rsidR="00FF6E1D" w:rsidRDefault="001B2156" w:rsidP="00B767B3">
      <w:pPr>
        <w:rPr>
          <w:sz w:val="24"/>
          <w:szCs w:val="24"/>
        </w:rPr>
      </w:pPr>
      <w:r>
        <w:rPr>
          <w:sz w:val="24"/>
          <w:szCs w:val="24"/>
        </w:rPr>
        <w:t>Subsection 5(7) of the Regulation provides that subsections 61CB(1A) (‘Change in control of licence’), 61CB(2) (‘Formation of new registrable media group’) and 61CB(3) (‘</w:t>
      </w:r>
      <w:r w:rsidRPr="007A2C2D">
        <w:rPr>
          <w:sz w:val="24"/>
          <w:szCs w:val="24"/>
        </w:rPr>
        <w:t>Change of controller of registrable media group</w:t>
      </w:r>
      <w:r>
        <w:rPr>
          <w:sz w:val="24"/>
          <w:szCs w:val="24"/>
        </w:rPr>
        <w:t>’) of the Act</w:t>
      </w:r>
      <w:r w:rsidRPr="00701982">
        <w:rPr>
          <w:sz w:val="24"/>
          <w:szCs w:val="24"/>
        </w:rPr>
        <w:t xml:space="preserve"> </w:t>
      </w:r>
      <w:r>
        <w:rPr>
          <w:sz w:val="24"/>
          <w:szCs w:val="24"/>
        </w:rPr>
        <w:t>do not apply to an event which occurs in specified circumstances</w:t>
      </w:r>
      <w:r w:rsidR="00FF6E1D">
        <w:rPr>
          <w:sz w:val="24"/>
          <w:szCs w:val="24"/>
        </w:rPr>
        <w:t xml:space="preserve"> involving the exit of a subsidiary company</w:t>
      </w:r>
      <w:r>
        <w:rPr>
          <w:sz w:val="24"/>
          <w:szCs w:val="24"/>
        </w:rPr>
        <w:t xml:space="preserve">. </w:t>
      </w:r>
    </w:p>
    <w:p w:rsidR="00620C06" w:rsidRDefault="00620C06" w:rsidP="00B767B3">
      <w:pPr>
        <w:rPr>
          <w:sz w:val="24"/>
          <w:szCs w:val="24"/>
        </w:rPr>
      </w:pPr>
    </w:p>
    <w:p w:rsidR="001B2156" w:rsidRDefault="001B2156" w:rsidP="00B767B3">
      <w:pPr>
        <w:rPr>
          <w:sz w:val="24"/>
          <w:szCs w:val="24"/>
        </w:rPr>
      </w:pPr>
      <w:r>
        <w:rPr>
          <w:sz w:val="24"/>
          <w:szCs w:val="24"/>
        </w:rPr>
        <w:t xml:space="preserve">Those subsections will not apply where: (a) </w:t>
      </w:r>
      <w:r w:rsidRPr="001B2156">
        <w:rPr>
          <w:sz w:val="24"/>
          <w:szCs w:val="24"/>
        </w:rPr>
        <w:t>a company ceases to be in a position to exercise control of a regional commercial radio broadcasting licence;</w:t>
      </w:r>
      <w:r>
        <w:rPr>
          <w:sz w:val="24"/>
          <w:szCs w:val="24"/>
        </w:rPr>
        <w:t xml:space="preserve"> (b) </w:t>
      </w:r>
      <w:r w:rsidRPr="001B2156">
        <w:rPr>
          <w:sz w:val="24"/>
          <w:szCs w:val="24"/>
        </w:rPr>
        <w:t>the company (the subsidiary) is a wholly owned subsidiary of another company (the parent company);</w:t>
      </w:r>
      <w:r>
        <w:rPr>
          <w:sz w:val="24"/>
          <w:szCs w:val="24"/>
        </w:rPr>
        <w:t xml:space="preserve"> (c) </w:t>
      </w:r>
      <w:r w:rsidRPr="001B2156">
        <w:rPr>
          <w:sz w:val="24"/>
          <w:szCs w:val="24"/>
        </w:rPr>
        <w:t xml:space="preserve">both before and after </w:t>
      </w:r>
      <w:r>
        <w:rPr>
          <w:sz w:val="24"/>
          <w:szCs w:val="24"/>
        </w:rPr>
        <w:t>cessation in control</w:t>
      </w:r>
      <w:r w:rsidRPr="001B2156">
        <w:rPr>
          <w:sz w:val="24"/>
          <w:szCs w:val="24"/>
        </w:rPr>
        <w:t>, the parent company is in a position to exercise control of the licence;</w:t>
      </w:r>
      <w:r>
        <w:rPr>
          <w:sz w:val="24"/>
          <w:szCs w:val="24"/>
        </w:rPr>
        <w:t xml:space="preserve"> and </w:t>
      </w:r>
      <w:r w:rsidRPr="001B2156">
        <w:rPr>
          <w:sz w:val="24"/>
          <w:szCs w:val="24"/>
        </w:rPr>
        <w:t>(d)</w:t>
      </w:r>
      <w:r>
        <w:rPr>
          <w:sz w:val="24"/>
          <w:szCs w:val="24"/>
        </w:rPr>
        <w:t xml:space="preserve"> either the persons in a position to exercise control of the licence do not otherwise change </w:t>
      </w:r>
      <w:r w:rsidRPr="00B767B3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, if they do change, any change is not a trigger event.   </w:t>
      </w:r>
    </w:p>
    <w:p w:rsidR="00620C06" w:rsidRDefault="00620C06" w:rsidP="00B767B3">
      <w:pPr>
        <w:rPr>
          <w:sz w:val="24"/>
          <w:szCs w:val="24"/>
        </w:rPr>
      </w:pPr>
    </w:p>
    <w:p w:rsidR="00FF6E1D" w:rsidRPr="003737BA" w:rsidRDefault="00FF6E1D" w:rsidP="00FF6E1D">
      <w:pPr>
        <w:rPr>
          <w:sz w:val="24"/>
          <w:szCs w:val="24"/>
        </w:rPr>
      </w:pPr>
      <w:r w:rsidRPr="00FF6E1D">
        <w:rPr>
          <w:rFonts w:eastAsia="Calibri"/>
          <w:color w:val="000000"/>
          <w:sz w:val="24"/>
          <w:szCs w:val="24"/>
        </w:rPr>
        <w:t xml:space="preserve">For example, a parent company (company A) decides to restructure its radio operations. Company A wholly owns two subsidiary companies, company B and company C. All shares in various licensee companies (companies that control and manage the day-to-day operations of various </w:t>
      </w:r>
      <w:r w:rsidR="00FD27E1">
        <w:rPr>
          <w:sz w:val="24"/>
          <w:szCs w:val="24"/>
        </w:rPr>
        <w:t xml:space="preserve">regional commercial </w:t>
      </w:r>
      <w:r w:rsidR="00FD27E1" w:rsidRPr="005161E7">
        <w:rPr>
          <w:sz w:val="24"/>
          <w:szCs w:val="24"/>
        </w:rPr>
        <w:t xml:space="preserve">radio </w:t>
      </w:r>
      <w:r w:rsidR="00FD27E1">
        <w:rPr>
          <w:sz w:val="24"/>
          <w:szCs w:val="24"/>
        </w:rPr>
        <w:t xml:space="preserve">broadcasting </w:t>
      </w:r>
      <w:r w:rsidR="005E2A37">
        <w:rPr>
          <w:sz w:val="24"/>
          <w:szCs w:val="24"/>
        </w:rPr>
        <w:t>licence</w:t>
      </w:r>
      <w:r w:rsidR="00FD27E1">
        <w:rPr>
          <w:sz w:val="24"/>
          <w:szCs w:val="24"/>
        </w:rPr>
        <w:t>s</w:t>
      </w:r>
      <w:r w:rsidRPr="00FF6E1D">
        <w:rPr>
          <w:rFonts w:eastAsia="Calibri"/>
          <w:color w:val="000000"/>
          <w:sz w:val="24"/>
          <w:szCs w:val="24"/>
        </w:rPr>
        <w:t>) are transferred from company B to company C, and then company B is wound up</w:t>
      </w:r>
      <w:r>
        <w:rPr>
          <w:rFonts w:eastAsia="Calibri"/>
          <w:color w:val="000000"/>
          <w:sz w:val="24"/>
          <w:szCs w:val="24"/>
        </w:rPr>
        <w:t xml:space="preserve"> (and therefore ceases to be in a position to control the licences)</w:t>
      </w:r>
      <w:r w:rsidRPr="00FF6E1D">
        <w:rPr>
          <w:rFonts w:eastAsia="Calibri"/>
          <w:color w:val="000000"/>
          <w:sz w:val="24"/>
          <w:szCs w:val="24"/>
        </w:rPr>
        <w:t xml:space="preserve">. This type of intra-group restructure would be permitted by this exemption.   </w:t>
      </w:r>
    </w:p>
    <w:p w:rsidR="00620C06" w:rsidRPr="00FF6E1D" w:rsidRDefault="00620C06" w:rsidP="00FF6E1D">
      <w:pPr>
        <w:rPr>
          <w:rFonts w:eastAsia="Calibri"/>
          <w:color w:val="000000"/>
          <w:sz w:val="24"/>
          <w:szCs w:val="24"/>
        </w:rPr>
      </w:pPr>
    </w:p>
    <w:p w:rsidR="001B2156" w:rsidRDefault="00FF6E1D" w:rsidP="00B767B3">
      <w:pPr>
        <w:rPr>
          <w:rFonts w:eastAsia="Calibri"/>
          <w:color w:val="000000"/>
          <w:sz w:val="24"/>
          <w:szCs w:val="24"/>
        </w:rPr>
      </w:pPr>
      <w:r w:rsidRPr="00B767B3">
        <w:rPr>
          <w:rFonts w:eastAsia="Calibri"/>
          <w:color w:val="000000"/>
          <w:sz w:val="24"/>
          <w:szCs w:val="24"/>
        </w:rPr>
        <w:t>S</w:t>
      </w:r>
      <w:r w:rsidR="001B2156" w:rsidRPr="00B767B3">
        <w:rPr>
          <w:rFonts w:eastAsia="Calibri"/>
          <w:color w:val="000000"/>
          <w:sz w:val="24"/>
          <w:szCs w:val="24"/>
        </w:rPr>
        <w:t xml:space="preserve">ubsection 5(8) of the Regulation </w:t>
      </w:r>
      <w:r w:rsidRPr="00B767B3">
        <w:rPr>
          <w:rFonts w:eastAsia="Calibri"/>
          <w:color w:val="000000"/>
          <w:sz w:val="24"/>
          <w:szCs w:val="24"/>
        </w:rPr>
        <w:t>confirms</w:t>
      </w:r>
      <w:r w:rsidR="001B2156" w:rsidRPr="00B767B3">
        <w:rPr>
          <w:rFonts w:eastAsia="Calibri"/>
          <w:color w:val="000000"/>
          <w:sz w:val="24"/>
          <w:szCs w:val="24"/>
        </w:rPr>
        <w:t xml:space="preserve"> the bases on which a change in control may not be a trigger event, </w:t>
      </w:r>
      <w:r w:rsidR="00E615DA" w:rsidRPr="00B767B3">
        <w:rPr>
          <w:rFonts w:eastAsia="Calibri"/>
          <w:color w:val="000000"/>
          <w:sz w:val="24"/>
          <w:szCs w:val="24"/>
        </w:rPr>
        <w:t>for the purposes of subparagraphs (2)(d)(ii), (3)(e)(ii), (5)(d)(ii), (6)(e)(ii) and (7)(d)(ii). A change of control will not be a trigger event if it is exempt through the operation of</w:t>
      </w:r>
      <w:r w:rsidRPr="00B767B3">
        <w:rPr>
          <w:rFonts w:eastAsia="Calibri"/>
          <w:color w:val="000000"/>
          <w:sz w:val="24"/>
          <w:szCs w:val="24"/>
        </w:rPr>
        <w:t xml:space="preserve"> section 5 of </w:t>
      </w:r>
      <w:r w:rsidR="00E615DA" w:rsidRPr="00B767B3">
        <w:rPr>
          <w:rFonts w:eastAsia="Calibri"/>
          <w:color w:val="000000"/>
          <w:sz w:val="24"/>
          <w:szCs w:val="24"/>
        </w:rPr>
        <w:t xml:space="preserve">the Regulation or </w:t>
      </w:r>
      <w:r w:rsidRPr="00B767B3">
        <w:rPr>
          <w:rFonts w:eastAsia="Calibri"/>
          <w:color w:val="000000"/>
          <w:sz w:val="24"/>
          <w:szCs w:val="24"/>
        </w:rPr>
        <w:t xml:space="preserve">if </w:t>
      </w:r>
      <w:r w:rsidR="00E615DA" w:rsidRPr="00B767B3">
        <w:rPr>
          <w:rFonts w:eastAsia="Calibri"/>
          <w:color w:val="000000"/>
          <w:sz w:val="24"/>
          <w:szCs w:val="24"/>
        </w:rPr>
        <w:t>section 61CB of the Act provides that it is not a trigger event. Subsection 5(8) is included for the avoidance of doubt.</w:t>
      </w:r>
    </w:p>
    <w:p w:rsidR="00620C06" w:rsidRPr="00B767B3" w:rsidRDefault="00620C06" w:rsidP="00B767B3">
      <w:pPr>
        <w:rPr>
          <w:rFonts w:eastAsia="Calibri"/>
          <w:color w:val="000000"/>
          <w:sz w:val="24"/>
          <w:szCs w:val="24"/>
        </w:rPr>
      </w:pPr>
    </w:p>
    <w:p w:rsidR="00FF6E1D" w:rsidRPr="00B767B3" w:rsidRDefault="00FF6E1D" w:rsidP="00B767B3">
      <w:pPr>
        <w:rPr>
          <w:rFonts w:eastAsia="Calibri"/>
          <w:color w:val="000000"/>
          <w:sz w:val="24"/>
          <w:szCs w:val="24"/>
        </w:rPr>
      </w:pPr>
      <w:r w:rsidRPr="00B767B3">
        <w:rPr>
          <w:rFonts w:eastAsia="Calibri"/>
          <w:color w:val="000000"/>
          <w:sz w:val="24"/>
          <w:szCs w:val="24"/>
        </w:rPr>
        <w:t>Subsection 5(9) of the Regulation clarifies the definition of “event” for the purposes of section. It is also included for the avoidance of doubt.</w:t>
      </w:r>
    </w:p>
    <w:p w:rsidR="009B3950" w:rsidRDefault="009B3950" w:rsidP="00E171ED">
      <w:pPr>
        <w:spacing w:before="100" w:beforeAutospacing="1" w:after="100" w:afterAutospacing="1"/>
        <w:ind w:right="-1180"/>
        <w:rPr>
          <w:sz w:val="24"/>
          <w:szCs w:val="24"/>
        </w:rPr>
      </w:pPr>
    </w:p>
    <w:p w:rsidR="00EA038D" w:rsidRDefault="00A111AC" w:rsidP="00E171ED">
      <w:pPr>
        <w:spacing w:before="100" w:beforeAutospacing="1" w:after="100" w:afterAutospacing="1"/>
        <w:ind w:right="-1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672B" w:rsidRDefault="004C672B" w:rsidP="00E171ED">
      <w:pPr>
        <w:spacing w:before="100" w:beforeAutospacing="1" w:after="100" w:afterAutospacing="1"/>
        <w:ind w:right="-1180"/>
        <w:rPr>
          <w:sz w:val="24"/>
          <w:szCs w:val="24"/>
        </w:rPr>
      </w:pPr>
    </w:p>
    <w:p w:rsidR="004C672B" w:rsidRPr="00E171ED" w:rsidRDefault="004C672B" w:rsidP="00E171ED">
      <w:pPr>
        <w:spacing w:before="100" w:beforeAutospacing="1" w:after="100" w:afterAutospacing="1"/>
        <w:ind w:right="-1180"/>
        <w:rPr>
          <w:sz w:val="24"/>
          <w:szCs w:val="24"/>
        </w:rPr>
      </w:pPr>
    </w:p>
    <w:p w:rsidR="00E171ED" w:rsidRDefault="00E171ED"/>
    <w:sectPr w:rsidR="00E171ED" w:rsidSect="00245DA8"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A7" w:rsidRDefault="007100A7" w:rsidP="00090183">
      <w:r>
        <w:separator/>
      </w:r>
    </w:p>
  </w:endnote>
  <w:endnote w:type="continuationSeparator" w:id="0">
    <w:p w:rsidR="007100A7" w:rsidRDefault="007100A7" w:rsidP="0009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5070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1A02DC" w:rsidRPr="001A02DC" w:rsidRDefault="001A02DC">
        <w:pPr>
          <w:pStyle w:val="Footer"/>
          <w:jc w:val="center"/>
          <w:rPr>
            <w:sz w:val="24"/>
            <w:szCs w:val="24"/>
          </w:rPr>
        </w:pPr>
        <w:r w:rsidRPr="001A02DC">
          <w:rPr>
            <w:sz w:val="24"/>
            <w:szCs w:val="24"/>
          </w:rPr>
          <w:fldChar w:fldCharType="begin"/>
        </w:r>
        <w:r w:rsidRPr="001A02DC">
          <w:rPr>
            <w:sz w:val="24"/>
            <w:szCs w:val="24"/>
          </w:rPr>
          <w:instrText xml:space="preserve"> PAGE   \* MERGEFORMAT </w:instrText>
        </w:r>
        <w:r w:rsidRPr="001A02DC">
          <w:rPr>
            <w:sz w:val="24"/>
            <w:szCs w:val="24"/>
          </w:rPr>
          <w:fldChar w:fldCharType="separate"/>
        </w:r>
        <w:r w:rsidR="001B11B3">
          <w:rPr>
            <w:noProof/>
            <w:sz w:val="24"/>
            <w:szCs w:val="24"/>
          </w:rPr>
          <w:t>1</w:t>
        </w:r>
        <w:r w:rsidRPr="001A02DC">
          <w:rPr>
            <w:noProof/>
            <w:sz w:val="24"/>
            <w:szCs w:val="24"/>
          </w:rPr>
          <w:fldChar w:fldCharType="end"/>
        </w:r>
      </w:p>
    </w:sdtContent>
  </w:sdt>
  <w:p w:rsidR="001A02DC" w:rsidRDefault="001A0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A7" w:rsidRDefault="007100A7" w:rsidP="00090183">
      <w:r>
        <w:separator/>
      </w:r>
    </w:p>
  </w:footnote>
  <w:footnote w:type="continuationSeparator" w:id="0">
    <w:p w:rsidR="007100A7" w:rsidRDefault="007100A7" w:rsidP="0009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1EE"/>
    <w:multiLevelType w:val="hybridMultilevel"/>
    <w:tmpl w:val="03DA172E"/>
    <w:lvl w:ilvl="0" w:tplc="963037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6C91"/>
    <w:multiLevelType w:val="hybridMultilevel"/>
    <w:tmpl w:val="80C48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041049"/>
    <w:multiLevelType w:val="hybridMultilevel"/>
    <w:tmpl w:val="9BB61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F6"/>
    <w:rsid w:val="00005F03"/>
    <w:rsid w:val="00007EF6"/>
    <w:rsid w:val="00090183"/>
    <w:rsid w:val="0017051B"/>
    <w:rsid w:val="001A02DC"/>
    <w:rsid w:val="001B11B3"/>
    <w:rsid w:val="001B2156"/>
    <w:rsid w:val="001C5888"/>
    <w:rsid w:val="001F2ABC"/>
    <w:rsid w:val="00210D0A"/>
    <w:rsid w:val="00224367"/>
    <w:rsid w:val="00241B94"/>
    <w:rsid w:val="00245DA8"/>
    <w:rsid w:val="0027189B"/>
    <w:rsid w:val="002E6C1E"/>
    <w:rsid w:val="00305991"/>
    <w:rsid w:val="00341A1A"/>
    <w:rsid w:val="003737BA"/>
    <w:rsid w:val="00391563"/>
    <w:rsid w:val="003C727A"/>
    <w:rsid w:val="003E731B"/>
    <w:rsid w:val="00433377"/>
    <w:rsid w:val="0044327A"/>
    <w:rsid w:val="00460AA3"/>
    <w:rsid w:val="00467F57"/>
    <w:rsid w:val="004816D0"/>
    <w:rsid w:val="0049251E"/>
    <w:rsid w:val="004B58FA"/>
    <w:rsid w:val="004C672B"/>
    <w:rsid w:val="005421A4"/>
    <w:rsid w:val="00563541"/>
    <w:rsid w:val="00592414"/>
    <w:rsid w:val="00597748"/>
    <w:rsid w:val="005A135B"/>
    <w:rsid w:val="005B33FA"/>
    <w:rsid w:val="005D5A54"/>
    <w:rsid w:val="005E2A37"/>
    <w:rsid w:val="00614AE2"/>
    <w:rsid w:val="0061639E"/>
    <w:rsid w:val="00620C06"/>
    <w:rsid w:val="006479B0"/>
    <w:rsid w:val="0065161B"/>
    <w:rsid w:val="006558EE"/>
    <w:rsid w:val="00676884"/>
    <w:rsid w:val="00692456"/>
    <w:rsid w:val="006E0B93"/>
    <w:rsid w:val="00701982"/>
    <w:rsid w:val="007100A7"/>
    <w:rsid w:val="00737D99"/>
    <w:rsid w:val="00746015"/>
    <w:rsid w:val="007A2C2D"/>
    <w:rsid w:val="007B2E5C"/>
    <w:rsid w:val="007C24DD"/>
    <w:rsid w:val="007F4D91"/>
    <w:rsid w:val="007F5E5D"/>
    <w:rsid w:val="0082029E"/>
    <w:rsid w:val="00821083"/>
    <w:rsid w:val="00856651"/>
    <w:rsid w:val="008A7E00"/>
    <w:rsid w:val="009A3491"/>
    <w:rsid w:val="009B3950"/>
    <w:rsid w:val="00A111AC"/>
    <w:rsid w:val="00A16816"/>
    <w:rsid w:val="00B05F59"/>
    <w:rsid w:val="00B767B3"/>
    <w:rsid w:val="00B86E7C"/>
    <w:rsid w:val="00BB58C8"/>
    <w:rsid w:val="00BC02CB"/>
    <w:rsid w:val="00BD1035"/>
    <w:rsid w:val="00BE48CC"/>
    <w:rsid w:val="00C15ECC"/>
    <w:rsid w:val="00C92A5B"/>
    <w:rsid w:val="00D256D3"/>
    <w:rsid w:val="00D55745"/>
    <w:rsid w:val="00D97439"/>
    <w:rsid w:val="00E171ED"/>
    <w:rsid w:val="00E2598C"/>
    <w:rsid w:val="00E615DA"/>
    <w:rsid w:val="00EA038D"/>
    <w:rsid w:val="00EA20E4"/>
    <w:rsid w:val="00EE149F"/>
    <w:rsid w:val="00EE586B"/>
    <w:rsid w:val="00EE5F0D"/>
    <w:rsid w:val="00F42B4D"/>
    <w:rsid w:val="00F46E52"/>
    <w:rsid w:val="00F61642"/>
    <w:rsid w:val="00F62A86"/>
    <w:rsid w:val="00FD27E1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07EF6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EF6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007EF6"/>
    <w:pPr>
      <w:jc w:val="center"/>
    </w:pPr>
    <w:rPr>
      <w:b/>
      <w:sz w:val="24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007EF6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semiHidden/>
    <w:unhideWhenUsed/>
    <w:rsid w:val="00007EF6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07EF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007EF6"/>
    <w:pPr>
      <w:snapToGrid w:val="0"/>
    </w:pPr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07EF6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007EF6"/>
    <w:rPr>
      <w:sz w:val="24"/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07EF6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7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74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74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4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D55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6E7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8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A0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D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A0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DC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07EF6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EF6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007EF6"/>
    <w:pPr>
      <w:jc w:val="center"/>
    </w:pPr>
    <w:rPr>
      <w:b/>
      <w:sz w:val="24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007EF6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semiHidden/>
    <w:unhideWhenUsed/>
    <w:rsid w:val="00007EF6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07EF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007EF6"/>
    <w:pPr>
      <w:snapToGrid w:val="0"/>
    </w:pPr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07EF6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007EF6"/>
    <w:rPr>
      <w:sz w:val="24"/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07EF6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7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74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74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4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D55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6E7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8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A0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D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A0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DC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4E4"/>
                <w:bottom w:val="none" w:sz="0" w:space="0" w:color="auto"/>
                <w:right w:val="none" w:sz="0" w:space="0" w:color="auto"/>
              </w:divBdr>
              <w:divsChild>
                <w:div w:id="1080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12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8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322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909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9429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74349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26562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390B-3F68-45C2-9A10-0FD695E8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Skerr</dc:creator>
  <cp:lastModifiedBy>Hilhorst, Matt</cp:lastModifiedBy>
  <cp:revision>2</cp:revision>
  <dcterms:created xsi:type="dcterms:W3CDTF">2013-08-05T04:42:00Z</dcterms:created>
  <dcterms:modified xsi:type="dcterms:W3CDTF">2013-08-05T04:42:00Z</dcterms:modified>
</cp:coreProperties>
</file>