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09" w:rsidRPr="006F53B0" w:rsidRDefault="00521C09" w:rsidP="00521C09">
      <w:pPr>
        <w:rPr>
          <w:sz w:val="28"/>
        </w:rPr>
      </w:pPr>
      <w:r w:rsidRPr="006F53B0">
        <w:rPr>
          <w:noProof/>
          <w:lang w:eastAsia="en-AU"/>
        </w:rPr>
        <w:drawing>
          <wp:inline distT="0" distB="0" distL="0" distR="0" wp14:anchorId="13515348" wp14:editId="31F4BBC9">
            <wp:extent cx="1419225" cy="1104900"/>
            <wp:effectExtent l="0" t="0" r="9525" b="0"/>
            <wp:docPr id="20" name="Picture 20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C09" w:rsidRPr="006F53B0" w:rsidRDefault="00521C09" w:rsidP="00521C09">
      <w:pPr>
        <w:rPr>
          <w:sz w:val="19"/>
        </w:rPr>
      </w:pPr>
    </w:p>
    <w:p w:rsidR="00521C09" w:rsidRPr="006F53B0" w:rsidRDefault="00521C09" w:rsidP="00521C09">
      <w:pPr>
        <w:rPr>
          <w:sz w:val="19"/>
        </w:rPr>
      </w:pPr>
      <w:bookmarkStart w:id="0" w:name="ConfidenceBlock"/>
      <w:bookmarkEnd w:id="0"/>
    </w:p>
    <w:p w:rsidR="00521C09" w:rsidRPr="006F53B0" w:rsidRDefault="00521C09" w:rsidP="00521C09">
      <w:pPr>
        <w:pStyle w:val="ShortT"/>
      </w:pPr>
      <w:r w:rsidRPr="006F53B0">
        <w:t>Broadcasting Services (Regional Commercial Radio) Regulation</w:t>
      </w:r>
      <w:r w:rsidR="006F53B0" w:rsidRPr="006F53B0">
        <w:t> </w:t>
      </w:r>
      <w:r w:rsidRPr="006F53B0">
        <w:t>2013</w:t>
      </w:r>
    </w:p>
    <w:p w:rsidR="00521C09" w:rsidRPr="006F53B0" w:rsidRDefault="00521C09" w:rsidP="00521C09"/>
    <w:p w:rsidR="00521C09" w:rsidRPr="006F53B0" w:rsidRDefault="00521C09" w:rsidP="00521C09">
      <w:pPr>
        <w:pStyle w:val="InstNo"/>
      </w:pPr>
      <w:r w:rsidRPr="006F53B0">
        <w:t xml:space="preserve">Select Legislative Instrument </w:t>
      </w:r>
      <w:bookmarkStart w:id="1" w:name="BKCheck15B_1"/>
      <w:bookmarkEnd w:id="1"/>
      <w:r w:rsidR="00036586" w:rsidRPr="006F53B0">
        <w:fldChar w:fldCharType="begin"/>
      </w:r>
      <w:r w:rsidR="00036586" w:rsidRPr="006F53B0">
        <w:instrText xml:space="preserve"> DOCPROPERTY  ActNo </w:instrText>
      </w:r>
      <w:r w:rsidR="00036586" w:rsidRPr="006F53B0">
        <w:fldChar w:fldCharType="separate"/>
      </w:r>
      <w:r w:rsidR="00EB0B7B">
        <w:t>No. 216, 2013</w:t>
      </w:r>
      <w:r w:rsidR="00036586" w:rsidRPr="006F53B0">
        <w:fldChar w:fldCharType="end"/>
      </w:r>
    </w:p>
    <w:p w:rsidR="00914D92" w:rsidRPr="006F53B0" w:rsidRDefault="00914D92" w:rsidP="001A0BEE">
      <w:pPr>
        <w:pStyle w:val="SignCoverPageStart"/>
        <w:spacing w:before="240"/>
      </w:pPr>
      <w:r w:rsidRPr="006F53B0">
        <w:t>I, Quentin Bryce AC CVO, Governor</w:t>
      </w:r>
      <w:r w:rsidR="006F53B0">
        <w:noBreakHyphen/>
      </w:r>
      <w:r w:rsidRPr="006F53B0">
        <w:t xml:space="preserve">General of the Commonwealth of Australia, acting with the advice of the Federal Executive Council, make the following regulation under the </w:t>
      </w:r>
      <w:r w:rsidRPr="006F53B0">
        <w:rPr>
          <w:i/>
        </w:rPr>
        <w:t>Broadcasting Services Act 1992</w:t>
      </w:r>
      <w:r w:rsidRPr="006F53B0">
        <w:t>.</w:t>
      </w:r>
    </w:p>
    <w:p w:rsidR="00914D92" w:rsidRPr="006F53B0" w:rsidRDefault="00914D92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6F53B0">
        <w:rPr>
          <w:sz w:val="24"/>
          <w:szCs w:val="24"/>
        </w:rPr>
        <w:t xml:space="preserve">Dated </w:t>
      </w:r>
      <w:bookmarkStart w:id="2" w:name="BKCheck15B_2"/>
      <w:bookmarkEnd w:id="2"/>
      <w:r w:rsidRPr="006F53B0">
        <w:rPr>
          <w:sz w:val="24"/>
          <w:szCs w:val="24"/>
        </w:rPr>
        <w:fldChar w:fldCharType="begin"/>
      </w:r>
      <w:r w:rsidRPr="006F53B0">
        <w:rPr>
          <w:sz w:val="24"/>
          <w:szCs w:val="24"/>
        </w:rPr>
        <w:instrText xml:space="preserve"> DOCPROPERTY  DateMade </w:instrText>
      </w:r>
      <w:r w:rsidRPr="006F53B0">
        <w:rPr>
          <w:sz w:val="24"/>
          <w:szCs w:val="24"/>
        </w:rPr>
        <w:fldChar w:fldCharType="separate"/>
      </w:r>
      <w:r w:rsidR="00EB0B7B">
        <w:rPr>
          <w:sz w:val="24"/>
          <w:szCs w:val="24"/>
        </w:rPr>
        <w:t>05 August 2013</w:t>
      </w:r>
      <w:r w:rsidRPr="006F53B0">
        <w:rPr>
          <w:sz w:val="24"/>
          <w:szCs w:val="24"/>
        </w:rPr>
        <w:fldChar w:fldCharType="end"/>
      </w:r>
    </w:p>
    <w:p w:rsidR="00914D92" w:rsidRPr="006F53B0" w:rsidRDefault="00914D92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6F53B0">
        <w:t>Quentin Bryce</w:t>
      </w:r>
    </w:p>
    <w:p w:rsidR="00914D92" w:rsidRPr="006F53B0" w:rsidRDefault="00914D92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6F53B0">
        <w:rPr>
          <w:sz w:val="24"/>
          <w:szCs w:val="24"/>
        </w:rPr>
        <w:t>Governor</w:t>
      </w:r>
      <w:r w:rsidR="006F53B0">
        <w:rPr>
          <w:sz w:val="24"/>
          <w:szCs w:val="24"/>
        </w:rPr>
        <w:noBreakHyphen/>
      </w:r>
      <w:r w:rsidRPr="006F53B0">
        <w:rPr>
          <w:sz w:val="24"/>
          <w:szCs w:val="24"/>
        </w:rPr>
        <w:t>General</w:t>
      </w:r>
    </w:p>
    <w:p w:rsidR="00914D92" w:rsidRPr="006F53B0" w:rsidRDefault="00914D92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6F53B0">
        <w:rPr>
          <w:sz w:val="24"/>
          <w:szCs w:val="24"/>
        </w:rPr>
        <w:t>By Her Excellency’s Command</w:t>
      </w:r>
    </w:p>
    <w:p w:rsidR="00914D92" w:rsidRPr="006F53B0" w:rsidRDefault="00914D92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F53B0">
        <w:rPr>
          <w:szCs w:val="22"/>
        </w:rPr>
        <w:t>Anthony Albanese</w:t>
      </w:r>
    </w:p>
    <w:p w:rsidR="00914D92" w:rsidRPr="006F53B0" w:rsidRDefault="00914D92" w:rsidP="001A0BEE">
      <w:pPr>
        <w:pStyle w:val="SignCoverPageEnd"/>
      </w:pPr>
      <w:r w:rsidRPr="006F53B0">
        <w:t>Minister for Broadband, Communications and the Digital Economy</w:t>
      </w:r>
    </w:p>
    <w:p w:rsidR="00914D92" w:rsidRPr="006F53B0" w:rsidRDefault="00914D92" w:rsidP="00914D92"/>
    <w:p w:rsidR="00521C09" w:rsidRPr="006F53B0" w:rsidRDefault="00521C09" w:rsidP="00521C09">
      <w:pPr>
        <w:pStyle w:val="Header"/>
        <w:tabs>
          <w:tab w:val="clear" w:pos="4150"/>
          <w:tab w:val="clear" w:pos="8307"/>
        </w:tabs>
      </w:pPr>
      <w:r w:rsidRPr="006F53B0">
        <w:rPr>
          <w:rStyle w:val="CharChapNo"/>
        </w:rPr>
        <w:t xml:space="preserve"> </w:t>
      </w:r>
      <w:r w:rsidRPr="006F53B0">
        <w:rPr>
          <w:rStyle w:val="CharChapText"/>
        </w:rPr>
        <w:t xml:space="preserve"> </w:t>
      </w:r>
    </w:p>
    <w:p w:rsidR="00521C09" w:rsidRPr="006F53B0" w:rsidRDefault="00521C09" w:rsidP="00521C09">
      <w:pPr>
        <w:pStyle w:val="Header"/>
        <w:tabs>
          <w:tab w:val="clear" w:pos="4150"/>
          <w:tab w:val="clear" w:pos="8307"/>
        </w:tabs>
      </w:pPr>
      <w:r w:rsidRPr="006F53B0">
        <w:rPr>
          <w:rStyle w:val="CharPartNo"/>
        </w:rPr>
        <w:t xml:space="preserve"> </w:t>
      </w:r>
      <w:r w:rsidRPr="006F53B0">
        <w:rPr>
          <w:rStyle w:val="CharPartText"/>
        </w:rPr>
        <w:t xml:space="preserve"> </w:t>
      </w:r>
    </w:p>
    <w:p w:rsidR="00521C09" w:rsidRPr="006F53B0" w:rsidRDefault="00521C09" w:rsidP="00521C09">
      <w:pPr>
        <w:pStyle w:val="Header"/>
        <w:tabs>
          <w:tab w:val="clear" w:pos="4150"/>
          <w:tab w:val="clear" w:pos="8307"/>
        </w:tabs>
      </w:pPr>
      <w:r w:rsidRPr="006F53B0">
        <w:rPr>
          <w:rStyle w:val="CharDivNo"/>
        </w:rPr>
        <w:t xml:space="preserve"> </w:t>
      </w:r>
      <w:r w:rsidRPr="006F53B0">
        <w:rPr>
          <w:rStyle w:val="CharDivText"/>
        </w:rPr>
        <w:t xml:space="preserve"> </w:t>
      </w:r>
    </w:p>
    <w:p w:rsidR="00521C09" w:rsidRPr="006F53B0" w:rsidRDefault="00521C09" w:rsidP="00521C09">
      <w:pPr>
        <w:sectPr w:rsidR="00521C09" w:rsidRPr="006F53B0" w:rsidSect="000746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521C09" w:rsidRPr="006F53B0" w:rsidRDefault="00521C09" w:rsidP="00521C09">
      <w:pPr>
        <w:rPr>
          <w:sz w:val="36"/>
        </w:rPr>
      </w:pPr>
      <w:r w:rsidRPr="006F53B0">
        <w:rPr>
          <w:sz w:val="36"/>
        </w:rPr>
        <w:lastRenderedPageBreak/>
        <w:t>Contents</w:t>
      </w:r>
    </w:p>
    <w:bookmarkStart w:id="3" w:name="BKCheck15B_3"/>
    <w:bookmarkEnd w:id="3"/>
    <w:p w:rsidR="00C25CE4" w:rsidRPr="006F53B0" w:rsidRDefault="00C25CE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53B0">
        <w:fldChar w:fldCharType="begin"/>
      </w:r>
      <w:r w:rsidRPr="006F53B0">
        <w:instrText xml:space="preserve"> TOC \o "1-9" </w:instrText>
      </w:r>
      <w:r w:rsidRPr="006F53B0">
        <w:fldChar w:fldCharType="separate"/>
      </w:r>
      <w:r w:rsidRPr="006F53B0">
        <w:rPr>
          <w:noProof/>
        </w:rPr>
        <w:t>Part</w:t>
      </w:r>
      <w:r w:rsidR="006F53B0" w:rsidRPr="006F53B0">
        <w:rPr>
          <w:noProof/>
        </w:rPr>
        <w:t> </w:t>
      </w:r>
      <w:r w:rsidRPr="006F53B0">
        <w:rPr>
          <w:noProof/>
        </w:rPr>
        <w:t>1—Preliminary</w:t>
      </w:r>
      <w:r w:rsidRPr="006F53B0">
        <w:rPr>
          <w:b w:val="0"/>
          <w:noProof/>
          <w:sz w:val="18"/>
        </w:rPr>
        <w:tab/>
      </w:r>
      <w:r w:rsidRPr="006F53B0">
        <w:rPr>
          <w:b w:val="0"/>
          <w:noProof/>
          <w:sz w:val="18"/>
        </w:rPr>
        <w:fldChar w:fldCharType="begin"/>
      </w:r>
      <w:r w:rsidRPr="006F53B0">
        <w:rPr>
          <w:b w:val="0"/>
          <w:noProof/>
          <w:sz w:val="18"/>
        </w:rPr>
        <w:instrText xml:space="preserve"> PAGEREF _Toc361992912 \h </w:instrText>
      </w:r>
      <w:r w:rsidRPr="006F53B0">
        <w:rPr>
          <w:b w:val="0"/>
          <w:noProof/>
          <w:sz w:val="18"/>
        </w:rPr>
      </w:r>
      <w:r w:rsidRPr="006F53B0">
        <w:rPr>
          <w:b w:val="0"/>
          <w:noProof/>
          <w:sz w:val="18"/>
        </w:rPr>
        <w:fldChar w:fldCharType="separate"/>
      </w:r>
      <w:r w:rsidR="00EB0B7B">
        <w:rPr>
          <w:b w:val="0"/>
          <w:noProof/>
          <w:sz w:val="18"/>
        </w:rPr>
        <w:t>1</w:t>
      </w:r>
      <w:r w:rsidRPr="006F53B0">
        <w:rPr>
          <w:b w:val="0"/>
          <w:noProof/>
          <w:sz w:val="18"/>
        </w:rPr>
        <w:fldChar w:fldCharType="end"/>
      </w:r>
    </w:p>
    <w:p w:rsidR="00C25CE4" w:rsidRPr="006F53B0" w:rsidRDefault="00C25C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53B0">
        <w:rPr>
          <w:noProof/>
        </w:rPr>
        <w:t>1</w:t>
      </w:r>
      <w:r w:rsidRPr="006F53B0">
        <w:rPr>
          <w:noProof/>
        </w:rPr>
        <w:tab/>
        <w:t>Name of regulation</w:t>
      </w:r>
      <w:r w:rsidRPr="006F53B0">
        <w:rPr>
          <w:noProof/>
        </w:rPr>
        <w:tab/>
      </w:r>
      <w:r w:rsidRPr="006F53B0">
        <w:rPr>
          <w:noProof/>
        </w:rPr>
        <w:fldChar w:fldCharType="begin"/>
      </w:r>
      <w:r w:rsidRPr="006F53B0">
        <w:rPr>
          <w:noProof/>
        </w:rPr>
        <w:instrText xml:space="preserve"> PAGEREF _Toc361992913 \h </w:instrText>
      </w:r>
      <w:r w:rsidRPr="006F53B0">
        <w:rPr>
          <w:noProof/>
        </w:rPr>
      </w:r>
      <w:r w:rsidRPr="006F53B0">
        <w:rPr>
          <w:noProof/>
        </w:rPr>
        <w:fldChar w:fldCharType="separate"/>
      </w:r>
      <w:r w:rsidR="00EB0B7B">
        <w:rPr>
          <w:noProof/>
        </w:rPr>
        <w:t>1</w:t>
      </w:r>
      <w:r w:rsidRPr="006F53B0">
        <w:rPr>
          <w:noProof/>
        </w:rPr>
        <w:fldChar w:fldCharType="end"/>
      </w:r>
    </w:p>
    <w:p w:rsidR="00C25CE4" w:rsidRPr="006F53B0" w:rsidRDefault="00C25C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53B0">
        <w:rPr>
          <w:noProof/>
        </w:rPr>
        <w:t>2</w:t>
      </w:r>
      <w:r w:rsidRPr="006F53B0">
        <w:rPr>
          <w:noProof/>
        </w:rPr>
        <w:tab/>
        <w:t>Commencement</w:t>
      </w:r>
      <w:r w:rsidRPr="006F53B0">
        <w:rPr>
          <w:noProof/>
        </w:rPr>
        <w:tab/>
      </w:r>
      <w:r w:rsidRPr="006F53B0">
        <w:rPr>
          <w:noProof/>
        </w:rPr>
        <w:fldChar w:fldCharType="begin"/>
      </w:r>
      <w:r w:rsidRPr="006F53B0">
        <w:rPr>
          <w:noProof/>
        </w:rPr>
        <w:instrText xml:space="preserve"> PAGEREF _Toc361992914 \h </w:instrText>
      </w:r>
      <w:r w:rsidRPr="006F53B0">
        <w:rPr>
          <w:noProof/>
        </w:rPr>
      </w:r>
      <w:r w:rsidRPr="006F53B0">
        <w:rPr>
          <w:noProof/>
        </w:rPr>
        <w:fldChar w:fldCharType="separate"/>
      </w:r>
      <w:r w:rsidR="00EB0B7B">
        <w:rPr>
          <w:noProof/>
        </w:rPr>
        <w:t>1</w:t>
      </w:r>
      <w:r w:rsidRPr="006F53B0">
        <w:rPr>
          <w:noProof/>
        </w:rPr>
        <w:fldChar w:fldCharType="end"/>
      </w:r>
    </w:p>
    <w:p w:rsidR="00C25CE4" w:rsidRPr="006F53B0" w:rsidRDefault="00C25C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53B0">
        <w:rPr>
          <w:noProof/>
        </w:rPr>
        <w:t>3</w:t>
      </w:r>
      <w:r w:rsidRPr="006F53B0">
        <w:rPr>
          <w:noProof/>
        </w:rPr>
        <w:tab/>
        <w:t>Authority</w:t>
      </w:r>
      <w:r w:rsidRPr="006F53B0">
        <w:rPr>
          <w:noProof/>
        </w:rPr>
        <w:tab/>
      </w:r>
      <w:r w:rsidRPr="006F53B0">
        <w:rPr>
          <w:noProof/>
        </w:rPr>
        <w:fldChar w:fldCharType="begin"/>
      </w:r>
      <w:r w:rsidRPr="006F53B0">
        <w:rPr>
          <w:noProof/>
        </w:rPr>
        <w:instrText xml:space="preserve"> PAGEREF _Toc361992915 \h </w:instrText>
      </w:r>
      <w:r w:rsidRPr="006F53B0">
        <w:rPr>
          <w:noProof/>
        </w:rPr>
      </w:r>
      <w:r w:rsidRPr="006F53B0">
        <w:rPr>
          <w:noProof/>
        </w:rPr>
        <w:fldChar w:fldCharType="separate"/>
      </w:r>
      <w:r w:rsidR="00EB0B7B">
        <w:rPr>
          <w:noProof/>
        </w:rPr>
        <w:t>1</w:t>
      </w:r>
      <w:r w:rsidRPr="006F53B0">
        <w:rPr>
          <w:noProof/>
        </w:rPr>
        <w:fldChar w:fldCharType="end"/>
      </w:r>
    </w:p>
    <w:p w:rsidR="00C25CE4" w:rsidRPr="006F53B0" w:rsidRDefault="00C25C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53B0">
        <w:rPr>
          <w:noProof/>
        </w:rPr>
        <w:t>4</w:t>
      </w:r>
      <w:r w:rsidRPr="006F53B0">
        <w:rPr>
          <w:noProof/>
        </w:rPr>
        <w:tab/>
        <w:t>Definitions</w:t>
      </w:r>
      <w:r w:rsidRPr="006F53B0">
        <w:rPr>
          <w:noProof/>
        </w:rPr>
        <w:tab/>
      </w:r>
      <w:r w:rsidRPr="006F53B0">
        <w:rPr>
          <w:noProof/>
        </w:rPr>
        <w:fldChar w:fldCharType="begin"/>
      </w:r>
      <w:r w:rsidRPr="006F53B0">
        <w:rPr>
          <w:noProof/>
        </w:rPr>
        <w:instrText xml:space="preserve"> PAGEREF _Toc361992916 \h </w:instrText>
      </w:r>
      <w:r w:rsidRPr="006F53B0">
        <w:rPr>
          <w:noProof/>
        </w:rPr>
      </w:r>
      <w:r w:rsidRPr="006F53B0">
        <w:rPr>
          <w:noProof/>
        </w:rPr>
        <w:fldChar w:fldCharType="separate"/>
      </w:r>
      <w:r w:rsidR="00EB0B7B">
        <w:rPr>
          <w:noProof/>
        </w:rPr>
        <w:t>1</w:t>
      </w:r>
      <w:r w:rsidRPr="006F53B0">
        <w:rPr>
          <w:noProof/>
        </w:rPr>
        <w:fldChar w:fldCharType="end"/>
      </w:r>
    </w:p>
    <w:p w:rsidR="00C25CE4" w:rsidRPr="006F53B0" w:rsidRDefault="00C25CE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F53B0">
        <w:rPr>
          <w:noProof/>
        </w:rPr>
        <w:t>Part</w:t>
      </w:r>
      <w:r w:rsidR="006F53B0" w:rsidRPr="006F53B0">
        <w:rPr>
          <w:noProof/>
        </w:rPr>
        <w:t> </w:t>
      </w:r>
      <w:r w:rsidRPr="006F53B0">
        <w:rPr>
          <w:noProof/>
        </w:rPr>
        <w:t>2—Trigger event: exemptions</w:t>
      </w:r>
      <w:r w:rsidRPr="006F53B0">
        <w:rPr>
          <w:b w:val="0"/>
          <w:noProof/>
          <w:sz w:val="18"/>
        </w:rPr>
        <w:tab/>
      </w:r>
      <w:r w:rsidRPr="006F53B0">
        <w:rPr>
          <w:b w:val="0"/>
          <w:noProof/>
          <w:sz w:val="18"/>
        </w:rPr>
        <w:fldChar w:fldCharType="begin"/>
      </w:r>
      <w:r w:rsidRPr="006F53B0">
        <w:rPr>
          <w:b w:val="0"/>
          <w:noProof/>
          <w:sz w:val="18"/>
        </w:rPr>
        <w:instrText xml:space="preserve"> PAGEREF _Toc361992917 \h </w:instrText>
      </w:r>
      <w:r w:rsidRPr="006F53B0">
        <w:rPr>
          <w:b w:val="0"/>
          <w:noProof/>
          <w:sz w:val="18"/>
        </w:rPr>
      </w:r>
      <w:r w:rsidRPr="006F53B0">
        <w:rPr>
          <w:b w:val="0"/>
          <w:noProof/>
          <w:sz w:val="18"/>
        </w:rPr>
        <w:fldChar w:fldCharType="separate"/>
      </w:r>
      <w:r w:rsidR="00EB0B7B">
        <w:rPr>
          <w:b w:val="0"/>
          <w:noProof/>
          <w:sz w:val="18"/>
        </w:rPr>
        <w:t>2</w:t>
      </w:r>
      <w:r w:rsidRPr="006F53B0">
        <w:rPr>
          <w:b w:val="0"/>
          <w:noProof/>
          <w:sz w:val="18"/>
        </w:rPr>
        <w:fldChar w:fldCharType="end"/>
      </w:r>
    </w:p>
    <w:p w:rsidR="00C25CE4" w:rsidRPr="006F53B0" w:rsidRDefault="00C25CE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F53B0">
        <w:rPr>
          <w:noProof/>
        </w:rPr>
        <w:t>5</w:t>
      </w:r>
      <w:r w:rsidRPr="006F53B0">
        <w:rPr>
          <w:noProof/>
        </w:rPr>
        <w:tab/>
        <w:t>Trigger event—exemptions</w:t>
      </w:r>
      <w:r w:rsidRPr="006F53B0">
        <w:rPr>
          <w:noProof/>
        </w:rPr>
        <w:tab/>
      </w:r>
      <w:r w:rsidRPr="006F53B0">
        <w:rPr>
          <w:noProof/>
        </w:rPr>
        <w:fldChar w:fldCharType="begin"/>
      </w:r>
      <w:r w:rsidRPr="006F53B0">
        <w:rPr>
          <w:noProof/>
        </w:rPr>
        <w:instrText xml:space="preserve"> PAGEREF _Toc361992918 \h </w:instrText>
      </w:r>
      <w:r w:rsidRPr="006F53B0">
        <w:rPr>
          <w:noProof/>
        </w:rPr>
      </w:r>
      <w:r w:rsidRPr="006F53B0">
        <w:rPr>
          <w:noProof/>
        </w:rPr>
        <w:fldChar w:fldCharType="separate"/>
      </w:r>
      <w:r w:rsidR="00EB0B7B">
        <w:rPr>
          <w:noProof/>
        </w:rPr>
        <w:t>2</w:t>
      </w:r>
      <w:r w:rsidRPr="006F53B0">
        <w:rPr>
          <w:noProof/>
        </w:rPr>
        <w:fldChar w:fldCharType="end"/>
      </w:r>
    </w:p>
    <w:p w:rsidR="00521C09" w:rsidRPr="006F53B0" w:rsidRDefault="00C25CE4" w:rsidP="00521C09">
      <w:r w:rsidRPr="006F53B0">
        <w:fldChar w:fldCharType="end"/>
      </w:r>
    </w:p>
    <w:p w:rsidR="00521C09" w:rsidRPr="006F53B0" w:rsidRDefault="00521C09" w:rsidP="00521C09">
      <w:pPr>
        <w:sectPr w:rsidR="00521C09" w:rsidRPr="006F53B0" w:rsidSect="0007466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521C09" w:rsidRPr="006F53B0" w:rsidRDefault="00521C09" w:rsidP="008A6DDA">
      <w:pPr>
        <w:pStyle w:val="ActHead2"/>
      </w:pPr>
      <w:bookmarkStart w:id="4" w:name="_Toc361992912"/>
      <w:r w:rsidRPr="006F53B0">
        <w:rPr>
          <w:rStyle w:val="CharPartNo"/>
        </w:rPr>
        <w:lastRenderedPageBreak/>
        <w:t>Part</w:t>
      </w:r>
      <w:r w:rsidR="006F53B0" w:rsidRPr="006F53B0">
        <w:rPr>
          <w:rStyle w:val="CharPartNo"/>
        </w:rPr>
        <w:t> </w:t>
      </w:r>
      <w:r w:rsidRPr="006F53B0">
        <w:rPr>
          <w:rStyle w:val="CharPartNo"/>
        </w:rPr>
        <w:t>1</w:t>
      </w:r>
      <w:r w:rsidRPr="006F53B0">
        <w:t>—</w:t>
      </w:r>
      <w:r w:rsidRPr="006F53B0">
        <w:rPr>
          <w:rStyle w:val="CharPartText"/>
        </w:rPr>
        <w:t>Preliminary</w:t>
      </w:r>
      <w:bookmarkEnd w:id="4"/>
    </w:p>
    <w:p w:rsidR="00521C09" w:rsidRPr="006F53B0" w:rsidRDefault="00521C09" w:rsidP="00521C09">
      <w:pPr>
        <w:pStyle w:val="Header"/>
      </w:pPr>
      <w:r w:rsidRPr="006F53B0">
        <w:rPr>
          <w:rStyle w:val="CharDivNo"/>
        </w:rPr>
        <w:t xml:space="preserve"> </w:t>
      </w:r>
      <w:r w:rsidRPr="006F53B0">
        <w:rPr>
          <w:rStyle w:val="CharDivText"/>
        </w:rPr>
        <w:t xml:space="preserve"> </w:t>
      </w:r>
    </w:p>
    <w:p w:rsidR="00275065" w:rsidRPr="006F53B0" w:rsidRDefault="00275065" w:rsidP="00521C09">
      <w:pPr>
        <w:pStyle w:val="ActHead5"/>
      </w:pPr>
      <w:bookmarkStart w:id="5" w:name="_Toc361992913"/>
      <w:r w:rsidRPr="006F53B0">
        <w:rPr>
          <w:rStyle w:val="CharSectno"/>
        </w:rPr>
        <w:t>1</w:t>
      </w:r>
      <w:r w:rsidR="00521C09" w:rsidRPr="006F53B0">
        <w:t xml:space="preserve">  </w:t>
      </w:r>
      <w:r w:rsidRPr="006F53B0">
        <w:t>Name of regulation</w:t>
      </w:r>
      <w:bookmarkEnd w:id="5"/>
    </w:p>
    <w:p w:rsidR="00160EE0" w:rsidRPr="006F53B0" w:rsidRDefault="00275065" w:rsidP="00521C09">
      <w:pPr>
        <w:pStyle w:val="subsection"/>
      </w:pPr>
      <w:r w:rsidRPr="006F53B0">
        <w:tab/>
      </w:r>
      <w:r w:rsidRPr="006F53B0">
        <w:tab/>
        <w:t xml:space="preserve">This regulation is the </w:t>
      </w:r>
      <w:r w:rsidR="00B70432" w:rsidRPr="006F53B0">
        <w:rPr>
          <w:i/>
        </w:rPr>
        <w:t>Broadcasting Services (Regional Commercial Radio) Regulation</w:t>
      </w:r>
      <w:r w:rsidR="006F53B0" w:rsidRPr="006F53B0">
        <w:rPr>
          <w:i/>
        </w:rPr>
        <w:t> </w:t>
      </w:r>
      <w:r w:rsidR="00B70432" w:rsidRPr="006F53B0">
        <w:rPr>
          <w:i/>
        </w:rPr>
        <w:t>2013</w:t>
      </w:r>
      <w:r w:rsidR="00C47468" w:rsidRPr="006F53B0">
        <w:t>.</w:t>
      </w:r>
    </w:p>
    <w:p w:rsidR="00275065" w:rsidRPr="006F53B0" w:rsidRDefault="00275065" w:rsidP="00521C09">
      <w:pPr>
        <w:pStyle w:val="ActHead5"/>
      </w:pPr>
      <w:bookmarkStart w:id="6" w:name="_Toc361992914"/>
      <w:r w:rsidRPr="006F53B0">
        <w:rPr>
          <w:rStyle w:val="CharSectno"/>
        </w:rPr>
        <w:t>2</w:t>
      </w:r>
      <w:r w:rsidR="00521C09" w:rsidRPr="006F53B0">
        <w:t xml:space="preserve">  </w:t>
      </w:r>
      <w:r w:rsidRPr="006F53B0">
        <w:t>Commencement</w:t>
      </w:r>
      <w:bookmarkEnd w:id="6"/>
    </w:p>
    <w:p w:rsidR="00275065" w:rsidRPr="006F53B0" w:rsidRDefault="00275065" w:rsidP="00521C09">
      <w:pPr>
        <w:pStyle w:val="subsection"/>
      </w:pPr>
      <w:bookmarkStart w:id="7" w:name="_GoBack"/>
      <w:r w:rsidRPr="006F53B0">
        <w:tab/>
      </w:r>
      <w:r w:rsidRPr="006F53B0">
        <w:tab/>
        <w:t>This regulation commences on the day after it is registered.</w:t>
      </w:r>
      <w:bookmarkEnd w:id="7"/>
    </w:p>
    <w:p w:rsidR="00521C09" w:rsidRPr="006F53B0" w:rsidRDefault="004A7D5D" w:rsidP="00521C09">
      <w:pPr>
        <w:pStyle w:val="ActHead5"/>
      </w:pPr>
      <w:bookmarkStart w:id="8" w:name="_Toc361992915"/>
      <w:r w:rsidRPr="006F53B0">
        <w:rPr>
          <w:rStyle w:val="CharSectno"/>
        </w:rPr>
        <w:t>3</w:t>
      </w:r>
      <w:r w:rsidR="00521C09" w:rsidRPr="006F53B0">
        <w:t xml:space="preserve">  Authority</w:t>
      </w:r>
      <w:bookmarkEnd w:id="8"/>
    </w:p>
    <w:p w:rsidR="00521C09" w:rsidRPr="006F53B0" w:rsidRDefault="00521C09" w:rsidP="004A7D5D">
      <w:pPr>
        <w:pStyle w:val="subsection"/>
      </w:pPr>
      <w:r w:rsidRPr="006F53B0">
        <w:tab/>
      </w:r>
      <w:r w:rsidRPr="006F53B0">
        <w:tab/>
        <w:t>This</w:t>
      </w:r>
      <w:r w:rsidR="004A7D5D" w:rsidRPr="006F53B0">
        <w:t xml:space="preserve"> regulation</w:t>
      </w:r>
      <w:r w:rsidRPr="006F53B0">
        <w:t xml:space="preserve"> is made under the</w:t>
      </w:r>
      <w:r w:rsidR="004A7D5D" w:rsidRPr="006F53B0">
        <w:t xml:space="preserve"> </w:t>
      </w:r>
      <w:r w:rsidR="004A7D5D" w:rsidRPr="006F53B0">
        <w:rPr>
          <w:i/>
        </w:rPr>
        <w:t>Broadcasting Services Act 1992</w:t>
      </w:r>
      <w:r w:rsidRPr="006F53B0">
        <w:t>.</w:t>
      </w:r>
    </w:p>
    <w:p w:rsidR="00275065" w:rsidRPr="006F53B0" w:rsidRDefault="004A7D5D" w:rsidP="00521C09">
      <w:pPr>
        <w:pStyle w:val="ActHead5"/>
      </w:pPr>
      <w:bookmarkStart w:id="9" w:name="_Toc361992916"/>
      <w:r w:rsidRPr="006F53B0">
        <w:rPr>
          <w:rStyle w:val="CharSectno"/>
        </w:rPr>
        <w:t>4</w:t>
      </w:r>
      <w:r w:rsidR="00521C09" w:rsidRPr="006F53B0">
        <w:t xml:space="preserve">  </w:t>
      </w:r>
      <w:r w:rsidR="000C5AE2" w:rsidRPr="006F53B0">
        <w:t>Definition</w:t>
      </w:r>
      <w:r w:rsidR="00022695" w:rsidRPr="006F53B0">
        <w:t>s</w:t>
      </w:r>
      <w:bookmarkEnd w:id="9"/>
    </w:p>
    <w:p w:rsidR="000C5AE2" w:rsidRPr="006F53B0" w:rsidRDefault="000C5AE2" w:rsidP="00521C09">
      <w:pPr>
        <w:pStyle w:val="subsection"/>
      </w:pPr>
      <w:r w:rsidRPr="006F53B0">
        <w:tab/>
      </w:r>
      <w:r w:rsidR="00C5142A" w:rsidRPr="006F53B0">
        <w:t>(1)</w:t>
      </w:r>
      <w:r w:rsidRPr="006F53B0">
        <w:tab/>
        <w:t>In this regulation:</w:t>
      </w:r>
    </w:p>
    <w:p w:rsidR="000C5AE2" w:rsidRPr="006F53B0" w:rsidRDefault="000C5AE2" w:rsidP="00521C09">
      <w:pPr>
        <w:pStyle w:val="Definition"/>
      </w:pPr>
      <w:r w:rsidRPr="006F53B0">
        <w:rPr>
          <w:b/>
          <w:i/>
        </w:rPr>
        <w:t>Act</w:t>
      </w:r>
      <w:r w:rsidRPr="006F53B0">
        <w:t xml:space="preserve"> means the </w:t>
      </w:r>
      <w:r w:rsidRPr="006F53B0">
        <w:rPr>
          <w:i/>
        </w:rPr>
        <w:t>Broadcasting Services Act 1992</w:t>
      </w:r>
      <w:r w:rsidRPr="006F53B0">
        <w:t>.</w:t>
      </w:r>
    </w:p>
    <w:p w:rsidR="008D6FBE" w:rsidRPr="006F53B0" w:rsidRDefault="008D6FBE" w:rsidP="00521C09">
      <w:pPr>
        <w:pStyle w:val="Definition"/>
      </w:pPr>
      <w:r w:rsidRPr="006F53B0">
        <w:rPr>
          <w:b/>
          <w:i/>
        </w:rPr>
        <w:t>media operation</w:t>
      </w:r>
      <w:r w:rsidRPr="006F53B0">
        <w:t xml:space="preserve"> has the same meaning as in </w:t>
      </w:r>
      <w:r w:rsidR="00521C09" w:rsidRPr="006F53B0">
        <w:t>Division</w:t>
      </w:r>
      <w:r w:rsidR="006F53B0" w:rsidRPr="006F53B0">
        <w:t> </w:t>
      </w:r>
      <w:r w:rsidRPr="006F53B0">
        <w:t xml:space="preserve">5A of </w:t>
      </w:r>
      <w:r w:rsidR="00521C09" w:rsidRPr="006F53B0">
        <w:t>Part</w:t>
      </w:r>
      <w:r w:rsidR="006F53B0" w:rsidRPr="006F53B0">
        <w:t> </w:t>
      </w:r>
      <w:r w:rsidRPr="006F53B0">
        <w:t>5 of the Act.</w:t>
      </w:r>
    </w:p>
    <w:p w:rsidR="00D86D2A" w:rsidRPr="006F53B0" w:rsidRDefault="00D86D2A" w:rsidP="00521C09">
      <w:pPr>
        <w:pStyle w:val="Definition"/>
      </w:pPr>
      <w:r w:rsidRPr="006F53B0">
        <w:rPr>
          <w:b/>
          <w:i/>
        </w:rPr>
        <w:t>wholly</w:t>
      </w:r>
      <w:r w:rsidR="006F53B0">
        <w:rPr>
          <w:b/>
          <w:i/>
        </w:rPr>
        <w:noBreakHyphen/>
      </w:r>
      <w:r w:rsidRPr="006F53B0">
        <w:rPr>
          <w:b/>
          <w:i/>
        </w:rPr>
        <w:t>owned subsidiary</w:t>
      </w:r>
      <w:r w:rsidRPr="006F53B0">
        <w:t xml:space="preserve"> has the same meaning as in the </w:t>
      </w:r>
      <w:r w:rsidRPr="006F53B0">
        <w:rPr>
          <w:i/>
        </w:rPr>
        <w:t>Corporations Act 2001</w:t>
      </w:r>
      <w:r w:rsidRPr="006F53B0">
        <w:t>.</w:t>
      </w:r>
    </w:p>
    <w:p w:rsidR="002B63A3" w:rsidRPr="006F53B0" w:rsidRDefault="00C5142A" w:rsidP="00521C09">
      <w:pPr>
        <w:pStyle w:val="subsection"/>
      </w:pPr>
      <w:r w:rsidRPr="006F53B0">
        <w:tab/>
        <w:t>(2)</w:t>
      </w:r>
      <w:r w:rsidRPr="006F53B0">
        <w:tab/>
        <w:t xml:space="preserve">In this regulation, the following terms have the same meaning as they have in </w:t>
      </w:r>
      <w:r w:rsidR="00521C09" w:rsidRPr="006F53B0">
        <w:t>Division</w:t>
      </w:r>
      <w:r w:rsidR="006F53B0" w:rsidRPr="006F53B0">
        <w:t> </w:t>
      </w:r>
      <w:r w:rsidR="008D6FBE" w:rsidRPr="006F53B0">
        <w:t>5C</w:t>
      </w:r>
      <w:r w:rsidRPr="006F53B0">
        <w:t xml:space="preserve"> of </w:t>
      </w:r>
      <w:r w:rsidR="00521C09" w:rsidRPr="006F53B0">
        <w:t>Part</w:t>
      </w:r>
      <w:r w:rsidR="006F53B0" w:rsidRPr="006F53B0">
        <w:t> </w:t>
      </w:r>
      <w:r w:rsidRPr="006F53B0">
        <w:t>5 of the Act:</w:t>
      </w:r>
    </w:p>
    <w:p w:rsidR="00C5142A" w:rsidRPr="006F53B0" w:rsidRDefault="00C5142A" w:rsidP="00521C09">
      <w:pPr>
        <w:pStyle w:val="paragraph"/>
      </w:pPr>
      <w:r w:rsidRPr="006F53B0">
        <w:tab/>
        <w:t>(a)</w:t>
      </w:r>
      <w:r w:rsidRPr="006F53B0">
        <w:tab/>
        <w:t>controller;</w:t>
      </w:r>
    </w:p>
    <w:p w:rsidR="00C5142A" w:rsidRPr="006F53B0" w:rsidRDefault="008D6FBE" w:rsidP="00521C09">
      <w:pPr>
        <w:pStyle w:val="paragraph"/>
      </w:pPr>
      <w:r w:rsidRPr="006F53B0">
        <w:tab/>
        <w:t>(b)</w:t>
      </w:r>
      <w:r w:rsidRPr="006F53B0">
        <w:tab/>
        <w:t>regional commercial radio broadcasting licence;</w:t>
      </w:r>
    </w:p>
    <w:p w:rsidR="00C5142A" w:rsidRPr="006F53B0" w:rsidRDefault="008D6FBE" w:rsidP="00521C09">
      <w:pPr>
        <w:pStyle w:val="paragraph"/>
      </w:pPr>
      <w:r w:rsidRPr="006F53B0">
        <w:tab/>
        <w:t>(c)</w:t>
      </w:r>
      <w:r w:rsidRPr="006F53B0">
        <w:tab/>
        <w:t>registrable media group;</w:t>
      </w:r>
    </w:p>
    <w:p w:rsidR="008D6FBE" w:rsidRPr="006F53B0" w:rsidRDefault="008D6FBE" w:rsidP="00521C09">
      <w:pPr>
        <w:pStyle w:val="paragraph"/>
      </w:pPr>
      <w:r w:rsidRPr="006F53B0">
        <w:tab/>
        <w:t>(d)</w:t>
      </w:r>
      <w:r w:rsidRPr="006F53B0">
        <w:tab/>
        <w:t>trigger event.</w:t>
      </w:r>
    </w:p>
    <w:p w:rsidR="008D6FBE" w:rsidRPr="006F53B0" w:rsidRDefault="00521C09" w:rsidP="00521C09">
      <w:pPr>
        <w:pStyle w:val="notetext"/>
      </w:pPr>
      <w:r w:rsidRPr="006F53B0">
        <w:t>Note:</w:t>
      </w:r>
      <w:r w:rsidRPr="006F53B0">
        <w:tab/>
      </w:r>
      <w:r w:rsidR="008D6FBE" w:rsidRPr="006F53B0">
        <w:t>In this regulation, some terms have the same meaning as in the Act, including</w:t>
      </w:r>
      <w:r w:rsidR="00BC3295" w:rsidRPr="006F53B0">
        <w:t xml:space="preserve"> the following</w:t>
      </w:r>
      <w:r w:rsidR="008D6FBE" w:rsidRPr="006F53B0">
        <w:t>:</w:t>
      </w:r>
    </w:p>
    <w:p w:rsidR="008D6FBE" w:rsidRPr="006F53B0" w:rsidRDefault="002C0F7D" w:rsidP="00521C09">
      <w:pPr>
        <w:pStyle w:val="notepara"/>
      </w:pPr>
      <w:r w:rsidRPr="006F53B0">
        <w:t>(a)</w:t>
      </w:r>
      <w:r w:rsidRPr="006F53B0">
        <w:tab/>
      </w:r>
      <w:r w:rsidR="008D6FBE" w:rsidRPr="006F53B0">
        <w:t>control</w:t>
      </w:r>
      <w:r w:rsidRPr="006F53B0">
        <w:t>;</w:t>
      </w:r>
    </w:p>
    <w:p w:rsidR="008D6FBE" w:rsidRPr="006F53B0" w:rsidRDefault="002C0F7D" w:rsidP="00521C09">
      <w:pPr>
        <w:pStyle w:val="notepara"/>
      </w:pPr>
      <w:r w:rsidRPr="006F53B0">
        <w:t>(b)</w:t>
      </w:r>
      <w:r w:rsidRPr="006F53B0">
        <w:tab/>
      </w:r>
      <w:r w:rsidR="008D6FBE" w:rsidRPr="006F53B0">
        <w:t>shares.</w:t>
      </w:r>
    </w:p>
    <w:p w:rsidR="000C5AE2" w:rsidRPr="006F53B0" w:rsidRDefault="00521C09" w:rsidP="00521C09">
      <w:pPr>
        <w:pStyle w:val="ActHead2"/>
        <w:pageBreakBefore/>
      </w:pPr>
      <w:bookmarkStart w:id="10" w:name="f_Check_Lines_above"/>
      <w:bookmarkStart w:id="11" w:name="_Toc361992917"/>
      <w:bookmarkEnd w:id="10"/>
      <w:r w:rsidRPr="006F53B0">
        <w:rPr>
          <w:rStyle w:val="CharPartNo"/>
        </w:rPr>
        <w:lastRenderedPageBreak/>
        <w:t>Part</w:t>
      </w:r>
      <w:r w:rsidR="006F53B0" w:rsidRPr="006F53B0">
        <w:rPr>
          <w:rStyle w:val="CharPartNo"/>
        </w:rPr>
        <w:t> </w:t>
      </w:r>
      <w:r w:rsidR="000C5AE2" w:rsidRPr="006F53B0">
        <w:rPr>
          <w:rStyle w:val="CharPartNo"/>
        </w:rPr>
        <w:t>2</w:t>
      </w:r>
      <w:r w:rsidRPr="006F53B0">
        <w:t>—</w:t>
      </w:r>
      <w:r w:rsidR="00890231" w:rsidRPr="006F53B0">
        <w:rPr>
          <w:rStyle w:val="CharPartText"/>
        </w:rPr>
        <w:t xml:space="preserve">Trigger event: </w:t>
      </w:r>
      <w:r w:rsidR="000C5AE2" w:rsidRPr="006F53B0">
        <w:rPr>
          <w:rStyle w:val="CharPartText"/>
        </w:rPr>
        <w:t>exe</w:t>
      </w:r>
      <w:r w:rsidR="002F0CE6" w:rsidRPr="006F53B0">
        <w:rPr>
          <w:rStyle w:val="CharPartText"/>
        </w:rPr>
        <w:t>m</w:t>
      </w:r>
      <w:r w:rsidR="000C5AE2" w:rsidRPr="006F53B0">
        <w:rPr>
          <w:rStyle w:val="CharPartText"/>
        </w:rPr>
        <w:t>ptions</w:t>
      </w:r>
      <w:bookmarkEnd w:id="11"/>
    </w:p>
    <w:p w:rsidR="008C23F1" w:rsidRPr="006F53B0" w:rsidRDefault="008C23F1" w:rsidP="008C23F1">
      <w:pPr>
        <w:pStyle w:val="Header"/>
      </w:pPr>
      <w:r w:rsidRPr="006F53B0">
        <w:rPr>
          <w:rStyle w:val="CharDivNo"/>
        </w:rPr>
        <w:t xml:space="preserve"> </w:t>
      </w:r>
      <w:r w:rsidRPr="006F53B0">
        <w:rPr>
          <w:rStyle w:val="CharDivText"/>
        </w:rPr>
        <w:t xml:space="preserve"> </w:t>
      </w:r>
    </w:p>
    <w:p w:rsidR="000C5AE2" w:rsidRPr="006F53B0" w:rsidRDefault="004A7D5D" w:rsidP="00521C09">
      <w:pPr>
        <w:pStyle w:val="ActHead5"/>
      </w:pPr>
      <w:bookmarkStart w:id="12" w:name="_Toc361992918"/>
      <w:r w:rsidRPr="006F53B0">
        <w:rPr>
          <w:rStyle w:val="CharSectno"/>
        </w:rPr>
        <w:t>5</w:t>
      </w:r>
      <w:r w:rsidR="00521C09" w:rsidRPr="006F53B0">
        <w:t xml:space="preserve">  </w:t>
      </w:r>
      <w:r w:rsidR="002F0CE6" w:rsidRPr="006F53B0">
        <w:t>Trigger event—exemptions</w:t>
      </w:r>
      <w:bookmarkEnd w:id="12"/>
    </w:p>
    <w:p w:rsidR="002F0CE6" w:rsidRPr="006F53B0" w:rsidRDefault="002F0CE6" w:rsidP="00521C09">
      <w:pPr>
        <w:pStyle w:val="subsection"/>
      </w:pPr>
      <w:r w:rsidRPr="006F53B0">
        <w:tab/>
        <w:t>(1)</w:t>
      </w:r>
      <w:r w:rsidRPr="006F53B0">
        <w:tab/>
        <w:t>For subsections</w:t>
      </w:r>
      <w:r w:rsidR="006F53B0" w:rsidRPr="006F53B0">
        <w:t> </w:t>
      </w:r>
      <w:r w:rsidRPr="006F53B0">
        <w:t>61C</w:t>
      </w:r>
      <w:r w:rsidR="00521C09" w:rsidRPr="006F53B0">
        <w:t>B(</w:t>
      </w:r>
      <w:r w:rsidRPr="006F53B0">
        <w:t>1D), (2C) and (5) of the Act, this section sets out exemptions from subsections</w:t>
      </w:r>
      <w:r w:rsidR="006F53B0" w:rsidRPr="006F53B0">
        <w:t> </w:t>
      </w:r>
      <w:r w:rsidRPr="006F53B0">
        <w:t>61C</w:t>
      </w:r>
      <w:r w:rsidR="00521C09" w:rsidRPr="006F53B0">
        <w:t>B(</w:t>
      </w:r>
      <w:r w:rsidRPr="006F53B0">
        <w:t>1A), (2) and (3) of the Act.</w:t>
      </w:r>
    </w:p>
    <w:p w:rsidR="00C60711" w:rsidRPr="006F53B0" w:rsidRDefault="00521C09" w:rsidP="00521C09">
      <w:pPr>
        <w:pStyle w:val="notetext"/>
      </w:pPr>
      <w:r w:rsidRPr="006F53B0">
        <w:t>Note:</w:t>
      </w:r>
      <w:r w:rsidRPr="006F53B0">
        <w:tab/>
      </w:r>
      <w:r w:rsidR="00C60711" w:rsidRPr="006F53B0">
        <w:t>Subsections</w:t>
      </w:r>
      <w:r w:rsidR="006F53B0" w:rsidRPr="006F53B0">
        <w:t> </w:t>
      </w:r>
      <w:r w:rsidR="00C60711" w:rsidRPr="006F53B0">
        <w:t>61C</w:t>
      </w:r>
      <w:r w:rsidRPr="006F53B0">
        <w:t>B(</w:t>
      </w:r>
      <w:r w:rsidR="00C60711" w:rsidRPr="006F53B0">
        <w:t>1A), (2) and (3) of the Act set out trigger events.</w:t>
      </w:r>
    </w:p>
    <w:p w:rsidR="00D467F6" w:rsidRPr="006F53B0" w:rsidRDefault="00D467F6" w:rsidP="00521C09">
      <w:pPr>
        <w:pStyle w:val="SubsectionHead"/>
      </w:pPr>
      <w:r w:rsidRPr="006F53B0">
        <w:t>Change in control of licence</w:t>
      </w:r>
    </w:p>
    <w:p w:rsidR="00C60711" w:rsidRPr="006F53B0" w:rsidRDefault="00C60711" w:rsidP="00521C09">
      <w:pPr>
        <w:pStyle w:val="subsection"/>
      </w:pPr>
      <w:r w:rsidRPr="006F53B0">
        <w:tab/>
        <w:t>(2)</w:t>
      </w:r>
      <w:r w:rsidRPr="006F53B0">
        <w:tab/>
      </w:r>
      <w:r w:rsidR="00386521" w:rsidRPr="006F53B0">
        <w:t>Subsection</w:t>
      </w:r>
      <w:r w:rsidR="006F53B0" w:rsidRPr="006F53B0">
        <w:t> </w:t>
      </w:r>
      <w:r w:rsidR="00386521" w:rsidRPr="006F53B0">
        <w:t>61C</w:t>
      </w:r>
      <w:r w:rsidR="00521C09" w:rsidRPr="006F53B0">
        <w:t>B(</w:t>
      </w:r>
      <w:r w:rsidR="00386521" w:rsidRPr="006F53B0">
        <w:t xml:space="preserve">1A) </w:t>
      </w:r>
      <w:r w:rsidR="003F7349" w:rsidRPr="006F53B0">
        <w:t xml:space="preserve">of the Act </w:t>
      </w:r>
      <w:r w:rsidR="00386521" w:rsidRPr="006F53B0">
        <w:t xml:space="preserve">does not apply </w:t>
      </w:r>
      <w:r w:rsidRPr="006F53B0">
        <w:t>if</w:t>
      </w:r>
      <w:r w:rsidR="00D467F6" w:rsidRPr="006F53B0">
        <w:t xml:space="preserve"> </w:t>
      </w:r>
      <w:r w:rsidR="000729E4" w:rsidRPr="006F53B0">
        <w:t>the control event mentioned in th</w:t>
      </w:r>
      <w:r w:rsidR="00783980" w:rsidRPr="006F53B0">
        <w:t>at</w:t>
      </w:r>
      <w:r w:rsidR="000729E4" w:rsidRPr="006F53B0">
        <w:t xml:space="preserve"> subsection </w:t>
      </w:r>
      <w:r w:rsidR="007E5662" w:rsidRPr="006F53B0">
        <w:t>occurs</w:t>
      </w:r>
      <w:r w:rsidR="000729E4" w:rsidRPr="006F53B0">
        <w:t xml:space="preserve"> in the following circumstances</w:t>
      </w:r>
      <w:r w:rsidRPr="006F53B0">
        <w:t>:</w:t>
      </w:r>
    </w:p>
    <w:p w:rsidR="00C60711" w:rsidRPr="006F53B0" w:rsidRDefault="00C60711" w:rsidP="00521C09">
      <w:pPr>
        <w:pStyle w:val="paragraph"/>
      </w:pPr>
      <w:r w:rsidRPr="006F53B0">
        <w:tab/>
        <w:t>(a)</w:t>
      </w:r>
      <w:r w:rsidRPr="006F53B0">
        <w:tab/>
        <w:t xml:space="preserve">a person (the </w:t>
      </w:r>
      <w:r w:rsidR="00386521" w:rsidRPr="006F53B0">
        <w:rPr>
          <w:b/>
          <w:i/>
        </w:rPr>
        <w:t>first</w:t>
      </w:r>
      <w:r w:rsidRPr="006F53B0">
        <w:rPr>
          <w:b/>
          <w:i/>
        </w:rPr>
        <w:t xml:space="preserve"> person</w:t>
      </w:r>
      <w:r w:rsidRPr="006F53B0">
        <w:t>) ceases to be in a position to exercise control of a regional commercial radio broadcastin</w:t>
      </w:r>
      <w:r w:rsidR="008C23F1" w:rsidRPr="006F53B0">
        <w:t>g licence;</w:t>
      </w:r>
    </w:p>
    <w:p w:rsidR="00C60711" w:rsidRPr="006F53B0" w:rsidRDefault="00C60711" w:rsidP="00521C09">
      <w:pPr>
        <w:pStyle w:val="paragraph"/>
      </w:pPr>
      <w:r w:rsidRPr="006F53B0">
        <w:tab/>
        <w:t>(b)</w:t>
      </w:r>
      <w:r w:rsidRPr="006F53B0">
        <w:tab/>
        <w:t xml:space="preserve">another person (the </w:t>
      </w:r>
      <w:r w:rsidR="00386521" w:rsidRPr="006F53B0">
        <w:rPr>
          <w:b/>
          <w:i/>
        </w:rPr>
        <w:t>second</w:t>
      </w:r>
      <w:r w:rsidRPr="006F53B0">
        <w:rPr>
          <w:b/>
          <w:i/>
        </w:rPr>
        <w:t xml:space="preserve"> person</w:t>
      </w:r>
      <w:r w:rsidRPr="006F53B0">
        <w:t>) starts to be in a position to exercise control of the regional commerc</w:t>
      </w:r>
      <w:r w:rsidR="008C23F1" w:rsidRPr="006F53B0">
        <w:t>ial radio broadcasting licence;</w:t>
      </w:r>
    </w:p>
    <w:p w:rsidR="000D44F8" w:rsidRPr="006F53B0" w:rsidRDefault="00743F86" w:rsidP="00F46935">
      <w:pPr>
        <w:pStyle w:val="paragraph"/>
      </w:pPr>
      <w:r w:rsidRPr="006F53B0">
        <w:tab/>
        <w:t>(c</w:t>
      </w:r>
      <w:r w:rsidR="00C60711" w:rsidRPr="006F53B0">
        <w:t>)</w:t>
      </w:r>
      <w:r w:rsidR="00C60711" w:rsidRPr="006F53B0">
        <w:tab/>
        <w:t xml:space="preserve">the </w:t>
      </w:r>
      <w:r w:rsidR="00386521" w:rsidRPr="006F53B0">
        <w:t>second</w:t>
      </w:r>
      <w:r w:rsidR="00C60711" w:rsidRPr="006F53B0">
        <w:t xml:space="preserve"> person</w:t>
      </w:r>
      <w:r w:rsidR="00F46935" w:rsidRPr="006F53B0">
        <w:t xml:space="preserve"> </w:t>
      </w:r>
      <w:r w:rsidR="000D44F8" w:rsidRPr="006F53B0">
        <w:t>is controlled in the same way as t</w:t>
      </w:r>
      <w:r w:rsidR="008C23F1" w:rsidRPr="006F53B0">
        <w:t>he first person was controlled;</w:t>
      </w:r>
    </w:p>
    <w:p w:rsidR="001B6479" w:rsidRPr="006F53B0" w:rsidRDefault="00C47468" w:rsidP="00521C09">
      <w:pPr>
        <w:pStyle w:val="paragraph"/>
      </w:pPr>
      <w:r w:rsidRPr="006F53B0">
        <w:tab/>
        <w:t>(d)</w:t>
      </w:r>
      <w:r w:rsidRPr="006F53B0">
        <w:tab/>
      </w:r>
      <w:r w:rsidR="001B6479" w:rsidRPr="006F53B0">
        <w:t>either:</w:t>
      </w:r>
    </w:p>
    <w:p w:rsidR="00743F86" w:rsidRPr="006F53B0" w:rsidRDefault="001B6479" w:rsidP="005E703B">
      <w:pPr>
        <w:pStyle w:val="paragraphsub"/>
      </w:pPr>
      <w:r w:rsidRPr="006F53B0">
        <w:tab/>
        <w:t>(i)</w:t>
      </w:r>
      <w:r w:rsidRPr="006F53B0">
        <w:tab/>
      </w:r>
      <w:r w:rsidR="00C47468" w:rsidRPr="006F53B0">
        <w:t>the persons who are in a position to exercise control of the regional commercial radio broadcasting li</w:t>
      </w:r>
      <w:r w:rsidR="000D44F8" w:rsidRPr="006F53B0">
        <w:t>cence</w:t>
      </w:r>
      <w:r w:rsidRPr="006F53B0">
        <w:t xml:space="preserve"> </w:t>
      </w:r>
      <w:r w:rsidR="005E703B" w:rsidRPr="006F53B0">
        <w:t>do not otherwise change; or</w:t>
      </w:r>
    </w:p>
    <w:p w:rsidR="005E703B" w:rsidRPr="006F53B0" w:rsidRDefault="005E703B" w:rsidP="005E703B">
      <w:pPr>
        <w:pStyle w:val="paragraphsub"/>
      </w:pPr>
      <w:r w:rsidRPr="006F53B0">
        <w:tab/>
      </w:r>
      <w:r w:rsidR="001B6479" w:rsidRPr="006F53B0">
        <w:t>(ii)</w:t>
      </w:r>
      <w:r w:rsidR="001B6479" w:rsidRPr="006F53B0">
        <w:tab/>
        <w:t>any other change to the persons who are in a position to exercise control of the regional commercial radio broadcasting licence is not a trigger event.</w:t>
      </w:r>
    </w:p>
    <w:p w:rsidR="001B6479" w:rsidRPr="006F53B0" w:rsidRDefault="00E26F1E" w:rsidP="001B6479">
      <w:pPr>
        <w:pStyle w:val="notetext"/>
      </w:pPr>
      <w:r w:rsidRPr="006F53B0">
        <w:t>Note:</w:t>
      </w:r>
      <w:r w:rsidRPr="006F53B0">
        <w:tab/>
        <w:t xml:space="preserve">An example for </w:t>
      </w:r>
      <w:r w:rsidR="006F53B0" w:rsidRPr="006F53B0">
        <w:t>paragraph (</w:t>
      </w:r>
      <w:r w:rsidR="00F46935" w:rsidRPr="006F53B0">
        <w:t>c)</w:t>
      </w:r>
      <w:r w:rsidRPr="006F53B0">
        <w:t xml:space="preserve"> is that t</w:t>
      </w:r>
      <w:r w:rsidR="003E1CCB" w:rsidRPr="006F53B0">
        <w:t>he first person and second person are, or were, wholly controlled subsidiar</w:t>
      </w:r>
      <w:r w:rsidR="00C07B1D" w:rsidRPr="006F53B0">
        <w:t>ies of the same parent company.</w:t>
      </w:r>
    </w:p>
    <w:p w:rsidR="00D467F6" w:rsidRPr="006F53B0" w:rsidRDefault="00D467F6" w:rsidP="00521C09">
      <w:pPr>
        <w:pStyle w:val="SubsectionHead"/>
      </w:pPr>
      <w:r w:rsidRPr="006F53B0">
        <w:t>Change of controller of registrable media group</w:t>
      </w:r>
    </w:p>
    <w:p w:rsidR="00C60711" w:rsidRPr="006F53B0" w:rsidRDefault="00DB3B4C" w:rsidP="00521C09">
      <w:pPr>
        <w:pStyle w:val="subsection"/>
      </w:pPr>
      <w:r w:rsidRPr="006F53B0">
        <w:tab/>
        <w:t>(3)</w:t>
      </w:r>
      <w:r w:rsidRPr="006F53B0">
        <w:tab/>
      </w:r>
      <w:r w:rsidR="003F7349" w:rsidRPr="006F53B0">
        <w:t>Subsection</w:t>
      </w:r>
      <w:r w:rsidR="006F53B0" w:rsidRPr="006F53B0">
        <w:t> </w:t>
      </w:r>
      <w:r w:rsidR="003F7349" w:rsidRPr="006F53B0">
        <w:t>61C</w:t>
      </w:r>
      <w:r w:rsidR="00521C09" w:rsidRPr="006F53B0">
        <w:t>B(</w:t>
      </w:r>
      <w:r w:rsidR="003F7349" w:rsidRPr="006F53B0">
        <w:t xml:space="preserve">3) of the Act does not apply if </w:t>
      </w:r>
      <w:r w:rsidR="007E5662" w:rsidRPr="006F53B0">
        <w:t>the chang</w:t>
      </w:r>
      <w:r w:rsidR="00783980" w:rsidRPr="006F53B0">
        <w:t>e of controller mentioned in that</w:t>
      </w:r>
      <w:r w:rsidR="007E5662" w:rsidRPr="006F53B0">
        <w:t xml:space="preserve"> subsection occurs in the following circumstances</w:t>
      </w:r>
      <w:r w:rsidR="003F7349" w:rsidRPr="006F53B0">
        <w:t>:</w:t>
      </w:r>
    </w:p>
    <w:p w:rsidR="00DB3B4C" w:rsidRPr="006F53B0" w:rsidRDefault="00DB3B4C" w:rsidP="00521C09">
      <w:pPr>
        <w:pStyle w:val="paragraph"/>
      </w:pPr>
      <w:r w:rsidRPr="006F53B0">
        <w:lastRenderedPageBreak/>
        <w:tab/>
        <w:t>(a)</w:t>
      </w:r>
      <w:r w:rsidRPr="006F53B0">
        <w:tab/>
        <w:t>a controll</w:t>
      </w:r>
      <w:r w:rsidR="00CD0141" w:rsidRPr="006F53B0">
        <w:t xml:space="preserve">er </w:t>
      </w:r>
      <w:r w:rsidR="004134F6" w:rsidRPr="006F53B0">
        <w:t xml:space="preserve">(the </w:t>
      </w:r>
      <w:r w:rsidR="003F7349" w:rsidRPr="006F53B0">
        <w:rPr>
          <w:b/>
          <w:i/>
        </w:rPr>
        <w:t>first</w:t>
      </w:r>
      <w:r w:rsidR="004134F6" w:rsidRPr="006F53B0">
        <w:rPr>
          <w:b/>
          <w:i/>
        </w:rPr>
        <w:t xml:space="preserve"> controller</w:t>
      </w:r>
      <w:r w:rsidR="004134F6" w:rsidRPr="006F53B0">
        <w:t xml:space="preserve">) </w:t>
      </w:r>
      <w:r w:rsidR="00CD0141" w:rsidRPr="006F53B0">
        <w:t>of a registrable media group</w:t>
      </w:r>
      <w:r w:rsidRPr="006F53B0">
        <w:t xml:space="preserve"> ceases t</w:t>
      </w:r>
      <w:r w:rsidR="008C23F1" w:rsidRPr="006F53B0">
        <w:t>o be a controller of the group;</w:t>
      </w:r>
    </w:p>
    <w:p w:rsidR="00DB3B4C" w:rsidRPr="006F53B0" w:rsidRDefault="00DB3B4C" w:rsidP="00521C09">
      <w:pPr>
        <w:pStyle w:val="paragraph"/>
      </w:pPr>
      <w:r w:rsidRPr="006F53B0">
        <w:tab/>
        <w:t>(b)</w:t>
      </w:r>
      <w:r w:rsidRPr="006F53B0">
        <w:tab/>
        <w:t xml:space="preserve">a person </w:t>
      </w:r>
      <w:r w:rsidR="004134F6" w:rsidRPr="006F53B0">
        <w:t xml:space="preserve">(the </w:t>
      </w:r>
      <w:r w:rsidR="003F7349" w:rsidRPr="006F53B0">
        <w:rPr>
          <w:b/>
          <w:i/>
        </w:rPr>
        <w:t>second</w:t>
      </w:r>
      <w:r w:rsidR="004134F6" w:rsidRPr="006F53B0">
        <w:rPr>
          <w:b/>
          <w:i/>
        </w:rPr>
        <w:t xml:space="preserve"> controller</w:t>
      </w:r>
      <w:r w:rsidR="004134F6" w:rsidRPr="006F53B0">
        <w:t xml:space="preserve">) </w:t>
      </w:r>
      <w:r w:rsidRPr="006F53B0">
        <w:t xml:space="preserve">who was not a controller of </w:t>
      </w:r>
      <w:r w:rsidR="00CD0141" w:rsidRPr="006F53B0">
        <w:t>the registrable media group bec</w:t>
      </w:r>
      <w:r w:rsidR="008C23F1" w:rsidRPr="006F53B0">
        <w:t>omes a controller of the group;</w:t>
      </w:r>
    </w:p>
    <w:p w:rsidR="00C60711" w:rsidRPr="006F53B0" w:rsidRDefault="00CD0141" w:rsidP="00521C09">
      <w:pPr>
        <w:pStyle w:val="paragraph"/>
      </w:pPr>
      <w:r w:rsidRPr="006F53B0">
        <w:tab/>
        <w:t>(c)</w:t>
      </w:r>
      <w:r w:rsidRPr="006F53B0">
        <w:tab/>
        <w:t>the registrable media group</w:t>
      </w:r>
      <w:r w:rsidR="00911EFF" w:rsidRPr="006F53B0">
        <w:t xml:space="preserve"> includes a regional commercial radio broadcasting licence</w:t>
      </w:r>
      <w:r w:rsidR="008C23F1" w:rsidRPr="006F53B0">
        <w:t>;</w:t>
      </w:r>
    </w:p>
    <w:p w:rsidR="000D44F8" w:rsidRPr="006F53B0" w:rsidRDefault="004134F6" w:rsidP="00F46935">
      <w:pPr>
        <w:pStyle w:val="paragraph"/>
      </w:pPr>
      <w:r w:rsidRPr="006F53B0">
        <w:tab/>
        <w:t>(d)</w:t>
      </w:r>
      <w:r w:rsidRPr="006F53B0">
        <w:tab/>
        <w:t xml:space="preserve">the </w:t>
      </w:r>
      <w:r w:rsidR="003F7349" w:rsidRPr="006F53B0">
        <w:t>second</w:t>
      </w:r>
      <w:r w:rsidRPr="006F53B0">
        <w:t xml:space="preserve"> controller</w:t>
      </w:r>
      <w:r w:rsidR="00F46935" w:rsidRPr="006F53B0">
        <w:t xml:space="preserve"> </w:t>
      </w:r>
      <w:r w:rsidR="000D44F8" w:rsidRPr="006F53B0">
        <w:t>is controlled in the same way as the first controller was controlled;</w:t>
      </w:r>
    </w:p>
    <w:p w:rsidR="00581353" w:rsidRPr="006F53B0" w:rsidRDefault="00C47468" w:rsidP="00581353">
      <w:pPr>
        <w:pStyle w:val="paragraph"/>
      </w:pPr>
      <w:r w:rsidRPr="006F53B0">
        <w:tab/>
        <w:t>(e)</w:t>
      </w:r>
      <w:r w:rsidRPr="006F53B0">
        <w:tab/>
      </w:r>
      <w:r w:rsidR="00581353" w:rsidRPr="006F53B0">
        <w:t>either:</w:t>
      </w:r>
    </w:p>
    <w:p w:rsidR="00581353" w:rsidRPr="006F53B0" w:rsidRDefault="00581353" w:rsidP="00581353">
      <w:pPr>
        <w:pStyle w:val="paragraphsub"/>
      </w:pPr>
      <w:r w:rsidRPr="006F53B0">
        <w:tab/>
        <w:t>(i)</w:t>
      </w:r>
      <w:r w:rsidRPr="006F53B0">
        <w:tab/>
        <w:t>the persons who are in a position to exercise control of the regional commercial radio broadcasting licence do not otherwise change; or</w:t>
      </w:r>
    </w:p>
    <w:p w:rsidR="00D467F6" w:rsidRPr="006F53B0" w:rsidRDefault="00581353" w:rsidP="00581353">
      <w:pPr>
        <w:pStyle w:val="paragraphsub"/>
      </w:pPr>
      <w:r w:rsidRPr="006F53B0">
        <w:tab/>
        <w:t>(ii)</w:t>
      </w:r>
      <w:r w:rsidRPr="006F53B0">
        <w:tab/>
        <w:t>any other change to the persons who are in a position to exercise control of the regional commercial radio broadcasting licence is not a trigger event.</w:t>
      </w:r>
    </w:p>
    <w:p w:rsidR="00143B92" w:rsidRPr="006F53B0" w:rsidRDefault="00E26F1E" w:rsidP="00CC0728">
      <w:pPr>
        <w:pStyle w:val="notetext"/>
      </w:pPr>
      <w:r w:rsidRPr="006F53B0">
        <w:t>Note:</w:t>
      </w:r>
      <w:r w:rsidRPr="006F53B0">
        <w:tab/>
        <w:t>An example f</w:t>
      </w:r>
      <w:r w:rsidR="00143B92" w:rsidRPr="006F53B0">
        <w:t xml:space="preserve">or </w:t>
      </w:r>
      <w:r w:rsidR="006F53B0" w:rsidRPr="006F53B0">
        <w:t>paragraph (</w:t>
      </w:r>
      <w:r w:rsidR="00143B92" w:rsidRPr="006F53B0">
        <w:t>d)</w:t>
      </w:r>
      <w:r w:rsidRPr="006F53B0">
        <w:t xml:space="preserve"> is that</w:t>
      </w:r>
      <w:r w:rsidR="00CC0728" w:rsidRPr="006F53B0">
        <w:t xml:space="preserve"> t</w:t>
      </w:r>
      <w:r w:rsidR="00143B92" w:rsidRPr="006F53B0">
        <w:t xml:space="preserve">he first </w:t>
      </w:r>
      <w:r w:rsidRPr="006F53B0">
        <w:t xml:space="preserve">controller </w:t>
      </w:r>
      <w:r w:rsidR="00143B92" w:rsidRPr="006F53B0">
        <w:t xml:space="preserve">and second </w:t>
      </w:r>
      <w:r w:rsidRPr="006F53B0">
        <w:t xml:space="preserve">controller </w:t>
      </w:r>
      <w:r w:rsidR="00143B92" w:rsidRPr="006F53B0">
        <w:t>are, or were, wholly controlled subsidiar</w:t>
      </w:r>
      <w:r w:rsidR="008C23F1" w:rsidRPr="006F53B0">
        <w:t>ies of the same parent company.</w:t>
      </w:r>
    </w:p>
    <w:p w:rsidR="000620C5" w:rsidRPr="006F53B0" w:rsidRDefault="000620C5" w:rsidP="00521C09">
      <w:pPr>
        <w:pStyle w:val="SubsectionHead"/>
      </w:pPr>
      <w:r w:rsidRPr="006F53B0">
        <w:t>Change of directors</w:t>
      </w:r>
    </w:p>
    <w:p w:rsidR="000617C7" w:rsidRPr="006F53B0" w:rsidRDefault="00D467F6" w:rsidP="00521C09">
      <w:pPr>
        <w:pStyle w:val="subsection"/>
      </w:pPr>
      <w:r w:rsidRPr="006F53B0">
        <w:tab/>
        <w:t>(4)</w:t>
      </w:r>
      <w:r w:rsidRPr="006F53B0">
        <w:tab/>
      </w:r>
      <w:r w:rsidR="00DF5C3D" w:rsidRPr="006F53B0">
        <w:t>Subsection</w:t>
      </w:r>
      <w:r w:rsidR="006F53B0" w:rsidRPr="006F53B0">
        <w:t> </w:t>
      </w:r>
      <w:r w:rsidR="005C2096" w:rsidRPr="006F53B0">
        <w:t>61C</w:t>
      </w:r>
      <w:r w:rsidR="00521C09" w:rsidRPr="006F53B0">
        <w:t>B(</w:t>
      </w:r>
      <w:r w:rsidR="005C2096" w:rsidRPr="006F53B0">
        <w:t xml:space="preserve">1A) </w:t>
      </w:r>
      <w:r w:rsidR="00DF5C3D" w:rsidRPr="006F53B0">
        <w:t>or</w:t>
      </w:r>
      <w:r w:rsidR="005C2096" w:rsidRPr="006F53B0">
        <w:t xml:space="preserve"> (3) of the Act do</w:t>
      </w:r>
      <w:r w:rsidR="00DF5C3D" w:rsidRPr="006F53B0">
        <w:t>es</w:t>
      </w:r>
      <w:r w:rsidR="005C2096" w:rsidRPr="006F53B0">
        <w:t xml:space="preserve"> not apply if</w:t>
      </w:r>
      <w:r w:rsidR="008C23F1" w:rsidRPr="006F53B0">
        <w:t>:</w:t>
      </w:r>
    </w:p>
    <w:p w:rsidR="00D467F6" w:rsidRPr="006F53B0" w:rsidRDefault="000617C7" w:rsidP="00521C09">
      <w:pPr>
        <w:pStyle w:val="paragraph"/>
      </w:pPr>
      <w:r w:rsidRPr="006F53B0">
        <w:tab/>
        <w:t>(a)</w:t>
      </w:r>
      <w:r w:rsidRPr="006F53B0">
        <w:tab/>
      </w:r>
      <w:r w:rsidR="005C2096" w:rsidRPr="006F53B0">
        <w:t xml:space="preserve">the </w:t>
      </w:r>
      <w:r w:rsidR="007E5662" w:rsidRPr="006F53B0">
        <w:t>event</w:t>
      </w:r>
      <w:r w:rsidR="005C2096" w:rsidRPr="006F53B0">
        <w:t xml:space="preserve"> </w:t>
      </w:r>
      <w:r w:rsidR="006060C4" w:rsidRPr="006F53B0">
        <w:t>mentioned in th</w:t>
      </w:r>
      <w:r w:rsidR="00783980" w:rsidRPr="006F53B0">
        <w:t>at</w:t>
      </w:r>
      <w:r w:rsidR="006060C4" w:rsidRPr="006F53B0">
        <w:t xml:space="preserve"> subsection </w:t>
      </w:r>
      <w:r w:rsidRPr="006F53B0">
        <w:t>arises solely from a change of directors</w:t>
      </w:r>
      <w:r w:rsidR="004709E2" w:rsidRPr="006F53B0">
        <w:t xml:space="preserve"> </w:t>
      </w:r>
      <w:r w:rsidRPr="006F53B0">
        <w:t xml:space="preserve">of </w:t>
      </w:r>
      <w:r w:rsidR="004709E2" w:rsidRPr="006F53B0">
        <w:t>a company</w:t>
      </w:r>
      <w:r w:rsidRPr="006F53B0">
        <w:t>; and</w:t>
      </w:r>
    </w:p>
    <w:p w:rsidR="00376918" w:rsidRPr="006F53B0" w:rsidRDefault="009B3986" w:rsidP="00102ADD">
      <w:pPr>
        <w:pStyle w:val="paragraph"/>
      </w:pPr>
      <w:r w:rsidRPr="006F53B0">
        <w:tab/>
        <w:t>(b)</w:t>
      </w:r>
      <w:r w:rsidRPr="006F53B0">
        <w:tab/>
        <w:t xml:space="preserve">the change (the </w:t>
      </w:r>
      <w:r w:rsidRPr="006F53B0">
        <w:rPr>
          <w:b/>
          <w:i/>
        </w:rPr>
        <w:t>current change</w:t>
      </w:r>
      <w:r w:rsidR="000265BC" w:rsidRPr="006F53B0">
        <w:t>)</w:t>
      </w:r>
      <w:r w:rsidRPr="006F53B0">
        <w:t>, together with any other change of director during the 12 months ending on the day of the current change, results in no more than 50% of the total number of directors of the company (both executive and non</w:t>
      </w:r>
      <w:r w:rsidR="006F53B0">
        <w:noBreakHyphen/>
      </w:r>
      <w:r w:rsidRPr="006F53B0">
        <w:t>executive) having changed during those 12 months.</w:t>
      </w:r>
    </w:p>
    <w:p w:rsidR="00126C80" w:rsidRPr="006F53B0" w:rsidRDefault="00126C80" w:rsidP="00521C09">
      <w:pPr>
        <w:pStyle w:val="SubsectionHead"/>
      </w:pPr>
      <w:r w:rsidRPr="006F53B0">
        <w:t xml:space="preserve">Sale </w:t>
      </w:r>
      <w:r w:rsidR="00F46935" w:rsidRPr="006F53B0">
        <w:t xml:space="preserve">or transfer </w:t>
      </w:r>
      <w:r w:rsidRPr="006F53B0">
        <w:t>of shares between companies</w:t>
      </w:r>
    </w:p>
    <w:p w:rsidR="00126C80" w:rsidRPr="006F53B0" w:rsidRDefault="00126C80" w:rsidP="00521C09">
      <w:pPr>
        <w:pStyle w:val="subsection"/>
      </w:pPr>
      <w:r w:rsidRPr="006F53B0">
        <w:tab/>
        <w:t>(5)</w:t>
      </w:r>
      <w:r w:rsidRPr="006F53B0">
        <w:tab/>
      </w:r>
      <w:r w:rsidR="00C47468" w:rsidRPr="006F53B0">
        <w:t>Subsection</w:t>
      </w:r>
      <w:r w:rsidR="006F53B0" w:rsidRPr="006F53B0">
        <w:t> </w:t>
      </w:r>
      <w:r w:rsidR="00C47468" w:rsidRPr="006F53B0">
        <w:t>61C</w:t>
      </w:r>
      <w:r w:rsidR="00521C09" w:rsidRPr="006F53B0">
        <w:t>B(</w:t>
      </w:r>
      <w:r w:rsidR="00DF5C3D" w:rsidRPr="006F53B0">
        <w:t>1A)</w:t>
      </w:r>
      <w:r w:rsidR="000729E4" w:rsidRPr="006F53B0">
        <w:t>, (2)</w:t>
      </w:r>
      <w:r w:rsidR="00C47468" w:rsidRPr="006F53B0">
        <w:t xml:space="preserve"> or (3)</w:t>
      </w:r>
      <w:r w:rsidR="00DF5C3D" w:rsidRPr="006F53B0">
        <w:t xml:space="preserve"> of the Act does not apply if </w:t>
      </w:r>
      <w:r w:rsidR="00783980" w:rsidRPr="006F53B0">
        <w:t>the event mentioned in that</w:t>
      </w:r>
      <w:r w:rsidR="007E5662" w:rsidRPr="006F53B0">
        <w:t xml:space="preserve"> subsection occurs in the following circumstances</w:t>
      </w:r>
      <w:r w:rsidR="00DF5C3D" w:rsidRPr="006F53B0">
        <w:t>:</w:t>
      </w:r>
    </w:p>
    <w:p w:rsidR="00126C80" w:rsidRPr="006F53B0" w:rsidRDefault="00126C80" w:rsidP="00521C09">
      <w:pPr>
        <w:pStyle w:val="paragraph"/>
      </w:pPr>
      <w:r w:rsidRPr="006F53B0">
        <w:tab/>
        <w:t>(a)</w:t>
      </w:r>
      <w:r w:rsidRPr="006F53B0">
        <w:tab/>
      </w:r>
      <w:r w:rsidR="003A29E3" w:rsidRPr="006F53B0">
        <w:t xml:space="preserve">there is a sale </w:t>
      </w:r>
      <w:r w:rsidR="00C47468" w:rsidRPr="006F53B0">
        <w:t xml:space="preserve">or transfer </w:t>
      </w:r>
      <w:r w:rsidR="003A29E3" w:rsidRPr="006F53B0">
        <w:t>of shares between 2</w:t>
      </w:r>
      <w:r w:rsidR="00F46935" w:rsidRPr="006F53B0">
        <w:t xml:space="preserve"> or more</w:t>
      </w:r>
      <w:r w:rsidR="003A29E3" w:rsidRPr="006F53B0">
        <w:t xml:space="preserve"> companies;</w:t>
      </w:r>
    </w:p>
    <w:p w:rsidR="003A29E3" w:rsidRPr="006F53B0" w:rsidRDefault="00F46935" w:rsidP="00521C09">
      <w:pPr>
        <w:pStyle w:val="paragraph"/>
      </w:pPr>
      <w:r w:rsidRPr="006F53B0">
        <w:tab/>
        <w:t>(b)</w:t>
      </w:r>
      <w:r w:rsidRPr="006F53B0">
        <w:tab/>
        <w:t xml:space="preserve">the </w:t>
      </w:r>
      <w:r w:rsidR="003A29E3" w:rsidRPr="006F53B0">
        <w:t xml:space="preserve">companies are wholly </w:t>
      </w:r>
      <w:r w:rsidR="00031EFC" w:rsidRPr="006F53B0">
        <w:t>owned subsidiaries of</w:t>
      </w:r>
      <w:r w:rsidR="003A29E3" w:rsidRPr="006F53B0">
        <w:t xml:space="preserve"> the same </w:t>
      </w:r>
      <w:r w:rsidR="00532F03" w:rsidRPr="006F53B0">
        <w:t>company</w:t>
      </w:r>
      <w:r w:rsidR="00F77F9B" w:rsidRPr="006F53B0">
        <w:t xml:space="preserve"> (the </w:t>
      </w:r>
      <w:r w:rsidR="00F77F9B" w:rsidRPr="006F53B0">
        <w:rPr>
          <w:b/>
          <w:i/>
        </w:rPr>
        <w:t>parent</w:t>
      </w:r>
      <w:r w:rsidR="00532F03" w:rsidRPr="006F53B0">
        <w:t xml:space="preserve"> </w:t>
      </w:r>
      <w:r w:rsidR="00532F03" w:rsidRPr="006F53B0">
        <w:rPr>
          <w:b/>
          <w:i/>
        </w:rPr>
        <w:t>company</w:t>
      </w:r>
      <w:r w:rsidR="00F77F9B" w:rsidRPr="006F53B0">
        <w:t>)</w:t>
      </w:r>
      <w:r w:rsidR="003A29E3" w:rsidRPr="006F53B0">
        <w:t>;</w:t>
      </w:r>
    </w:p>
    <w:p w:rsidR="003A29E3" w:rsidRPr="006F53B0" w:rsidRDefault="003A29E3" w:rsidP="00521C09">
      <w:pPr>
        <w:pStyle w:val="paragraph"/>
      </w:pPr>
      <w:r w:rsidRPr="006F53B0">
        <w:lastRenderedPageBreak/>
        <w:tab/>
        <w:t>(c)</w:t>
      </w:r>
      <w:r w:rsidRPr="006F53B0">
        <w:tab/>
      </w:r>
      <w:r w:rsidR="00FF16E6" w:rsidRPr="006F53B0">
        <w:t xml:space="preserve">both </w:t>
      </w:r>
      <w:r w:rsidR="00F77F9B" w:rsidRPr="006F53B0">
        <w:t>before</w:t>
      </w:r>
      <w:r w:rsidR="00FF16E6" w:rsidRPr="006F53B0">
        <w:t xml:space="preserve"> and after</w:t>
      </w:r>
      <w:r w:rsidR="00F77F9B" w:rsidRPr="006F53B0">
        <w:t xml:space="preserve"> the sale </w:t>
      </w:r>
      <w:r w:rsidR="00C47468" w:rsidRPr="006F53B0">
        <w:t xml:space="preserve">or transfer </w:t>
      </w:r>
      <w:r w:rsidR="00F77F9B" w:rsidRPr="006F53B0">
        <w:t xml:space="preserve">of the shares, </w:t>
      </w:r>
      <w:r w:rsidRPr="006F53B0">
        <w:t>the p</w:t>
      </w:r>
      <w:r w:rsidR="00F77F9B" w:rsidRPr="006F53B0">
        <w:t>arent</w:t>
      </w:r>
      <w:r w:rsidR="00532F03" w:rsidRPr="006F53B0">
        <w:t xml:space="preserve"> company</w:t>
      </w:r>
      <w:r w:rsidR="00F77F9B" w:rsidRPr="006F53B0">
        <w:t xml:space="preserve"> </w:t>
      </w:r>
      <w:r w:rsidR="00FF16E6" w:rsidRPr="006F53B0">
        <w:t>i</w:t>
      </w:r>
      <w:r w:rsidRPr="006F53B0">
        <w:t>s in a position to exercise control of a regional commercial radio broadcasting licence;</w:t>
      </w:r>
    </w:p>
    <w:p w:rsidR="00581353" w:rsidRPr="006F53B0" w:rsidRDefault="003A29E3" w:rsidP="00581353">
      <w:pPr>
        <w:pStyle w:val="paragraph"/>
      </w:pPr>
      <w:r w:rsidRPr="006F53B0">
        <w:tab/>
        <w:t>(d)</w:t>
      </w:r>
      <w:r w:rsidRPr="006F53B0">
        <w:tab/>
      </w:r>
      <w:r w:rsidR="00581353" w:rsidRPr="006F53B0">
        <w:t>either:</w:t>
      </w:r>
    </w:p>
    <w:p w:rsidR="00581353" w:rsidRPr="006F53B0" w:rsidRDefault="00581353" w:rsidP="00581353">
      <w:pPr>
        <w:pStyle w:val="paragraphsub"/>
      </w:pPr>
      <w:r w:rsidRPr="006F53B0">
        <w:tab/>
        <w:t>(i)</w:t>
      </w:r>
      <w:r w:rsidRPr="006F53B0">
        <w:tab/>
        <w:t>the persons who are in a position to exercise control of the regional commercial radio broadcasting licence do not otherwise change; or</w:t>
      </w:r>
    </w:p>
    <w:p w:rsidR="00581353" w:rsidRPr="006F53B0" w:rsidRDefault="00581353" w:rsidP="00581353">
      <w:pPr>
        <w:pStyle w:val="paragraphsub"/>
      </w:pPr>
      <w:r w:rsidRPr="006F53B0">
        <w:tab/>
        <w:t>(ii)</w:t>
      </w:r>
      <w:r w:rsidRPr="006F53B0">
        <w:tab/>
        <w:t>any other change to the persons who are in a position to exercise control of the regional commercial radio broadcasting licence is not a trigger event.</w:t>
      </w:r>
    </w:p>
    <w:p w:rsidR="00182100" w:rsidRPr="006F53B0" w:rsidRDefault="00182100" w:rsidP="00521C09">
      <w:pPr>
        <w:pStyle w:val="SubsectionHead"/>
      </w:pPr>
      <w:r w:rsidRPr="006F53B0">
        <w:t>Formation of new company</w:t>
      </w:r>
    </w:p>
    <w:p w:rsidR="00FE03CA" w:rsidRPr="006F53B0" w:rsidRDefault="00182100" w:rsidP="00521C09">
      <w:pPr>
        <w:pStyle w:val="subsection"/>
      </w:pPr>
      <w:r w:rsidRPr="006F53B0">
        <w:tab/>
        <w:t>(6)</w:t>
      </w:r>
      <w:r w:rsidRPr="006F53B0">
        <w:tab/>
      </w:r>
      <w:r w:rsidR="007E5662" w:rsidRPr="006F53B0">
        <w:t>Sub</w:t>
      </w:r>
      <w:r w:rsidR="00C47468" w:rsidRPr="006F53B0">
        <w:t>section</w:t>
      </w:r>
      <w:r w:rsidR="006F53B0" w:rsidRPr="006F53B0">
        <w:t> </w:t>
      </w:r>
      <w:r w:rsidR="00C47468" w:rsidRPr="006F53B0">
        <w:t>61C</w:t>
      </w:r>
      <w:r w:rsidR="00521C09" w:rsidRPr="006F53B0">
        <w:t>B(</w:t>
      </w:r>
      <w:r w:rsidR="00C47468" w:rsidRPr="006F53B0">
        <w:t>1A), (2) or (3)</w:t>
      </w:r>
      <w:r w:rsidR="007E5662" w:rsidRPr="006F53B0">
        <w:t xml:space="preserve"> of the Act does not app</w:t>
      </w:r>
      <w:r w:rsidR="00783980" w:rsidRPr="006F53B0">
        <w:t>ly if the event mentioned in that</w:t>
      </w:r>
      <w:r w:rsidR="007E5662" w:rsidRPr="006F53B0">
        <w:t xml:space="preserve"> subsection occurs in the following circumstances:</w:t>
      </w:r>
    </w:p>
    <w:p w:rsidR="00182100" w:rsidRPr="006F53B0" w:rsidRDefault="00182100" w:rsidP="00521C09">
      <w:pPr>
        <w:pStyle w:val="paragraph"/>
      </w:pPr>
      <w:r w:rsidRPr="006F53B0">
        <w:tab/>
        <w:t>(a)</w:t>
      </w:r>
      <w:r w:rsidRPr="006F53B0">
        <w:tab/>
        <w:t>a new company is formed;</w:t>
      </w:r>
    </w:p>
    <w:p w:rsidR="00995E3E" w:rsidRPr="006F53B0" w:rsidRDefault="00182100" w:rsidP="00521C09">
      <w:pPr>
        <w:pStyle w:val="paragraph"/>
      </w:pPr>
      <w:r w:rsidRPr="006F53B0">
        <w:tab/>
        <w:t>(b)</w:t>
      </w:r>
      <w:r w:rsidRPr="006F53B0">
        <w:tab/>
      </w:r>
      <w:r w:rsidR="00995E3E" w:rsidRPr="006F53B0">
        <w:t xml:space="preserve">the new company is a wholly owned subsidiary of another company (the </w:t>
      </w:r>
      <w:r w:rsidR="00995E3E" w:rsidRPr="006F53B0">
        <w:rPr>
          <w:b/>
          <w:i/>
        </w:rPr>
        <w:t>parent company</w:t>
      </w:r>
      <w:r w:rsidR="00995E3E" w:rsidRPr="006F53B0">
        <w:t>);</w:t>
      </w:r>
    </w:p>
    <w:p w:rsidR="00182100" w:rsidRPr="006F53B0" w:rsidRDefault="00182100" w:rsidP="00521C09">
      <w:pPr>
        <w:pStyle w:val="paragraph"/>
      </w:pPr>
      <w:r w:rsidRPr="006F53B0">
        <w:tab/>
        <w:t>(c)</w:t>
      </w:r>
      <w:r w:rsidRPr="006F53B0">
        <w:tab/>
      </w:r>
      <w:r w:rsidR="00995E3E" w:rsidRPr="006F53B0">
        <w:t>the new company starts to be in a position to exercise control of a regional commercial radio broadcasting licence;</w:t>
      </w:r>
    </w:p>
    <w:p w:rsidR="00182100" w:rsidRPr="006F53B0" w:rsidRDefault="00182100" w:rsidP="00521C09">
      <w:pPr>
        <w:pStyle w:val="paragraph"/>
      </w:pPr>
      <w:r w:rsidRPr="006F53B0">
        <w:tab/>
      </w:r>
      <w:r w:rsidR="00532F03" w:rsidRPr="006F53B0">
        <w:t>(d)</w:t>
      </w:r>
      <w:r w:rsidR="00532F03" w:rsidRPr="006F53B0">
        <w:tab/>
      </w:r>
      <w:r w:rsidR="00FF16E6" w:rsidRPr="006F53B0">
        <w:t xml:space="preserve">both </w:t>
      </w:r>
      <w:r w:rsidR="00532F03" w:rsidRPr="006F53B0">
        <w:t>before</w:t>
      </w:r>
      <w:r w:rsidR="00FF16E6" w:rsidRPr="006F53B0">
        <w:t xml:space="preserve"> and after the new company i</w:t>
      </w:r>
      <w:r w:rsidRPr="006F53B0">
        <w:t xml:space="preserve">s formed, the parent </w:t>
      </w:r>
      <w:r w:rsidR="00532F03" w:rsidRPr="006F53B0">
        <w:t xml:space="preserve">company </w:t>
      </w:r>
      <w:r w:rsidR="00FF16E6" w:rsidRPr="006F53B0">
        <w:t>i</w:t>
      </w:r>
      <w:r w:rsidRPr="006F53B0">
        <w:t>s in a position to exercise control of the regional commercial radio broadcasting licence;</w:t>
      </w:r>
    </w:p>
    <w:p w:rsidR="00581353" w:rsidRPr="006F53B0" w:rsidRDefault="00FF16E6" w:rsidP="00581353">
      <w:pPr>
        <w:pStyle w:val="paragraph"/>
      </w:pPr>
      <w:r w:rsidRPr="006F53B0">
        <w:tab/>
        <w:t>(e</w:t>
      </w:r>
      <w:r w:rsidR="00182100" w:rsidRPr="006F53B0">
        <w:t>)</w:t>
      </w:r>
      <w:r w:rsidR="00182100" w:rsidRPr="006F53B0">
        <w:tab/>
      </w:r>
      <w:r w:rsidR="00581353" w:rsidRPr="006F53B0">
        <w:t>either:</w:t>
      </w:r>
    </w:p>
    <w:p w:rsidR="00581353" w:rsidRPr="006F53B0" w:rsidRDefault="00581353" w:rsidP="00581353">
      <w:pPr>
        <w:pStyle w:val="paragraphsub"/>
      </w:pPr>
      <w:r w:rsidRPr="006F53B0">
        <w:tab/>
        <w:t>(i)</w:t>
      </w:r>
      <w:r w:rsidRPr="006F53B0">
        <w:tab/>
        <w:t>the persons who are in a position to exercise control of the regional commercial radio broadcasting licence do not otherwise change; or</w:t>
      </w:r>
    </w:p>
    <w:p w:rsidR="00182100" w:rsidRPr="006F53B0" w:rsidRDefault="00581353" w:rsidP="00581353">
      <w:pPr>
        <w:pStyle w:val="paragraphsub"/>
      </w:pPr>
      <w:r w:rsidRPr="006F53B0">
        <w:tab/>
        <w:t>(ii)</w:t>
      </w:r>
      <w:r w:rsidRPr="006F53B0">
        <w:tab/>
        <w:t>any other change to the persons who are in a position to exercise control of the regional commercial radio broadcasting licence is not a trigger event.</w:t>
      </w:r>
    </w:p>
    <w:p w:rsidR="00FF16E6" w:rsidRPr="006F53B0" w:rsidRDefault="00FF16E6" w:rsidP="00521C09">
      <w:pPr>
        <w:pStyle w:val="SubsectionHead"/>
      </w:pPr>
      <w:r w:rsidRPr="006F53B0">
        <w:t>Subsidiary company ceases to exercise control</w:t>
      </w:r>
    </w:p>
    <w:p w:rsidR="00532F03" w:rsidRPr="006F53B0" w:rsidRDefault="00532F03" w:rsidP="00521C09">
      <w:pPr>
        <w:pStyle w:val="subsection"/>
      </w:pPr>
      <w:r w:rsidRPr="006F53B0">
        <w:tab/>
      </w:r>
      <w:r w:rsidR="00405873" w:rsidRPr="006F53B0">
        <w:t>(7)</w:t>
      </w:r>
      <w:r w:rsidR="00405873" w:rsidRPr="006F53B0">
        <w:tab/>
      </w:r>
      <w:r w:rsidR="007E5662" w:rsidRPr="006F53B0">
        <w:t>Sub</w:t>
      </w:r>
      <w:r w:rsidR="00C47468" w:rsidRPr="006F53B0">
        <w:t>section</w:t>
      </w:r>
      <w:r w:rsidR="006F53B0" w:rsidRPr="006F53B0">
        <w:t> </w:t>
      </w:r>
      <w:r w:rsidR="00C47468" w:rsidRPr="006F53B0">
        <w:t>61C</w:t>
      </w:r>
      <w:r w:rsidR="00521C09" w:rsidRPr="006F53B0">
        <w:t>B(</w:t>
      </w:r>
      <w:r w:rsidR="00C47468" w:rsidRPr="006F53B0">
        <w:t>1A), (2) or (3)</w:t>
      </w:r>
      <w:r w:rsidR="007E5662" w:rsidRPr="006F53B0">
        <w:t xml:space="preserve"> of the Act does not app</w:t>
      </w:r>
      <w:r w:rsidR="00783980" w:rsidRPr="006F53B0">
        <w:t>ly if the event mentioned in that</w:t>
      </w:r>
      <w:r w:rsidR="007E5662" w:rsidRPr="006F53B0">
        <w:t xml:space="preserve"> subsection occurs in the following circumstances:</w:t>
      </w:r>
    </w:p>
    <w:p w:rsidR="00532F03" w:rsidRPr="006F53B0" w:rsidRDefault="00532F03" w:rsidP="00521C09">
      <w:pPr>
        <w:pStyle w:val="paragraph"/>
      </w:pPr>
      <w:r w:rsidRPr="006F53B0">
        <w:tab/>
        <w:t>(a)</w:t>
      </w:r>
      <w:r w:rsidRPr="006F53B0">
        <w:tab/>
        <w:t>a company ceases to be in a position to exercise control of a regional commercial radio broadcasting licence;</w:t>
      </w:r>
    </w:p>
    <w:p w:rsidR="00532F03" w:rsidRPr="006F53B0" w:rsidRDefault="00532F03" w:rsidP="00521C09">
      <w:pPr>
        <w:pStyle w:val="paragraph"/>
      </w:pPr>
      <w:r w:rsidRPr="006F53B0">
        <w:tab/>
        <w:t>(b)</w:t>
      </w:r>
      <w:r w:rsidRPr="006F53B0">
        <w:tab/>
        <w:t xml:space="preserve">the company (the </w:t>
      </w:r>
      <w:r w:rsidRPr="006F53B0">
        <w:rPr>
          <w:b/>
          <w:i/>
        </w:rPr>
        <w:t>subsidiary</w:t>
      </w:r>
      <w:r w:rsidRPr="006F53B0">
        <w:t xml:space="preserve">) is a wholly owned subsidiary of another company (the </w:t>
      </w:r>
      <w:r w:rsidRPr="006F53B0">
        <w:rPr>
          <w:b/>
          <w:i/>
        </w:rPr>
        <w:t>parent company</w:t>
      </w:r>
      <w:r w:rsidRPr="006F53B0">
        <w:t>);</w:t>
      </w:r>
    </w:p>
    <w:p w:rsidR="00532F03" w:rsidRPr="006F53B0" w:rsidRDefault="00532F03" w:rsidP="00521C09">
      <w:pPr>
        <w:pStyle w:val="paragraph"/>
      </w:pPr>
      <w:r w:rsidRPr="006F53B0">
        <w:lastRenderedPageBreak/>
        <w:tab/>
        <w:t>(c)</w:t>
      </w:r>
      <w:r w:rsidRPr="006F53B0">
        <w:tab/>
      </w:r>
      <w:r w:rsidR="00FF16E6" w:rsidRPr="006F53B0">
        <w:t xml:space="preserve">both </w:t>
      </w:r>
      <w:r w:rsidRPr="006F53B0">
        <w:t>before</w:t>
      </w:r>
      <w:r w:rsidR="00FF16E6" w:rsidRPr="006F53B0">
        <w:t xml:space="preserve"> and after</w:t>
      </w:r>
      <w:r w:rsidRPr="006F53B0">
        <w:t xml:space="preserve"> the </w:t>
      </w:r>
      <w:r w:rsidR="00DF5C3D" w:rsidRPr="006F53B0">
        <w:t>event</w:t>
      </w:r>
      <w:r w:rsidRPr="006F53B0">
        <w:t xml:space="preserve"> </w:t>
      </w:r>
      <w:r w:rsidR="00FF16E6" w:rsidRPr="006F53B0">
        <w:t xml:space="preserve">mentioned </w:t>
      </w:r>
      <w:r w:rsidRPr="006F53B0">
        <w:t xml:space="preserve">in </w:t>
      </w:r>
      <w:r w:rsidR="006F53B0" w:rsidRPr="006F53B0">
        <w:t>paragraph (</w:t>
      </w:r>
      <w:r w:rsidRPr="006F53B0">
        <w:t>a) occur</w:t>
      </w:r>
      <w:r w:rsidR="00FF16E6" w:rsidRPr="006F53B0">
        <w:t>s, the parent company i</w:t>
      </w:r>
      <w:r w:rsidRPr="006F53B0">
        <w:t>s in a position to exercise control of the regional commercial radio broadcasting licence;</w:t>
      </w:r>
    </w:p>
    <w:p w:rsidR="00581353" w:rsidRPr="006F53B0" w:rsidRDefault="00FF16E6" w:rsidP="00581353">
      <w:pPr>
        <w:pStyle w:val="paragraph"/>
      </w:pPr>
      <w:r w:rsidRPr="006F53B0">
        <w:tab/>
        <w:t>(d</w:t>
      </w:r>
      <w:r w:rsidR="00532F03" w:rsidRPr="006F53B0">
        <w:t>)</w:t>
      </w:r>
      <w:r w:rsidR="00532F03" w:rsidRPr="006F53B0">
        <w:tab/>
      </w:r>
      <w:r w:rsidR="00581353" w:rsidRPr="006F53B0">
        <w:t>either:</w:t>
      </w:r>
    </w:p>
    <w:p w:rsidR="00581353" w:rsidRPr="006F53B0" w:rsidRDefault="00581353" w:rsidP="00581353">
      <w:pPr>
        <w:pStyle w:val="paragraphsub"/>
      </w:pPr>
      <w:r w:rsidRPr="006F53B0">
        <w:tab/>
        <w:t>(i)</w:t>
      </w:r>
      <w:r w:rsidRPr="006F53B0">
        <w:tab/>
        <w:t>the persons who are in a position to exercise control of the regional commercial radio broadcasting licence do not otherwise change; or</w:t>
      </w:r>
    </w:p>
    <w:p w:rsidR="00581353" w:rsidRPr="006F53B0" w:rsidRDefault="00581353" w:rsidP="00581353">
      <w:pPr>
        <w:pStyle w:val="paragraphsub"/>
      </w:pPr>
      <w:r w:rsidRPr="006F53B0">
        <w:tab/>
        <w:t>(ii)</w:t>
      </w:r>
      <w:r w:rsidRPr="006F53B0">
        <w:tab/>
        <w:t>any other change to the persons who are in a position to exercise control of the regional commercial radio broadcasting licence is not a trigger event.</w:t>
      </w:r>
    </w:p>
    <w:p w:rsidR="005B045D" w:rsidRPr="006F53B0" w:rsidRDefault="00783980" w:rsidP="00521C09">
      <w:pPr>
        <w:pStyle w:val="subsection"/>
      </w:pPr>
      <w:r w:rsidRPr="006F53B0">
        <w:tab/>
        <w:t>(8)</w:t>
      </w:r>
      <w:r w:rsidRPr="006F53B0">
        <w:tab/>
      </w:r>
      <w:r w:rsidR="005B045D" w:rsidRPr="006F53B0">
        <w:t xml:space="preserve">To avoid doubt, for </w:t>
      </w:r>
      <w:r w:rsidR="006F53B0" w:rsidRPr="006F53B0">
        <w:t>subparagraphs (</w:t>
      </w:r>
      <w:r w:rsidR="005B045D" w:rsidRPr="006F53B0">
        <w:t>2)(d)(ii), (3)(e)(ii), (5)(d)(ii), (6)(e)(ii) and (7)(d)(ii), a change may not be a trigger event because:</w:t>
      </w:r>
    </w:p>
    <w:p w:rsidR="005B045D" w:rsidRPr="006F53B0" w:rsidRDefault="005B045D" w:rsidP="005B045D">
      <w:pPr>
        <w:pStyle w:val="paragraph"/>
      </w:pPr>
      <w:r w:rsidRPr="006F53B0">
        <w:tab/>
        <w:t>(a)</w:t>
      </w:r>
      <w:r w:rsidRPr="006F53B0">
        <w:tab/>
        <w:t xml:space="preserve">this </w:t>
      </w:r>
      <w:r w:rsidR="00F45A0E" w:rsidRPr="006F53B0">
        <w:t>section</w:t>
      </w:r>
      <w:r w:rsidRPr="006F53B0">
        <w:t xml:space="preserve"> exempts the change from being a trigger event; or</w:t>
      </w:r>
    </w:p>
    <w:p w:rsidR="005B045D" w:rsidRPr="006F53B0" w:rsidRDefault="005B045D" w:rsidP="005B045D">
      <w:pPr>
        <w:pStyle w:val="paragraph"/>
      </w:pPr>
      <w:r w:rsidRPr="006F53B0">
        <w:tab/>
        <w:t>(b)</w:t>
      </w:r>
      <w:r w:rsidRPr="006F53B0">
        <w:tab/>
        <w:t>section</w:t>
      </w:r>
      <w:r w:rsidR="006F53B0" w:rsidRPr="006F53B0">
        <w:t> </w:t>
      </w:r>
      <w:r w:rsidRPr="006F53B0">
        <w:t>61CB of the Act provides that the change is not a trigger event.</w:t>
      </w:r>
    </w:p>
    <w:p w:rsidR="00783980" w:rsidRPr="006F53B0" w:rsidRDefault="005B045D" w:rsidP="00521C09">
      <w:pPr>
        <w:pStyle w:val="subsection"/>
      </w:pPr>
      <w:r w:rsidRPr="006F53B0">
        <w:tab/>
        <w:t>(9)</w:t>
      </w:r>
      <w:r w:rsidRPr="006F53B0">
        <w:tab/>
      </w:r>
      <w:r w:rsidR="00783980" w:rsidRPr="006F53B0">
        <w:t>In this section:</w:t>
      </w:r>
    </w:p>
    <w:p w:rsidR="007E5662" w:rsidRPr="006F53B0" w:rsidRDefault="007E5662" w:rsidP="00783980">
      <w:pPr>
        <w:pStyle w:val="Definition"/>
      </w:pPr>
      <w:r w:rsidRPr="006F53B0">
        <w:rPr>
          <w:b/>
          <w:i/>
        </w:rPr>
        <w:t>event</w:t>
      </w:r>
      <w:r w:rsidRPr="006F53B0">
        <w:t xml:space="preserve"> means:</w:t>
      </w:r>
    </w:p>
    <w:p w:rsidR="007E5662" w:rsidRPr="006F53B0" w:rsidRDefault="007E5662" w:rsidP="00521C09">
      <w:pPr>
        <w:pStyle w:val="paragraph"/>
      </w:pPr>
      <w:r w:rsidRPr="006F53B0">
        <w:tab/>
        <w:t>(a)</w:t>
      </w:r>
      <w:r w:rsidRPr="006F53B0">
        <w:tab/>
        <w:t>a control event mentioned in subsection</w:t>
      </w:r>
      <w:r w:rsidR="006F53B0" w:rsidRPr="006F53B0">
        <w:t> </w:t>
      </w:r>
      <w:r w:rsidRPr="006F53B0">
        <w:t>61C</w:t>
      </w:r>
      <w:r w:rsidR="00521C09" w:rsidRPr="006F53B0">
        <w:t>B(</w:t>
      </w:r>
      <w:r w:rsidRPr="006F53B0">
        <w:t>1A) of the Act; or</w:t>
      </w:r>
    </w:p>
    <w:p w:rsidR="007E5662" w:rsidRPr="006F53B0" w:rsidRDefault="007E5662" w:rsidP="00521C09">
      <w:pPr>
        <w:pStyle w:val="paragraph"/>
      </w:pPr>
      <w:r w:rsidRPr="006F53B0">
        <w:tab/>
        <w:t>(b)</w:t>
      </w:r>
      <w:r w:rsidRPr="006F53B0">
        <w:tab/>
        <w:t>the coming into existence of a registrable media group mentioned in subsection</w:t>
      </w:r>
      <w:r w:rsidR="006F53B0" w:rsidRPr="006F53B0">
        <w:t> </w:t>
      </w:r>
      <w:r w:rsidRPr="006F53B0">
        <w:t>61C</w:t>
      </w:r>
      <w:r w:rsidR="00521C09" w:rsidRPr="006F53B0">
        <w:t>B(</w:t>
      </w:r>
      <w:r w:rsidRPr="006F53B0">
        <w:t>2) of the Act; or</w:t>
      </w:r>
    </w:p>
    <w:p w:rsidR="00890489" w:rsidRPr="006F53B0" w:rsidRDefault="007E5662" w:rsidP="008C23F1">
      <w:pPr>
        <w:pStyle w:val="paragraph"/>
      </w:pPr>
      <w:r w:rsidRPr="006F53B0">
        <w:tab/>
        <w:t>(c)</w:t>
      </w:r>
      <w:r w:rsidRPr="006F53B0">
        <w:tab/>
        <w:t>the change of controller mentioned in subsection</w:t>
      </w:r>
      <w:r w:rsidR="006F53B0" w:rsidRPr="006F53B0">
        <w:t> </w:t>
      </w:r>
      <w:r w:rsidRPr="006F53B0">
        <w:t>61C</w:t>
      </w:r>
      <w:r w:rsidR="00521C09" w:rsidRPr="006F53B0">
        <w:t>B(</w:t>
      </w:r>
      <w:r w:rsidRPr="006F53B0">
        <w:t>3) of the Act.</w:t>
      </w:r>
    </w:p>
    <w:sectPr w:rsidR="00890489" w:rsidRPr="006F53B0" w:rsidSect="00074661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 w:code="9"/>
      <w:pgMar w:top="1985" w:right="2410" w:bottom="3969" w:left="2410" w:header="567" w:footer="311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34" w:rsidRDefault="00077634">
      <w:r>
        <w:separator/>
      </w:r>
    </w:p>
  </w:endnote>
  <w:endnote w:type="continuationSeparator" w:id="0">
    <w:p w:rsidR="00077634" w:rsidRDefault="0007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61" w:rsidRPr="00074661" w:rsidRDefault="00074661" w:rsidP="00074661">
    <w:pPr>
      <w:pStyle w:val="Footer"/>
      <w:rPr>
        <w:sz w:val="18"/>
      </w:rPr>
    </w:pPr>
    <w:r>
      <w:rPr>
        <w:sz w:val="18"/>
      </w:rPr>
      <w:t>OPC50268</w:t>
    </w:r>
    <w:r w:rsidRPr="00074661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521C09" w:rsidTr="007946FE">
      <w:tc>
        <w:tcPr>
          <w:tcW w:w="7303" w:type="dxa"/>
        </w:tcPr>
        <w:p w:rsidR="00521C09" w:rsidRDefault="00521C09" w:rsidP="007946FE">
          <w:pPr>
            <w:rPr>
              <w:sz w:val="18"/>
            </w:rPr>
          </w:pPr>
        </w:p>
      </w:tc>
    </w:tr>
  </w:tbl>
  <w:p w:rsidR="00521C09" w:rsidRPr="00E44C17" w:rsidRDefault="00074661" w:rsidP="00074661">
    <w:pPr>
      <w:pStyle w:val="Footer"/>
    </w:pPr>
    <w:r>
      <w:t>OPC50268</w:t>
    </w:r>
    <w:r w:rsidRPr="00074661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ED79B6" w:rsidRDefault="00521C09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074661" w:rsidRDefault="00521C09" w:rsidP="003278F2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21C09" w:rsidRPr="00074661" w:rsidTr="002B0EA5">
      <w:tc>
        <w:tcPr>
          <w:tcW w:w="1383" w:type="dxa"/>
        </w:tcPr>
        <w:p w:rsidR="00521C09" w:rsidRPr="00074661" w:rsidRDefault="00521C09" w:rsidP="002B0EA5">
          <w:pPr>
            <w:spacing w:line="0" w:lineRule="atLeas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ActNo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EB0B7B">
            <w:rPr>
              <w:rFonts w:cs="Times New Roman"/>
              <w:i/>
              <w:sz w:val="18"/>
            </w:rPr>
            <w:t>No. 216, 2013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21C09" w:rsidRPr="00074661" w:rsidRDefault="00521C09" w:rsidP="002B0EA5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ShortT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EB0B7B">
            <w:rPr>
              <w:rFonts w:cs="Times New Roman"/>
              <w:i/>
              <w:sz w:val="18"/>
            </w:rPr>
            <w:t>Broadcasting Services (Regional Commercial Radio) Regulation 2013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521C09" w:rsidRPr="00074661" w:rsidRDefault="00521C09" w:rsidP="002B0EA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896DB8">
            <w:rPr>
              <w:rFonts w:cs="Times New Roman"/>
              <w:i/>
              <w:noProof/>
              <w:sz w:val="18"/>
            </w:rPr>
            <w:t>ii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521C09" w:rsidRPr="00074661" w:rsidTr="007946FE">
      <w:tc>
        <w:tcPr>
          <w:tcW w:w="7303" w:type="dxa"/>
          <w:gridSpan w:val="3"/>
        </w:tcPr>
        <w:p w:rsidR="00521C09" w:rsidRPr="00074661" w:rsidRDefault="00521C09" w:rsidP="000A6C6A">
          <w:pPr>
            <w:rPr>
              <w:rFonts w:cs="Times New Roman"/>
              <w:sz w:val="18"/>
            </w:rPr>
          </w:pPr>
        </w:p>
      </w:tc>
    </w:tr>
  </w:tbl>
  <w:p w:rsidR="00521C09" w:rsidRPr="00074661" w:rsidRDefault="00074661" w:rsidP="0007466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OPC50268</w:t>
    </w:r>
    <w:r w:rsidRPr="00074661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3278F2" w:rsidRDefault="00521C09" w:rsidP="003278F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521C09" w:rsidTr="003278F2">
      <w:tc>
        <w:tcPr>
          <w:tcW w:w="534" w:type="dxa"/>
        </w:tcPr>
        <w:p w:rsidR="00521C09" w:rsidRDefault="00521C09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467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521C09" w:rsidRDefault="00521C09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0B7B">
            <w:rPr>
              <w:i/>
              <w:sz w:val="18"/>
            </w:rPr>
            <w:t>Broadcasting Services (Regional Commercial Radio)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521C09" w:rsidRDefault="00521C09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B0B7B">
            <w:rPr>
              <w:i/>
              <w:sz w:val="18"/>
            </w:rPr>
            <w:t>No. 216, 2013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521C09" w:rsidTr="00207D47">
      <w:tc>
        <w:tcPr>
          <w:tcW w:w="7303" w:type="dxa"/>
          <w:gridSpan w:val="3"/>
        </w:tcPr>
        <w:p w:rsidR="00521C09" w:rsidRDefault="00521C09" w:rsidP="00207D47">
          <w:pPr>
            <w:jc w:val="right"/>
            <w:rPr>
              <w:sz w:val="18"/>
            </w:rPr>
          </w:pPr>
        </w:p>
      </w:tc>
    </w:tr>
  </w:tbl>
  <w:p w:rsidR="00521C09" w:rsidRPr="00ED79B6" w:rsidRDefault="00074661" w:rsidP="00074661">
    <w:pPr>
      <w:rPr>
        <w:i/>
        <w:sz w:val="18"/>
      </w:rPr>
    </w:pPr>
    <w:r>
      <w:rPr>
        <w:i/>
        <w:sz w:val="18"/>
      </w:rPr>
      <w:t>OPC50268</w:t>
    </w:r>
    <w:r w:rsidRPr="00074661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074661" w:rsidRDefault="00521C09" w:rsidP="004A1E86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21C09" w:rsidRPr="00074661" w:rsidTr="004A1E86">
      <w:tc>
        <w:tcPr>
          <w:tcW w:w="533" w:type="dxa"/>
        </w:tcPr>
        <w:p w:rsidR="00521C09" w:rsidRPr="00074661" w:rsidRDefault="00521C09" w:rsidP="004A1E86">
          <w:pPr>
            <w:spacing w:line="0" w:lineRule="atLeas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PAGE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27467B">
            <w:rPr>
              <w:rFonts w:cs="Times New Roman"/>
              <w:i/>
              <w:noProof/>
              <w:sz w:val="18"/>
            </w:rPr>
            <w:t>4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21C09" w:rsidRPr="00074661" w:rsidRDefault="00521C09" w:rsidP="004A1E86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ShortT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EB0B7B">
            <w:rPr>
              <w:rFonts w:cs="Times New Roman"/>
              <w:i/>
              <w:sz w:val="18"/>
            </w:rPr>
            <w:t>Broadcasting Services (Regional Commercial Radio) Regulation 2013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521C09" w:rsidRPr="00074661" w:rsidRDefault="00521C09" w:rsidP="004A1E86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074661">
            <w:rPr>
              <w:rFonts w:cs="Times New Roman"/>
              <w:i/>
              <w:sz w:val="18"/>
            </w:rPr>
            <w:fldChar w:fldCharType="begin"/>
          </w:r>
          <w:r w:rsidRPr="00074661">
            <w:rPr>
              <w:rFonts w:cs="Times New Roman"/>
              <w:i/>
              <w:sz w:val="18"/>
            </w:rPr>
            <w:instrText xml:space="preserve"> DOCPROPERTY ActNo </w:instrText>
          </w:r>
          <w:r w:rsidRPr="00074661">
            <w:rPr>
              <w:rFonts w:cs="Times New Roman"/>
              <w:i/>
              <w:sz w:val="18"/>
            </w:rPr>
            <w:fldChar w:fldCharType="separate"/>
          </w:r>
          <w:r w:rsidR="00EB0B7B">
            <w:rPr>
              <w:rFonts w:cs="Times New Roman"/>
              <w:i/>
              <w:sz w:val="18"/>
            </w:rPr>
            <w:t>No. 216, 2013</w:t>
          </w:r>
          <w:r w:rsidRPr="00074661">
            <w:rPr>
              <w:rFonts w:cs="Times New Roman"/>
              <w:i/>
              <w:sz w:val="18"/>
            </w:rPr>
            <w:fldChar w:fldCharType="end"/>
          </w:r>
        </w:p>
      </w:tc>
    </w:tr>
    <w:tr w:rsidR="00521C09" w:rsidRPr="00074661" w:rsidTr="004A1E86">
      <w:tc>
        <w:tcPr>
          <w:tcW w:w="7303" w:type="dxa"/>
          <w:gridSpan w:val="3"/>
        </w:tcPr>
        <w:p w:rsidR="00521C09" w:rsidRPr="00074661" w:rsidRDefault="00521C09" w:rsidP="004A1E86">
          <w:pPr>
            <w:jc w:val="right"/>
            <w:rPr>
              <w:rFonts w:cs="Times New Roman"/>
              <w:sz w:val="18"/>
            </w:rPr>
          </w:pPr>
        </w:p>
      </w:tc>
    </w:tr>
  </w:tbl>
  <w:p w:rsidR="00521C09" w:rsidRPr="00074661" w:rsidRDefault="00074661" w:rsidP="0007466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OPC50268</w:t>
    </w:r>
    <w:r w:rsidRPr="00074661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2B0EA5" w:rsidRDefault="00521C09" w:rsidP="004A1E8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21C09" w:rsidTr="004A1E86">
      <w:tc>
        <w:tcPr>
          <w:tcW w:w="1383" w:type="dxa"/>
        </w:tcPr>
        <w:p w:rsidR="00521C09" w:rsidRDefault="00521C09" w:rsidP="004A1E8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B0B7B">
            <w:rPr>
              <w:i/>
              <w:sz w:val="18"/>
            </w:rPr>
            <w:t>No. 216,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21C09" w:rsidRDefault="00521C09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B0B7B">
            <w:rPr>
              <w:i/>
              <w:sz w:val="18"/>
            </w:rPr>
            <w:t>Broadcasting Services (Regional Commercial Radio)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521C09" w:rsidRDefault="00521C09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7467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21C09" w:rsidTr="004A1E86">
      <w:tc>
        <w:tcPr>
          <w:tcW w:w="7303" w:type="dxa"/>
          <w:gridSpan w:val="3"/>
        </w:tcPr>
        <w:p w:rsidR="00521C09" w:rsidRDefault="00521C09" w:rsidP="004A1E86">
          <w:pPr>
            <w:rPr>
              <w:sz w:val="18"/>
            </w:rPr>
          </w:pPr>
        </w:p>
      </w:tc>
    </w:tr>
  </w:tbl>
  <w:p w:rsidR="00521C09" w:rsidRPr="00ED79B6" w:rsidRDefault="00074661" w:rsidP="00074661">
    <w:pPr>
      <w:rPr>
        <w:i/>
        <w:sz w:val="18"/>
      </w:rPr>
    </w:pPr>
    <w:r>
      <w:rPr>
        <w:i/>
        <w:sz w:val="18"/>
      </w:rPr>
      <w:t>OPC50268</w:t>
    </w:r>
    <w:r w:rsidRPr="00074661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8A" w:rsidRDefault="00AD3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34" w:rsidRDefault="00077634">
      <w:r>
        <w:separator/>
      </w:r>
    </w:p>
  </w:footnote>
  <w:footnote w:type="continuationSeparator" w:id="0">
    <w:p w:rsidR="00077634" w:rsidRDefault="0007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5F1388" w:rsidRDefault="00521C0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5F1388" w:rsidRDefault="00521C0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5F1388" w:rsidRDefault="00521C0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ED79B6" w:rsidRDefault="00521C09" w:rsidP="00715914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ED79B6" w:rsidRDefault="00521C09" w:rsidP="004F4B7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ED79B6" w:rsidRDefault="00521C0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Default="00521C09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21C09" w:rsidRDefault="00521C09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27467B">
      <w:rPr>
        <w:b/>
        <w:sz w:val="20"/>
      </w:rPr>
      <w:fldChar w:fldCharType="separate"/>
    </w:r>
    <w:r w:rsidR="0027467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27467B">
      <w:rPr>
        <w:sz w:val="20"/>
      </w:rPr>
      <w:fldChar w:fldCharType="separate"/>
    </w:r>
    <w:r w:rsidR="0027467B">
      <w:rPr>
        <w:noProof/>
        <w:sz w:val="20"/>
      </w:rPr>
      <w:t>Trigger event: exemptions</w:t>
    </w:r>
    <w:r>
      <w:rPr>
        <w:sz w:val="20"/>
      </w:rPr>
      <w:fldChar w:fldCharType="end"/>
    </w:r>
  </w:p>
  <w:p w:rsidR="00521C09" w:rsidRPr="007A1328" w:rsidRDefault="00521C09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21C09" w:rsidRPr="007A1328" w:rsidRDefault="00521C09" w:rsidP="004A1E86">
    <w:pPr>
      <w:rPr>
        <w:b/>
        <w:sz w:val="24"/>
      </w:rPr>
    </w:pPr>
  </w:p>
  <w:p w:rsidR="00521C09" w:rsidRPr="007A1328" w:rsidRDefault="00521C09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B0B7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7467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09" w:rsidRPr="007A1328" w:rsidRDefault="00521C09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21C09" w:rsidRPr="007A1328" w:rsidRDefault="00521C09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27467B">
      <w:rPr>
        <w:sz w:val="20"/>
      </w:rPr>
      <w:fldChar w:fldCharType="separate"/>
    </w:r>
    <w:r w:rsidR="0027467B">
      <w:rPr>
        <w:noProof/>
        <w:sz w:val="20"/>
      </w:rPr>
      <w:t>Trigger event: exemptions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27467B">
      <w:rPr>
        <w:b/>
        <w:sz w:val="20"/>
      </w:rPr>
      <w:fldChar w:fldCharType="separate"/>
    </w:r>
    <w:r w:rsidR="0027467B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521C09" w:rsidRPr="007A1328" w:rsidRDefault="00521C09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21C09" w:rsidRPr="007A1328" w:rsidRDefault="00521C09" w:rsidP="004A1E86">
    <w:pPr>
      <w:jc w:val="right"/>
      <w:rPr>
        <w:b/>
        <w:sz w:val="24"/>
      </w:rPr>
    </w:pPr>
  </w:p>
  <w:p w:rsidR="00521C09" w:rsidRPr="007A1328" w:rsidRDefault="00521C09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B0B7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7467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00E7F14"/>
    <w:multiLevelType w:val="hybridMultilevel"/>
    <w:tmpl w:val="C95C54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2957D8"/>
    <w:multiLevelType w:val="hybridMultilevel"/>
    <w:tmpl w:val="A198DC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90"/>
    <w:rsid w:val="00002328"/>
    <w:rsid w:val="000047FD"/>
    <w:rsid w:val="000056EE"/>
    <w:rsid w:val="00007819"/>
    <w:rsid w:val="00010203"/>
    <w:rsid w:val="00012A4E"/>
    <w:rsid w:val="00013A38"/>
    <w:rsid w:val="0001739E"/>
    <w:rsid w:val="00020180"/>
    <w:rsid w:val="00022695"/>
    <w:rsid w:val="00023FD2"/>
    <w:rsid w:val="000265BC"/>
    <w:rsid w:val="00031EFC"/>
    <w:rsid w:val="0003434D"/>
    <w:rsid w:val="0003498B"/>
    <w:rsid w:val="00036586"/>
    <w:rsid w:val="0004081D"/>
    <w:rsid w:val="000472C2"/>
    <w:rsid w:val="00050C80"/>
    <w:rsid w:val="000510B9"/>
    <w:rsid w:val="00051C9B"/>
    <w:rsid w:val="000551A3"/>
    <w:rsid w:val="00055E25"/>
    <w:rsid w:val="000617C7"/>
    <w:rsid w:val="000620C5"/>
    <w:rsid w:val="00065A0E"/>
    <w:rsid w:val="0006722F"/>
    <w:rsid w:val="00071791"/>
    <w:rsid w:val="000721B0"/>
    <w:rsid w:val="000729E4"/>
    <w:rsid w:val="00074661"/>
    <w:rsid w:val="00074D5E"/>
    <w:rsid w:val="000753EE"/>
    <w:rsid w:val="00075B3D"/>
    <w:rsid w:val="00076B35"/>
    <w:rsid w:val="00077634"/>
    <w:rsid w:val="00080E25"/>
    <w:rsid w:val="000824EA"/>
    <w:rsid w:val="00085877"/>
    <w:rsid w:val="00086090"/>
    <w:rsid w:val="00086E1D"/>
    <w:rsid w:val="0009067F"/>
    <w:rsid w:val="00092802"/>
    <w:rsid w:val="00095CC4"/>
    <w:rsid w:val="00097B55"/>
    <w:rsid w:val="000A3C52"/>
    <w:rsid w:val="000B0A20"/>
    <w:rsid w:val="000B26C3"/>
    <w:rsid w:val="000B52F3"/>
    <w:rsid w:val="000B68A5"/>
    <w:rsid w:val="000C12AB"/>
    <w:rsid w:val="000C2AB1"/>
    <w:rsid w:val="000C56FE"/>
    <w:rsid w:val="000C5AE2"/>
    <w:rsid w:val="000C78B5"/>
    <w:rsid w:val="000D112D"/>
    <w:rsid w:val="000D363E"/>
    <w:rsid w:val="000D44F8"/>
    <w:rsid w:val="000D7167"/>
    <w:rsid w:val="000D736B"/>
    <w:rsid w:val="000E081D"/>
    <w:rsid w:val="000E470D"/>
    <w:rsid w:val="000F140F"/>
    <w:rsid w:val="000F3758"/>
    <w:rsid w:val="00102347"/>
    <w:rsid w:val="00102ADD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C80"/>
    <w:rsid w:val="00126D00"/>
    <w:rsid w:val="00133419"/>
    <w:rsid w:val="00134204"/>
    <w:rsid w:val="001363F5"/>
    <w:rsid w:val="00137EF4"/>
    <w:rsid w:val="00143B92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0A6A"/>
    <w:rsid w:val="00160EE0"/>
    <w:rsid w:val="0016552E"/>
    <w:rsid w:val="001661B3"/>
    <w:rsid w:val="0017150E"/>
    <w:rsid w:val="00171A0A"/>
    <w:rsid w:val="0017420C"/>
    <w:rsid w:val="00176457"/>
    <w:rsid w:val="0017669E"/>
    <w:rsid w:val="00176BCE"/>
    <w:rsid w:val="00180CD3"/>
    <w:rsid w:val="00182100"/>
    <w:rsid w:val="001840EA"/>
    <w:rsid w:val="00190D22"/>
    <w:rsid w:val="00191B57"/>
    <w:rsid w:val="001A062E"/>
    <w:rsid w:val="001A25BD"/>
    <w:rsid w:val="001A26AC"/>
    <w:rsid w:val="001A2921"/>
    <w:rsid w:val="001A2B82"/>
    <w:rsid w:val="001A745A"/>
    <w:rsid w:val="001B2B49"/>
    <w:rsid w:val="001B4168"/>
    <w:rsid w:val="001B6479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E6E32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1EB1"/>
    <w:rsid w:val="00222DA1"/>
    <w:rsid w:val="00223A7F"/>
    <w:rsid w:val="002250FB"/>
    <w:rsid w:val="00226223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467B"/>
    <w:rsid w:val="00275065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B63A3"/>
    <w:rsid w:val="002C0290"/>
    <w:rsid w:val="002C0E89"/>
    <w:rsid w:val="002C0F7D"/>
    <w:rsid w:val="002C40A0"/>
    <w:rsid w:val="002C42F1"/>
    <w:rsid w:val="002C77BC"/>
    <w:rsid w:val="002C79E4"/>
    <w:rsid w:val="002C7F8D"/>
    <w:rsid w:val="002D35D3"/>
    <w:rsid w:val="002D658C"/>
    <w:rsid w:val="002E4402"/>
    <w:rsid w:val="002F05DB"/>
    <w:rsid w:val="002F0CE6"/>
    <w:rsid w:val="002F11AE"/>
    <w:rsid w:val="002F149C"/>
    <w:rsid w:val="002F5E03"/>
    <w:rsid w:val="002F7F66"/>
    <w:rsid w:val="00302D1D"/>
    <w:rsid w:val="00304F86"/>
    <w:rsid w:val="0030627F"/>
    <w:rsid w:val="00307011"/>
    <w:rsid w:val="003073E4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3A1B"/>
    <w:rsid w:val="00343EA6"/>
    <w:rsid w:val="00344037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66F9B"/>
    <w:rsid w:val="003722D5"/>
    <w:rsid w:val="00374DBE"/>
    <w:rsid w:val="0037528D"/>
    <w:rsid w:val="00376918"/>
    <w:rsid w:val="00377C91"/>
    <w:rsid w:val="00382AB6"/>
    <w:rsid w:val="00386521"/>
    <w:rsid w:val="0038715C"/>
    <w:rsid w:val="00390E65"/>
    <w:rsid w:val="00393A96"/>
    <w:rsid w:val="00395FAC"/>
    <w:rsid w:val="00396732"/>
    <w:rsid w:val="003A0BD7"/>
    <w:rsid w:val="003A0C0D"/>
    <w:rsid w:val="003A271A"/>
    <w:rsid w:val="003A29E3"/>
    <w:rsid w:val="003A3291"/>
    <w:rsid w:val="003A34CC"/>
    <w:rsid w:val="003A358A"/>
    <w:rsid w:val="003A3951"/>
    <w:rsid w:val="003A4C15"/>
    <w:rsid w:val="003B55ED"/>
    <w:rsid w:val="003C1016"/>
    <w:rsid w:val="003C41F2"/>
    <w:rsid w:val="003C6D45"/>
    <w:rsid w:val="003C700C"/>
    <w:rsid w:val="003C71FC"/>
    <w:rsid w:val="003D0A16"/>
    <w:rsid w:val="003D1F25"/>
    <w:rsid w:val="003D20DD"/>
    <w:rsid w:val="003D5B35"/>
    <w:rsid w:val="003E1CCB"/>
    <w:rsid w:val="003E5662"/>
    <w:rsid w:val="003E64C5"/>
    <w:rsid w:val="003F18D4"/>
    <w:rsid w:val="003F1A97"/>
    <w:rsid w:val="003F1AF9"/>
    <w:rsid w:val="003F7349"/>
    <w:rsid w:val="00402E52"/>
    <w:rsid w:val="00403373"/>
    <w:rsid w:val="00403AE4"/>
    <w:rsid w:val="0040581C"/>
    <w:rsid w:val="00405873"/>
    <w:rsid w:val="00406A94"/>
    <w:rsid w:val="004070A9"/>
    <w:rsid w:val="00411455"/>
    <w:rsid w:val="004120B2"/>
    <w:rsid w:val="004134F6"/>
    <w:rsid w:val="00414DE1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2DED"/>
    <w:rsid w:val="004454CF"/>
    <w:rsid w:val="0044728E"/>
    <w:rsid w:val="00447FF1"/>
    <w:rsid w:val="0045063A"/>
    <w:rsid w:val="00454D0B"/>
    <w:rsid w:val="00456454"/>
    <w:rsid w:val="004709E2"/>
    <w:rsid w:val="00471344"/>
    <w:rsid w:val="0047221D"/>
    <w:rsid w:val="004742DF"/>
    <w:rsid w:val="00477B83"/>
    <w:rsid w:val="00480BB9"/>
    <w:rsid w:val="004825F7"/>
    <w:rsid w:val="00482B0A"/>
    <w:rsid w:val="00487A4B"/>
    <w:rsid w:val="00490E26"/>
    <w:rsid w:val="00492AF6"/>
    <w:rsid w:val="00495EBA"/>
    <w:rsid w:val="00495FD3"/>
    <w:rsid w:val="00497DA1"/>
    <w:rsid w:val="004A7D5D"/>
    <w:rsid w:val="004B088C"/>
    <w:rsid w:val="004B0996"/>
    <w:rsid w:val="004B1E60"/>
    <w:rsid w:val="004B3683"/>
    <w:rsid w:val="004B717C"/>
    <w:rsid w:val="004C0190"/>
    <w:rsid w:val="004C3A75"/>
    <w:rsid w:val="004C6D83"/>
    <w:rsid w:val="004D0718"/>
    <w:rsid w:val="004D25B2"/>
    <w:rsid w:val="004D2CCB"/>
    <w:rsid w:val="004D460F"/>
    <w:rsid w:val="004E01BE"/>
    <w:rsid w:val="004E1500"/>
    <w:rsid w:val="004E3375"/>
    <w:rsid w:val="004E3516"/>
    <w:rsid w:val="004E6561"/>
    <w:rsid w:val="004E6672"/>
    <w:rsid w:val="004E70BA"/>
    <w:rsid w:val="004E74FC"/>
    <w:rsid w:val="004F0A32"/>
    <w:rsid w:val="004F10E6"/>
    <w:rsid w:val="004F586F"/>
    <w:rsid w:val="004F6F63"/>
    <w:rsid w:val="00502C8A"/>
    <w:rsid w:val="005069EE"/>
    <w:rsid w:val="00507C08"/>
    <w:rsid w:val="00512C3B"/>
    <w:rsid w:val="0051543A"/>
    <w:rsid w:val="00517E9B"/>
    <w:rsid w:val="0052120B"/>
    <w:rsid w:val="0052196C"/>
    <w:rsid w:val="00521C09"/>
    <w:rsid w:val="00524BE1"/>
    <w:rsid w:val="00524C2B"/>
    <w:rsid w:val="00525F42"/>
    <w:rsid w:val="0052732A"/>
    <w:rsid w:val="0053273C"/>
    <w:rsid w:val="00532F03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4FF3"/>
    <w:rsid w:val="0056559C"/>
    <w:rsid w:val="005665B2"/>
    <w:rsid w:val="00571FCD"/>
    <w:rsid w:val="005732A7"/>
    <w:rsid w:val="00574A09"/>
    <w:rsid w:val="00574CAE"/>
    <w:rsid w:val="00577475"/>
    <w:rsid w:val="00580E49"/>
    <w:rsid w:val="00581353"/>
    <w:rsid w:val="005818B9"/>
    <w:rsid w:val="00584A71"/>
    <w:rsid w:val="005867F2"/>
    <w:rsid w:val="00590B66"/>
    <w:rsid w:val="005914FF"/>
    <w:rsid w:val="0059382B"/>
    <w:rsid w:val="00594F6A"/>
    <w:rsid w:val="00596B78"/>
    <w:rsid w:val="005A04A5"/>
    <w:rsid w:val="005A0F53"/>
    <w:rsid w:val="005A2A56"/>
    <w:rsid w:val="005A388A"/>
    <w:rsid w:val="005A5E49"/>
    <w:rsid w:val="005B045D"/>
    <w:rsid w:val="005B19A9"/>
    <w:rsid w:val="005B2816"/>
    <w:rsid w:val="005C209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E703B"/>
    <w:rsid w:val="005F17D7"/>
    <w:rsid w:val="005F5365"/>
    <w:rsid w:val="005F667E"/>
    <w:rsid w:val="0060499E"/>
    <w:rsid w:val="006060C4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1327"/>
    <w:rsid w:val="006E15A7"/>
    <w:rsid w:val="006E23CD"/>
    <w:rsid w:val="006E6AF8"/>
    <w:rsid w:val="006F2504"/>
    <w:rsid w:val="006F4850"/>
    <w:rsid w:val="006F53B0"/>
    <w:rsid w:val="00700F97"/>
    <w:rsid w:val="007014F3"/>
    <w:rsid w:val="0070264A"/>
    <w:rsid w:val="007037DD"/>
    <w:rsid w:val="00707B9F"/>
    <w:rsid w:val="00711354"/>
    <w:rsid w:val="00711719"/>
    <w:rsid w:val="00712FD6"/>
    <w:rsid w:val="00714984"/>
    <w:rsid w:val="00715B04"/>
    <w:rsid w:val="00717563"/>
    <w:rsid w:val="00725A68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1706"/>
    <w:rsid w:val="00742BE4"/>
    <w:rsid w:val="00743F86"/>
    <w:rsid w:val="0074530F"/>
    <w:rsid w:val="007507CB"/>
    <w:rsid w:val="00750F54"/>
    <w:rsid w:val="00755DC6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3980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21CD"/>
    <w:rsid w:val="007B5948"/>
    <w:rsid w:val="007C012A"/>
    <w:rsid w:val="007C0378"/>
    <w:rsid w:val="007C18C3"/>
    <w:rsid w:val="007C23A0"/>
    <w:rsid w:val="007C27A1"/>
    <w:rsid w:val="007C378E"/>
    <w:rsid w:val="007C49D9"/>
    <w:rsid w:val="007C6BF9"/>
    <w:rsid w:val="007C7ED2"/>
    <w:rsid w:val="007D1730"/>
    <w:rsid w:val="007D2042"/>
    <w:rsid w:val="007D4230"/>
    <w:rsid w:val="007D4D7B"/>
    <w:rsid w:val="007E21C3"/>
    <w:rsid w:val="007E5662"/>
    <w:rsid w:val="007F6065"/>
    <w:rsid w:val="007F6B43"/>
    <w:rsid w:val="00800EE9"/>
    <w:rsid w:val="00802693"/>
    <w:rsid w:val="00805B1D"/>
    <w:rsid w:val="0081295B"/>
    <w:rsid w:val="00812E73"/>
    <w:rsid w:val="00813B6F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1B2D"/>
    <w:rsid w:val="008621D6"/>
    <w:rsid w:val="00871BD1"/>
    <w:rsid w:val="00872D79"/>
    <w:rsid w:val="008800E2"/>
    <w:rsid w:val="00880302"/>
    <w:rsid w:val="008847E0"/>
    <w:rsid w:val="00884A91"/>
    <w:rsid w:val="00884AF0"/>
    <w:rsid w:val="00885A66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870"/>
    <w:rsid w:val="008A5DD5"/>
    <w:rsid w:val="008A6DDA"/>
    <w:rsid w:val="008B02F9"/>
    <w:rsid w:val="008B09DB"/>
    <w:rsid w:val="008B7DD7"/>
    <w:rsid w:val="008C117F"/>
    <w:rsid w:val="008C15A7"/>
    <w:rsid w:val="008C1D70"/>
    <w:rsid w:val="008C23F1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1EFF"/>
    <w:rsid w:val="009123E3"/>
    <w:rsid w:val="009125B8"/>
    <w:rsid w:val="00913ECD"/>
    <w:rsid w:val="009149F1"/>
    <w:rsid w:val="00914CC9"/>
    <w:rsid w:val="00914D92"/>
    <w:rsid w:val="00915994"/>
    <w:rsid w:val="00916FDB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35A5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319B"/>
    <w:rsid w:val="009955A7"/>
    <w:rsid w:val="00995E3E"/>
    <w:rsid w:val="00996B0A"/>
    <w:rsid w:val="009A4BDC"/>
    <w:rsid w:val="009A57A5"/>
    <w:rsid w:val="009A595E"/>
    <w:rsid w:val="009B10B3"/>
    <w:rsid w:val="009B242B"/>
    <w:rsid w:val="009B252C"/>
    <w:rsid w:val="009B32D7"/>
    <w:rsid w:val="009B3986"/>
    <w:rsid w:val="009E104B"/>
    <w:rsid w:val="009E2539"/>
    <w:rsid w:val="009E3171"/>
    <w:rsid w:val="009E3974"/>
    <w:rsid w:val="009E39CE"/>
    <w:rsid w:val="009E5220"/>
    <w:rsid w:val="009E6F97"/>
    <w:rsid w:val="009F3211"/>
    <w:rsid w:val="009F3F34"/>
    <w:rsid w:val="009F46E7"/>
    <w:rsid w:val="009F61D3"/>
    <w:rsid w:val="00A01333"/>
    <w:rsid w:val="00A01FB2"/>
    <w:rsid w:val="00A07733"/>
    <w:rsid w:val="00A12816"/>
    <w:rsid w:val="00A1281A"/>
    <w:rsid w:val="00A12B40"/>
    <w:rsid w:val="00A143DD"/>
    <w:rsid w:val="00A162E6"/>
    <w:rsid w:val="00A17D1D"/>
    <w:rsid w:val="00A20966"/>
    <w:rsid w:val="00A2158C"/>
    <w:rsid w:val="00A240E5"/>
    <w:rsid w:val="00A26EC4"/>
    <w:rsid w:val="00A30816"/>
    <w:rsid w:val="00A30A15"/>
    <w:rsid w:val="00A31BE9"/>
    <w:rsid w:val="00A33BCC"/>
    <w:rsid w:val="00A3491E"/>
    <w:rsid w:val="00A37E7E"/>
    <w:rsid w:val="00A40509"/>
    <w:rsid w:val="00A40923"/>
    <w:rsid w:val="00A41806"/>
    <w:rsid w:val="00A420BB"/>
    <w:rsid w:val="00A42213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72DDC"/>
    <w:rsid w:val="00A91F48"/>
    <w:rsid w:val="00A92A3F"/>
    <w:rsid w:val="00A939BC"/>
    <w:rsid w:val="00A9492D"/>
    <w:rsid w:val="00A955D9"/>
    <w:rsid w:val="00AA04DF"/>
    <w:rsid w:val="00AA097C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6723"/>
    <w:rsid w:val="00AC7CC2"/>
    <w:rsid w:val="00AD1409"/>
    <w:rsid w:val="00AD2C1D"/>
    <w:rsid w:val="00AD2FDA"/>
    <w:rsid w:val="00AD318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5390"/>
    <w:rsid w:val="00B267A3"/>
    <w:rsid w:val="00B2730F"/>
    <w:rsid w:val="00B30277"/>
    <w:rsid w:val="00B312AC"/>
    <w:rsid w:val="00B32109"/>
    <w:rsid w:val="00B341F1"/>
    <w:rsid w:val="00B35329"/>
    <w:rsid w:val="00B37210"/>
    <w:rsid w:val="00B4067E"/>
    <w:rsid w:val="00B41A08"/>
    <w:rsid w:val="00B423E1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0432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0D5A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295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07B1D"/>
    <w:rsid w:val="00C13C8E"/>
    <w:rsid w:val="00C143E8"/>
    <w:rsid w:val="00C17668"/>
    <w:rsid w:val="00C24C71"/>
    <w:rsid w:val="00C24D82"/>
    <w:rsid w:val="00C25CE4"/>
    <w:rsid w:val="00C26338"/>
    <w:rsid w:val="00C2651E"/>
    <w:rsid w:val="00C321EA"/>
    <w:rsid w:val="00C33891"/>
    <w:rsid w:val="00C33E69"/>
    <w:rsid w:val="00C34B2A"/>
    <w:rsid w:val="00C35C14"/>
    <w:rsid w:val="00C47091"/>
    <w:rsid w:val="00C47468"/>
    <w:rsid w:val="00C50FB8"/>
    <w:rsid w:val="00C5123D"/>
    <w:rsid w:val="00C5142A"/>
    <w:rsid w:val="00C534C8"/>
    <w:rsid w:val="00C54244"/>
    <w:rsid w:val="00C5685E"/>
    <w:rsid w:val="00C56C15"/>
    <w:rsid w:val="00C60711"/>
    <w:rsid w:val="00C63BD4"/>
    <w:rsid w:val="00C63FE9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A2747"/>
    <w:rsid w:val="00CB2099"/>
    <w:rsid w:val="00CB418B"/>
    <w:rsid w:val="00CC0028"/>
    <w:rsid w:val="00CC0728"/>
    <w:rsid w:val="00CC1069"/>
    <w:rsid w:val="00CC1B36"/>
    <w:rsid w:val="00CC4EF4"/>
    <w:rsid w:val="00CC5842"/>
    <w:rsid w:val="00CC5A7E"/>
    <w:rsid w:val="00CC60E7"/>
    <w:rsid w:val="00CC7753"/>
    <w:rsid w:val="00CD0141"/>
    <w:rsid w:val="00CD0C0E"/>
    <w:rsid w:val="00CD11C3"/>
    <w:rsid w:val="00CD2143"/>
    <w:rsid w:val="00CD22C1"/>
    <w:rsid w:val="00CD5C01"/>
    <w:rsid w:val="00CE142D"/>
    <w:rsid w:val="00CE233A"/>
    <w:rsid w:val="00CF2F05"/>
    <w:rsid w:val="00CF5D22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58ED"/>
    <w:rsid w:val="00D36966"/>
    <w:rsid w:val="00D40E4E"/>
    <w:rsid w:val="00D4327E"/>
    <w:rsid w:val="00D43C47"/>
    <w:rsid w:val="00D4502B"/>
    <w:rsid w:val="00D467F6"/>
    <w:rsid w:val="00D50A88"/>
    <w:rsid w:val="00D50AA7"/>
    <w:rsid w:val="00D50D04"/>
    <w:rsid w:val="00D51A6A"/>
    <w:rsid w:val="00D52499"/>
    <w:rsid w:val="00D52833"/>
    <w:rsid w:val="00D53BE1"/>
    <w:rsid w:val="00D608D7"/>
    <w:rsid w:val="00D61C41"/>
    <w:rsid w:val="00D62311"/>
    <w:rsid w:val="00D62BB9"/>
    <w:rsid w:val="00D72203"/>
    <w:rsid w:val="00D72818"/>
    <w:rsid w:val="00D72D29"/>
    <w:rsid w:val="00D74F65"/>
    <w:rsid w:val="00D76D58"/>
    <w:rsid w:val="00D81D67"/>
    <w:rsid w:val="00D86D2A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3B4C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5C3D"/>
    <w:rsid w:val="00DF6D67"/>
    <w:rsid w:val="00DF7A67"/>
    <w:rsid w:val="00E0170F"/>
    <w:rsid w:val="00E01972"/>
    <w:rsid w:val="00E046CD"/>
    <w:rsid w:val="00E06384"/>
    <w:rsid w:val="00E115EE"/>
    <w:rsid w:val="00E12D64"/>
    <w:rsid w:val="00E1335F"/>
    <w:rsid w:val="00E147C5"/>
    <w:rsid w:val="00E14C28"/>
    <w:rsid w:val="00E212D0"/>
    <w:rsid w:val="00E21C9C"/>
    <w:rsid w:val="00E22161"/>
    <w:rsid w:val="00E2352B"/>
    <w:rsid w:val="00E2378E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DB0"/>
    <w:rsid w:val="00E476B6"/>
    <w:rsid w:val="00E47D47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87CFE"/>
    <w:rsid w:val="00E91A76"/>
    <w:rsid w:val="00E924EE"/>
    <w:rsid w:val="00E94FEE"/>
    <w:rsid w:val="00E95A6B"/>
    <w:rsid w:val="00EA0056"/>
    <w:rsid w:val="00EA14B9"/>
    <w:rsid w:val="00EB00FD"/>
    <w:rsid w:val="00EB0254"/>
    <w:rsid w:val="00EB0B7B"/>
    <w:rsid w:val="00EB1707"/>
    <w:rsid w:val="00EB256F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055"/>
    <w:rsid w:val="00F10548"/>
    <w:rsid w:val="00F126D4"/>
    <w:rsid w:val="00F1343A"/>
    <w:rsid w:val="00F13B15"/>
    <w:rsid w:val="00F1449F"/>
    <w:rsid w:val="00F17941"/>
    <w:rsid w:val="00F21027"/>
    <w:rsid w:val="00F3058D"/>
    <w:rsid w:val="00F33606"/>
    <w:rsid w:val="00F35903"/>
    <w:rsid w:val="00F3623A"/>
    <w:rsid w:val="00F3797F"/>
    <w:rsid w:val="00F37E3B"/>
    <w:rsid w:val="00F41EA3"/>
    <w:rsid w:val="00F4594E"/>
    <w:rsid w:val="00F45A0E"/>
    <w:rsid w:val="00F46935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38AB"/>
    <w:rsid w:val="00F7544B"/>
    <w:rsid w:val="00F77F9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03CA"/>
    <w:rsid w:val="00FE6284"/>
    <w:rsid w:val="00FE79D3"/>
    <w:rsid w:val="00FF0611"/>
    <w:rsid w:val="00FF16E6"/>
    <w:rsid w:val="00FF20D1"/>
    <w:rsid w:val="00FF5B0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53B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F53B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16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18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9</Pages>
  <Words>1235</Words>
  <Characters>6289</Characters>
  <Application>Microsoft Office Word</Application>
  <DocSecurity>0</DocSecurity>
  <PresentationFormat/>
  <Lines>188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(Regional Commercial Radio) Regulation 2013</vt:lpstr>
    </vt:vector>
  </TitlesOfParts>
  <Manager/>
  <Company/>
  <LinksUpToDate>false</LinksUpToDate>
  <CharactersWithSpaces>7494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2012-12-05T04:21:00Z</cp:lastPrinted>
  <dcterms:created xsi:type="dcterms:W3CDTF">2013-08-05T01:35:00Z</dcterms:created>
  <dcterms:modified xsi:type="dcterms:W3CDTF">2013-08-05T01:35:00Z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1218225A</vt:lpwstr>
  </property>
  <property fmtid="{D5CDD505-2E9C-101B-9397-08002B2CF9AE}" pid="4" name="Converted">
    <vt:bool>true</vt:bool>
  </property>
  <property fmtid="{D5CDD505-2E9C-101B-9397-08002B2CF9AE}" pid="5" name="Classification">
    <vt:lpwstr> </vt:lpwstr>
  </property>
  <property fmtid="{D5CDD505-2E9C-101B-9397-08002B2CF9AE}" pid="6" name="Header">
    <vt:lpwstr>Section</vt:lpwstr>
  </property>
  <property fmtid="{D5CDD505-2E9C-101B-9397-08002B2CF9AE}" pid="7" name="ActNo">
    <vt:lpwstr>No. 216, 2013</vt:lpwstr>
  </property>
  <property fmtid="{D5CDD505-2E9C-101B-9397-08002B2CF9AE}" pid="8" name="ShortT">
    <vt:lpwstr>Broadcasting Services (Regional Commercial Radio) Regulation 2013</vt:lpwstr>
  </property>
  <property fmtid="{D5CDD505-2E9C-101B-9397-08002B2CF9AE}" pid="9" name="Class">
    <vt:lpwstr>Regulation</vt:lpwstr>
  </property>
  <property fmtid="{D5CDD505-2E9C-101B-9397-08002B2CF9AE}" pid="10" name="Type">
    <vt:lpwstr>SLI</vt:lpwstr>
  </property>
  <property fmtid="{D5CDD505-2E9C-101B-9397-08002B2CF9AE}" pid="11" name="DocType">
    <vt:lpwstr>NEW</vt:lpwstr>
  </property>
  <property fmtid="{D5CDD505-2E9C-101B-9397-08002B2CF9AE}" pid="12" name="Exco">
    <vt:lpwstr>Yes</vt:lpwstr>
  </property>
  <property fmtid="{D5CDD505-2E9C-101B-9397-08002B2CF9AE}" pid="13" name="Authority">
    <vt:lpwstr/>
  </property>
  <property fmtid="{D5CDD505-2E9C-101B-9397-08002B2CF9AE}" pid="14" name="DateMade">
    <vt:lpwstr>05 August 2013</vt:lpwstr>
  </property>
  <property fmtid="{D5CDD505-2E9C-101B-9397-08002B2CF9AE}" pid="15" name="ID">
    <vt:lpwstr>OPC50268</vt:lpwstr>
  </property>
  <property fmtid="{D5CDD505-2E9C-101B-9397-08002B2CF9AE}" pid="16" name="CounterSign">
    <vt:lpwstr/>
  </property>
  <property fmtid="{D5CDD505-2E9C-101B-9397-08002B2CF9AE}" pid="17" name="ExcoDate">
    <vt:lpwstr>05 August 2013</vt:lpwstr>
  </property>
</Properties>
</file>