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D1F" w:rsidRPr="00443E9E" w:rsidRDefault="00635D1F" w:rsidP="00135D22">
      <w:pPr>
        <w:pStyle w:val="h1ChSch"/>
        <w:pageBreakBefore w:val="0"/>
        <w:spacing w:before="0"/>
        <w:jc w:val="both"/>
        <w:rPr>
          <w:b w:val="0"/>
          <w:vanish/>
          <w:sz w:val="12"/>
        </w:rPr>
      </w:pPr>
      <w:r>
        <w:rPr>
          <w:b w:val="0"/>
          <w:vanish/>
          <w:sz w:val="12"/>
        </w:rPr>
        <w:t>`</w:t>
      </w:r>
      <w:r w:rsidRPr="00443E9E">
        <w:rPr>
          <w:b w:val="0"/>
          <w:vanish/>
          <w:sz w:val="12"/>
        </w:rPr>
        <w:t>[Don’t delete]</w:t>
      </w:r>
    </w:p>
    <w:p w:rsidR="00635D1F" w:rsidRPr="00443E9E" w:rsidRDefault="00635D1F" w:rsidP="00135D22">
      <w:pPr>
        <w:pStyle w:val="h2Part"/>
        <w:pageBreakBefore w:val="0"/>
        <w:spacing w:before="0"/>
        <w:jc w:val="both"/>
        <w:rPr>
          <w:b w:val="0"/>
          <w:vanish/>
          <w:sz w:val="12"/>
        </w:rPr>
      </w:pPr>
      <w:r w:rsidRPr="00443E9E">
        <w:rPr>
          <w:b w:val="0"/>
          <w:vanish/>
          <w:sz w:val="12"/>
        </w:rPr>
        <w:t>[Don’t delete]</w:t>
      </w:r>
    </w:p>
    <w:p w:rsidR="00635D1F" w:rsidRPr="00443E9E" w:rsidRDefault="00635D1F" w:rsidP="00135D22">
      <w:pPr>
        <w:pStyle w:val="h3Div"/>
        <w:spacing w:before="0"/>
        <w:jc w:val="both"/>
        <w:rPr>
          <w:b w:val="0"/>
          <w:vanish/>
          <w:sz w:val="12"/>
        </w:rPr>
      </w:pPr>
      <w:r w:rsidRPr="00443E9E">
        <w:rPr>
          <w:b w:val="0"/>
          <w:vanish/>
          <w:sz w:val="12"/>
        </w:rPr>
        <w:t>[Don’t delete]</w:t>
      </w:r>
    </w:p>
    <w:p w:rsidR="00635D1F" w:rsidRPr="00C534C4" w:rsidRDefault="00635D1F" w:rsidP="00135D22">
      <w:pPr>
        <w:jc w:val="both"/>
        <w:rPr>
          <w:rFonts w:ascii="Arial" w:hAnsi="Arial"/>
          <w:color w:val="808080"/>
        </w:rPr>
      </w:pPr>
      <w:r>
        <w:rPr>
          <w:noProof/>
        </w:rPr>
        <w:drawing>
          <wp:inline distT="0" distB="0" distL="0" distR="0" wp14:anchorId="5E7CE631" wp14:editId="7897D3B8">
            <wp:extent cx="1409700" cy="1098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098550"/>
                    </a:xfrm>
                    <a:prstGeom prst="rect">
                      <a:avLst/>
                    </a:prstGeom>
                    <a:noFill/>
                    <a:ln>
                      <a:noFill/>
                    </a:ln>
                  </pic:spPr>
                </pic:pic>
              </a:graphicData>
            </a:graphic>
          </wp:inline>
        </w:drawing>
      </w:r>
      <w:r>
        <w:tab/>
      </w:r>
      <w:r>
        <w:rPr>
          <w:rFonts w:ascii="Arial" w:hAnsi="Arial"/>
          <w:color w:val="808080"/>
        </w:rPr>
        <w:t xml:space="preserve"> </w:t>
      </w:r>
    </w:p>
    <w:p w:rsidR="00635D1F" w:rsidRPr="002630EE" w:rsidRDefault="00715BC8" w:rsidP="00135D22">
      <w:pPr>
        <w:pStyle w:val="Title"/>
      </w:pPr>
      <w:r w:rsidRPr="00117077">
        <w:t xml:space="preserve">Carbon Credits (Carbon Farming Initiative) (Reducing Greenhouse Gas Emissions by Feeding </w:t>
      </w:r>
      <w:r w:rsidR="006D023B">
        <w:t xml:space="preserve">Dietary </w:t>
      </w:r>
      <w:r w:rsidR="00262DF2">
        <w:t>Additives</w:t>
      </w:r>
      <w:r>
        <w:t xml:space="preserve"> to Milking Cows</w:t>
      </w:r>
      <w:r w:rsidRPr="00117077">
        <w:t xml:space="preserve">) Methodology Determination </w:t>
      </w:r>
      <w:r>
        <w:t>2013</w:t>
      </w:r>
    </w:p>
    <w:p w:rsidR="00635D1F" w:rsidRPr="00E008A1" w:rsidRDefault="00635D1F" w:rsidP="00135D22">
      <w:pPr>
        <w:pBdr>
          <w:bottom w:val="single" w:sz="4" w:space="3" w:color="auto"/>
        </w:pBdr>
        <w:spacing w:before="480"/>
        <w:jc w:val="both"/>
        <w:rPr>
          <w:rFonts w:ascii="Arial" w:hAnsi="Arial" w:cs="Arial"/>
          <w:i/>
          <w:sz w:val="28"/>
          <w:szCs w:val="28"/>
          <w:lang w:val="en-US"/>
        </w:rPr>
      </w:pPr>
      <w:r w:rsidRPr="00E008A1">
        <w:rPr>
          <w:rFonts w:ascii="Arial" w:hAnsi="Arial" w:cs="Arial"/>
          <w:i/>
          <w:sz w:val="28"/>
          <w:szCs w:val="28"/>
          <w:lang w:val="en-US"/>
        </w:rPr>
        <w:t>Carbon Credits (Carbon Farming Initiative) Act 2011</w:t>
      </w:r>
    </w:p>
    <w:p w:rsidR="00635D1F" w:rsidRPr="00796495" w:rsidRDefault="00635D1F" w:rsidP="00135D22">
      <w:pPr>
        <w:spacing w:before="360"/>
        <w:jc w:val="both"/>
      </w:pPr>
      <w:r w:rsidRPr="00796495">
        <w:t xml:space="preserve">I, </w:t>
      </w:r>
      <w:r w:rsidR="00143B27" w:rsidRPr="00796495">
        <w:t xml:space="preserve">Yvette </w:t>
      </w:r>
      <w:proofErr w:type="spellStart"/>
      <w:r w:rsidR="00143B27" w:rsidRPr="00796495">
        <w:t>D'A</w:t>
      </w:r>
      <w:r w:rsidRPr="00796495">
        <w:t>th</w:t>
      </w:r>
      <w:proofErr w:type="spellEnd"/>
      <w:r w:rsidRPr="00796495">
        <w:t xml:space="preserve">, Parliamentary Secretary for </w:t>
      </w:r>
      <w:r w:rsidR="00396FEC">
        <w:t>Climate Change,</w:t>
      </w:r>
      <w:r w:rsidR="007708AC">
        <w:t xml:space="preserve"> Innovation</w:t>
      </w:r>
      <w:r w:rsidR="00396FEC">
        <w:t xml:space="preserve"> and Industry</w:t>
      </w:r>
      <w:r w:rsidRPr="00796495">
        <w:t xml:space="preserve">, make this Methodology Determination under subsection 106(1) of the </w:t>
      </w:r>
      <w:r w:rsidRPr="00796495">
        <w:rPr>
          <w:i/>
        </w:rPr>
        <w:t>Carbon Credits (Carbon Farming Initiative) Act 2011</w:t>
      </w:r>
      <w:r w:rsidRPr="00796495">
        <w:t>.</w:t>
      </w:r>
    </w:p>
    <w:p w:rsidR="00635D1F" w:rsidRPr="00FA05A6" w:rsidRDefault="00635D1F" w:rsidP="00135D22">
      <w:pPr>
        <w:spacing w:before="360"/>
        <w:jc w:val="both"/>
      </w:pPr>
    </w:p>
    <w:p w:rsidR="00635D1F" w:rsidRDefault="00635D1F" w:rsidP="00135D22">
      <w:pPr>
        <w:tabs>
          <w:tab w:val="left" w:pos="3119"/>
        </w:tabs>
        <w:spacing w:before="300" w:after="600" w:line="300" w:lineRule="atLeast"/>
        <w:jc w:val="both"/>
      </w:pPr>
      <w:r>
        <w:t>Dated</w:t>
      </w:r>
      <w:r w:rsidR="00414585">
        <w:t xml:space="preserve">    29 July 2013</w:t>
      </w:r>
      <w:bookmarkStart w:id="0" w:name="_GoBack"/>
      <w:bookmarkEnd w:id="0"/>
    </w:p>
    <w:p w:rsidR="00635D1F" w:rsidRDefault="00635D1F" w:rsidP="00135D22">
      <w:pPr>
        <w:tabs>
          <w:tab w:val="left" w:pos="3969"/>
        </w:tabs>
        <w:spacing w:before="120" w:after="120"/>
        <w:jc w:val="both"/>
      </w:pPr>
      <w:r>
        <w:t xml:space="preserve">YVETTE D’ATH </w:t>
      </w:r>
    </w:p>
    <w:p w:rsidR="00635D1F" w:rsidRPr="00FA05A6" w:rsidRDefault="00635D1F" w:rsidP="00135D22">
      <w:pPr>
        <w:pBdr>
          <w:bottom w:val="single" w:sz="4" w:space="12" w:color="auto"/>
        </w:pBdr>
        <w:tabs>
          <w:tab w:val="left" w:pos="3119"/>
        </w:tabs>
        <w:spacing w:after="240" w:line="300" w:lineRule="atLeast"/>
        <w:jc w:val="both"/>
      </w:pPr>
      <w:r>
        <w:t>P</w:t>
      </w:r>
      <w:r w:rsidRPr="00ED5EAC">
        <w:t>arliamentary Secretary for Cl</w:t>
      </w:r>
      <w:r w:rsidR="005B56AA">
        <w:t>imate Change, Innovation</w:t>
      </w:r>
      <w:r w:rsidR="00396FEC">
        <w:t xml:space="preserve"> and Industry</w:t>
      </w:r>
    </w:p>
    <w:p w:rsidR="00635D1F" w:rsidRDefault="00635D1F" w:rsidP="00135D22">
      <w:pPr>
        <w:jc w:val="both"/>
      </w:pPr>
      <w:r>
        <w:br w:type="page"/>
      </w:r>
    </w:p>
    <w:p w:rsidR="00991580" w:rsidRDefault="00991580" w:rsidP="00991580">
      <w:pPr>
        <w:pStyle w:val="h2Part"/>
      </w:pPr>
      <w:r>
        <w:lastRenderedPageBreak/>
        <w:t>Contents</w:t>
      </w:r>
    </w:p>
    <w:p w:rsidR="00991580" w:rsidRDefault="00991580">
      <w:pPr>
        <w:pStyle w:val="TOC2"/>
        <w:rPr>
          <w:rFonts w:asciiTheme="minorHAnsi" w:eastAsiaTheme="minorEastAsia" w:hAnsiTheme="minorHAnsi" w:cstheme="minorBidi"/>
          <w:b w:val="0"/>
          <w:lang w:eastAsia="en-AU"/>
        </w:rPr>
      </w:pPr>
      <w:r>
        <w:t>Part 1</w:t>
      </w:r>
      <w:r>
        <w:rPr>
          <w:rFonts w:asciiTheme="minorHAnsi" w:eastAsiaTheme="minorEastAsia" w:hAnsiTheme="minorHAnsi" w:cstheme="minorBidi"/>
          <w:b w:val="0"/>
          <w:lang w:eastAsia="en-AU"/>
        </w:rPr>
        <w:tab/>
      </w:r>
      <w:r>
        <w:t>Preliminary</w:t>
      </w:r>
    </w:p>
    <w:p w:rsidR="00991580" w:rsidRDefault="00991580">
      <w:pPr>
        <w:pStyle w:val="TOC5"/>
        <w:rPr>
          <w:rFonts w:asciiTheme="minorHAnsi" w:eastAsiaTheme="minorEastAsia" w:hAnsiTheme="minorHAnsi" w:cstheme="minorBidi"/>
          <w:sz w:val="22"/>
          <w:szCs w:val="22"/>
          <w:lang w:eastAsia="en-AU"/>
        </w:rPr>
      </w:pPr>
      <w:r>
        <w:tab/>
        <w:t>1.1</w:t>
      </w:r>
      <w:r>
        <w:rPr>
          <w:rFonts w:asciiTheme="minorHAnsi" w:eastAsiaTheme="minorEastAsia" w:hAnsiTheme="minorHAnsi" w:cstheme="minorBidi"/>
          <w:sz w:val="22"/>
          <w:szCs w:val="22"/>
          <w:lang w:eastAsia="en-AU"/>
        </w:rPr>
        <w:tab/>
      </w:r>
      <w:r>
        <w:t>Name of Determination</w:t>
      </w:r>
      <w:r>
        <w:tab/>
        <w:t>4</w:t>
      </w:r>
    </w:p>
    <w:p w:rsidR="00991580" w:rsidRDefault="00991580">
      <w:pPr>
        <w:pStyle w:val="TOC5"/>
        <w:rPr>
          <w:rFonts w:asciiTheme="minorHAnsi" w:eastAsiaTheme="minorEastAsia" w:hAnsiTheme="minorHAnsi" w:cstheme="minorBidi"/>
          <w:sz w:val="22"/>
          <w:szCs w:val="22"/>
          <w:lang w:eastAsia="en-AU"/>
        </w:rPr>
      </w:pPr>
      <w:r>
        <w:tab/>
        <w:t>1.2</w:t>
      </w:r>
      <w:r>
        <w:rPr>
          <w:rFonts w:asciiTheme="minorHAnsi" w:eastAsiaTheme="minorEastAsia" w:hAnsiTheme="minorHAnsi" w:cstheme="minorBidi"/>
          <w:sz w:val="22"/>
          <w:szCs w:val="22"/>
          <w:lang w:eastAsia="en-AU"/>
        </w:rPr>
        <w:tab/>
      </w:r>
      <w:r>
        <w:t>Commencement</w:t>
      </w:r>
      <w:r>
        <w:tab/>
        <w:t>4</w:t>
      </w:r>
    </w:p>
    <w:p w:rsidR="00991580" w:rsidRDefault="00991580">
      <w:pPr>
        <w:pStyle w:val="TOC5"/>
        <w:rPr>
          <w:rFonts w:asciiTheme="minorHAnsi" w:eastAsiaTheme="minorEastAsia" w:hAnsiTheme="minorHAnsi" w:cstheme="minorBidi"/>
          <w:sz w:val="22"/>
          <w:szCs w:val="22"/>
          <w:lang w:eastAsia="en-AU"/>
        </w:rPr>
      </w:pPr>
      <w:r>
        <w:tab/>
        <w:t>1.3</w:t>
      </w:r>
      <w:r>
        <w:rPr>
          <w:rFonts w:asciiTheme="minorHAnsi" w:eastAsiaTheme="minorEastAsia" w:hAnsiTheme="minorHAnsi" w:cstheme="minorBidi"/>
          <w:sz w:val="22"/>
          <w:szCs w:val="22"/>
          <w:lang w:eastAsia="en-AU"/>
        </w:rPr>
        <w:tab/>
      </w:r>
      <w:r>
        <w:t>Definitions</w:t>
      </w:r>
      <w:r>
        <w:tab/>
        <w:t>4</w:t>
      </w:r>
    </w:p>
    <w:p w:rsidR="00991580" w:rsidRDefault="00991580">
      <w:pPr>
        <w:pStyle w:val="TOC5"/>
        <w:rPr>
          <w:rFonts w:asciiTheme="minorHAnsi" w:eastAsiaTheme="minorEastAsia" w:hAnsiTheme="minorHAnsi" w:cstheme="minorBidi"/>
          <w:sz w:val="22"/>
          <w:szCs w:val="22"/>
          <w:lang w:eastAsia="en-AU"/>
        </w:rPr>
      </w:pPr>
      <w:r>
        <w:tab/>
        <w:t>1.4</w:t>
      </w:r>
      <w:r>
        <w:rPr>
          <w:rFonts w:asciiTheme="minorHAnsi" w:eastAsiaTheme="minorEastAsia" w:hAnsiTheme="minorHAnsi" w:cstheme="minorBidi"/>
          <w:sz w:val="22"/>
          <w:szCs w:val="22"/>
          <w:lang w:eastAsia="en-AU"/>
        </w:rPr>
        <w:tab/>
      </w:r>
      <w:r>
        <w:t>Kind of project to which this Determination applies</w:t>
      </w:r>
      <w:r>
        <w:tab/>
        <w:t>6</w:t>
      </w:r>
    </w:p>
    <w:p w:rsidR="00991580" w:rsidRDefault="00991580">
      <w:pPr>
        <w:pStyle w:val="TOC2"/>
        <w:rPr>
          <w:rFonts w:asciiTheme="minorHAnsi" w:eastAsiaTheme="minorEastAsia" w:hAnsiTheme="minorHAnsi" w:cstheme="minorBidi"/>
          <w:b w:val="0"/>
          <w:lang w:eastAsia="en-AU"/>
        </w:rPr>
      </w:pPr>
      <w:r>
        <w:t>Part 2</w:t>
      </w:r>
      <w:r>
        <w:rPr>
          <w:rFonts w:asciiTheme="minorHAnsi" w:eastAsiaTheme="minorEastAsia" w:hAnsiTheme="minorHAnsi" w:cstheme="minorBidi"/>
          <w:b w:val="0"/>
          <w:lang w:eastAsia="en-AU"/>
        </w:rPr>
        <w:tab/>
      </w:r>
      <w:r>
        <w:t>Requirements for declaration as an eligible offsets project</w:t>
      </w:r>
    </w:p>
    <w:p w:rsidR="00991580" w:rsidRDefault="00991580">
      <w:pPr>
        <w:pStyle w:val="TOC5"/>
        <w:rPr>
          <w:rFonts w:asciiTheme="minorHAnsi" w:eastAsiaTheme="minorEastAsia" w:hAnsiTheme="minorHAnsi" w:cstheme="minorBidi"/>
          <w:sz w:val="22"/>
          <w:szCs w:val="22"/>
          <w:lang w:eastAsia="en-AU"/>
        </w:rPr>
      </w:pPr>
      <w:r>
        <w:tab/>
        <w:t>2.1</w:t>
      </w:r>
      <w:r>
        <w:rPr>
          <w:rFonts w:asciiTheme="minorHAnsi" w:eastAsiaTheme="minorEastAsia" w:hAnsiTheme="minorHAnsi" w:cstheme="minorBidi"/>
          <w:sz w:val="22"/>
          <w:szCs w:val="22"/>
          <w:lang w:eastAsia="en-AU"/>
        </w:rPr>
        <w:tab/>
      </w:r>
      <w:r>
        <w:t>Eligible offsets projects</w:t>
      </w:r>
      <w:r>
        <w:tab/>
        <w:t>7</w:t>
      </w:r>
    </w:p>
    <w:p w:rsidR="00991580" w:rsidRDefault="00991580">
      <w:pPr>
        <w:pStyle w:val="TOC5"/>
        <w:rPr>
          <w:rFonts w:asciiTheme="minorHAnsi" w:eastAsiaTheme="minorEastAsia" w:hAnsiTheme="minorHAnsi" w:cstheme="minorBidi"/>
          <w:sz w:val="22"/>
          <w:szCs w:val="22"/>
          <w:lang w:eastAsia="en-AU"/>
        </w:rPr>
      </w:pPr>
      <w:r>
        <w:tab/>
        <w:t>2.2</w:t>
      </w:r>
      <w:r>
        <w:rPr>
          <w:rFonts w:asciiTheme="minorHAnsi" w:eastAsiaTheme="minorEastAsia" w:hAnsiTheme="minorHAnsi" w:cstheme="minorBidi"/>
          <w:sz w:val="22"/>
          <w:szCs w:val="22"/>
          <w:lang w:eastAsia="en-AU"/>
        </w:rPr>
        <w:tab/>
      </w:r>
      <w:r>
        <w:t>Location</w:t>
      </w:r>
      <w:r>
        <w:tab/>
        <w:t>7</w:t>
      </w:r>
    </w:p>
    <w:p w:rsidR="00991580" w:rsidRDefault="00991580">
      <w:pPr>
        <w:pStyle w:val="TOC5"/>
        <w:rPr>
          <w:rFonts w:asciiTheme="minorHAnsi" w:eastAsiaTheme="minorEastAsia" w:hAnsiTheme="minorHAnsi" w:cstheme="minorBidi"/>
          <w:sz w:val="22"/>
          <w:szCs w:val="22"/>
          <w:lang w:eastAsia="en-AU"/>
        </w:rPr>
      </w:pPr>
      <w:r>
        <w:tab/>
        <w:t>2.3</w:t>
      </w:r>
      <w:r>
        <w:rPr>
          <w:rFonts w:asciiTheme="minorHAnsi" w:eastAsiaTheme="minorEastAsia" w:hAnsiTheme="minorHAnsi" w:cstheme="minorBidi"/>
          <w:sz w:val="22"/>
          <w:szCs w:val="22"/>
          <w:lang w:eastAsia="en-AU"/>
        </w:rPr>
        <w:tab/>
      </w:r>
      <w:r>
        <w:t>Eligible additives</w:t>
      </w:r>
      <w:r>
        <w:tab/>
        <w:t>7</w:t>
      </w:r>
    </w:p>
    <w:p w:rsidR="00991580" w:rsidRDefault="00991580">
      <w:pPr>
        <w:pStyle w:val="TOC5"/>
        <w:rPr>
          <w:rFonts w:asciiTheme="minorHAnsi" w:eastAsiaTheme="minorEastAsia" w:hAnsiTheme="minorHAnsi" w:cstheme="minorBidi"/>
          <w:sz w:val="22"/>
          <w:szCs w:val="22"/>
          <w:lang w:eastAsia="en-AU"/>
        </w:rPr>
      </w:pPr>
      <w:r>
        <w:tab/>
        <w:t>2.4</w:t>
      </w:r>
      <w:r>
        <w:rPr>
          <w:rFonts w:asciiTheme="minorHAnsi" w:eastAsiaTheme="minorEastAsia" w:hAnsiTheme="minorHAnsi" w:cstheme="minorBidi"/>
          <w:sz w:val="22"/>
          <w:szCs w:val="22"/>
          <w:lang w:eastAsia="en-AU"/>
        </w:rPr>
        <w:tab/>
      </w:r>
      <w:r>
        <w:t>Eligible dairy farms</w:t>
      </w:r>
      <w:r>
        <w:tab/>
        <w:t>7</w:t>
      </w:r>
    </w:p>
    <w:p w:rsidR="00991580" w:rsidRDefault="00991580">
      <w:pPr>
        <w:pStyle w:val="TOC5"/>
        <w:rPr>
          <w:rFonts w:asciiTheme="minorHAnsi" w:eastAsiaTheme="minorEastAsia" w:hAnsiTheme="minorHAnsi" w:cstheme="minorBidi"/>
          <w:sz w:val="22"/>
          <w:szCs w:val="22"/>
          <w:lang w:eastAsia="en-AU"/>
        </w:rPr>
      </w:pPr>
      <w:r>
        <w:tab/>
        <w:t>2.5</w:t>
      </w:r>
      <w:r>
        <w:rPr>
          <w:rFonts w:asciiTheme="minorHAnsi" w:eastAsiaTheme="minorEastAsia" w:hAnsiTheme="minorHAnsi" w:cstheme="minorBidi"/>
          <w:sz w:val="22"/>
          <w:szCs w:val="22"/>
          <w:lang w:eastAsia="en-AU"/>
        </w:rPr>
        <w:tab/>
      </w:r>
      <w:r>
        <w:t>Project mechanism</w:t>
      </w:r>
      <w:r>
        <w:tab/>
        <w:t>7</w:t>
      </w:r>
    </w:p>
    <w:p w:rsidR="00991580" w:rsidRDefault="00991580">
      <w:pPr>
        <w:pStyle w:val="TOC2"/>
        <w:rPr>
          <w:rFonts w:asciiTheme="minorHAnsi" w:eastAsiaTheme="minorEastAsia" w:hAnsiTheme="minorHAnsi" w:cstheme="minorBidi"/>
          <w:b w:val="0"/>
          <w:lang w:eastAsia="en-AU"/>
        </w:rPr>
      </w:pPr>
      <w:r>
        <w:t>Part 3</w:t>
      </w:r>
      <w:r>
        <w:rPr>
          <w:rFonts w:asciiTheme="minorHAnsi" w:eastAsiaTheme="minorEastAsia" w:hAnsiTheme="minorHAnsi" w:cstheme="minorBidi"/>
          <w:b w:val="0"/>
          <w:lang w:eastAsia="en-AU"/>
        </w:rPr>
        <w:tab/>
      </w:r>
      <w:r>
        <w:t>Requirements for operation of eligible offsets projects</w:t>
      </w:r>
    </w:p>
    <w:p w:rsidR="00991580" w:rsidRDefault="00991580">
      <w:pPr>
        <w:pStyle w:val="TOC5"/>
        <w:rPr>
          <w:rFonts w:asciiTheme="minorHAnsi" w:eastAsiaTheme="minorEastAsia" w:hAnsiTheme="minorHAnsi" w:cstheme="minorBidi"/>
          <w:sz w:val="22"/>
          <w:szCs w:val="22"/>
          <w:lang w:eastAsia="en-AU"/>
        </w:rPr>
      </w:pPr>
      <w:r>
        <w:tab/>
        <w:t>3.1</w:t>
      </w:r>
      <w:r>
        <w:rPr>
          <w:rFonts w:asciiTheme="minorHAnsi" w:eastAsiaTheme="minorEastAsia" w:hAnsiTheme="minorHAnsi" w:cstheme="minorBidi"/>
          <w:sz w:val="22"/>
          <w:szCs w:val="22"/>
          <w:lang w:eastAsia="en-AU"/>
        </w:rPr>
        <w:tab/>
      </w:r>
      <w:r>
        <w:t>Operation of eligible offsets projects</w:t>
      </w:r>
      <w:r>
        <w:tab/>
        <w:t>8</w:t>
      </w:r>
    </w:p>
    <w:p w:rsidR="00991580" w:rsidRDefault="00991580">
      <w:pPr>
        <w:pStyle w:val="TOC5"/>
        <w:rPr>
          <w:rFonts w:asciiTheme="minorHAnsi" w:eastAsiaTheme="minorEastAsia" w:hAnsiTheme="minorHAnsi" w:cstheme="minorBidi"/>
          <w:sz w:val="22"/>
          <w:szCs w:val="22"/>
          <w:lang w:eastAsia="en-AU"/>
        </w:rPr>
      </w:pPr>
      <w:r>
        <w:tab/>
        <w:t>3.2</w:t>
      </w:r>
      <w:r>
        <w:rPr>
          <w:rFonts w:asciiTheme="minorHAnsi" w:eastAsiaTheme="minorEastAsia" w:hAnsiTheme="minorHAnsi" w:cstheme="minorBidi"/>
          <w:sz w:val="22"/>
          <w:szCs w:val="22"/>
          <w:lang w:eastAsia="en-AU"/>
        </w:rPr>
        <w:tab/>
      </w:r>
      <w:r>
        <w:t>Start of first project year</w:t>
      </w:r>
      <w:r>
        <w:tab/>
        <w:t>8</w:t>
      </w:r>
    </w:p>
    <w:p w:rsidR="00991580" w:rsidRDefault="00991580">
      <w:pPr>
        <w:pStyle w:val="TOC5"/>
        <w:rPr>
          <w:rFonts w:asciiTheme="minorHAnsi" w:eastAsiaTheme="minorEastAsia" w:hAnsiTheme="minorHAnsi" w:cstheme="minorBidi"/>
          <w:sz w:val="22"/>
          <w:szCs w:val="22"/>
          <w:lang w:eastAsia="en-AU"/>
        </w:rPr>
      </w:pPr>
      <w:r>
        <w:tab/>
        <w:t>3.3</w:t>
      </w:r>
      <w:r>
        <w:rPr>
          <w:rFonts w:asciiTheme="minorHAnsi" w:eastAsiaTheme="minorEastAsia" w:hAnsiTheme="minorHAnsi" w:cstheme="minorBidi"/>
          <w:sz w:val="22"/>
          <w:szCs w:val="22"/>
          <w:lang w:eastAsia="en-AU"/>
        </w:rPr>
        <w:tab/>
      </w:r>
      <w:r>
        <w:t>Start of second and subsequent project years</w:t>
      </w:r>
      <w:r>
        <w:tab/>
        <w:t>8</w:t>
      </w:r>
    </w:p>
    <w:p w:rsidR="00991580" w:rsidRDefault="00991580">
      <w:pPr>
        <w:pStyle w:val="TOC5"/>
        <w:rPr>
          <w:rFonts w:asciiTheme="minorHAnsi" w:eastAsiaTheme="minorEastAsia" w:hAnsiTheme="minorHAnsi" w:cstheme="minorBidi"/>
          <w:sz w:val="22"/>
          <w:szCs w:val="22"/>
          <w:lang w:eastAsia="en-AU"/>
        </w:rPr>
      </w:pPr>
      <w:r>
        <w:tab/>
        <w:t>3.4</w:t>
      </w:r>
      <w:r>
        <w:rPr>
          <w:rFonts w:asciiTheme="minorHAnsi" w:eastAsiaTheme="minorEastAsia" w:hAnsiTheme="minorHAnsi" w:cstheme="minorBidi"/>
          <w:sz w:val="22"/>
          <w:szCs w:val="22"/>
          <w:lang w:eastAsia="en-AU"/>
        </w:rPr>
        <w:tab/>
      </w:r>
      <w:r>
        <w:t>Feeding eligible additives to the milking herd</w:t>
      </w:r>
      <w:r>
        <w:tab/>
        <w:t>8</w:t>
      </w:r>
    </w:p>
    <w:p w:rsidR="00991580" w:rsidRDefault="00991580">
      <w:pPr>
        <w:pStyle w:val="TOC5"/>
        <w:rPr>
          <w:rFonts w:asciiTheme="minorHAnsi" w:eastAsiaTheme="minorEastAsia" w:hAnsiTheme="minorHAnsi" w:cstheme="minorBidi"/>
          <w:sz w:val="22"/>
          <w:szCs w:val="22"/>
          <w:lang w:eastAsia="en-AU"/>
        </w:rPr>
      </w:pPr>
      <w:r>
        <w:tab/>
        <w:t>3.5</w:t>
      </w:r>
      <w:r>
        <w:rPr>
          <w:rFonts w:asciiTheme="minorHAnsi" w:eastAsiaTheme="minorEastAsia" w:hAnsiTheme="minorHAnsi" w:cstheme="minorBidi"/>
          <w:sz w:val="22"/>
          <w:szCs w:val="22"/>
          <w:lang w:eastAsia="en-AU"/>
        </w:rPr>
        <w:tab/>
      </w:r>
      <w:r>
        <w:t>Dietary fat limit</w:t>
      </w:r>
      <w:r>
        <w:tab/>
        <w:t>8</w:t>
      </w:r>
    </w:p>
    <w:p w:rsidR="00991580" w:rsidRDefault="00991580">
      <w:pPr>
        <w:pStyle w:val="TOC2"/>
        <w:rPr>
          <w:rFonts w:asciiTheme="minorHAnsi" w:eastAsiaTheme="minorEastAsia" w:hAnsiTheme="minorHAnsi" w:cstheme="minorBidi"/>
          <w:b w:val="0"/>
          <w:lang w:eastAsia="en-AU"/>
        </w:rPr>
      </w:pPr>
      <w:r>
        <w:t>Part 4</w:t>
      </w:r>
      <w:r>
        <w:rPr>
          <w:rFonts w:asciiTheme="minorHAnsi" w:eastAsiaTheme="minorEastAsia" w:hAnsiTheme="minorHAnsi" w:cstheme="minorBidi"/>
          <w:b w:val="0"/>
          <w:lang w:eastAsia="en-AU"/>
        </w:rPr>
        <w:tab/>
      </w:r>
      <w:r>
        <w:t>The carbon dioxide equivalent net abatement amount</w:t>
      </w:r>
    </w:p>
    <w:p w:rsidR="00991580" w:rsidRDefault="00991580">
      <w:pPr>
        <w:pStyle w:val="TOC3"/>
        <w:rPr>
          <w:rFonts w:asciiTheme="minorHAnsi" w:eastAsiaTheme="minorEastAsia" w:hAnsiTheme="minorHAnsi" w:cstheme="minorBidi"/>
          <w:b w:val="0"/>
          <w:noProof/>
          <w:sz w:val="22"/>
          <w:szCs w:val="22"/>
          <w:lang w:eastAsia="en-AU"/>
        </w:rPr>
      </w:pPr>
      <w:r>
        <w:rPr>
          <w:noProof/>
        </w:rPr>
        <w:t>Division 4.1</w:t>
      </w:r>
      <w:r>
        <w:rPr>
          <w:rFonts w:asciiTheme="minorHAnsi" w:eastAsiaTheme="minorEastAsia" w:hAnsiTheme="minorHAnsi" w:cstheme="minorBidi"/>
          <w:b w:val="0"/>
          <w:noProof/>
          <w:sz w:val="22"/>
          <w:szCs w:val="22"/>
          <w:lang w:eastAsia="en-AU"/>
        </w:rPr>
        <w:tab/>
      </w:r>
      <w:r>
        <w:rPr>
          <w:noProof/>
        </w:rPr>
        <w:t>The carbon dioxide equivalent net abatement amount</w:t>
      </w:r>
    </w:p>
    <w:p w:rsidR="00991580" w:rsidRDefault="00991580">
      <w:pPr>
        <w:pStyle w:val="TOC5"/>
        <w:rPr>
          <w:rFonts w:asciiTheme="minorHAnsi" w:eastAsiaTheme="minorEastAsia" w:hAnsiTheme="minorHAnsi" w:cstheme="minorBidi"/>
          <w:sz w:val="22"/>
          <w:szCs w:val="22"/>
          <w:lang w:eastAsia="en-AU"/>
        </w:rPr>
      </w:pPr>
      <w:r>
        <w:tab/>
        <w:t>4.1</w:t>
      </w:r>
      <w:r>
        <w:rPr>
          <w:rFonts w:asciiTheme="minorHAnsi" w:eastAsiaTheme="minorEastAsia" w:hAnsiTheme="minorHAnsi" w:cstheme="minorBidi"/>
          <w:sz w:val="22"/>
          <w:szCs w:val="22"/>
          <w:lang w:eastAsia="en-AU"/>
        </w:rPr>
        <w:tab/>
      </w:r>
      <w:r>
        <w:t>The carbon dioxide equivalent net abatement amount</w:t>
      </w:r>
      <w:r>
        <w:tab/>
        <w:t>9</w:t>
      </w:r>
    </w:p>
    <w:p w:rsidR="00991580" w:rsidRDefault="00991580">
      <w:pPr>
        <w:pStyle w:val="TOC5"/>
        <w:rPr>
          <w:rFonts w:asciiTheme="minorHAnsi" w:eastAsiaTheme="minorEastAsia" w:hAnsiTheme="minorHAnsi" w:cstheme="minorBidi"/>
          <w:sz w:val="22"/>
          <w:szCs w:val="22"/>
          <w:lang w:eastAsia="en-AU"/>
        </w:rPr>
      </w:pPr>
      <w:r>
        <w:tab/>
        <w:t>4.2</w:t>
      </w:r>
      <w:r>
        <w:rPr>
          <w:rFonts w:asciiTheme="minorHAnsi" w:eastAsiaTheme="minorEastAsia" w:hAnsiTheme="minorHAnsi" w:cstheme="minorBidi"/>
          <w:sz w:val="22"/>
          <w:szCs w:val="22"/>
          <w:lang w:eastAsia="en-AU"/>
        </w:rPr>
        <w:tab/>
      </w:r>
      <w:r>
        <w:t>Carbon dioxide equivalent net abatement amount if dietary fat limit exceeded</w:t>
      </w:r>
      <w:r>
        <w:tab/>
        <w:t>9</w:t>
      </w:r>
    </w:p>
    <w:p w:rsidR="00991580" w:rsidRDefault="00991580">
      <w:pPr>
        <w:pStyle w:val="TOC3"/>
        <w:rPr>
          <w:rFonts w:asciiTheme="minorHAnsi" w:eastAsiaTheme="minorEastAsia" w:hAnsiTheme="minorHAnsi" w:cstheme="minorBidi"/>
          <w:b w:val="0"/>
          <w:noProof/>
          <w:sz w:val="22"/>
          <w:szCs w:val="22"/>
          <w:lang w:eastAsia="en-AU"/>
        </w:rPr>
      </w:pPr>
      <w:r>
        <w:rPr>
          <w:noProof/>
        </w:rPr>
        <w:t>Division 4.2</w:t>
      </w:r>
      <w:r>
        <w:rPr>
          <w:rFonts w:asciiTheme="minorHAnsi" w:eastAsiaTheme="minorEastAsia" w:hAnsiTheme="minorHAnsi" w:cstheme="minorBidi"/>
          <w:b w:val="0"/>
          <w:noProof/>
          <w:sz w:val="22"/>
          <w:szCs w:val="22"/>
          <w:lang w:eastAsia="en-AU"/>
        </w:rPr>
        <w:tab/>
      </w:r>
      <w:r>
        <w:rPr>
          <w:noProof/>
        </w:rPr>
        <w:t>Calculations</w:t>
      </w:r>
    </w:p>
    <w:p w:rsidR="00991580" w:rsidRDefault="00991580">
      <w:pPr>
        <w:pStyle w:val="TOC4"/>
        <w:rPr>
          <w:rFonts w:asciiTheme="minorHAnsi" w:eastAsiaTheme="minorEastAsia" w:hAnsiTheme="minorHAnsi" w:cstheme="minorBidi"/>
          <w:b w:val="0"/>
          <w:noProof/>
          <w:sz w:val="22"/>
          <w:szCs w:val="22"/>
          <w:lang w:eastAsia="en-AU"/>
        </w:rPr>
      </w:pPr>
      <w:r>
        <w:rPr>
          <w:noProof/>
        </w:rPr>
        <w:t>Subdivision 4.2.1</w:t>
      </w:r>
      <w:r>
        <w:rPr>
          <w:rFonts w:asciiTheme="minorHAnsi" w:eastAsiaTheme="minorEastAsia" w:hAnsiTheme="minorHAnsi" w:cstheme="minorBidi"/>
          <w:b w:val="0"/>
          <w:noProof/>
          <w:sz w:val="22"/>
          <w:szCs w:val="22"/>
          <w:lang w:eastAsia="en-AU"/>
        </w:rPr>
        <w:tab/>
      </w:r>
      <w:r>
        <w:rPr>
          <w:noProof/>
        </w:rPr>
        <w:t>Preliminary</w:t>
      </w:r>
    </w:p>
    <w:p w:rsidR="00991580" w:rsidRDefault="00991580">
      <w:pPr>
        <w:pStyle w:val="TOC5"/>
        <w:rPr>
          <w:rFonts w:asciiTheme="minorHAnsi" w:eastAsiaTheme="minorEastAsia" w:hAnsiTheme="minorHAnsi" w:cstheme="minorBidi"/>
          <w:sz w:val="22"/>
          <w:szCs w:val="22"/>
          <w:lang w:eastAsia="en-AU"/>
        </w:rPr>
      </w:pPr>
      <w:r>
        <w:tab/>
        <w:t>4.3</w:t>
      </w:r>
      <w:r>
        <w:rPr>
          <w:rFonts w:asciiTheme="minorHAnsi" w:eastAsiaTheme="minorEastAsia" w:hAnsiTheme="minorHAnsi" w:cstheme="minorBidi"/>
          <w:sz w:val="22"/>
          <w:szCs w:val="22"/>
          <w:lang w:eastAsia="en-AU"/>
        </w:rPr>
        <w:tab/>
      </w:r>
      <w:r>
        <w:t>Calculation of the carbon dioxide equivalent net abatement amount</w:t>
      </w:r>
      <w:r>
        <w:tab/>
        <w:t>9</w:t>
      </w:r>
    </w:p>
    <w:p w:rsidR="00991580" w:rsidRDefault="00991580">
      <w:pPr>
        <w:pStyle w:val="TOC5"/>
        <w:rPr>
          <w:rFonts w:asciiTheme="minorHAnsi" w:eastAsiaTheme="minorEastAsia" w:hAnsiTheme="minorHAnsi" w:cstheme="minorBidi"/>
          <w:sz w:val="22"/>
          <w:szCs w:val="22"/>
          <w:lang w:eastAsia="en-AU"/>
        </w:rPr>
      </w:pPr>
      <w:r>
        <w:tab/>
        <w:t>4.4</w:t>
      </w:r>
      <w:r>
        <w:rPr>
          <w:rFonts w:asciiTheme="minorHAnsi" w:eastAsiaTheme="minorEastAsia" w:hAnsiTheme="minorHAnsi" w:cstheme="minorBidi"/>
          <w:sz w:val="22"/>
          <w:szCs w:val="22"/>
          <w:lang w:eastAsia="en-AU"/>
        </w:rPr>
        <w:tab/>
      </w:r>
      <w:r>
        <w:t>Greenhouse gases accounted for</w:t>
      </w:r>
      <w:r>
        <w:tab/>
        <w:t>10</w:t>
      </w:r>
    </w:p>
    <w:p w:rsidR="00991580" w:rsidRDefault="00991580">
      <w:pPr>
        <w:pStyle w:val="TOC5"/>
        <w:rPr>
          <w:rFonts w:asciiTheme="minorHAnsi" w:eastAsiaTheme="minorEastAsia" w:hAnsiTheme="minorHAnsi" w:cstheme="minorBidi"/>
          <w:sz w:val="22"/>
          <w:szCs w:val="22"/>
          <w:lang w:eastAsia="en-AU"/>
        </w:rPr>
      </w:pPr>
      <w:r>
        <w:tab/>
        <w:t>4.5</w:t>
      </w:r>
      <w:r>
        <w:rPr>
          <w:rFonts w:asciiTheme="minorHAnsi" w:eastAsiaTheme="minorEastAsia" w:hAnsiTheme="minorHAnsi" w:cstheme="minorBidi"/>
          <w:sz w:val="22"/>
          <w:szCs w:val="22"/>
          <w:lang w:eastAsia="en-AU"/>
        </w:rPr>
        <w:tab/>
      </w:r>
      <w:r>
        <w:t>The baseline</w:t>
      </w:r>
      <w:r>
        <w:tab/>
        <w:t>10</w:t>
      </w:r>
    </w:p>
    <w:p w:rsidR="00991580" w:rsidRDefault="00991580">
      <w:pPr>
        <w:pStyle w:val="TOC3"/>
        <w:rPr>
          <w:rFonts w:asciiTheme="minorHAnsi" w:eastAsiaTheme="minorEastAsia" w:hAnsiTheme="minorHAnsi" w:cstheme="minorBidi"/>
          <w:b w:val="0"/>
          <w:noProof/>
          <w:sz w:val="22"/>
          <w:szCs w:val="22"/>
          <w:lang w:eastAsia="en-AU"/>
        </w:rPr>
      </w:pPr>
      <w:r>
        <w:rPr>
          <w:noProof/>
        </w:rPr>
        <w:t>Division 4.3</w:t>
      </w:r>
      <w:r>
        <w:rPr>
          <w:rFonts w:asciiTheme="minorHAnsi" w:eastAsiaTheme="minorEastAsia" w:hAnsiTheme="minorHAnsi" w:cstheme="minorBidi"/>
          <w:b w:val="0"/>
          <w:noProof/>
          <w:sz w:val="22"/>
          <w:szCs w:val="22"/>
          <w:lang w:eastAsia="en-AU"/>
        </w:rPr>
        <w:tab/>
      </w:r>
      <w:r>
        <w:rPr>
          <w:noProof/>
        </w:rPr>
        <w:t>Using the Dietary Fats Calculator</w:t>
      </w:r>
    </w:p>
    <w:p w:rsidR="00991580" w:rsidRDefault="00991580">
      <w:pPr>
        <w:pStyle w:val="TOC4"/>
        <w:rPr>
          <w:rFonts w:asciiTheme="minorHAnsi" w:eastAsiaTheme="minorEastAsia" w:hAnsiTheme="minorHAnsi" w:cstheme="minorBidi"/>
          <w:b w:val="0"/>
          <w:noProof/>
          <w:sz w:val="22"/>
          <w:szCs w:val="22"/>
          <w:lang w:eastAsia="en-AU"/>
        </w:rPr>
      </w:pPr>
      <w:r>
        <w:rPr>
          <w:noProof/>
        </w:rPr>
        <w:t>Subdivision 4.3.1</w:t>
      </w:r>
      <w:r>
        <w:rPr>
          <w:rFonts w:asciiTheme="minorHAnsi" w:eastAsiaTheme="minorEastAsia" w:hAnsiTheme="minorHAnsi" w:cstheme="minorBidi"/>
          <w:b w:val="0"/>
          <w:noProof/>
          <w:sz w:val="22"/>
          <w:szCs w:val="22"/>
          <w:lang w:eastAsia="en-AU"/>
        </w:rPr>
        <w:tab/>
      </w:r>
      <w:r>
        <w:rPr>
          <w:noProof/>
        </w:rPr>
        <w:t>Calculating milking herd information inputs</w:t>
      </w:r>
    </w:p>
    <w:p w:rsidR="00991580" w:rsidRDefault="00991580">
      <w:pPr>
        <w:pStyle w:val="TOC5"/>
        <w:rPr>
          <w:rFonts w:asciiTheme="minorHAnsi" w:eastAsiaTheme="minorEastAsia" w:hAnsiTheme="minorHAnsi" w:cstheme="minorBidi"/>
          <w:sz w:val="22"/>
          <w:szCs w:val="22"/>
          <w:lang w:eastAsia="en-AU"/>
        </w:rPr>
      </w:pPr>
      <w:r>
        <w:tab/>
        <w:t>4.6</w:t>
      </w:r>
      <w:r>
        <w:rPr>
          <w:rFonts w:asciiTheme="minorHAnsi" w:eastAsiaTheme="minorEastAsia" w:hAnsiTheme="minorHAnsi" w:cstheme="minorBidi"/>
          <w:sz w:val="22"/>
          <w:szCs w:val="22"/>
          <w:lang w:eastAsia="en-AU"/>
        </w:rPr>
        <w:tab/>
      </w:r>
      <w:r>
        <w:t>Average number in the milking herd</w:t>
      </w:r>
      <w:r>
        <w:tab/>
        <w:t>11</w:t>
      </w:r>
    </w:p>
    <w:p w:rsidR="00991580" w:rsidRDefault="00991580">
      <w:pPr>
        <w:pStyle w:val="TOC5"/>
        <w:rPr>
          <w:rFonts w:asciiTheme="minorHAnsi" w:eastAsiaTheme="minorEastAsia" w:hAnsiTheme="minorHAnsi" w:cstheme="minorBidi"/>
          <w:sz w:val="22"/>
          <w:szCs w:val="22"/>
          <w:lang w:eastAsia="en-AU"/>
        </w:rPr>
      </w:pPr>
      <w:r>
        <w:tab/>
        <w:t>4.7</w:t>
      </w:r>
      <w:r>
        <w:rPr>
          <w:rFonts w:asciiTheme="minorHAnsi" w:eastAsiaTheme="minorEastAsia" w:hAnsiTheme="minorHAnsi" w:cstheme="minorBidi"/>
          <w:sz w:val="22"/>
          <w:szCs w:val="22"/>
          <w:lang w:eastAsia="en-AU"/>
        </w:rPr>
        <w:tab/>
      </w:r>
      <w:r>
        <w:t>Average milking cow liveweight</w:t>
      </w:r>
      <w:r>
        <w:tab/>
        <w:t>11</w:t>
      </w:r>
    </w:p>
    <w:p w:rsidR="00991580" w:rsidRDefault="00991580">
      <w:pPr>
        <w:pStyle w:val="TOC5"/>
        <w:rPr>
          <w:rFonts w:asciiTheme="minorHAnsi" w:eastAsiaTheme="minorEastAsia" w:hAnsiTheme="minorHAnsi" w:cstheme="minorBidi"/>
          <w:sz w:val="22"/>
          <w:szCs w:val="22"/>
          <w:lang w:eastAsia="en-AU"/>
        </w:rPr>
      </w:pPr>
      <w:r>
        <w:tab/>
        <w:t>4.8</w:t>
      </w:r>
      <w:r>
        <w:rPr>
          <w:rFonts w:asciiTheme="minorHAnsi" w:eastAsiaTheme="minorEastAsia" w:hAnsiTheme="minorHAnsi" w:cstheme="minorBidi"/>
          <w:sz w:val="22"/>
          <w:szCs w:val="22"/>
          <w:lang w:eastAsia="en-AU"/>
        </w:rPr>
        <w:tab/>
      </w:r>
      <w:r>
        <w:t>Average daily liveweight gain</w:t>
      </w:r>
      <w:r>
        <w:tab/>
        <w:t>12</w:t>
      </w:r>
    </w:p>
    <w:p w:rsidR="00991580" w:rsidRDefault="00991580">
      <w:pPr>
        <w:pStyle w:val="TOC5"/>
        <w:rPr>
          <w:rFonts w:asciiTheme="minorHAnsi" w:eastAsiaTheme="minorEastAsia" w:hAnsiTheme="minorHAnsi" w:cstheme="minorBidi"/>
          <w:sz w:val="22"/>
          <w:szCs w:val="22"/>
          <w:lang w:eastAsia="en-AU"/>
        </w:rPr>
      </w:pPr>
      <w:r>
        <w:tab/>
        <w:t>4.9</w:t>
      </w:r>
      <w:r>
        <w:rPr>
          <w:rFonts w:asciiTheme="minorHAnsi" w:eastAsiaTheme="minorEastAsia" w:hAnsiTheme="minorHAnsi" w:cstheme="minorBidi"/>
          <w:sz w:val="22"/>
          <w:szCs w:val="22"/>
          <w:lang w:eastAsia="en-AU"/>
        </w:rPr>
        <w:tab/>
      </w:r>
      <w:r>
        <w:t>Average milk production</w:t>
      </w:r>
      <w:r>
        <w:tab/>
        <w:t>13</w:t>
      </w:r>
    </w:p>
    <w:p w:rsidR="00991580" w:rsidRDefault="00991580">
      <w:pPr>
        <w:pStyle w:val="TOC4"/>
        <w:rPr>
          <w:rFonts w:asciiTheme="minorHAnsi" w:eastAsiaTheme="minorEastAsia" w:hAnsiTheme="minorHAnsi" w:cstheme="minorBidi"/>
          <w:b w:val="0"/>
          <w:noProof/>
          <w:sz w:val="22"/>
          <w:szCs w:val="22"/>
          <w:lang w:eastAsia="en-AU"/>
        </w:rPr>
      </w:pPr>
      <w:r>
        <w:rPr>
          <w:noProof/>
        </w:rPr>
        <w:t>Subdivision 4.3.2</w:t>
      </w:r>
      <w:r>
        <w:rPr>
          <w:rFonts w:asciiTheme="minorHAnsi" w:eastAsiaTheme="minorEastAsia" w:hAnsiTheme="minorHAnsi" w:cstheme="minorBidi"/>
          <w:b w:val="0"/>
          <w:noProof/>
          <w:sz w:val="22"/>
          <w:szCs w:val="22"/>
          <w:lang w:eastAsia="en-AU"/>
        </w:rPr>
        <w:tab/>
      </w:r>
      <w:r>
        <w:rPr>
          <w:noProof/>
        </w:rPr>
        <w:t>Calculating diet information inputs</w:t>
      </w:r>
    </w:p>
    <w:p w:rsidR="00991580" w:rsidRDefault="00991580">
      <w:pPr>
        <w:pStyle w:val="TOC5"/>
        <w:rPr>
          <w:rFonts w:asciiTheme="minorHAnsi" w:eastAsiaTheme="minorEastAsia" w:hAnsiTheme="minorHAnsi" w:cstheme="minorBidi"/>
          <w:sz w:val="22"/>
          <w:szCs w:val="22"/>
          <w:lang w:eastAsia="en-AU"/>
        </w:rPr>
      </w:pPr>
      <w:r>
        <w:tab/>
        <w:t>4.10</w:t>
      </w:r>
      <w:r>
        <w:rPr>
          <w:rFonts w:asciiTheme="minorHAnsi" w:eastAsiaTheme="minorEastAsia" w:hAnsiTheme="minorHAnsi" w:cstheme="minorBidi"/>
          <w:sz w:val="22"/>
          <w:szCs w:val="22"/>
          <w:lang w:eastAsia="en-AU"/>
        </w:rPr>
        <w:tab/>
      </w:r>
      <w:r>
        <w:t>Intake of feed types other than pasture and eligible additives</w:t>
      </w:r>
      <w:r>
        <w:tab/>
        <w:t>13</w:t>
      </w:r>
    </w:p>
    <w:p w:rsidR="00991580" w:rsidRDefault="00991580">
      <w:pPr>
        <w:pStyle w:val="TOC5"/>
        <w:rPr>
          <w:rFonts w:asciiTheme="minorHAnsi" w:eastAsiaTheme="minorEastAsia" w:hAnsiTheme="minorHAnsi" w:cstheme="minorBidi"/>
          <w:sz w:val="22"/>
          <w:szCs w:val="22"/>
          <w:lang w:eastAsia="en-AU"/>
        </w:rPr>
      </w:pPr>
      <w:r>
        <w:tab/>
        <w:t>4.11</w:t>
      </w:r>
      <w:r>
        <w:rPr>
          <w:rFonts w:asciiTheme="minorHAnsi" w:eastAsiaTheme="minorEastAsia" w:hAnsiTheme="minorHAnsi" w:cstheme="minorBidi"/>
          <w:sz w:val="22"/>
          <w:szCs w:val="22"/>
          <w:lang w:eastAsia="en-AU"/>
        </w:rPr>
        <w:tab/>
      </w:r>
      <w:r>
        <w:t>Dry matter digestibility, crude protein and fat</w:t>
      </w:r>
      <w:r>
        <w:tab/>
        <w:t>14</w:t>
      </w:r>
    </w:p>
    <w:p w:rsidR="00991580" w:rsidRDefault="00991580">
      <w:pPr>
        <w:pStyle w:val="TOC5"/>
        <w:rPr>
          <w:rFonts w:asciiTheme="minorHAnsi" w:eastAsiaTheme="minorEastAsia" w:hAnsiTheme="minorHAnsi" w:cstheme="minorBidi"/>
          <w:sz w:val="22"/>
          <w:szCs w:val="22"/>
          <w:lang w:eastAsia="en-AU"/>
        </w:rPr>
      </w:pPr>
      <w:r>
        <w:tab/>
        <w:t>4.12</w:t>
      </w:r>
      <w:r>
        <w:rPr>
          <w:rFonts w:asciiTheme="minorHAnsi" w:eastAsiaTheme="minorEastAsia" w:hAnsiTheme="minorHAnsi" w:cstheme="minorBidi"/>
          <w:sz w:val="22"/>
          <w:szCs w:val="22"/>
          <w:lang w:eastAsia="en-AU"/>
        </w:rPr>
        <w:tab/>
      </w:r>
      <w:r>
        <w:t>Mass of eligible additives</w:t>
      </w:r>
      <w:r>
        <w:tab/>
        <w:t>14</w:t>
      </w:r>
    </w:p>
    <w:p w:rsidR="00991580" w:rsidRDefault="00991580">
      <w:pPr>
        <w:pStyle w:val="TOC5"/>
        <w:rPr>
          <w:rFonts w:asciiTheme="minorHAnsi" w:eastAsiaTheme="minorEastAsia" w:hAnsiTheme="minorHAnsi" w:cstheme="minorBidi"/>
          <w:sz w:val="22"/>
          <w:szCs w:val="22"/>
          <w:lang w:eastAsia="en-AU"/>
        </w:rPr>
      </w:pPr>
      <w:r>
        <w:tab/>
        <w:t>4.13</w:t>
      </w:r>
      <w:r>
        <w:rPr>
          <w:rFonts w:asciiTheme="minorHAnsi" w:eastAsiaTheme="minorEastAsia" w:hAnsiTheme="minorHAnsi" w:cstheme="minorBidi"/>
          <w:sz w:val="22"/>
          <w:szCs w:val="22"/>
          <w:lang w:eastAsia="en-AU"/>
        </w:rPr>
        <w:tab/>
      </w:r>
      <w:r>
        <w:t>Fat, metabolisable energy and crude protein</w:t>
      </w:r>
      <w:r>
        <w:tab/>
        <w:t>14</w:t>
      </w:r>
    </w:p>
    <w:p w:rsidR="00991580" w:rsidRDefault="00991580">
      <w:pPr>
        <w:pStyle w:val="TOC5"/>
        <w:rPr>
          <w:rFonts w:asciiTheme="minorHAnsi" w:eastAsiaTheme="minorEastAsia" w:hAnsiTheme="minorHAnsi" w:cstheme="minorBidi"/>
          <w:sz w:val="22"/>
          <w:szCs w:val="22"/>
          <w:lang w:eastAsia="en-AU"/>
        </w:rPr>
      </w:pPr>
      <w:r>
        <w:lastRenderedPageBreak/>
        <w:tab/>
        <w:t>4.14</w:t>
      </w:r>
      <w:r>
        <w:rPr>
          <w:rFonts w:asciiTheme="minorHAnsi" w:eastAsiaTheme="minorEastAsia" w:hAnsiTheme="minorHAnsi" w:cstheme="minorBidi"/>
          <w:sz w:val="22"/>
          <w:szCs w:val="22"/>
          <w:lang w:eastAsia="en-AU"/>
        </w:rPr>
        <w:tab/>
      </w:r>
      <w:r>
        <w:t>Intake of pasture</w:t>
      </w:r>
      <w:r>
        <w:tab/>
        <w:t>15</w:t>
      </w:r>
    </w:p>
    <w:p w:rsidR="00991580" w:rsidRDefault="00991580">
      <w:pPr>
        <w:pStyle w:val="TOC2"/>
        <w:rPr>
          <w:rFonts w:asciiTheme="minorHAnsi" w:eastAsiaTheme="minorEastAsia" w:hAnsiTheme="minorHAnsi" w:cstheme="minorBidi"/>
          <w:b w:val="0"/>
          <w:lang w:eastAsia="en-AU"/>
        </w:rPr>
      </w:pPr>
      <w:r>
        <w:t>Part 5</w:t>
      </w:r>
      <w:r>
        <w:rPr>
          <w:rFonts w:asciiTheme="minorHAnsi" w:eastAsiaTheme="minorEastAsia" w:hAnsiTheme="minorHAnsi" w:cstheme="minorBidi"/>
          <w:b w:val="0"/>
          <w:lang w:eastAsia="en-AU"/>
        </w:rPr>
        <w:tab/>
      </w:r>
      <w:r>
        <w:t>Monitoring, measuring, record</w:t>
      </w:r>
      <w:r>
        <w:noBreakHyphen/>
        <w:t>keeping and reporting requirements</w:t>
      </w:r>
    </w:p>
    <w:p w:rsidR="00991580" w:rsidRDefault="00991580">
      <w:pPr>
        <w:pStyle w:val="TOC3"/>
        <w:rPr>
          <w:rFonts w:asciiTheme="minorHAnsi" w:eastAsiaTheme="minorEastAsia" w:hAnsiTheme="minorHAnsi" w:cstheme="minorBidi"/>
          <w:b w:val="0"/>
          <w:noProof/>
          <w:sz w:val="22"/>
          <w:szCs w:val="22"/>
          <w:lang w:eastAsia="en-AU"/>
        </w:rPr>
      </w:pPr>
      <w:r>
        <w:rPr>
          <w:noProof/>
        </w:rPr>
        <w:t>Division 5.1</w:t>
      </w:r>
      <w:r>
        <w:rPr>
          <w:rFonts w:asciiTheme="minorHAnsi" w:eastAsiaTheme="minorEastAsia" w:hAnsiTheme="minorHAnsi" w:cstheme="minorBidi"/>
          <w:b w:val="0"/>
          <w:noProof/>
          <w:sz w:val="22"/>
          <w:szCs w:val="22"/>
          <w:lang w:eastAsia="en-AU"/>
        </w:rPr>
        <w:tab/>
      </w:r>
      <w:r>
        <w:rPr>
          <w:noProof/>
        </w:rPr>
        <w:t>General</w:t>
      </w:r>
    </w:p>
    <w:p w:rsidR="00991580" w:rsidRDefault="00991580">
      <w:pPr>
        <w:pStyle w:val="TOC5"/>
        <w:rPr>
          <w:rFonts w:asciiTheme="minorHAnsi" w:eastAsiaTheme="minorEastAsia" w:hAnsiTheme="minorHAnsi" w:cstheme="minorBidi"/>
          <w:sz w:val="22"/>
          <w:szCs w:val="22"/>
          <w:lang w:eastAsia="en-AU"/>
        </w:rPr>
      </w:pPr>
      <w:r>
        <w:tab/>
        <w:t>5.1</w:t>
      </w:r>
      <w:r>
        <w:rPr>
          <w:rFonts w:asciiTheme="minorHAnsi" w:eastAsiaTheme="minorEastAsia" w:hAnsiTheme="minorHAnsi" w:cstheme="minorBidi"/>
          <w:sz w:val="22"/>
          <w:szCs w:val="22"/>
          <w:lang w:eastAsia="en-AU"/>
        </w:rPr>
        <w:tab/>
      </w:r>
      <w:r>
        <w:t>General</w:t>
      </w:r>
      <w:r>
        <w:tab/>
        <w:t>17</w:t>
      </w:r>
    </w:p>
    <w:p w:rsidR="00991580" w:rsidRDefault="00991580">
      <w:pPr>
        <w:pStyle w:val="TOC3"/>
        <w:rPr>
          <w:rFonts w:asciiTheme="minorHAnsi" w:eastAsiaTheme="minorEastAsia" w:hAnsiTheme="minorHAnsi" w:cstheme="minorBidi"/>
          <w:b w:val="0"/>
          <w:noProof/>
          <w:sz w:val="22"/>
          <w:szCs w:val="22"/>
          <w:lang w:eastAsia="en-AU"/>
        </w:rPr>
      </w:pPr>
      <w:r>
        <w:rPr>
          <w:noProof/>
        </w:rPr>
        <w:t>Division 5.2</w:t>
      </w:r>
      <w:r>
        <w:rPr>
          <w:rFonts w:asciiTheme="minorHAnsi" w:eastAsiaTheme="minorEastAsia" w:hAnsiTheme="minorHAnsi" w:cstheme="minorBidi"/>
          <w:b w:val="0"/>
          <w:noProof/>
          <w:sz w:val="22"/>
          <w:szCs w:val="22"/>
          <w:lang w:eastAsia="en-AU"/>
        </w:rPr>
        <w:tab/>
      </w:r>
      <w:r>
        <w:rPr>
          <w:noProof/>
        </w:rPr>
        <w:t>Monitoring and measuring</w:t>
      </w:r>
    </w:p>
    <w:p w:rsidR="00991580" w:rsidRDefault="00991580">
      <w:pPr>
        <w:pStyle w:val="TOC5"/>
        <w:rPr>
          <w:rFonts w:asciiTheme="minorHAnsi" w:eastAsiaTheme="minorEastAsia" w:hAnsiTheme="minorHAnsi" w:cstheme="minorBidi"/>
          <w:sz w:val="22"/>
          <w:szCs w:val="22"/>
          <w:lang w:eastAsia="en-AU"/>
        </w:rPr>
      </w:pPr>
      <w:r>
        <w:tab/>
        <w:t>5.2</w:t>
      </w:r>
      <w:r>
        <w:rPr>
          <w:rFonts w:asciiTheme="minorHAnsi" w:eastAsiaTheme="minorEastAsia" w:hAnsiTheme="minorHAnsi" w:cstheme="minorBidi"/>
          <w:sz w:val="22"/>
          <w:szCs w:val="22"/>
          <w:lang w:eastAsia="en-AU"/>
        </w:rPr>
        <w:tab/>
      </w:r>
      <w:r>
        <w:t>General</w:t>
      </w:r>
      <w:r>
        <w:tab/>
        <w:t>17</w:t>
      </w:r>
    </w:p>
    <w:p w:rsidR="00991580" w:rsidRDefault="00991580">
      <w:pPr>
        <w:pStyle w:val="TOC5"/>
        <w:rPr>
          <w:rFonts w:asciiTheme="minorHAnsi" w:eastAsiaTheme="minorEastAsia" w:hAnsiTheme="minorHAnsi" w:cstheme="minorBidi"/>
          <w:sz w:val="22"/>
          <w:szCs w:val="22"/>
          <w:lang w:eastAsia="en-AU"/>
        </w:rPr>
      </w:pPr>
      <w:r>
        <w:tab/>
        <w:t>5.3</w:t>
      </w:r>
      <w:r>
        <w:rPr>
          <w:rFonts w:asciiTheme="minorHAnsi" w:eastAsiaTheme="minorEastAsia" w:hAnsiTheme="minorHAnsi" w:cstheme="minorBidi"/>
          <w:sz w:val="22"/>
          <w:szCs w:val="22"/>
          <w:lang w:eastAsia="en-AU"/>
        </w:rPr>
        <w:tab/>
      </w:r>
      <w:r>
        <w:t>Monitoring number in the milking herd</w:t>
      </w:r>
      <w:r>
        <w:tab/>
        <w:t>17</w:t>
      </w:r>
    </w:p>
    <w:p w:rsidR="00991580" w:rsidRDefault="00991580">
      <w:pPr>
        <w:pStyle w:val="TOC5"/>
        <w:rPr>
          <w:rFonts w:asciiTheme="minorHAnsi" w:eastAsiaTheme="minorEastAsia" w:hAnsiTheme="minorHAnsi" w:cstheme="minorBidi"/>
          <w:sz w:val="22"/>
          <w:szCs w:val="22"/>
          <w:lang w:eastAsia="en-AU"/>
        </w:rPr>
      </w:pPr>
      <w:r>
        <w:tab/>
        <w:t>5.4</w:t>
      </w:r>
      <w:r>
        <w:rPr>
          <w:rFonts w:asciiTheme="minorHAnsi" w:eastAsiaTheme="minorEastAsia" w:hAnsiTheme="minorHAnsi" w:cstheme="minorBidi"/>
          <w:sz w:val="22"/>
          <w:szCs w:val="22"/>
          <w:lang w:eastAsia="en-AU"/>
        </w:rPr>
        <w:tab/>
      </w:r>
      <w:r>
        <w:t>Quality assurance and quality control</w:t>
      </w:r>
      <w:r>
        <w:tab/>
        <w:t>17</w:t>
      </w:r>
    </w:p>
    <w:p w:rsidR="00991580" w:rsidRDefault="00991580">
      <w:pPr>
        <w:pStyle w:val="TOC3"/>
        <w:rPr>
          <w:rFonts w:asciiTheme="minorHAnsi" w:eastAsiaTheme="minorEastAsia" w:hAnsiTheme="minorHAnsi" w:cstheme="minorBidi"/>
          <w:b w:val="0"/>
          <w:noProof/>
          <w:sz w:val="22"/>
          <w:szCs w:val="22"/>
          <w:lang w:eastAsia="en-AU"/>
        </w:rPr>
      </w:pPr>
      <w:r>
        <w:rPr>
          <w:noProof/>
        </w:rPr>
        <w:t>Division 5.3</w:t>
      </w:r>
      <w:r>
        <w:rPr>
          <w:rFonts w:asciiTheme="minorHAnsi" w:eastAsiaTheme="minorEastAsia" w:hAnsiTheme="minorHAnsi" w:cstheme="minorBidi"/>
          <w:b w:val="0"/>
          <w:noProof/>
          <w:sz w:val="22"/>
          <w:szCs w:val="22"/>
          <w:lang w:eastAsia="en-AU"/>
        </w:rPr>
        <w:tab/>
      </w:r>
      <w:r>
        <w:rPr>
          <w:noProof/>
        </w:rPr>
        <w:t>Record-keeping requirements</w:t>
      </w:r>
    </w:p>
    <w:p w:rsidR="00991580" w:rsidRDefault="00991580">
      <w:pPr>
        <w:pStyle w:val="TOC5"/>
        <w:rPr>
          <w:rFonts w:asciiTheme="minorHAnsi" w:eastAsiaTheme="minorEastAsia" w:hAnsiTheme="minorHAnsi" w:cstheme="minorBidi"/>
          <w:sz w:val="22"/>
          <w:szCs w:val="22"/>
          <w:lang w:eastAsia="en-AU"/>
        </w:rPr>
      </w:pPr>
      <w:r>
        <w:tab/>
        <w:t>5.5</w:t>
      </w:r>
      <w:r>
        <w:rPr>
          <w:rFonts w:asciiTheme="minorHAnsi" w:eastAsiaTheme="minorEastAsia" w:hAnsiTheme="minorHAnsi" w:cstheme="minorBidi"/>
          <w:sz w:val="22"/>
          <w:szCs w:val="22"/>
          <w:lang w:eastAsia="en-AU"/>
        </w:rPr>
        <w:tab/>
      </w:r>
      <w:r>
        <w:t>Seasonal records that must be kept</w:t>
      </w:r>
      <w:r>
        <w:tab/>
        <w:t>18</w:t>
      </w:r>
    </w:p>
    <w:p w:rsidR="00991580" w:rsidRDefault="00991580">
      <w:pPr>
        <w:pStyle w:val="TOC5"/>
        <w:rPr>
          <w:rFonts w:asciiTheme="minorHAnsi" w:eastAsiaTheme="minorEastAsia" w:hAnsiTheme="minorHAnsi" w:cstheme="minorBidi"/>
          <w:sz w:val="22"/>
          <w:szCs w:val="22"/>
          <w:lang w:eastAsia="en-AU"/>
        </w:rPr>
      </w:pPr>
      <w:r>
        <w:tab/>
        <w:t>5.6</w:t>
      </w:r>
      <w:r>
        <w:rPr>
          <w:rFonts w:asciiTheme="minorHAnsi" w:eastAsiaTheme="minorEastAsia" w:hAnsiTheme="minorHAnsi" w:cstheme="minorBidi"/>
          <w:sz w:val="22"/>
          <w:szCs w:val="22"/>
          <w:lang w:eastAsia="en-AU"/>
        </w:rPr>
        <w:tab/>
      </w:r>
      <w:r>
        <w:t>Additional diet records that must be kept</w:t>
      </w:r>
      <w:r>
        <w:tab/>
        <w:t>18</w:t>
      </w:r>
    </w:p>
    <w:p w:rsidR="00991580" w:rsidRDefault="00991580">
      <w:pPr>
        <w:pStyle w:val="TOC5"/>
        <w:rPr>
          <w:rFonts w:asciiTheme="minorHAnsi" w:eastAsiaTheme="minorEastAsia" w:hAnsiTheme="minorHAnsi" w:cstheme="minorBidi"/>
          <w:sz w:val="22"/>
          <w:szCs w:val="22"/>
          <w:lang w:eastAsia="en-AU"/>
        </w:rPr>
      </w:pPr>
      <w:r>
        <w:tab/>
        <w:t>5.7</w:t>
      </w:r>
      <w:r>
        <w:rPr>
          <w:rFonts w:asciiTheme="minorHAnsi" w:eastAsiaTheme="minorEastAsia" w:hAnsiTheme="minorHAnsi" w:cstheme="minorBidi"/>
          <w:sz w:val="22"/>
          <w:szCs w:val="22"/>
          <w:lang w:eastAsia="en-AU"/>
        </w:rPr>
        <w:tab/>
      </w:r>
      <w:r>
        <w:t>Additional eligible additive records that must be kept</w:t>
      </w:r>
      <w:r>
        <w:tab/>
        <w:t>19</w:t>
      </w:r>
    </w:p>
    <w:p w:rsidR="00991580" w:rsidRDefault="00991580">
      <w:pPr>
        <w:pStyle w:val="TOC5"/>
        <w:rPr>
          <w:rFonts w:asciiTheme="minorHAnsi" w:eastAsiaTheme="minorEastAsia" w:hAnsiTheme="minorHAnsi" w:cstheme="minorBidi"/>
          <w:sz w:val="22"/>
          <w:szCs w:val="22"/>
          <w:lang w:eastAsia="en-AU"/>
        </w:rPr>
      </w:pPr>
      <w:r>
        <w:tab/>
        <w:t>5.8</w:t>
      </w:r>
      <w:r>
        <w:rPr>
          <w:rFonts w:asciiTheme="minorHAnsi" w:eastAsiaTheme="minorEastAsia" w:hAnsiTheme="minorHAnsi" w:cstheme="minorBidi"/>
          <w:sz w:val="22"/>
          <w:szCs w:val="22"/>
          <w:lang w:eastAsia="en-AU"/>
        </w:rPr>
        <w:tab/>
      </w:r>
      <w:r>
        <w:t>Data retention and quality</w:t>
      </w:r>
      <w:r>
        <w:tab/>
        <w:t>19</w:t>
      </w:r>
    </w:p>
    <w:p w:rsidR="00991580" w:rsidRDefault="00991580">
      <w:pPr>
        <w:pStyle w:val="TOC3"/>
        <w:rPr>
          <w:rFonts w:asciiTheme="minorHAnsi" w:eastAsiaTheme="minorEastAsia" w:hAnsiTheme="minorHAnsi" w:cstheme="minorBidi"/>
          <w:b w:val="0"/>
          <w:noProof/>
          <w:sz w:val="22"/>
          <w:szCs w:val="22"/>
          <w:lang w:eastAsia="en-AU"/>
        </w:rPr>
      </w:pPr>
      <w:r>
        <w:rPr>
          <w:noProof/>
        </w:rPr>
        <w:t>Division 5.4</w:t>
      </w:r>
      <w:r>
        <w:rPr>
          <w:rFonts w:asciiTheme="minorHAnsi" w:eastAsiaTheme="minorEastAsia" w:hAnsiTheme="minorHAnsi" w:cstheme="minorBidi"/>
          <w:b w:val="0"/>
          <w:noProof/>
          <w:sz w:val="22"/>
          <w:szCs w:val="22"/>
          <w:lang w:eastAsia="en-AU"/>
        </w:rPr>
        <w:tab/>
      </w:r>
      <w:r>
        <w:rPr>
          <w:noProof/>
        </w:rPr>
        <w:t>Offsets report requirements</w:t>
      </w:r>
    </w:p>
    <w:p w:rsidR="00991580" w:rsidRDefault="00991580">
      <w:pPr>
        <w:pStyle w:val="TOC5"/>
        <w:rPr>
          <w:rFonts w:asciiTheme="minorHAnsi" w:eastAsiaTheme="minorEastAsia" w:hAnsiTheme="minorHAnsi" w:cstheme="minorBidi"/>
          <w:sz w:val="22"/>
          <w:szCs w:val="22"/>
          <w:lang w:eastAsia="en-AU"/>
        </w:rPr>
      </w:pPr>
      <w:r>
        <w:tab/>
        <w:t>5.9</w:t>
      </w:r>
      <w:r>
        <w:rPr>
          <w:rFonts w:asciiTheme="minorHAnsi" w:eastAsiaTheme="minorEastAsia" w:hAnsiTheme="minorHAnsi" w:cstheme="minorBidi"/>
          <w:sz w:val="22"/>
          <w:szCs w:val="22"/>
          <w:lang w:eastAsia="en-AU"/>
        </w:rPr>
        <w:tab/>
      </w:r>
      <w:r>
        <w:t>Report requirements</w:t>
      </w:r>
      <w:r>
        <w:tab/>
        <w:t>19</w:t>
      </w:r>
    </w:p>
    <w:p w:rsidR="00991580" w:rsidRDefault="00991580">
      <w:pPr>
        <w:pStyle w:val="TOC5"/>
        <w:rPr>
          <w:rFonts w:asciiTheme="minorHAnsi" w:eastAsiaTheme="minorEastAsia" w:hAnsiTheme="minorHAnsi" w:cstheme="minorBidi"/>
          <w:sz w:val="22"/>
          <w:szCs w:val="22"/>
          <w:lang w:eastAsia="en-AU"/>
        </w:rPr>
      </w:pPr>
      <w:r>
        <w:tab/>
        <w:t>5.10</w:t>
      </w:r>
      <w:r>
        <w:rPr>
          <w:rFonts w:asciiTheme="minorHAnsi" w:eastAsiaTheme="minorEastAsia" w:hAnsiTheme="minorHAnsi" w:cstheme="minorBidi"/>
          <w:sz w:val="22"/>
          <w:szCs w:val="22"/>
          <w:lang w:eastAsia="en-AU"/>
        </w:rPr>
        <w:tab/>
      </w:r>
      <w:r>
        <w:t>Information that must be included in the first offsets report</w:t>
      </w:r>
      <w:r>
        <w:tab/>
        <w:t>19</w:t>
      </w:r>
    </w:p>
    <w:p w:rsidR="00991580" w:rsidRDefault="00991580">
      <w:pPr>
        <w:pStyle w:val="TOC5"/>
        <w:rPr>
          <w:rFonts w:asciiTheme="minorHAnsi" w:eastAsiaTheme="minorEastAsia" w:hAnsiTheme="minorHAnsi" w:cstheme="minorBidi"/>
          <w:sz w:val="22"/>
          <w:szCs w:val="22"/>
          <w:lang w:eastAsia="en-AU"/>
        </w:rPr>
      </w:pPr>
      <w:r>
        <w:tab/>
        <w:t>5.11</w:t>
      </w:r>
      <w:r>
        <w:rPr>
          <w:rFonts w:asciiTheme="minorHAnsi" w:eastAsiaTheme="minorEastAsia" w:hAnsiTheme="minorHAnsi" w:cstheme="minorBidi"/>
          <w:sz w:val="22"/>
          <w:szCs w:val="22"/>
          <w:lang w:eastAsia="en-AU"/>
        </w:rPr>
        <w:tab/>
      </w:r>
      <w:r>
        <w:t>Information that must be included in each offsets report</w:t>
      </w:r>
      <w:r>
        <w:tab/>
        <w:t>19</w:t>
      </w:r>
    </w:p>
    <w:p w:rsidR="00635D1F" w:rsidRPr="00DE64EE" w:rsidRDefault="00635D1F" w:rsidP="00135D22">
      <w:pPr>
        <w:pStyle w:val="h2Part"/>
        <w:jc w:val="both"/>
      </w:pPr>
      <w:bookmarkStart w:id="1" w:name="_Toc362952351"/>
      <w:r>
        <w:lastRenderedPageBreak/>
        <w:t xml:space="preserve">Part </w:t>
      </w:r>
      <w:r w:rsidR="0060744B">
        <w:t>1</w:t>
      </w:r>
      <w:r>
        <w:tab/>
      </w:r>
      <w:r w:rsidRPr="00DE64EE">
        <w:t>Preliminary</w:t>
      </w:r>
      <w:bookmarkEnd w:id="1"/>
    </w:p>
    <w:p w:rsidR="00C54BF6" w:rsidRDefault="0060744B" w:rsidP="00135D22">
      <w:pPr>
        <w:pStyle w:val="h5Section"/>
        <w:jc w:val="both"/>
      </w:pPr>
      <w:bookmarkStart w:id="2" w:name="_Toc362952352"/>
      <w:r>
        <w:t>1.1</w:t>
      </w:r>
      <w:r w:rsidR="00635D1F">
        <w:tab/>
      </w:r>
      <w:r w:rsidR="00635D1F" w:rsidRPr="00DE64EE">
        <w:t>Name of Determination</w:t>
      </w:r>
      <w:bookmarkEnd w:id="2"/>
    </w:p>
    <w:p w:rsidR="00234A8E" w:rsidRDefault="00D938FF" w:rsidP="00135D22">
      <w:pPr>
        <w:pStyle w:val="tMain"/>
      </w:pPr>
      <w:r>
        <w:tab/>
      </w:r>
      <w:r>
        <w:tab/>
      </w:r>
      <w:r w:rsidR="00870D30">
        <w:t>This</w:t>
      </w:r>
      <w:r w:rsidR="00635D1F" w:rsidRPr="00C54BF6">
        <w:t xml:space="preserve"> Determination is the </w:t>
      </w:r>
      <w:r w:rsidR="007A318C" w:rsidRPr="00025F49">
        <w:rPr>
          <w:i/>
        </w:rPr>
        <w:t>Carbon Credits (Carbon Farming Initiative) (</w:t>
      </w:r>
      <w:r w:rsidR="006D023B" w:rsidRPr="006D023B">
        <w:rPr>
          <w:i/>
        </w:rPr>
        <w:t>Reducing Greenhouse Gas Emissions by F</w:t>
      </w:r>
      <w:r w:rsidR="0018274C">
        <w:rPr>
          <w:i/>
        </w:rPr>
        <w:t>eeding Dietary Additives</w:t>
      </w:r>
      <w:r w:rsidR="006D023B" w:rsidRPr="006D023B">
        <w:rPr>
          <w:i/>
        </w:rPr>
        <w:t xml:space="preserve"> to Milking Cows</w:t>
      </w:r>
      <w:r w:rsidR="007A318C" w:rsidRPr="00025F49">
        <w:rPr>
          <w:i/>
        </w:rPr>
        <w:t>) Methodology Determination 2013</w:t>
      </w:r>
      <w:r>
        <w:t>.</w:t>
      </w:r>
    </w:p>
    <w:p w:rsidR="00635D1F" w:rsidRPr="00DE64EE" w:rsidRDefault="0060744B" w:rsidP="00135D22">
      <w:pPr>
        <w:pStyle w:val="h5Section"/>
        <w:jc w:val="both"/>
      </w:pPr>
      <w:bookmarkStart w:id="3" w:name="_Toc362952353"/>
      <w:r>
        <w:t>1.2</w:t>
      </w:r>
      <w:r w:rsidR="00635D1F">
        <w:tab/>
      </w:r>
      <w:r w:rsidR="00635D1F" w:rsidRPr="00DE64EE">
        <w:t>Commencement</w:t>
      </w:r>
      <w:bookmarkEnd w:id="3"/>
    </w:p>
    <w:p w:rsidR="00635D1F" w:rsidRDefault="00635D1F" w:rsidP="00135D22">
      <w:pPr>
        <w:pStyle w:val="tMain"/>
      </w:pPr>
      <w:r w:rsidRPr="00DE64EE">
        <w:tab/>
      </w:r>
      <w:r w:rsidRPr="00DE64EE">
        <w:tab/>
      </w:r>
      <w:r w:rsidR="008A2A93" w:rsidRPr="008A2A93">
        <w:t>This Determination commences on the day after it is registered on the Federal Register of Legislative Instruments.</w:t>
      </w:r>
    </w:p>
    <w:p w:rsidR="00635D1F" w:rsidRPr="00DE64EE" w:rsidRDefault="0060744B" w:rsidP="00135D22">
      <w:pPr>
        <w:pStyle w:val="h5Section"/>
        <w:jc w:val="both"/>
      </w:pPr>
      <w:bookmarkStart w:id="4" w:name="_Toc362952354"/>
      <w:r>
        <w:t>1.3</w:t>
      </w:r>
      <w:r w:rsidR="00635D1F">
        <w:tab/>
      </w:r>
      <w:r w:rsidR="00635D1F" w:rsidRPr="00DE64EE">
        <w:t>Definitions</w:t>
      </w:r>
      <w:bookmarkEnd w:id="4"/>
    </w:p>
    <w:p w:rsidR="00635D1F" w:rsidRPr="00DE64EE" w:rsidRDefault="00635D1F" w:rsidP="00135D22">
      <w:pPr>
        <w:pStyle w:val="tMain"/>
        <w:rPr>
          <w:rStyle w:val="CharSectno"/>
        </w:rPr>
      </w:pPr>
      <w:r w:rsidRPr="00DE64EE">
        <w:rPr>
          <w:rStyle w:val="CharSectno"/>
        </w:rPr>
        <w:tab/>
      </w:r>
      <w:r w:rsidRPr="00DE64EE">
        <w:rPr>
          <w:rStyle w:val="CharSectno"/>
        </w:rPr>
        <w:tab/>
        <w:t>In this Determination:</w:t>
      </w:r>
    </w:p>
    <w:p w:rsidR="00635D1F" w:rsidRDefault="00635D1F" w:rsidP="00135D22">
      <w:pPr>
        <w:pStyle w:val="tDefn"/>
      </w:pPr>
      <w:r w:rsidRPr="002167C6">
        <w:rPr>
          <w:b/>
          <w:i/>
        </w:rPr>
        <w:t>Act</w:t>
      </w:r>
      <w:r w:rsidRPr="00F163A2">
        <w:t xml:space="preserve"> means the </w:t>
      </w:r>
      <w:r w:rsidRPr="002167C6">
        <w:rPr>
          <w:i/>
        </w:rPr>
        <w:t>Carbon Credits (Carbon Farming Initiative) Act 2011</w:t>
      </w:r>
      <w:r>
        <w:t>.</w:t>
      </w:r>
    </w:p>
    <w:p w:rsidR="002700A4" w:rsidRDefault="002700A4" w:rsidP="00135D22">
      <w:pPr>
        <w:pStyle w:val="tDefn"/>
      </w:pPr>
      <w:r w:rsidRPr="002700A4">
        <w:rPr>
          <w:b/>
          <w:i/>
        </w:rPr>
        <w:t xml:space="preserve">Australasian Soil and Plant Analysis Council </w:t>
      </w:r>
      <w:r w:rsidRPr="002700A4">
        <w:t>means</w:t>
      </w:r>
      <w:r>
        <w:t xml:space="preserve"> the Australasian Soil and Plant Analysis Council Inc. </w:t>
      </w:r>
      <w:r w:rsidR="006D5C62">
        <w:t>(</w:t>
      </w:r>
      <w:r>
        <w:t>ABN 82 792 475 282</w:t>
      </w:r>
      <w:r w:rsidR="006D5C62">
        <w:t>)</w:t>
      </w:r>
      <w:r>
        <w:t>.</w:t>
      </w:r>
    </w:p>
    <w:p w:rsidR="00243E36" w:rsidRDefault="00A81F69" w:rsidP="00135D22">
      <w:pPr>
        <w:pStyle w:val="tDefn"/>
      </w:pPr>
      <w:r w:rsidRPr="00FA3427">
        <w:rPr>
          <w:b/>
          <w:i/>
        </w:rPr>
        <w:t>Austral</w:t>
      </w:r>
      <w:r w:rsidR="007C12F3" w:rsidRPr="00FA3427">
        <w:rPr>
          <w:b/>
          <w:i/>
        </w:rPr>
        <w:t>ian Feed Composition Tables 1987</w:t>
      </w:r>
      <w:r w:rsidR="00FA3427" w:rsidRPr="00FA3427">
        <w:rPr>
          <w:b/>
          <w:i/>
        </w:rPr>
        <w:t xml:space="preserve"> </w:t>
      </w:r>
      <w:r w:rsidR="00FA3427" w:rsidRPr="00FA3427">
        <w:t>means</w:t>
      </w:r>
      <w:r w:rsidR="00FA3427">
        <w:t xml:space="preserve"> the</w:t>
      </w:r>
      <w:r w:rsidR="00C0263C">
        <w:t xml:space="preserve"> Australian Feed Composition Tables</w:t>
      </w:r>
      <w:r w:rsidR="00FA3427">
        <w:t xml:space="preserve"> </w:t>
      </w:r>
      <w:r w:rsidR="00C0263C">
        <w:t>pub</w:t>
      </w:r>
      <w:r w:rsidR="00FA3427">
        <w:t xml:space="preserve">lished by the </w:t>
      </w:r>
      <w:r w:rsidR="00FA3427" w:rsidRPr="00FA3427">
        <w:t>Aust</w:t>
      </w:r>
      <w:r w:rsidR="00FA3427">
        <w:t>ralia</w:t>
      </w:r>
      <w:r w:rsidR="008118B6">
        <w:t>n Feeds Information Cen</w:t>
      </w:r>
      <w:r w:rsidR="00481FE4">
        <w:t>tre (AFIC)</w:t>
      </w:r>
      <w:r w:rsidR="00C0263C">
        <w:t xml:space="preserve"> in 1987 as part of the </w:t>
      </w:r>
      <w:r w:rsidR="00C0263C" w:rsidRPr="00C0263C">
        <w:t xml:space="preserve">National Collection (1970-1987) </w:t>
      </w:r>
      <w:r w:rsidR="00C0263C">
        <w:t>and e</w:t>
      </w:r>
      <w:r w:rsidR="00C0263C" w:rsidRPr="00C0263C">
        <w:t xml:space="preserve">dited by </w:t>
      </w:r>
      <w:r w:rsidR="00710BA3">
        <w:t xml:space="preserve">                    </w:t>
      </w:r>
      <w:r w:rsidR="006D5C62">
        <w:t xml:space="preserve">H. T. </w:t>
      </w:r>
      <w:proofErr w:type="spellStart"/>
      <w:r w:rsidR="006D5C62">
        <w:t>Ostrowski-Meissner</w:t>
      </w:r>
      <w:proofErr w:type="spellEnd"/>
      <w:r w:rsidR="00C0263C" w:rsidRPr="00C0263C">
        <w:t xml:space="preserve"> </w:t>
      </w:r>
      <w:r w:rsidR="006D5C62">
        <w:t>(</w:t>
      </w:r>
      <w:r w:rsidR="00C0263C" w:rsidRPr="00C0263C">
        <w:t>AFIC Publication No. 7/87 AFIC-CSIRO</w:t>
      </w:r>
      <w:r w:rsidR="006D5C62">
        <w:t>)</w:t>
      </w:r>
      <w:r w:rsidR="00C0263C" w:rsidRPr="00C0263C">
        <w:t>.</w:t>
      </w:r>
    </w:p>
    <w:p w:rsidR="00E506B1" w:rsidRDefault="00E506B1" w:rsidP="00135D22">
      <w:pPr>
        <w:pStyle w:val="tDefn"/>
      </w:pPr>
      <w:r>
        <w:rPr>
          <w:b/>
          <w:i/>
        </w:rPr>
        <w:t xml:space="preserve">Australian Fodder Industry Association </w:t>
      </w:r>
      <w:r w:rsidR="00481FE4">
        <w:rPr>
          <w:b/>
          <w:i/>
        </w:rPr>
        <w:t>l</w:t>
      </w:r>
      <w:r>
        <w:rPr>
          <w:b/>
          <w:i/>
        </w:rPr>
        <w:t xml:space="preserve">aboratory </w:t>
      </w:r>
      <w:r w:rsidR="00481FE4">
        <w:rPr>
          <w:b/>
          <w:i/>
        </w:rPr>
        <w:t>m</w:t>
      </w:r>
      <w:r w:rsidR="002700A4">
        <w:rPr>
          <w:b/>
          <w:i/>
        </w:rPr>
        <w:t>ethod</w:t>
      </w:r>
      <w:r>
        <w:rPr>
          <w:b/>
          <w:i/>
        </w:rPr>
        <w:t xml:space="preserve"> </w:t>
      </w:r>
      <w:r w:rsidR="00481FE4">
        <w:t>means a laboratory method published by the Australian Fodd</w:t>
      </w:r>
      <w:r w:rsidR="006D5C62">
        <w:t>er Industry Association Limited</w:t>
      </w:r>
      <w:r w:rsidR="00481FE4">
        <w:t xml:space="preserve"> </w:t>
      </w:r>
      <w:r w:rsidR="00710BA3">
        <w:t xml:space="preserve">        </w:t>
      </w:r>
      <w:r w:rsidR="006D5C62">
        <w:t>(</w:t>
      </w:r>
      <w:r w:rsidR="00481FE4">
        <w:t>ABN 12 131 678 727</w:t>
      </w:r>
      <w:r w:rsidR="006D5C62">
        <w:t>)</w:t>
      </w:r>
      <w:r w:rsidR="00481FE4">
        <w:t xml:space="preserve">. </w:t>
      </w:r>
    </w:p>
    <w:p w:rsidR="00BF2F59" w:rsidRDefault="00BF2F59" w:rsidP="00135D22">
      <w:pPr>
        <w:pStyle w:val="tDefn"/>
        <w:rPr>
          <w:bCs/>
        </w:rPr>
      </w:pPr>
      <w:proofErr w:type="gramStart"/>
      <w:r>
        <w:rPr>
          <w:b/>
          <w:bCs/>
          <w:i/>
        </w:rPr>
        <w:t>baseline</w:t>
      </w:r>
      <w:proofErr w:type="gramEnd"/>
      <w:r>
        <w:rPr>
          <w:b/>
          <w:bCs/>
          <w:i/>
        </w:rPr>
        <w:t xml:space="preserve"> year </w:t>
      </w:r>
      <w:r w:rsidR="00060E90">
        <w:rPr>
          <w:bCs/>
        </w:rPr>
        <w:t>means one of the 3</w:t>
      </w:r>
      <w:r w:rsidR="0018274C">
        <w:rPr>
          <w:bCs/>
        </w:rPr>
        <w:t xml:space="preserve"> years in the baseline which is determined in accordance</w:t>
      </w:r>
      <w:r w:rsidR="00243E36">
        <w:rPr>
          <w:bCs/>
        </w:rPr>
        <w:t xml:space="preserve"> with section </w:t>
      </w:r>
      <w:r w:rsidR="0060744B">
        <w:rPr>
          <w:bCs/>
        </w:rPr>
        <w:t>4.5</w:t>
      </w:r>
      <w:r w:rsidR="000B277E">
        <w:rPr>
          <w:bCs/>
        </w:rPr>
        <w:t>.</w:t>
      </w:r>
    </w:p>
    <w:p w:rsidR="00F27F4A" w:rsidRDefault="00F27F4A" w:rsidP="00135D22">
      <w:pPr>
        <w:pStyle w:val="tDefn"/>
      </w:pPr>
      <w:proofErr w:type="gramStart"/>
      <w:r>
        <w:rPr>
          <w:b/>
          <w:bCs/>
          <w:i/>
        </w:rPr>
        <w:t>carbon</w:t>
      </w:r>
      <w:proofErr w:type="gramEnd"/>
      <w:r>
        <w:rPr>
          <w:b/>
          <w:bCs/>
          <w:i/>
        </w:rPr>
        <w:t xml:space="preserve"> dioxide equivalent (</w:t>
      </w:r>
      <w:r w:rsidR="002034E9">
        <w:rPr>
          <w:b/>
          <w:bCs/>
          <w:i/>
        </w:rPr>
        <w:t>CO</w:t>
      </w:r>
      <w:r w:rsidR="002034E9">
        <w:rPr>
          <w:b/>
          <w:bCs/>
          <w:i/>
          <w:vertAlign w:val="subscript"/>
        </w:rPr>
        <w:t>2</w:t>
      </w:r>
      <w:r w:rsidR="002034E9">
        <w:rPr>
          <w:b/>
          <w:bCs/>
          <w:i/>
        </w:rPr>
        <w:t>-e</w:t>
      </w:r>
      <w:r>
        <w:rPr>
          <w:b/>
          <w:bCs/>
          <w:i/>
        </w:rPr>
        <w:t>)</w:t>
      </w:r>
      <w:r w:rsidR="00D332CB">
        <w:rPr>
          <w:b/>
          <w:bCs/>
          <w:i/>
        </w:rPr>
        <w:t xml:space="preserve"> </w:t>
      </w:r>
      <w:r w:rsidR="00184CCC">
        <w:t>means</w:t>
      </w:r>
      <w:r w:rsidR="006C0333">
        <w:t xml:space="preserve"> the</w:t>
      </w:r>
      <w:r w:rsidR="00184CCC">
        <w:t xml:space="preserve"> carbon dioxide</w:t>
      </w:r>
      <w:r w:rsidRPr="00F27F4A">
        <w:t xml:space="preserve"> equiva</w:t>
      </w:r>
      <w:r w:rsidR="00184CCC">
        <w:t>lent of a greenhouse gas.</w:t>
      </w:r>
    </w:p>
    <w:p w:rsidR="00C05AF5" w:rsidRPr="00C05AF5" w:rsidRDefault="00FD1DE5" w:rsidP="00135D22">
      <w:pPr>
        <w:pStyle w:val="tDefn"/>
      </w:pPr>
      <w:proofErr w:type="gramStart"/>
      <w:r>
        <w:rPr>
          <w:b/>
          <w:i/>
        </w:rPr>
        <w:t>c</w:t>
      </w:r>
      <w:r w:rsidRPr="00FD1DE5">
        <w:rPr>
          <w:b/>
          <w:i/>
        </w:rPr>
        <w:t>rude</w:t>
      </w:r>
      <w:proofErr w:type="gramEnd"/>
      <w:r w:rsidRPr="00FD1DE5">
        <w:rPr>
          <w:b/>
          <w:i/>
        </w:rPr>
        <w:t xml:space="preserve"> </w:t>
      </w:r>
      <w:r>
        <w:rPr>
          <w:b/>
          <w:i/>
        </w:rPr>
        <w:t>p</w:t>
      </w:r>
      <w:r w:rsidRPr="00FD1DE5">
        <w:rPr>
          <w:b/>
          <w:i/>
        </w:rPr>
        <w:t>rotein</w:t>
      </w:r>
      <w:r>
        <w:rPr>
          <w:b/>
        </w:rPr>
        <w:t xml:space="preserve"> </w:t>
      </w:r>
      <w:r w:rsidRPr="00FD1DE5">
        <w:t xml:space="preserve">means </w:t>
      </w:r>
      <w:r w:rsidR="00C05AF5" w:rsidRPr="00C05AF5">
        <w:t>the total nitrogen in a feed</w:t>
      </w:r>
      <w:r w:rsidR="00C05AF5">
        <w:t xml:space="preserve"> type or eligible additive</w:t>
      </w:r>
      <w:r w:rsidR="00C05AF5" w:rsidRPr="00C05AF5">
        <w:t>, and includes true protein and non-protein nitrogen.</w:t>
      </w:r>
    </w:p>
    <w:p w:rsidR="00E63A92" w:rsidRDefault="002167C6" w:rsidP="00135D22">
      <w:pPr>
        <w:pStyle w:val="tDefn"/>
        <w:rPr>
          <w:lang w:val="en-NZ" w:eastAsia="en-NZ"/>
        </w:rPr>
      </w:pPr>
      <w:proofErr w:type="gramStart"/>
      <w:r w:rsidRPr="001F18B8">
        <w:rPr>
          <w:b/>
          <w:i/>
          <w:lang w:eastAsia="en-NZ"/>
        </w:rPr>
        <w:t>dairy</w:t>
      </w:r>
      <w:proofErr w:type="gramEnd"/>
      <w:r w:rsidRPr="001F18B8">
        <w:rPr>
          <w:b/>
          <w:i/>
          <w:lang w:eastAsia="en-NZ"/>
        </w:rPr>
        <w:t xml:space="preserve"> farm</w:t>
      </w:r>
      <w:r w:rsidRPr="001F18B8">
        <w:rPr>
          <w:lang w:eastAsia="en-NZ"/>
        </w:rPr>
        <w:t xml:space="preserve"> means a </w:t>
      </w:r>
      <w:r w:rsidRPr="001F18B8">
        <w:rPr>
          <w:lang w:val="en-NZ" w:eastAsia="en-NZ"/>
        </w:rPr>
        <w:t>farm that</w:t>
      </w:r>
      <w:r w:rsidR="00446F32">
        <w:rPr>
          <w:lang w:val="en-NZ" w:eastAsia="en-NZ"/>
        </w:rPr>
        <w:t xml:space="preserve"> </w:t>
      </w:r>
      <w:r w:rsidR="00676D39">
        <w:rPr>
          <w:lang w:val="en-NZ" w:eastAsia="en-NZ"/>
        </w:rPr>
        <w:t>produces milk</w:t>
      </w:r>
      <w:r w:rsidR="00E63A92">
        <w:rPr>
          <w:lang w:val="en-NZ" w:eastAsia="en-NZ"/>
        </w:rPr>
        <w:t xml:space="preserve"> from </w:t>
      </w:r>
      <w:r w:rsidR="00E63A92" w:rsidRPr="00E63A92">
        <w:rPr>
          <w:lang w:eastAsia="en-NZ"/>
        </w:rPr>
        <w:t xml:space="preserve">animals of the species </w:t>
      </w:r>
      <w:proofErr w:type="spellStart"/>
      <w:r w:rsidR="00E63A92" w:rsidRPr="00E63A92">
        <w:rPr>
          <w:i/>
          <w:iCs/>
          <w:lang w:eastAsia="en-NZ"/>
        </w:rPr>
        <w:t>Bos</w:t>
      </w:r>
      <w:proofErr w:type="spellEnd"/>
      <w:r w:rsidR="009D7CF1">
        <w:rPr>
          <w:i/>
          <w:iCs/>
          <w:lang w:eastAsia="en-NZ"/>
        </w:rPr>
        <w:t> </w:t>
      </w:r>
      <w:r w:rsidR="00E63A92" w:rsidRPr="00E63A92">
        <w:rPr>
          <w:i/>
          <w:iCs/>
          <w:lang w:eastAsia="en-NZ"/>
        </w:rPr>
        <w:t>Taurus</w:t>
      </w:r>
      <w:r w:rsidR="00676D39">
        <w:rPr>
          <w:lang w:val="en-NZ" w:eastAsia="en-NZ"/>
        </w:rPr>
        <w:t>.</w:t>
      </w:r>
    </w:p>
    <w:p w:rsidR="00E6436A" w:rsidRDefault="00E6436A" w:rsidP="00135D22">
      <w:pPr>
        <w:pStyle w:val="tDefn"/>
        <w:rPr>
          <w:lang w:eastAsia="en-NZ"/>
        </w:rPr>
      </w:pPr>
      <w:r>
        <w:rPr>
          <w:b/>
          <w:i/>
          <w:lang w:eastAsia="en-NZ"/>
        </w:rPr>
        <w:t xml:space="preserve">Department </w:t>
      </w:r>
      <w:r w:rsidR="006D5C62">
        <w:rPr>
          <w:lang w:eastAsia="en-NZ"/>
        </w:rPr>
        <w:t>means the d</w:t>
      </w:r>
      <w:r w:rsidRPr="00E6436A">
        <w:rPr>
          <w:lang w:eastAsia="en-NZ"/>
        </w:rPr>
        <w:t>epar</w:t>
      </w:r>
      <w:r w:rsidR="0018274C">
        <w:rPr>
          <w:lang w:eastAsia="en-NZ"/>
        </w:rPr>
        <w:t>tment that administers the Act.</w:t>
      </w:r>
    </w:p>
    <w:p w:rsidR="00C55AA1" w:rsidRDefault="00C55AA1" w:rsidP="00135D22">
      <w:pPr>
        <w:pStyle w:val="tDefn"/>
        <w:rPr>
          <w:lang w:eastAsia="en-NZ"/>
        </w:rPr>
      </w:pPr>
      <w:proofErr w:type="gramStart"/>
      <w:r w:rsidRPr="00C55AA1">
        <w:rPr>
          <w:b/>
          <w:i/>
          <w:lang w:eastAsia="en-NZ"/>
        </w:rPr>
        <w:t>diet</w:t>
      </w:r>
      <w:proofErr w:type="gramEnd"/>
      <w:r w:rsidRPr="00C55AA1">
        <w:rPr>
          <w:b/>
          <w:i/>
          <w:lang w:eastAsia="en-NZ"/>
        </w:rPr>
        <w:t xml:space="preserve"> </w:t>
      </w:r>
      <w:r w:rsidRPr="00C55AA1">
        <w:rPr>
          <w:lang w:eastAsia="en-NZ"/>
        </w:rPr>
        <w:t>means the amount (in kilograms of dry matter) and composition of feed types consumed by the milking herd in a season.</w:t>
      </w:r>
    </w:p>
    <w:p w:rsidR="00B837CB" w:rsidRPr="00B837CB" w:rsidRDefault="00B837CB" w:rsidP="00135D22">
      <w:pPr>
        <w:pStyle w:val="tDefn"/>
        <w:rPr>
          <w:lang w:eastAsia="en-NZ"/>
        </w:rPr>
      </w:pPr>
      <w:r w:rsidRPr="00B837CB">
        <w:rPr>
          <w:b/>
          <w:i/>
          <w:lang w:eastAsia="en-NZ"/>
        </w:rPr>
        <w:t xml:space="preserve">Dietary Fats Calculator </w:t>
      </w:r>
      <w:r w:rsidRPr="00B837CB">
        <w:rPr>
          <w:lang w:eastAsia="en-NZ"/>
        </w:rPr>
        <w:t>means the tool developed by the Department to calculate the carbon dioxide equivalent net abatement amount in accordance with this Determination, and which is available via the Department’s website.</w:t>
      </w:r>
    </w:p>
    <w:p w:rsidR="00BE6E28" w:rsidRPr="00E03F97" w:rsidRDefault="00BE6E28" w:rsidP="00135D22">
      <w:pPr>
        <w:pStyle w:val="tDefn"/>
      </w:pPr>
      <w:proofErr w:type="gramStart"/>
      <w:r w:rsidRPr="00F7242B">
        <w:rPr>
          <w:b/>
          <w:i/>
        </w:rPr>
        <w:lastRenderedPageBreak/>
        <w:t>dry</w:t>
      </w:r>
      <w:proofErr w:type="gramEnd"/>
      <w:r w:rsidRPr="00F7242B">
        <w:rPr>
          <w:b/>
          <w:i/>
        </w:rPr>
        <w:t xml:space="preserve"> matter</w:t>
      </w:r>
      <w:r w:rsidR="00E4759A">
        <w:rPr>
          <w:b/>
          <w:i/>
        </w:rPr>
        <w:t xml:space="preserve"> </w:t>
      </w:r>
      <w:r>
        <w:rPr>
          <w:b/>
          <w:i/>
        </w:rPr>
        <w:t>(DM)</w:t>
      </w:r>
      <w:r>
        <w:rPr>
          <w:b/>
        </w:rPr>
        <w:t xml:space="preserve"> </w:t>
      </w:r>
      <w:r w:rsidRPr="00124AC1">
        <w:t>means the total</w:t>
      </w:r>
      <w:r w:rsidR="0086765E">
        <w:t xml:space="preserve"> weight of a feed type or eligible additive</w:t>
      </w:r>
      <w:r>
        <w:t xml:space="preserve"> minus the weight o</w:t>
      </w:r>
      <w:r w:rsidR="00B1388B">
        <w:t>f its water content</w:t>
      </w:r>
      <w:r w:rsidR="006A7471">
        <w:t xml:space="preserve">. </w:t>
      </w:r>
    </w:p>
    <w:p w:rsidR="00BE6E28" w:rsidRDefault="00BE6E28" w:rsidP="00135D22">
      <w:pPr>
        <w:pStyle w:val="tDefn"/>
      </w:pPr>
      <w:proofErr w:type="gramStart"/>
      <w:r w:rsidRPr="00F7242B">
        <w:rPr>
          <w:b/>
          <w:i/>
        </w:rPr>
        <w:t>dry</w:t>
      </w:r>
      <w:proofErr w:type="gramEnd"/>
      <w:r w:rsidRPr="00F7242B">
        <w:rPr>
          <w:b/>
          <w:i/>
        </w:rPr>
        <w:t xml:space="preserve"> matter digestibility</w:t>
      </w:r>
      <w:r w:rsidR="00FA3427">
        <w:t xml:space="preserve"> </w:t>
      </w:r>
      <w:r w:rsidR="007A318C" w:rsidRPr="00BE16BB">
        <w:rPr>
          <w:b/>
          <w:i/>
        </w:rPr>
        <w:t>(DMD)</w:t>
      </w:r>
      <w:r w:rsidRPr="00124AC1">
        <w:t xml:space="preserve"> means</w:t>
      </w:r>
      <w:r>
        <w:rPr>
          <w:b/>
        </w:rPr>
        <w:t xml:space="preserve"> </w:t>
      </w:r>
      <w:r>
        <w:t>the</w:t>
      </w:r>
      <w:r w:rsidR="007A7509">
        <w:t xml:space="preserve"> percentage</w:t>
      </w:r>
      <w:r>
        <w:t xml:space="preserve"> of dry matter in a feed</w:t>
      </w:r>
      <w:r w:rsidR="007A7509">
        <w:t xml:space="preserve"> type or eligible additive</w:t>
      </w:r>
      <w:r w:rsidR="00D92D3D">
        <w:t xml:space="preserve"> digestible</w:t>
      </w:r>
      <w:r>
        <w:t xml:space="preserve"> by </w:t>
      </w:r>
      <w:r w:rsidR="007A7509">
        <w:t>milking cows</w:t>
      </w:r>
      <w:r>
        <w:t>.</w:t>
      </w:r>
    </w:p>
    <w:p w:rsidR="00BE6E28" w:rsidRDefault="00BE6E28" w:rsidP="00135D22">
      <w:pPr>
        <w:pStyle w:val="tDefn"/>
      </w:pPr>
      <w:proofErr w:type="gramStart"/>
      <w:r w:rsidRPr="00F7242B">
        <w:rPr>
          <w:b/>
          <w:i/>
        </w:rPr>
        <w:t>dry</w:t>
      </w:r>
      <w:proofErr w:type="gramEnd"/>
      <w:r w:rsidRPr="00F7242B">
        <w:rPr>
          <w:b/>
          <w:i/>
        </w:rPr>
        <w:t xml:space="preserve"> matter intake</w:t>
      </w:r>
      <w:r>
        <w:rPr>
          <w:b/>
        </w:rPr>
        <w:t xml:space="preserve"> </w:t>
      </w:r>
      <w:r w:rsidR="007A318C" w:rsidRPr="00BE16BB">
        <w:rPr>
          <w:b/>
          <w:i/>
        </w:rPr>
        <w:t>(DMI)</w:t>
      </w:r>
      <w:r>
        <w:rPr>
          <w:b/>
        </w:rPr>
        <w:t xml:space="preserve"> </w:t>
      </w:r>
      <w:r w:rsidRPr="00124AC1">
        <w:t xml:space="preserve">means </w:t>
      </w:r>
      <w:r w:rsidR="008C3B95">
        <w:t xml:space="preserve">the weight, </w:t>
      </w:r>
      <w:r w:rsidR="00F1796A">
        <w:t xml:space="preserve">excluding </w:t>
      </w:r>
      <w:r w:rsidR="00BB1E93">
        <w:t>water content</w:t>
      </w:r>
      <w:r w:rsidR="008C3B95">
        <w:t>, of</w:t>
      </w:r>
      <w:r w:rsidR="007A7509">
        <w:t xml:space="preserve"> a feed type or eligible additive consumed per milking cow per day</w:t>
      </w:r>
      <w:r w:rsidR="00BB1E93">
        <w:t>.</w:t>
      </w:r>
    </w:p>
    <w:p w:rsidR="00381BC0" w:rsidRPr="009359CE" w:rsidRDefault="00381BC0" w:rsidP="00135D22">
      <w:pPr>
        <w:pStyle w:val="tDefn"/>
      </w:pPr>
      <w:proofErr w:type="gramStart"/>
      <w:r w:rsidRPr="00381BC0">
        <w:rPr>
          <w:b/>
          <w:i/>
        </w:rPr>
        <w:t>eligible</w:t>
      </w:r>
      <w:proofErr w:type="gramEnd"/>
      <w:r w:rsidRPr="00381BC0">
        <w:rPr>
          <w:b/>
          <w:i/>
        </w:rPr>
        <w:t xml:space="preserve"> additive</w:t>
      </w:r>
      <w:r>
        <w:t xml:space="preserve"> has the meaning provided in </w:t>
      </w:r>
      <w:r w:rsidRPr="009359CE">
        <w:t>section 2.3.</w:t>
      </w:r>
    </w:p>
    <w:p w:rsidR="003B7825" w:rsidRPr="003B7825" w:rsidRDefault="003B7825" w:rsidP="00135D22">
      <w:pPr>
        <w:pStyle w:val="tDefn"/>
      </w:pPr>
      <w:proofErr w:type="gramStart"/>
      <w:r w:rsidRPr="009359CE">
        <w:rPr>
          <w:b/>
          <w:i/>
        </w:rPr>
        <w:t>eligible</w:t>
      </w:r>
      <w:proofErr w:type="gramEnd"/>
      <w:r w:rsidRPr="009359CE">
        <w:rPr>
          <w:b/>
          <w:i/>
        </w:rPr>
        <w:t xml:space="preserve"> dairy </w:t>
      </w:r>
      <w:r w:rsidR="00A54E8C">
        <w:rPr>
          <w:b/>
          <w:i/>
        </w:rPr>
        <w:t>farm</w:t>
      </w:r>
      <w:r w:rsidRPr="009359CE">
        <w:t xml:space="preserve"> has the meaning provided in section 2.4.</w:t>
      </w:r>
    </w:p>
    <w:p w:rsidR="00FD1DE5" w:rsidRDefault="00F7242B" w:rsidP="00135D22">
      <w:pPr>
        <w:pStyle w:val="tDefn"/>
      </w:pPr>
      <w:proofErr w:type="gramStart"/>
      <w:r w:rsidRPr="00F7242B">
        <w:rPr>
          <w:b/>
          <w:i/>
        </w:rPr>
        <w:t>enteric</w:t>
      </w:r>
      <w:proofErr w:type="gramEnd"/>
      <w:r w:rsidRPr="00F7242B">
        <w:rPr>
          <w:b/>
          <w:i/>
        </w:rPr>
        <w:t xml:space="preserve"> fermentation</w:t>
      </w:r>
      <w:r>
        <w:rPr>
          <w:b/>
        </w:rPr>
        <w:t xml:space="preserve"> </w:t>
      </w:r>
      <w:r w:rsidRPr="00F7242B">
        <w:t>means t</w:t>
      </w:r>
      <w:r w:rsidR="00FD1DE5" w:rsidRPr="00F7242B">
        <w:t>he</w:t>
      </w:r>
      <w:r w:rsidR="00FD1DE5" w:rsidRPr="003A53BB">
        <w:t xml:space="preserve"> process in </w:t>
      </w:r>
      <w:r>
        <w:t xml:space="preserve">ruminant </w:t>
      </w:r>
      <w:r w:rsidR="00FD1DE5" w:rsidRPr="003A53BB">
        <w:t>animals b</w:t>
      </w:r>
      <w:r w:rsidR="00FD1DE5">
        <w:t xml:space="preserve">y which gases, including </w:t>
      </w:r>
      <w:r>
        <w:t xml:space="preserve">methane, </w:t>
      </w:r>
      <w:r w:rsidR="00FD1DE5" w:rsidRPr="003A53BB">
        <w:t>are</w:t>
      </w:r>
      <w:r w:rsidR="00FD1DE5">
        <w:t xml:space="preserve"> </w:t>
      </w:r>
      <w:r w:rsidR="00FD1DE5" w:rsidRPr="003A53BB">
        <w:t>produced as a by-product of microbial fermentation associated with</w:t>
      </w:r>
      <w:r w:rsidR="00FD1DE5">
        <w:t xml:space="preserve"> </w:t>
      </w:r>
      <w:r w:rsidR="00E65030">
        <w:t xml:space="preserve">the </w:t>
      </w:r>
      <w:r w:rsidR="00FD1DE5" w:rsidRPr="003A53BB">
        <w:t>digestion of feed.</w:t>
      </w:r>
    </w:p>
    <w:p w:rsidR="00FD1DE5" w:rsidRDefault="00F7242B" w:rsidP="00135D22">
      <w:pPr>
        <w:pStyle w:val="tDefn"/>
      </w:pPr>
      <w:proofErr w:type="gramStart"/>
      <w:r w:rsidRPr="00F7242B">
        <w:rPr>
          <w:b/>
          <w:i/>
        </w:rPr>
        <w:t>fat</w:t>
      </w:r>
      <w:proofErr w:type="gramEnd"/>
      <w:r w:rsidRPr="00F7242B">
        <w:rPr>
          <w:b/>
          <w:i/>
        </w:rPr>
        <w:t xml:space="preserve"> </w:t>
      </w:r>
      <w:r w:rsidRPr="00F7242B">
        <w:t>means</w:t>
      </w:r>
      <w:r w:rsidR="00FD1DE5" w:rsidRPr="00F7242B">
        <w:t xml:space="preserve"> </w:t>
      </w:r>
      <w:r w:rsidR="00015D29">
        <w:t>plant-derived lipids</w:t>
      </w:r>
      <w:r w:rsidR="001A7B24">
        <w:t xml:space="preserve"> </w:t>
      </w:r>
      <w:r w:rsidR="00E6436A">
        <w:t>in the diet</w:t>
      </w:r>
      <w:r w:rsidR="002E3DFD">
        <w:t xml:space="preserve"> or </w:t>
      </w:r>
      <w:r w:rsidR="001A7B24">
        <w:t>from an eligible additive</w:t>
      </w:r>
      <w:r w:rsidR="00FD1DE5" w:rsidRPr="009D0D38">
        <w:t xml:space="preserve">. </w:t>
      </w:r>
    </w:p>
    <w:p w:rsidR="00060E90" w:rsidRPr="00B40FDC" w:rsidRDefault="003B46EF" w:rsidP="00135D22">
      <w:pPr>
        <w:pStyle w:val="tDefn"/>
      </w:pPr>
      <w:proofErr w:type="gramStart"/>
      <w:r>
        <w:rPr>
          <w:b/>
          <w:i/>
        </w:rPr>
        <w:t>feed</w:t>
      </w:r>
      <w:proofErr w:type="gramEnd"/>
      <w:r>
        <w:rPr>
          <w:b/>
          <w:i/>
        </w:rPr>
        <w:t xml:space="preserve"> type</w:t>
      </w:r>
      <w:r>
        <w:t xml:space="preserve"> means one of the component </w:t>
      </w:r>
      <w:r w:rsidR="00705260">
        <w:t xml:space="preserve">elements of </w:t>
      </w:r>
      <w:r w:rsidR="001E0A1F">
        <w:t>a diet</w:t>
      </w:r>
      <w:r w:rsidR="00705260">
        <w:t xml:space="preserve"> </w:t>
      </w:r>
      <w:r w:rsidR="00FE0B74">
        <w:t>specified in the</w:t>
      </w:r>
      <w:r w:rsidR="00C55AA1">
        <w:t xml:space="preserve"> Dietary Fats Calculator.</w:t>
      </w:r>
      <w:r w:rsidR="00115CAE" w:rsidRPr="00B40FDC">
        <w:tab/>
      </w:r>
    </w:p>
    <w:p w:rsidR="00FD1DE5" w:rsidRDefault="00AE700A" w:rsidP="00135D22">
      <w:pPr>
        <w:pStyle w:val="tDefn"/>
      </w:pPr>
      <w:proofErr w:type="gramStart"/>
      <w:r w:rsidRPr="000A1C1E">
        <w:rPr>
          <w:b/>
          <w:i/>
        </w:rPr>
        <w:t>m</w:t>
      </w:r>
      <w:r w:rsidR="004544DC" w:rsidRPr="000A1C1E">
        <w:rPr>
          <w:b/>
          <w:i/>
        </w:rPr>
        <w:t>ilking</w:t>
      </w:r>
      <w:proofErr w:type="gramEnd"/>
      <w:r w:rsidR="004544DC" w:rsidRPr="000A1C1E">
        <w:rPr>
          <w:b/>
          <w:i/>
        </w:rPr>
        <w:t xml:space="preserve"> </w:t>
      </w:r>
      <w:r w:rsidRPr="000A1C1E">
        <w:rPr>
          <w:b/>
          <w:i/>
        </w:rPr>
        <w:t>c</w:t>
      </w:r>
      <w:r w:rsidR="004544DC" w:rsidRPr="000A1C1E">
        <w:rPr>
          <w:b/>
          <w:i/>
        </w:rPr>
        <w:t>ow</w:t>
      </w:r>
      <w:r w:rsidR="004544DC">
        <w:rPr>
          <w:b/>
        </w:rPr>
        <w:t xml:space="preserve"> </w:t>
      </w:r>
      <w:r w:rsidR="004544DC" w:rsidRPr="004544DC">
        <w:t>means a l</w:t>
      </w:r>
      <w:r w:rsidR="00FD1DE5" w:rsidRPr="004544DC">
        <w:t>actating</w:t>
      </w:r>
      <w:r w:rsidR="00FC0420">
        <w:t xml:space="preserve"> </w:t>
      </w:r>
      <w:r w:rsidR="00FD1DE5">
        <w:t>cow</w:t>
      </w:r>
      <w:r w:rsidR="00E63A92">
        <w:t xml:space="preserve"> of the species </w:t>
      </w:r>
      <w:proofErr w:type="spellStart"/>
      <w:r w:rsidR="00E63A92">
        <w:rPr>
          <w:i/>
        </w:rPr>
        <w:t>Bos</w:t>
      </w:r>
      <w:proofErr w:type="spellEnd"/>
      <w:r w:rsidR="00E63A92">
        <w:rPr>
          <w:i/>
        </w:rPr>
        <w:t xml:space="preserve"> Taurus</w:t>
      </w:r>
      <w:r w:rsidR="00F612FF">
        <w:t xml:space="preserve"> </w:t>
      </w:r>
      <w:r w:rsidR="00FD1DE5">
        <w:t xml:space="preserve">used for </w:t>
      </w:r>
      <w:r w:rsidR="00EA5AAD">
        <w:t xml:space="preserve">commercial </w:t>
      </w:r>
      <w:r w:rsidR="00FD1DE5">
        <w:t>milk production.</w:t>
      </w:r>
    </w:p>
    <w:p w:rsidR="00E45644" w:rsidRDefault="00D01B9F" w:rsidP="00135D22">
      <w:pPr>
        <w:pStyle w:val="tDefn"/>
      </w:pPr>
      <w:proofErr w:type="gramStart"/>
      <w:r w:rsidRPr="00D01B9F">
        <w:rPr>
          <w:b/>
          <w:i/>
        </w:rPr>
        <w:t>milking</w:t>
      </w:r>
      <w:proofErr w:type="gramEnd"/>
      <w:r w:rsidRPr="00D01B9F">
        <w:rPr>
          <w:b/>
          <w:i/>
        </w:rPr>
        <w:t xml:space="preserve"> herd </w:t>
      </w:r>
      <w:r w:rsidR="005E549E">
        <w:t>means a herd of milking cows.</w:t>
      </w:r>
      <w:r w:rsidR="00E45644">
        <w:tab/>
      </w:r>
    </w:p>
    <w:p w:rsidR="002426BA" w:rsidRDefault="002426BA" w:rsidP="00135D22">
      <w:pPr>
        <w:pStyle w:val="tDefn"/>
      </w:pPr>
      <w:r>
        <w:rPr>
          <w:b/>
          <w:i/>
        </w:rPr>
        <w:t xml:space="preserve">National Association of Testing Authorities </w:t>
      </w:r>
      <w:r w:rsidR="00481FE4">
        <w:t xml:space="preserve">means the National Association of Testing Authorities, Australia </w:t>
      </w:r>
      <w:r w:rsidR="006D5C62">
        <w:t>(</w:t>
      </w:r>
      <w:r w:rsidR="00481FE4">
        <w:t>ABN 59 004 379 748</w:t>
      </w:r>
      <w:r w:rsidR="006D5C62">
        <w:t>)</w:t>
      </w:r>
      <w:r w:rsidR="00481FE4">
        <w:t>.</w:t>
      </w:r>
    </w:p>
    <w:p w:rsidR="009900AA" w:rsidRDefault="00262DF2" w:rsidP="00135D22">
      <w:pPr>
        <w:pStyle w:val="tDefn"/>
      </w:pPr>
      <w:r>
        <w:rPr>
          <w:b/>
          <w:i/>
        </w:rPr>
        <w:t>National Inventory Report</w:t>
      </w:r>
      <w:r w:rsidR="009900AA" w:rsidRPr="009900AA">
        <w:rPr>
          <w:b/>
          <w:i/>
        </w:rPr>
        <w:t xml:space="preserve"> </w:t>
      </w:r>
      <w:r w:rsidR="009900AA" w:rsidRPr="009900AA">
        <w:t>means the</w:t>
      </w:r>
      <w:r w:rsidR="006D5C62">
        <w:t xml:space="preserve"> report of the</w:t>
      </w:r>
      <w:r w:rsidR="009900AA" w:rsidRPr="009900AA">
        <w:t xml:space="preserve"> national inventory of greenhouse gas emissions published</w:t>
      </w:r>
      <w:r w:rsidR="006D5C62">
        <w:t xml:space="preserve"> an</w:t>
      </w:r>
      <w:r w:rsidR="00D718F4">
        <w:t>n</w:t>
      </w:r>
      <w:r w:rsidR="006D5C62">
        <w:t>ually</w:t>
      </w:r>
      <w:r w:rsidR="009900AA" w:rsidRPr="009900AA">
        <w:t xml:space="preserve"> by the department that administers the </w:t>
      </w:r>
      <w:r w:rsidR="009900AA" w:rsidRPr="009900AA">
        <w:rPr>
          <w:i/>
        </w:rPr>
        <w:t>National Greenhouse and Energy Reporting Act 2007</w:t>
      </w:r>
      <w:r w:rsidR="009900AA" w:rsidRPr="009900AA">
        <w:t>.</w:t>
      </w:r>
    </w:p>
    <w:p w:rsidR="00317664" w:rsidRDefault="000F6026" w:rsidP="00135D22">
      <w:pPr>
        <w:pStyle w:val="tDefn"/>
      </w:pPr>
      <w:proofErr w:type="gramStart"/>
      <w:r>
        <w:rPr>
          <w:b/>
          <w:i/>
        </w:rPr>
        <w:t>project</w:t>
      </w:r>
      <w:proofErr w:type="gramEnd"/>
      <w:r>
        <w:rPr>
          <w:b/>
          <w:i/>
        </w:rPr>
        <w:t xml:space="preserve"> year</w:t>
      </w:r>
      <w:r>
        <w:t xml:space="preserve"> means a year for which</w:t>
      </w:r>
      <w:r w:rsidR="00C55AA1">
        <w:t xml:space="preserve"> the </w:t>
      </w:r>
      <w:r w:rsidR="00C50EF3">
        <w:t>carbon dioxide equivalent net abatement amount</w:t>
      </w:r>
      <w:r>
        <w:t xml:space="preserve"> is calculated using t</w:t>
      </w:r>
      <w:r w:rsidR="00C55AA1">
        <w:t>he Dietary Fats Calculator.</w:t>
      </w:r>
    </w:p>
    <w:p w:rsidR="00132E6A" w:rsidRPr="00132E6A" w:rsidRDefault="00132E6A" w:rsidP="00135D22">
      <w:pPr>
        <w:pStyle w:val="tDefn"/>
      </w:pPr>
      <w:proofErr w:type="gramStart"/>
      <w:r>
        <w:rPr>
          <w:b/>
          <w:i/>
        </w:rPr>
        <w:t xml:space="preserve">Regulations </w:t>
      </w:r>
      <w:r>
        <w:t>means</w:t>
      </w:r>
      <w:proofErr w:type="gramEnd"/>
      <w:r>
        <w:t xml:space="preserve"> the </w:t>
      </w:r>
      <w:r>
        <w:rPr>
          <w:i/>
        </w:rPr>
        <w:t>Carbon Credits (Carbon Farming Initiative) Regulations 2011</w:t>
      </w:r>
      <w:r>
        <w:t>.</w:t>
      </w:r>
    </w:p>
    <w:p w:rsidR="00317664" w:rsidRDefault="002E3DFD" w:rsidP="00135D22">
      <w:pPr>
        <w:pStyle w:val="tDefn"/>
        <w:rPr>
          <w:rStyle w:val="ssens"/>
        </w:rPr>
      </w:pPr>
      <w:r>
        <w:rPr>
          <w:b/>
          <w:i/>
        </w:rPr>
        <w:t>season</w:t>
      </w:r>
      <w:r>
        <w:rPr>
          <w:b/>
        </w:rPr>
        <w:t xml:space="preserve"> </w:t>
      </w:r>
      <w:r w:rsidRPr="002E3DFD">
        <w:t>means</w:t>
      </w:r>
      <w:r>
        <w:rPr>
          <w:b/>
        </w:rPr>
        <w:t xml:space="preserve"> </w:t>
      </w:r>
      <w:r w:rsidR="007C21D1">
        <w:t>a 3</w:t>
      </w:r>
      <w:r>
        <w:t xml:space="preserve"> month period, grouped by calendar month in the following way: </w:t>
      </w:r>
      <w:r w:rsidRPr="002E3DFD">
        <w:rPr>
          <w:rStyle w:val="ssens"/>
        </w:rPr>
        <w:t xml:space="preserve">Spring </w:t>
      </w:r>
      <w:r>
        <w:rPr>
          <w:rStyle w:val="ssens"/>
        </w:rPr>
        <w:t>(</w:t>
      </w:r>
      <w:r w:rsidRPr="002E3DFD">
        <w:rPr>
          <w:rStyle w:val="ssens"/>
        </w:rPr>
        <w:t>S</w:t>
      </w:r>
      <w:r>
        <w:rPr>
          <w:rStyle w:val="ssens"/>
        </w:rPr>
        <w:t xml:space="preserve">eptember, October and November); </w:t>
      </w:r>
      <w:r w:rsidRPr="002E3DFD">
        <w:rPr>
          <w:rStyle w:val="ssens"/>
        </w:rPr>
        <w:t xml:space="preserve">Summer </w:t>
      </w:r>
      <w:r>
        <w:rPr>
          <w:rStyle w:val="ssens"/>
        </w:rPr>
        <w:t>(</w:t>
      </w:r>
      <w:r w:rsidRPr="002E3DFD">
        <w:rPr>
          <w:rStyle w:val="ssens"/>
        </w:rPr>
        <w:t>December, January and February</w:t>
      </w:r>
      <w:r>
        <w:rPr>
          <w:rStyle w:val="ssens"/>
        </w:rPr>
        <w:t xml:space="preserve">); </w:t>
      </w:r>
      <w:r w:rsidRPr="002E3DFD">
        <w:rPr>
          <w:rStyle w:val="ssens"/>
        </w:rPr>
        <w:t xml:space="preserve">Autumn </w:t>
      </w:r>
      <w:r>
        <w:rPr>
          <w:rStyle w:val="ssens"/>
        </w:rPr>
        <w:t xml:space="preserve">(March, April and May); and </w:t>
      </w:r>
      <w:r w:rsidRPr="002E3DFD">
        <w:rPr>
          <w:rStyle w:val="ssens"/>
        </w:rPr>
        <w:t xml:space="preserve">Winter </w:t>
      </w:r>
      <w:r>
        <w:rPr>
          <w:rStyle w:val="ssens"/>
        </w:rPr>
        <w:t>(</w:t>
      </w:r>
      <w:r w:rsidRPr="002E3DFD">
        <w:rPr>
          <w:rStyle w:val="ssens"/>
        </w:rPr>
        <w:t>June, July and August</w:t>
      </w:r>
      <w:r>
        <w:rPr>
          <w:rStyle w:val="ssens"/>
        </w:rPr>
        <w:t>)</w:t>
      </w:r>
      <w:r w:rsidRPr="002E3DFD">
        <w:rPr>
          <w:rStyle w:val="ssens"/>
        </w:rPr>
        <w:t>.</w:t>
      </w:r>
    </w:p>
    <w:p w:rsidR="000B277E" w:rsidRDefault="000B277E" w:rsidP="00135D22">
      <w:pPr>
        <w:pStyle w:val="tDefn"/>
        <w:rPr>
          <w:rStyle w:val="ssens"/>
        </w:rPr>
      </w:pPr>
    </w:p>
    <w:p w:rsidR="000B277E" w:rsidRDefault="000B277E" w:rsidP="00135D22">
      <w:pPr>
        <w:pStyle w:val="tDefn"/>
        <w:rPr>
          <w:rStyle w:val="ssens"/>
        </w:rPr>
      </w:pPr>
    </w:p>
    <w:p w:rsidR="000B277E" w:rsidRDefault="000B277E" w:rsidP="00135D22">
      <w:pPr>
        <w:pStyle w:val="tDefn"/>
        <w:rPr>
          <w:rStyle w:val="ssens"/>
        </w:rPr>
      </w:pPr>
    </w:p>
    <w:p w:rsidR="000B277E" w:rsidRDefault="000B277E" w:rsidP="00135D22">
      <w:pPr>
        <w:pStyle w:val="tDefn"/>
        <w:rPr>
          <w:rStyle w:val="ssens"/>
        </w:rPr>
      </w:pPr>
    </w:p>
    <w:p w:rsidR="000B277E" w:rsidRDefault="000B277E" w:rsidP="00135D22">
      <w:pPr>
        <w:pStyle w:val="tDefn"/>
        <w:rPr>
          <w:rStyle w:val="ssens"/>
        </w:rPr>
      </w:pPr>
    </w:p>
    <w:p w:rsidR="000B277E" w:rsidRDefault="000B277E" w:rsidP="00135D22">
      <w:pPr>
        <w:pStyle w:val="tDefn"/>
        <w:rPr>
          <w:rStyle w:val="ssens"/>
        </w:rPr>
      </w:pPr>
    </w:p>
    <w:p w:rsidR="000B277E" w:rsidRDefault="000B277E" w:rsidP="00135D22">
      <w:pPr>
        <w:pStyle w:val="tDefn"/>
        <w:rPr>
          <w:rStyle w:val="ssens"/>
        </w:rPr>
      </w:pPr>
    </w:p>
    <w:p w:rsidR="0096385E" w:rsidRDefault="0096385E" w:rsidP="00135D22">
      <w:pPr>
        <w:pStyle w:val="tDefn"/>
      </w:pPr>
    </w:p>
    <w:p w:rsidR="0096385E" w:rsidRPr="00DE64EE" w:rsidRDefault="0096385E" w:rsidP="00135D22">
      <w:pPr>
        <w:pStyle w:val="tDefn"/>
      </w:pPr>
    </w:p>
    <w:p w:rsidR="00635D1F" w:rsidRPr="00DE64EE" w:rsidRDefault="00635D1F" w:rsidP="00135D22">
      <w:pPr>
        <w:pStyle w:val="noteMain"/>
      </w:pPr>
      <w:r w:rsidRPr="00DE64EE">
        <w:tab/>
      </w:r>
      <w:r w:rsidRPr="00DE64EE">
        <w:rPr>
          <w:b/>
          <w:i/>
        </w:rPr>
        <w:t>Note</w:t>
      </w:r>
      <w:r w:rsidRPr="00DE64EE">
        <w:tab/>
        <w:t>Other words and expressions used in this Determination have the meaning given by the Act. These terms include:</w:t>
      </w:r>
    </w:p>
    <w:p w:rsidR="000833C5" w:rsidRPr="00025F49" w:rsidRDefault="00635D1F" w:rsidP="00135D22">
      <w:pPr>
        <w:pStyle w:val="noteMain"/>
        <w:rPr>
          <w:b/>
          <w:i/>
        </w:rPr>
      </w:pPr>
      <w:r w:rsidRPr="00340CA6">
        <w:rPr>
          <w:b/>
          <w:i/>
        </w:rPr>
        <w:tab/>
      </w:r>
      <w:r w:rsidRPr="00340CA6">
        <w:rPr>
          <w:b/>
          <w:i/>
        </w:rPr>
        <w:tab/>
      </w:r>
      <w:proofErr w:type="gramStart"/>
      <w:r w:rsidR="007A318C" w:rsidRPr="00025F49">
        <w:rPr>
          <w:b/>
          <w:i/>
        </w:rPr>
        <w:t>agricultural</w:t>
      </w:r>
      <w:proofErr w:type="gramEnd"/>
      <w:r w:rsidR="007A318C" w:rsidRPr="00025F49">
        <w:rPr>
          <w:b/>
          <w:i/>
        </w:rPr>
        <w:t xml:space="preserve"> emissions avoidance project</w:t>
      </w:r>
    </w:p>
    <w:p w:rsidR="00635D1F" w:rsidRPr="00DE64EE" w:rsidRDefault="000833C5" w:rsidP="00135D22">
      <w:pPr>
        <w:pStyle w:val="noteMain"/>
        <w:rPr>
          <w:b/>
          <w:i/>
        </w:rPr>
      </w:pPr>
      <w:r w:rsidRPr="00340CA6">
        <w:rPr>
          <w:b/>
          <w:i/>
        </w:rPr>
        <w:tab/>
      </w:r>
      <w:r w:rsidRPr="00340CA6">
        <w:rPr>
          <w:b/>
          <w:i/>
        </w:rPr>
        <w:tab/>
      </w:r>
      <w:proofErr w:type="gramStart"/>
      <w:r w:rsidR="00635D1F" w:rsidRPr="00DE64EE">
        <w:rPr>
          <w:b/>
          <w:i/>
        </w:rPr>
        <w:t>baseline</w:t>
      </w:r>
      <w:proofErr w:type="gramEnd"/>
    </w:p>
    <w:p w:rsidR="00635D1F" w:rsidRPr="00DE64EE" w:rsidRDefault="00340CA6" w:rsidP="00135D22">
      <w:pPr>
        <w:pStyle w:val="noteMain"/>
        <w:rPr>
          <w:b/>
          <w:i/>
        </w:rPr>
      </w:pPr>
      <w:r>
        <w:rPr>
          <w:b/>
          <w:i/>
        </w:rPr>
        <w:tab/>
      </w:r>
      <w:r>
        <w:rPr>
          <w:b/>
          <w:i/>
        </w:rPr>
        <w:tab/>
      </w:r>
      <w:proofErr w:type="gramStart"/>
      <w:r w:rsidR="00635D1F" w:rsidRPr="00DE64EE">
        <w:rPr>
          <w:b/>
          <w:i/>
        </w:rPr>
        <w:t>eligible</w:t>
      </w:r>
      <w:proofErr w:type="gramEnd"/>
      <w:r w:rsidR="00635D1F" w:rsidRPr="00DE64EE">
        <w:rPr>
          <w:b/>
          <w:i/>
        </w:rPr>
        <w:t xml:space="preserve"> offsets project</w:t>
      </w:r>
    </w:p>
    <w:p w:rsidR="00635D1F" w:rsidRDefault="00635D1F" w:rsidP="00135D22">
      <w:pPr>
        <w:pStyle w:val="noteMain"/>
        <w:rPr>
          <w:b/>
          <w:i/>
        </w:rPr>
      </w:pPr>
      <w:r w:rsidRPr="00DE64EE">
        <w:rPr>
          <w:b/>
          <w:i/>
        </w:rPr>
        <w:tab/>
      </w:r>
      <w:r w:rsidRPr="00DE64EE">
        <w:rPr>
          <w:b/>
          <w:i/>
        </w:rPr>
        <w:tab/>
      </w:r>
      <w:proofErr w:type="gramStart"/>
      <w:r w:rsidRPr="00DE64EE">
        <w:rPr>
          <w:b/>
          <w:i/>
        </w:rPr>
        <w:t>emission</w:t>
      </w:r>
      <w:proofErr w:type="gramEnd"/>
    </w:p>
    <w:p w:rsidR="00635D1F" w:rsidRPr="00DE64EE" w:rsidRDefault="00635D1F" w:rsidP="00135D22">
      <w:pPr>
        <w:pStyle w:val="noteMain"/>
        <w:rPr>
          <w:b/>
          <w:i/>
        </w:rPr>
      </w:pPr>
      <w:r w:rsidRPr="00DE64EE">
        <w:rPr>
          <w:b/>
          <w:i/>
        </w:rPr>
        <w:tab/>
      </w:r>
      <w:r w:rsidRPr="00DE64EE">
        <w:rPr>
          <w:b/>
          <w:i/>
        </w:rPr>
        <w:tab/>
      </w:r>
      <w:proofErr w:type="gramStart"/>
      <w:r w:rsidRPr="00DE64EE">
        <w:rPr>
          <w:b/>
          <w:i/>
        </w:rPr>
        <w:t>greenhouse</w:t>
      </w:r>
      <w:proofErr w:type="gramEnd"/>
      <w:r w:rsidRPr="00DE64EE">
        <w:rPr>
          <w:b/>
          <w:i/>
        </w:rPr>
        <w:t xml:space="preserve"> gas</w:t>
      </w:r>
    </w:p>
    <w:p w:rsidR="00635D1F" w:rsidRPr="00DE64EE" w:rsidRDefault="00635D1F" w:rsidP="00135D22">
      <w:pPr>
        <w:pStyle w:val="noteMain"/>
        <w:rPr>
          <w:b/>
          <w:i/>
        </w:rPr>
      </w:pPr>
      <w:r w:rsidRPr="00DE64EE">
        <w:rPr>
          <w:b/>
          <w:i/>
        </w:rPr>
        <w:tab/>
      </w:r>
      <w:r w:rsidRPr="00DE64EE">
        <w:rPr>
          <w:b/>
          <w:i/>
        </w:rPr>
        <w:tab/>
      </w:r>
      <w:proofErr w:type="gramStart"/>
      <w:r w:rsidRPr="00DE64EE">
        <w:rPr>
          <w:b/>
          <w:i/>
        </w:rPr>
        <w:t>offsets</w:t>
      </w:r>
      <w:proofErr w:type="gramEnd"/>
      <w:r w:rsidRPr="00DE64EE">
        <w:rPr>
          <w:b/>
          <w:i/>
        </w:rPr>
        <w:t xml:space="preserve"> report</w:t>
      </w:r>
    </w:p>
    <w:p w:rsidR="00635D1F" w:rsidRPr="00DE64EE" w:rsidRDefault="00635D1F" w:rsidP="00135D22">
      <w:pPr>
        <w:pStyle w:val="noteMain"/>
        <w:rPr>
          <w:b/>
          <w:i/>
        </w:rPr>
      </w:pPr>
      <w:r w:rsidRPr="00DE64EE">
        <w:rPr>
          <w:b/>
          <w:i/>
        </w:rPr>
        <w:tab/>
      </w:r>
      <w:r w:rsidRPr="00DE64EE">
        <w:rPr>
          <w:b/>
          <w:i/>
        </w:rPr>
        <w:tab/>
      </w:r>
      <w:proofErr w:type="gramStart"/>
      <w:r w:rsidRPr="00DE64EE">
        <w:rPr>
          <w:b/>
          <w:i/>
        </w:rPr>
        <w:t>project</w:t>
      </w:r>
      <w:proofErr w:type="gramEnd"/>
    </w:p>
    <w:p w:rsidR="00635D1F" w:rsidRPr="00DE64EE" w:rsidRDefault="00635D1F" w:rsidP="00135D22">
      <w:pPr>
        <w:pStyle w:val="noteMain"/>
        <w:rPr>
          <w:b/>
          <w:i/>
        </w:rPr>
      </w:pPr>
      <w:r w:rsidRPr="00DE64EE">
        <w:rPr>
          <w:b/>
          <w:i/>
        </w:rPr>
        <w:tab/>
      </w:r>
      <w:r w:rsidRPr="00DE64EE">
        <w:rPr>
          <w:b/>
          <w:i/>
        </w:rPr>
        <w:tab/>
      </w:r>
      <w:proofErr w:type="gramStart"/>
      <w:r w:rsidRPr="00DE64EE">
        <w:rPr>
          <w:b/>
          <w:i/>
        </w:rPr>
        <w:t>project</w:t>
      </w:r>
      <w:proofErr w:type="gramEnd"/>
      <w:r w:rsidRPr="00DE64EE">
        <w:rPr>
          <w:b/>
          <w:i/>
        </w:rPr>
        <w:t xml:space="preserve"> area</w:t>
      </w:r>
    </w:p>
    <w:p w:rsidR="00635D1F" w:rsidRPr="00DE64EE" w:rsidRDefault="00635D1F" w:rsidP="00135D22">
      <w:pPr>
        <w:pStyle w:val="noteMain"/>
        <w:rPr>
          <w:b/>
          <w:i/>
        </w:rPr>
      </w:pPr>
      <w:r w:rsidRPr="00DE64EE">
        <w:rPr>
          <w:b/>
          <w:i/>
        </w:rPr>
        <w:tab/>
      </w:r>
      <w:r w:rsidRPr="00DE64EE">
        <w:rPr>
          <w:b/>
          <w:i/>
        </w:rPr>
        <w:tab/>
      </w:r>
      <w:proofErr w:type="gramStart"/>
      <w:r w:rsidRPr="00DE64EE">
        <w:rPr>
          <w:b/>
          <w:i/>
        </w:rPr>
        <w:t>project</w:t>
      </w:r>
      <w:proofErr w:type="gramEnd"/>
      <w:r w:rsidRPr="00DE64EE">
        <w:rPr>
          <w:b/>
          <w:i/>
        </w:rPr>
        <w:t xml:space="preserve"> proponent</w:t>
      </w:r>
      <w:r w:rsidR="0018274C">
        <w:rPr>
          <w:b/>
          <w:i/>
        </w:rPr>
        <w:t>; and</w:t>
      </w:r>
    </w:p>
    <w:p w:rsidR="00CD3526" w:rsidRPr="00DE64EE" w:rsidRDefault="003B583B" w:rsidP="00135D22">
      <w:pPr>
        <w:pStyle w:val="noteMain"/>
        <w:rPr>
          <w:b/>
          <w:i/>
        </w:rPr>
      </w:pPr>
      <w:r>
        <w:rPr>
          <w:b/>
          <w:i/>
        </w:rPr>
        <w:tab/>
      </w:r>
      <w:r>
        <w:rPr>
          <w:b/>
          <w:i/>
        </w:rPr>
        <w:tab/>
      </w:r>
      <w:proofErr w:type="gramStart"/>
      <w:r w:rsidR="00635D1F" w:rsidRPr="00DE64EE">
        <w:rPr>
          <w:b/>
          <w:i/>
        </w:rPr>
        <w:t>reporting</w:t>
      </w:r>
      <w:proofErr w:type="gramEnd"/>
      <w:r w:rsidR="00635D1F" w:rsidRPr="00DE64EE">
        <w:rPr>
          <w:b/>
          <w:i/>
        </w:rPr>
        <w:t xml:space="preserve"> period</w:t>
      </w:r>
      <w:r w:rsidR="00E45644">
        <w:rPr>
          <w:b/>
          <w:i/>
        </w:rPr>
        <w:t>.</w:t>
      </w:r>
    </w:p>
    <w:p w:rsidR="00635D1F" w:rsidRPr="00DE64EE" w:rsidRDefault="0060744B" w:rsidP="00135D22">
      <w:pPr>
        <w:pStyle w:val="h5Section"/>
      </w:pPr>
      <w:bookmarkStart w:id="5" w:name="_Toc362952355"/>
      <w:r>
        <w:t>1.4</w:t>
      </w:r>
      <w:r w:rsidR="00635D1F">
        <w:tab/>
      </w:r>
      <w:r w:rsidR="00635D1F" w:rsidRPr="00DE64EE">
        <w:t>Kind of project to which this Determination applies</w:t>
      </w:r>
      <w:bookmarkEnd w:id="5"/>
    </w:p>
    <w:p w:rsidR="00635D1F" w:rsidRPr="00DE64EE" w:rsidRDefault="00635D1F" w:rsidP="00135D22">
      <w:pPr>
        <w:pStyle w:val="noteMain"/>
      </w:pPr>
      <w:r w:rsidRPr="00DE64EE">
        <w:tab/>
      </w:r>
      <w:r w:rsidR="00346D2C">
        <w:rPr>
          <w:b/>
          <w:i/>
        </w:rPr>
        <w:t>Note</w:t>
      </w:r>
      <w:r w:rsidRPr="00DE64EE">
        <w:tab/>
        <w:t>See</w:t>
      </w:r>
      <w:r w:rsidR="00BB660C">
        <w:t xml:space="preserve"> paragraph 106(1</w:t>
      </w:r>
      <w:proofErr w:type="gramStart"/>
      <w:r w:rsidR="00BB660C">
        <w:t>)(</w:t>
      </w:r>
      <w:proofErr w:type="gramEnd"/>
      <w:r w:rsidR="00BB660C">
        <w:t xml:space="preserve">a) of the Act and </w:t>
      </w:r>
      <w:r w:rsidR="006C0333">
        <w:t>r</w:t>
      </w:r>
      <w:r w:rsidR="00BB660C">
        <w:t>egulation 3.28</w:t>
      </w:r>
      <w:r w:rsidR="006C0333">
        <w:t xml:space="preserve"> of the Regulations</w:t>
      </w:r>
      <w:r w:rsidR="00BB660C">
        <w:t>.</w:t>
      </w:r>
    </w:p>
    <w:p w:rsidR="00C87BE5" w:rsidRDefault="00635D1F" w:rsidP="00135D22">
      <w:pPr>
        <w:pStyle w:val="tMain"/>
      </w:pPr>
      <w:r w:rsidRPr="00DE64EE">
        <w:tab/>
      </w:r>
      <w:r w:rsidRPr="00DE64EE">
        <w:tab/>
      </w:r>
      <w:r w:rsidRPr="00FC6435">
        <w:t>This Determin</w:t>
      </w:r>
      <w:r w:rsidR="00F12134" w:rsidRPr="00FC6435">
        <w:t>ation applies to</w:t>
      </w:r>
      <w:r w:rsidR="00D07C48" w:rsidRPr="00FC6435">
        <w:t xml:space="preserve"> agricultural emissions avoidance </w:t>
      </w:r>
      <w:r w:rsidR="00F12134" w:rsidRPr="00FC6435">
        <w:t>project</w:t>
      </w:r>
      <w:r w:rsidR="00D07C48" w:rsidRPr="00FC6435">
        <w:t>s</w:t>
      </w:r>
      <w:r w:rsidR="007869CE" w:rsidRPr="00FC6435">
        <w:t xml:space="preserve"> that reduce</w:t>
      </w:r>
      <w:r w:rsidR="00F12134" w:rsidRPr="00FC6435">
        <w:t xml:space="preserve"> emissions </w:t>
      </w:r>
      <w:r w:rsidR="007869CE" w:rsidRPr="00FC6435">
        <w:t xml:space="preserve">by feeding fats or oils, or both, to dairy cattle that </w:t>
      </w:r>
      <w:r w:rsidR="00FC6435" w:rsidRPr="00FC6435">
        <w:t>are pasture grazed for at least</w:t>
      </w:r>
      <w:r w:rsidR="007869CE" w:rsidRPr="00FC6435">
        <w:t xml:space="preserve"> 9 months each year.</w:t>
      </w:r>
    </w:p>
    <w:p w:rsidR="00635D1F" w:rsidRDefault="00635D1F" w:rsidP="00135D22">
      <w:pPr>
        <w:pStyle w:val="h2Part"/>
      </w:pPr>
      <w:bookmarkStart w:id="6" w:name="_Toc362952356"/>
      <w:r>
        <w:lastRenderedPageBreak/>
        <w:t xml:space="preserve">Part </w:t>
      </w:r>
      <w:r w:rsidR="0060744B">
        <w:t>2</w:t>
      </w:r>
      <w:r>
        <w:tab/>
      </w:r>
      <w:r w:rsidRPr="00DE64EE">
        <w:t>Requirements for declaration as</w:t>
      </w:r>
      <w:r w:rsidR="006D5C62">
        <w:t xml:space="preserve"> an</w:t>
      </w:r>
      <w:r w:rsidRPr="00DE64EE">
        <w:t xml:space="preserve"> eligible</w:t>
      </w:r>
      <w:r w:rsidR="006D5C62">
        <w:t xml:space="preserve"> offsets</w:t>
      </w:r>
      <w:r w:rsidRPr="00DE64EE">
        <w:t xml:space="preserve"> project</w:t>
      </w:r>
      <w:bookmarkEnd w:id="6"/>
    </w:p>
    <w:p w:rsidR="00635D1F" w:rsidRPr="00DE64EE" w:rsidRDefault="00635D1F" w:rsidP="00135D22">
      <w:pPr>
        <w:pStyle w:val="noteMain"/>
      </w:pPr>
      <w:r w:rsidRPr="00DE64EE">
        <w:tab/>
      </w:r>
      <w:r w:rsidRPr="00DE64EE">
        <w:rPr>
          <w:b/>
          <w:i/>
        </w:rPr>
        <w:t>Note</w:t>
      </w:r>
      <w:r w:rsidRPr="00DE64EE">
        <w:tab/>
        <w:t>See paragraphs 27(4</w:t>
      </w:r>
      <w:proofErr w:type="gramStart"/>
      <w:r w:rsidRPr="00DE64EE">
        <w:t>)(</w:t>
      </w:r>
      <w:proofErr w:type="gramEnd"/>
      <w:r w:rsidRPr="00DE64EE">
        <w:t>c)</w:t>
      </w:r>
      <w:r w:rsidR="007F484E">
        <w:t xml:space="preserve"> </w:t>
      </w:r>
      <w:r w:rsidRPr="00DE64EE">
        <w:t>and 106(1)(b) of the Act</w:t>
      </w:r>
      <w:r w:rsidR="007F484E">
        <w:t>.</w:t>
      </w:r>
    </w:p>
    <w:p w:rsidR="00635D1F" w:rsidRPr="00DE64EE" w:rsidRDefault="0060744B" w:rsidP="00135D22">
      <w:pPr>
        <w:pStyle w:val="h5Section"/>
      </w:pPr>
      <w:bookmarkStart w:id="7" w:name="_Toc362952357"/>
      <w:r>
        <w:t>2.1</w:t>
      </w:r>
      <w:r w:rsidR="00635D1F">
        <w:tab/>
      </w:r>
      <w:r w:rsidR="00635D1F" w:rsidRPr="00DE64EE">
        <w:t>Eligible</w:t>
      </w:r>
      <w:r w:rsidR="006D5C62">
        <w:t xml:space="preserve"> offsets</w:t>
      </w:r>
      <w:r w:rsidR="00635D1F" w:rsidRPr="00DE64EE">
        <w:t xml:space="preserve"> projects</w:t>
      </w:r>
      <w:bookmarkEnd w:id="7"/>
    </w:p>
    <w:p w:rsidR="00635D1F" w:rsidRPr="00DE64EE" w:rsidRDefault="00635D1F" w:rsidP="00135D22">
      <w:pPr>
        <w:pStyle w:val="tMain"/>
      </w:pPr>
      <w:r w:rsidRPr="00DE64EE">
        <w:tab/>
      </w:r>
      <w:r w:rsidRPr="00DE64EE">
        <w:tab/>
        <w:t>To be declared an eligible offsets project, a project to which this Determination applies must meet the requirements in this Part.</w:t>
      </w:r>
    </w:p>
    <w:p w:rsidR="00635D1F" w:rsidRDefault="00635D1F" w:rsidP="00135D22">
      <w:pPr>
        <w:pStyle w:val="notePara"/>
      </w:pPr>
      <w:r w:rsidRPr="00DE64EE">
        <w:tab/>
      </w:r>
      <w:r w:rsidRPr="00DE64EE">
        <w:rPr>
          <w:b/>
          <w:i/>
        </w:rPr>
        <w:t>Note</w:t>
      </w:r>
      <w:r w:rsidR="00676D39">
        <w:tab/>
      </w:r>
      <w:r w:rsidR="00676D39" w:rsidRPr="00676D39">
        <w:t xml:space="preserve">In addition, a project must meet the requirements in section 27 of the Act and in the Regulations, including a requirement that the project may not be an excluded offsets project (see regulations 3.36 and 3.37). </w:t>
      </w:r>
    </w:p>
    <w:p w:rsidR="007F484E" w:rsidRDefault="0060744B" w:rsidP="00135D22">
      <w:pPr>
        <w:pStyle w:val="h5Section"/>
      </w:pPr>
      <w:bookmarkStart w:id="8" w:name="_Toc362952358"/>
      <w:r>
        <w:t>2.2</w:t>
      </w:r>
      <w:r w:rsidR="007F484E">
        <w:tab/>
        <w:t>Location</w:t>
      </w:r>
      <w:bookmarkEnd w:id="8"/>
    </w:p>
    <w:p w:rsidR="007F484E" w:rsidRPr="007F484E" w:rsidRDefault="007F484E" w:rsidP="00135D22">
      <w:pPr>
        <w:pStyle w:val="tMain"/>
      </w:pPr>
      <w:r>
        <w:tab/>
      </w:r>
      <w:r>
        <w:tab/>
        <w:t>The project area must be loc</w:t>
      </w:r>
      <w:r w:rsidR="002B732D">
        <w:t>ated within Australia, excluding</w:t>
      </w:r>
      <w:r>
        <w:t xml:space="preserve"> external territories.</w:t>
      </w:r>
    </w:p>
    <w:p w:rsidR="00635D1F" w:rsidRPr="00DE64EE" w:rsidRDefault="0060744B" w:rsidP="00135D22">
      <w:pPr>
        <w:pStyle w:val="h5Section"/>
      </w:pPr>
      <w:bookmarkStart w:id="9" w:name="_Toc362952359"/>
      <w:r>
        <w:t>2.3</w:t>
      </w:r>
      <w:r w:rsidR="00635D1F">
        <w:tab/>
      </w:r>
      <w:r w:rsidR="00381BC0">
        <w:t>Eligible additives</w:t>
      </w:r>
      <w:bookmarkEnd w:id="9"/>
    </w:p>
    <w:p w:rsidR="004D224C" w:rsidRDefault="00381BC0" w:rsidP="00135D22">
      <w:pPr>
        <w:pStyle w:val="tMain"/>
        <w:tabs>
          <w:tab w:val="left" w:pos="993"/>
        </w:tabs>
        <w:ind w:left="993" w:firstLine="0"/>
      </w:pPr>
      <w:r>
        <w:t xml:space="preserve">For the purposes of this Determination, </w:t>
      </w:r>
      <w:r w:rsidR="00351B82">
        <w:t>an</w:t>
      </w:r>
      <w:r>
        <w:t xml:space="preserve"> </w:t>
      </w:r>
      <w:r w:rsidRPr="00094DCE">
        <w:rPr>
          <w:b/>
          <w:i/>
        </w:rPr>
        <w:t>eligible additive</w:t>
      </w:r>
      <w:r w:rsidR="007A59B3">
        <w:t xml:space="preserve"> </w:t>
      </w:r>
      <w:r w:rsidR="00B854F9">
        <w:t xml:space="preserve">is </w:t>
      </w:r>
      <w:r w:rsidR="004D224C">
        <w:t>one of the following</w:t>
      </w:r>
      <w:r w:rsidR="00B854F9">
        <w:t>:</w:t>
      </w:r>
    </w:p>
    <w:p w:rsidR="00635D1F" w:rsidRDefault="00274A6D" w:rsidP="00135D22">
      <w:pPr>
        <w:pStyle w:val="tPara"/>
      </w:pPr>
      <w:r>
        <w:tab/>
      </w:r>
      <w:r w:rsidR="0060744B">
        <w:t>(a)</w:t>
      </w:r>
      <w:r>
        <w:tab/>
      </w:r>
      <w:proofErr w:type="gramStart"/>
      <w:r w:rsidR="00381BC0">
        <w:t>canola</w:t>
      </w:r>
      <w:proofErr w:type="gramEnd"/>
      <w:r w:rsidR="00381BC0">
        <w:t xml:space="preserve"> meal</w:t>
      </w:r>
      <w:r w:rsidR="00635D1F" w:rsidRPr="001B0EDE">
        <w:t>;</w:t>
      </w:r>
    </w:p>
    <w:p w:rsidR="00381BC0" w:rsidRDefault="00274A6D" w:rsidP="00135D22">
      <w:pPr>
        <w:pStyle w:val="tPara"/>
      </w:pPr>
      <w:r>
        <w:tab/>
      </w:r>
      <w:r w:rsidR="0060744B">
        <w:t>(b)</w:t>
      </w:r>
      <w:r>
        <w:tab/>
      </w:r>
      <w:r w:rsidR="00381BC0">
        <w:t>cold</w:t>
      </w:r>
      <w:r w:rsidR="007C0631">
        <w:t>-</w:t>
      </w:r>
      <w:r w:rsidR="00381BC0">
        <w:t>pressed canola</w:t>
      </w:r>
      <w:r w:rsidR="002E3DFD">
        <w:t xml:space="preserve"> meal</w:t>
      </w:r>
      <w:r w:rsidR="00381BC0">
        <w:t>;</w:t>
      </w:r>
    </w:p>
    <w:p w:rsidR="00381BC0" w:rsidRDefault="00274A6D" w:rsidP="00135D22">
      <w:pPr>
        <w:pStyle w:val="tPara"/>
      </w:pPr>
      <w:r>
        <w:tab/>
      </w:r>
      <w:r w:rsidR="0060744B">
        <w:t>(c)</w:t>
      </w:r>
      <w:r>
        <w:tab/>
      </w:r>
      <w:proofErr w:type="gramStart"/>
      <w:r w:rsidR="00FC4FDE">
        <w:t>brewer</w:t>
      </w:r>
      <w:r w:rsidR="00381BC0">
        <w:t>s</w:t>
      </w:r>
      <w:proofErr w:type="gramEnd"/>
      <w:r w:rsidR="00381BC0">
        <w:t xml:space="preserve"> grain;</w:t>
      </w:r>
    </w:p>
    <w:p w:rsidR="00381BC0" w:rsidRDefault="00274A6D" w:rsidP="00135D22">
      <w:pPr>
        <w:pStyle w:val="tPara"/>
      </w:pPr>
      <w:r>
        <w:tab/>
      </w:r>
      <w:r w:rsidR="0060744B">
        <w:t>(d)</w:t>
      </w:r>
      <w:r>
        <w:tab/>
      </w:r>
      <w:proofErr w:type="gramStart"/>
      <w:r w:rsidR="00381BC0">
        <w:t>hominy</w:t>
      </w:r>
      <w:proofErr w:type="gramEnd"/>
      <w:r w:rsidR="00381BC0">
        <w:t xml:space="preserve"> meal;</w:t>
      </w:r>
      <w:r>
        <w:t xml:space="preserve"> or</w:t>
      </w:r>
    </w:p>
    <w:p w:rsidR="004D224C" w:rsidRDefault="00274A6D" w:rsidP="00135D22">
      <w:pPr>
        <w:pStyle w:val="tPara"/>
      </w:pPr>
      <w:r>
        <w:tab/>
      </w:r>
      <w:r w:rsidR="0060744B">
        <w:t>(e)</w:t>
      </w:r>
      <w:r>
        <w:tab/>
      </w:r>
      <w:proofErr w:type="gramStart"/>
      <w:r w:rsidR="004D224C">
        <w:t>dried</w:t>
      </w:r>
      <w:proofErr w:type="gramEnd"/>
      <w:r w:rsidR="004D224C">
        <w:t xml:space="preserve"> distillers grain</w:t>
      </w:r>
      <w:r w:rsidR="00D62256">
        <w:t>.</w:t>
      </w:r>
    </w:p>
    <w:p w:rsidR="00635D1F" w:rsidRDefault="0060744B" w:rsidP="00135D22">
      <w:pPr>
        <w:pStyle w:val="h5Section"/>
      </w:pPr>
      <w:bookmarkStart w:id="10" w:name="_Toc362952360"/>
      <w:r>
        <w:t>2.4</w:t>
      </w:r>
      <w:r w:rsidR="00635D1F">
        <w:tab/>
      </w:r>
      <w:r w:rsidR="00F172FF">
        <w:t xml:space="preserve">Eligible dairy </w:t>
      </w:r>
      <w:r w:rsidR="00626FA3">
        <w:t>farms</w:t>
      </w:r>
      <w:bookmarkEnd w:id="10"/>
    </w:p>
    <w:p w:rsidR="00B22F67" w:rsidRPr="00C55AA1" w:rsidRDefault="003B7825" w:rsidP="00135D22">
      <w:pPr>
        <w:pStyle w:val="tMain"/>
      </w:pPr>
      <w:r>
        <w:tab/>
      </w:r>
      <w:r>
        <w:tab/>
        <w:t xml:space="preserve">For the purposes of this Determination, an </w:t>
      </w:r>
      <w:r w:rsidRPr="00094DCE">
        <w:rPr>
          <w:b/>
          <w:i/>
        </w:rPr>
        <w:t xml:space="preserve">eligible dairy </w:t>
      </w:r>
      <w:r w:rsidR="00626FA3" w:rsidRPr="00094DCE">
        <w:rPr>
          <w:b/>
          <w:i/>
        </w:rPr>
        <w:t>farm</w:t>
      </w:r>
      <w:r>
        <w:t xml:space="preserve"> </w:t>
      </w:r>
      <w:r w:rsidR="00274A6D">
        <w:t>is</w:t>
      </w:r>
      <w:r w:rsidR="00572605">
        <w:t xml:space="preserve"> a</w:t>
      </w:r>
      <w:r w:rsidR="00626FA3">
        <w:t xml:space="preserve"> dairy farm </w:t>
      </w:r>
      <w:r w:rsidR="001028DD">
        <w:t>on which</w:t>
      </w:r>
      <w:r w:rsidR="00C47613">
        <w:t xml:space="preserve"> </w:t>
      </w:r>
      <w:r w:rsidR="009F06F8">
        <w:t>milking cows are pasture</w:t>
      </w:r>
      <w:r w:rsidR="00CF234D">
        <w:t xml:space="preserve"> </w:t>
      </w:r>
      <w:r w:rsidR="009F06F8">
        <w:t xml:space="preserve">grazed for at least </w:t>
      </w:r>
      <w:r w:rsidR="00D57817">
        <w:t>9</w:t>
      </w:r>
      <w:r w:rsidR="009F06F8">
        <w:t xml:space="preserve"> months </w:t>
      </w:r>
      <w:r w:rsidR="001028DD">
        <w:t>each</w:t>
      </w:r>
      <w:r w:rsidR="009F06F8">
        <w:t xml:space="preserve"> year</w:t>
      </w:r>
      <w:r w:rsidR="00C47613">
        <w:t>.</w:t>
      </w:r>
      <w:r w:rsidR="009C4A0D">
        <w:tab/>
      </w:r>
    </w:p>
    <w:p w:rsidR="000C648B" w:rsidRDefault="0060744B" w:rsidP="00135D22">
      <w:pPr>
        <w:pStyle w:val="h5Section"/>
      </w:pPr>
      <w:bookmarkStart w:id="11" w:name="_Toc362952361"/>
      <w:r>
        <w:t>2.5</w:t>
      </w:r>
      <w:r w:rsidR="000C648B" w:rsidRPr="00C55AA1">
        <w:tab/>
        <w:t>Project mechanism</w:t>
      </w:r>
      <w:bookmarkEnd w:id="11"/>
    </w:p>
    <w:p w:rsidR="000C648B" w:rsidRDefault="000C648B" w:rsidP="00135D22">
      <w:pPr>
        <w:pStyle w:val="tMain"/>
        <w:tabs>
          <w:tab w:val="clear" w:pos="794"/>
          <w:tab w:val="right" w:pos="993"/>
        </w:tabs>
        <w:ind w:left="993" w:firstLine="0"/>
      </w:pPr>
      <w:r>
        <w:t>The project must</w:t>
      </w:r>
      <w:r w:rsidR="007869CE">
        <w:t xml:space="preserve"> aim to</w:t>
      </w:r>
      <w:r>
        <w:t xml:space="preserve"> avoid emissions by feeding e</w:t>
      </w:r>
      <w:r w:rsidR="00E45644">
        <w:t>ligible additives to at least one</w:t>
      </w:r>
      <w:r w:rsidR="00184CCC">
        <w:t xml:space="preserve"> milking herd</w:t>
      </w:r>
      <w:r w:rsidR="00C00764">
        <w:t xml:space="preserve"> on an</w:t>
      </w:r>
      <w:r w:rsidR="00E45644">
        <w:t xml:space="preserve"> eligible dairy farm</w:t>
      </w:r>
      <w:r w:rsidR="007869CE">
        <w:t xml:space="preserve"> in a</w:t>
      </w:r>
      <w:r>
        <w:t xml:space="preserve"> </w:t>
      </w:r>
      <w:r w:rsidR="00F4690D">
        <w:t>p</w:t>
      </w:r>
      <w:r w:rsidR="00F9419E">
        <w:t>roject year</w:t>
      </w:r>
      <w:r>
        <w:t>.</w:t>
      </w:r>
    </w:p>
    <w:p w:rsidR="00635D1F" w:rsidRPr="00DE64EE" w:rsidRDefault="00635D1F" w:rsidP="00135D22">
      <w:pPr>
        <w:pStyle w:val="h2Part"/>
      </w:pPr>
      <w:bookmarkStart w:id="12" w:name="_Toc362952362"/>
      <w:r>
        <w:lastRenderedPageBreak/>
        <w:t xml:space="preserve">Part </w:t>
      </w:r>
      <w:r w:rsidR="0060744B">
        <w:t>3</w:t>
      </w:r>
      <w:r>
        <w:tab/>
      </w:r>
      <w:r w:rsidRPr="00DE64EE">
        <w:t xml:space="preserve">Requirements for operation of eligible </w:t>
      </w:r>
      <w:r w:rsidR="006D5C62">
        <w:t xml:space="preserve">offsets </w:t>
      </w:r>
      <w:r w:rsidRPr="00DE64EE">
        <w:t>projects</w:t>
      </w:r>
      <w:bookmarkEnd w:id="12"/>
    </w:p>
    <w:p w:rsidR="00635D1F" w:rsidRPr="00DE64EE" w:rsidRDefault="00635D1F" w:rsidP="00135D22">
      <w:pPr>
        <w:pStyle w:val="noteMain"/>
      </w:pPr>
      <w:r w:rsidRPr="00DE64EE">
        <w:tab/>
      </w:r>
      <w:r w:rsidRPr="00DE64EE">
        <w:rPr>
          <w:b/>
          <w:i/>
        </w:rPr>
        <w:t>Note</w:t>
      </w:r>
      <w:r w:rsidRPr="00DE64EE">
        <w:tab/>
        <w:t>See paragraphs 27(4</w:t>
      </w:r>
      <w:proofErr w:type="gramStart"/>
      <w:r w:rsidRPr="00DE64EE">
        <w:t>)(</w:t>
      </w:r>
      <w:proofErr w:type="gramEnd"/>
      <w:r w:rsidRPr="00DE64EE">
        <w:t>c), 35(2)(a) and 106(1)(b) of the Act and regulation 3.26 of the Regulations.</w:t>
      </w:r>
    </w:p>
    <w:p w:rsidR="00635D1F" w:rsidRPr="00DE64EE" w:rsidRDefault="0060744B" w:rsidP="00135D22">
      <w:pPr>
        <w:pStyle w:val="h5Section"/>
        <w:jc w:val="both"/>
      </w:pPr>
      <w:bookmarkStart w:id="13" w:name="_Toc362952363"/>
      <w:r>
        <w:t>3.1</w:t>
      </w:r>
      <w:r w:rsidR="00635D1F">
        <w:tab/>
      </w:r>
      <w:r w:rsidR="00635D1F" w:rsidRPr="00DE64EE">
        <w:t>Operation of eligible</w:t>
      </w:r>
      <w:r w:rsidR="006D5C62">
        <w:t xml:space="preserve"> offsets</w:t>
      </w:r>
      <w:r w:rsidR="00635D1F" w:rsidRPr="00DE64EE">
        <w:t xml:space="preserve"> projects</w:t>
      </w:r>
      <w:bookmarkEnd w:id="13"/>
    </w:p>
    <w:p w:rsidR="00635D1F" w:rsidRDefault="00635D1F" w:rsidP="00135D22">
      <w:pPr>
        <w:pStyle w:val="tMain"/>
      </w:pPr>
      <w:r w:rsidRPr="00DE64EE">
        <w:tab/>
      </w:r>
      <w:r w:rsidRPr="00DE64EE">
        <w:tab/>
        <w:t>An eligible offsets project must be operated in accordance with this Part.</w:t>
      </w:r>
    </w:p>
    <w:p w:rsidR="00FC6435" w:rsidRDefault="0060744B" w:rsidP="00135D22">
      <w:pPr>
        <w:pStyle w:val="h5Section"/>
      </w:pPr>
      <w:bookmarkStart w:id="14" w:name="_Toc362952364"/>
      <w:r>
        <w:t>3.2</w:t>
      </w:r>
      <w:r w:rsidR="00FC6435">
        <w:tab/>
      </w:r>
      <w:r w:rsidR="00FC6435" w:rsidRPr="00FC6435">
        <w:t>Start of first project year</w:t>
      </w:r>
      <w:bookmarkEnd w:id="14"/>
    </w:p>
    <w:p w:rsidR="00920E05" w:rsidRPr="00920E05" w:rsidRDefault="00920E05" w:rsidP="00135D22">
      <w:pPr>
        <w:pStyle w:val="tMain"/>
      </w:pPr>
      <w:r>
        <w:tab/>
      </w:r>
      <w:r w:rsidR="0060744B">
        <w:t>(1)</w:t>
      </w:r>
      <w:r>
        <w:tab/>
      </w:r>
      <w:r w:rsidR="00BB660C">
        <w:t xml:space="preserve">Subject to subsection </w:t>
      </w:r>
      <w:r w:rsidR="0060744B">
        <w:t>(2)</w:t>
      </w:r>
      <w:r w:rsidR="00BB660C">
        <w:t>, the first project year commences on the first day of a season after the declaration date</w:t>
      </w:r>
      <w:r w:rsidR="0048581A">
        <w:t>.</w:t>
      </w:r>
      <w:r>
        <w:tab/>
      </w:r>
    </w:p>
    <w:p w:rsidR="0048581A" w:rsidRDefault="00920E05" w:rsidP="00135D22">
      <w:pPr>
        <w:pStyle w:val="tMain"/>
      </w:pPr>
      <w:r>
        <w:tab/>
      </w:r>
      <w:r w:rsidR="0060744B">
        <w:t>(2)</w:t>
      </w:r>
      <w:r>
        <w:tab/>
      </w:r>
      <w:r w:rsidR="0048581A">
        <w:t>If the declaration date is the first day of a season, the first project year may commence on that day.</w:t>
      </w:r>
    </w:p>
    <w:p w:rsidR="00920E05" w:rsidRDefault="0048581A" w:rsidP="00135D22">
      <w:pPr>
        <w:pStyle w:val="tMain"/>
      </w:pPr>
      <w:r>
        <w:tab/>
      </w:r>
      <w:r w:rsidR="0060744B">
        <w:t>(3)</w:t>
      </w:r>
      <w:r>
        <w:tab/>
      </w:r>
      <w:r w:rsidR="00920E05" w:rsidRPr="00920E05">
        <w:t>In this section:</w:t>
      </w:r>
    </w:p>
    <w:p w:rsidR="00920E05" w:rsidRDefault="00920E05" w:rsidP="00135D22">
      <w:pPr>
        <w:pStyle w:val="tMain"/>
      </w:pPr>
      <w:r>
        <w:rPr>
          <w:b/>
          <w:bCs/>
          <w:i/>
          <w:iCs/>
        </w:rPr>
        <w:tab/>
      </w:r>
      <w:r>
        <w:rPr>
          <w:b/>
          <w:bCs/>
          <w:i/>
          <w:iCs/>
        </w:rPr>
        <w:tab/>
      </w:r>
      <w:proofErr w:type="gramStart"/>
      <w:r w:rsidRPr="00920E05">
        <w:rPr>
          <w:b/>
          <w:bCs/>
          <w:i/>
          <w:iCs/>
        </w:rPr>
        <w:t>declaration</w:t>
      </w:r>
      <w:proofErr w:type="gramEnd"/>
      <w:r w:rsidRPr="00920E05">
        <w:rPr>
          <w:b/>
          <w:bCs/>
          <w:i/>
          <w:iCs/>
        </w:rPr>
        <w:t xml:space="preserve"> date</w:t>
      </w:r>
      <w:r w:rsidRPr="00920E05">
        <w:t>, for a project, means the date on which the declaration of the project as an eligible offsets project under section 27 of the Act takes effect.</w:t>
      </w:r>
    </w:p>
    <w:p w:rsidR="00FC6435" w:rsidRPr="00FC6435" w:rsidRDefault="0060744B" w:rsidP="00135D22">
      <w:pPr>
        <w:pStyle w:val="h5Section"/>
      </w:pPr>
      <w:bookmarkStart w:id="15" w:name="_Toc362952365"/>
      <w:r>
        <w:t>3.3</w:t>
      </w:r>
      <w:r w:rsidR="00FC6435">
        <w:tab/>
      </w:r>
      <w:r w:rsidR="00FC6435" w:rsidRPr="00FC6435">
        <w:t>Start of second and subsequent project years</w:t>
      </w:r>
      <w:bookmarkEnd w:id="15"/>
    </w:p>
    <w:p w:rsidR="0048581A" w:rsidRDefault="00FC6435" w:rsidP="00135D22">
      <w:pPr>
        <w:pStyle w:val="tMain"/>
      </w:pPr>
      <w:r w:rsidRPr="00FC6435">
        <w:tab/>
      </w:r>
      <w:r w:rsidRPr="00FC6435">
        <w:tab/>
        <w:t>The second and each subsequ</w:t>
      </w:r>
      <w:r w:rsidR="0048581A">
        <w:t>ent project year must start on the first day of a season beginning after the last day of</w:t>
      </w:r>
      <w:r w:rsidRPr="00FC6435">
        <w:t xml:space="preserve"> the precedi</w:t>
      </w:r>
      <w:r w:rsidR="0048581A">
        <w:t>ng project year.</w:t>
      </w:r>
    </w:p>
    <w:p w:rsidR="00A97D81" w:rsidRDefault="0060744B" w:rsidP="00135D22">
      <w:pPr>
        <w:pStyle w:val="h5Section"/>
      </w:pPr>
      <w:bookmarkStart w:id="16" w:name="_Toc362952366"/>
      <w:r>
        <w:t>3.4</w:t>
      </w:r>
      <w:r w:rsidR="00710BE3">
        <w:tab/>
      </w:r>
      <w:r w:rsidR="00A97D81">
        <w:t>Feeding eli</w:t>
      </w:r>
      <w:r w:rsidR="008925DB">
        <w:t xml:space="preserve">gible additives to the </w:t>
      </w:r>
      <w:r w:rsidR="002A5069">
        <w:t>milking herd</w:t>
      </w:r>
      <w:bookmarkEnd w:id="16"/>
    </w:p>
    <w:p w:rsidR="00AF2045" w:rsidRDefault="0054754D" w:rsidP="00135D22">
      <w:pPr>
        <w:pStyle w:val="tMain"/>
      </w:pPr>
      <w:r>
        <w:tab/>
      </w:r>
      <w:r w:rsidR="00F62040">
        <w:tab/>
      </w:r>
      <w:r w:rsidR="00FD04BF">
        <w:t>I</w:t>
      </w:r>
      <w:r w:rsidR="00710BE3">
        <w:t>n each</w:t>
      </w:r>
      <w:r w:rsidR="00F42E1A">
        <w:t xml:space="preserve"> </w:t>
      </w:r>
      <w:r w:rsidR="00AF2045">
        <w:t>project year</w:t>
      </w:r>
      <w:r w:rsidR="00710BE3">
        <w:t xml:space="preserve"> </w:t>
      </w:r>
      <w:r w:rsidR="00A97D81">
        <w:t>eligible additives must be fed t</w:t>
      </w:r>
      <w:r w:rsidR="00710BE3">
        <w:t xml:space="preserve">o </w:t>
      </w:r>
      <w:r>
        <w:t>each</w:t>
      </w:r>
      <w:r w:rsidR="008925DB">
        <w:t xml:space="preserve"> </w:t>
      </w:r>
      <w:r w:rsidR="002A5069">
        <w:t>milking herd</w:t>
      </w:r>
      <w:r w:rsidR="006D5C62">
        <w:t xml:space="preserve"> on an</w:t>
      </w:r>
      <w:r w:rsidR="00710BE3">
        <w:t xml:space="preserve"> eligible dairy farm.</w:t>
      </w:r>
    </w:p>
    <w:p w:rsidR="00032636" w:rsidRDefault="0060744B" w:rsidP="00135D22">
      <w:pPr>
        <w:pStyle w:val="h5Section"/>
      </w:pPr>
      <w:bookmarkStart w:id="17" w:name="_Toc362952367"/>
      <w:r>
        <w:t>3.5</w:t>
      </w:r>
      <w:r w:rsidR="00D62256">
        <w:tab/>
      </w:r>
      <w:r w:rsidR="00032636">
        <w:t xml:space="preserve">Dietary fat </w:t>
      </w:r>
      <w:r w:rsidR="00834B84">
        <w:t>limit</w:t>
      </w:r>
      <w:bookmarkEnd w:id="17"/>
    </w:p>
    <w:p w:rsidR="003124E9" w:rsidRDefault="00032636" w:rsidP="00135D22">
      <w:pPr>
        <w:pStyle w:val="tMain"/>
      </w:pPr>
      <w:r>
        <w:tab/>
      </w:r>
      <w:r>
        <w:tab/>
      </w:r>
      <w:r w:rsidR="00053185">
        <w:t xml:space="preserve">The concentration of fat in the diet of </w:t>
      </w:r>
      <w:r w:rsidR="00834B84">
        <w:t xml:space="preserve">the </w:t>
      </w:r>
      <w:r w:rsidR="002A5069">
        <w:t>milking herd</w:t>
      </w:r>
      <w:r w:rsidR="00710BE3">
        <w:t xml:space="preserve"> must not exceed 70 grams</w:t>
      </w:r>
      <w:r w:rsidR="00ED165B">
        <w:t xml:space="preserve"> of fat per </w:t>
      </w:r>
      <w:r w:rsidR="00053185">
        <w:t>k</w:t>
      </w:r>
      <w:r w:rsidR="00ED165B">
        <w:t>ilo</w:t>
      </w:r>
      <w:r w:rsidR="00053185">
        <w:t>g</w:t>
      </w:r>
      <w:r w:rsidR="00ED165B">
        <w:t>ram</w:t>
      </w:r>
      <w:r w:rsidR="00CD3526">
        <w:t xml:space="preserve"> of </w:t>
      </w:r>
      <w:r w:rsidR="00053185">
        <w:t>dry matter intake</w:t>
      </w:r>
      <w:r w:rsidR="00D775D3">
        <w:t xml:space="preserve"> in any season</w:t>
      </w:r>
      <w:r w:rsidR="00053185">
        <w:t>.</w:t>
      </w:r>
    </w:p>
    <w:p w:rsidR="0049701B" w:rsidRDefault="0049701B" w:rsidP="00135D22">
      <w:pPr>
        <w:pStyle w:val="noteMain"/>
      </w:pPr>
      <w:r>
        <w:tab/>
      </w:r>
    </w:p>
    <w:p w:rsidR="00635D1F" w:rsidRPr="00DE64EE" w:rsidRDefault="00635D1F" w:rsidP="00135D22">
      <w:pPr>
        <w:ind w:left="425"/>
        <w:jc w:val="both"/>
        <w:rPr>
          <w:i/>
        </w:rPr>
      </w:pPr>
    </w:p>
    <w:p w:rsidR="00635D1F" w:rsidRPr="00DE64EE" w:rsidRDefault="00635D1F" w:rsidP="00135D22">
      <w:pPr>
        <w:pStyle w:val="h2Part"/>
      </w:pPr>
      <w:bookmarkStart w:id="18" w:name="_Toc362952368"/>
      <w:r>
        <w:lastRenderedPageBreak/>
        <w:t xml:space="preserve">Part </w:t>
      </w:r>
      <w:r w:rsidR="0060744B">
        <w:t>4</w:t>
      </w:r>
      <w:r>
        <w:tab/>
      </w:r>
      <w:r w:rsidRPr="00DE64EE">
        <w:t xml:space="preserve">The </w:t>
      </w:r>
      <w:r w:rsidR="00C50EF3">
        <w:t>carbon dioxide equivalent net abatement amount</w:t>
      </w:r>
      <w:bookmarkEnd w:id="18"/>
    </w:p>
    <w:p w:rsidR="00635D1F" w:rsidRPr="00DE64EE" w:rsidRDefault="00635D1F" w:rsidP="00135D22">
      <w:pPr>
        <w:pStyle w:val="h3Div"/>
      </w:pPr>
      <w:bookmarkStart w:id="19" w:name="_Toc362952369"/>
      <w:r>
        <w:t xml:space="preserve">Division </w:t>
      </w:r>
      <w:r w:rsidR="0060744B">
        <w:t>4.1</w:t>
      </w:r>
      <w:r>
        <w:tab/>
      </w:r>
      <w:r w:rsidRPr="00DE64EE">
        <w:t xml:space="preserve">The </w:t>
      </w:r>
      <w:r w:rsidR="00C50EF3">
        <w:t>carbon dioxide equivalent net abatement amount</w:t>
      </w:r>
      <w:bookmarkEnd w:id="19"/>
    </w:p>
    <w:p w:rsidR="00635D1F" w:rsidRPr="00DE64EE" w:rsidRDefault="0060744B" w:rsidP="00135D22">
      <w:pPr>
        <w:pStyle w:val="h5Section"/>
        <w:jc w:val="both"/>
      </w:pPr>
      <w:bookmarkStart w:id="20" w:name="_Toc362952370"/>
      <w:r>
        <w:t>4.1</w:t>
      </w:r>
      <w:r w:rsidR="00635D1F">
        <w:tab/>
      </w:r>
      <w:r w:rsidR="00635D1F" w:rsidRPr="00DE64EE">
        <w:t>The</w:t>
      </w:r>
      <w:r w:rsidR="00C50EF3">
        <w:t xml:space="preserve"> carbon dioxide equivalent</w:t>
      </w:r>
      <w:r w:rsidR="00635D1F" w:rsidRPr="00DE64EE">
        <w:t xml:space="preserve"> net abatement amount</w:t>
      </w:r>
      <w:bookmarkEnd w:id="20"/>
    </w:p>
    <w:p w:rsidR="00635D1F" w:rsidRPr="00DE64EE" w:rsidRDefault="00635D1F" w:rsidP="00135D22">
      <w:pPr>
        <w:pStyle w:val="noteMain"/>
      </w:pPr>
      <w:r w:rsidRPr="00DE64EE">
        <w:tab/>
      </w:r>
      <w:r w:rsidRPr="00DE64EE">
        <w:rPr>
          <w:b/>
          <w:i/>
        </w:rPr>
        <w:t>Note</w:t>
      </w:r>
      <w:r w:rsidRPr="00DE64EE">
        <w:tab/>
        <w:t>See paragraph 106(1</w:t>
      </w:r>
      <w:proofErr w:type="gramStart"/>
      <w:r w:rsidRPr="00DE64EE">
        <w:t>)(</w:t>
      </w:r>
      <w:proofErr w:type="gramEnd"/>
      <w:r w:rsidRPr="00DE64EE">
        <w:t>c) of the Act.</w:t>
      </w:r>
    </w:p>
    <w:p w:rsidR="005C1744" w:rsidRDefault="00920E05" w:rsidP="00135D22">
      <w:pPr>
        <w:pStyle w:val="tMain"/>
      </w:pPr>
      <w:r>
        <w:tab/>
      </w:r>
      <w:r>
        <w:tab/>
      </w:r>
      <w:r w:rsidR="00635D1F" w:rsidRPr="00DE64EE">
        <w:t>For an eligible offsets project to which this Determination applies, the</w:t>
      </w:r>
      <w:r w:rsidR="00C50EF3">
        <w:t xml:space="preserve"> carbon dioxide equivalent</w:t>
      </w:r>
      <w:r w:rsidR="00635D1F" w:rsidRPr="00DE64EE">
        <w:t xml:space="preserve"> net abatement amount for the project</w:t>
      </w:r>
      <w:r w:rsidR="0081785D">
        <w:t xml:space="preserve"> is</w:t>
      </w:r>
      <w:r w:rsidR="00635D1F" w:rsidRPr="00DE64EE">
        <w:t xml:space="preserve"> the </w:t>
      </w:r>
      <w:r w:rsidR="009C18AA">
        <w:t>carbon dioxide equivalent</w:t>
      </w:r>
      <w:r w:rsidR="00ED165B">
        <w:t xml:space="preserve"> of the </w:t>
      </w:r>
      <w:r w:rsidR="009C18AA">
        <w:t>amount</w:t>
      </w:r>
      <w:r w:rsidR="00635D1F" w:rsidRPr="00DE64EE">
        <w:t xml:space="preserve"> of </w:t>
      </w:r>
      <w:r w:rsidR="001558C5">
        <w:t>greenhouse gas</w:t>
      </w:r>
      <w:r w:rsidR="00635D1F" w:rsidRPr="00DE64EE">
        <w:t xml:space="preserve"> emissions avoided</w:t>
      </w:r>
      <w:r w:rsidR="001558C5">
        <w:t xml:space="preserve"> as a consequence of the project</w:t>
      </w:r>
      <w:r w:rsidR="00ED165B">
        <w:t>,</w:t>
      </w:r>
      <w:r w:rsidR="001558C5">
        <w:t xml:space="preserve"> </w:t>
      </w:r>
      <w:r w:rsidR="005C1744">
        <w:t>calculated using the Dietary Fats Calculator in accordance with this Part.</w:t>
      </w:r>
    </w:p>
    <w:p w:rsidR="0049701B" w:rsidRDefault="0060744B" w:rsidP="00135D22">
      <w:pPr>
        <w:pStyle w:val="h5Section"/>
      </w:pPr>
      <w:bookmarkStart w:id="21" w:name="_Toc362952371"/>
      <w:r>
        <w:t>4.2</w:t>
      </w:r>
      <w:r w:rsidR="0049701B">
        <w:tab/>
        <w:t>Carbon dioxide equivalent net abatement amount if dietary fat limit exceeded</w:t>
      </w:r>
      <w:bookmarkEnd w:id="21"/>
    </w:p>
    <w:p w:rsidR="0049701B" w:rsidRDefault="0049701B" w:rsidP="00135D22">
      <w:pPr>
        <w:pStyle w:val="tMain"/>
      </w:pPr>
      <w:r>
        <w:tab/>
      </w:r>
      <w:r>
        <w:tab/>
        <w:t xml:space="preserve">For each milking herd, if the dietary fat limit mentioned in section </w:t>
      </w:r>
      <w:r w:rsidR="0060744B">
        <w:t>3.5</w:t>
      </w:r>
      <w:r>
        <w:t xml:space="preserve"> is exceeded in any season of a project year, the carbon dioxide equivalent net abatement amount for that</w:t>
      </w:r>
      <w:r w:rsidR="00D76503">
        <w:t xml:space="preserve"> milking herd in that</w:t>
      </w:r>
      <w:r>
        <w:t xml:space="preserve"> project year is zero.</w:t>
      </w:r>
    </w:p>
    <w:p w:rsidR="00635D1F" w:rsidRDefault="00635D1F" w:rsidP="00135D22">
      <w:pPr>
        <w:pStyle w:val="h3Div"/>
      </w:pPr>
      <w:bookmarkStart w:id="22" w:name="_Toc362952372"/>
      <w:r>
        <w:t xml:space="preserve">Division </w:t>
      </w:r>
      <w:r w:rsidR="0060744B">
        <w:t>4.2</w:t>
      </w:r>
      <w:r>
        <w:tab/>
      </w:r>
      <w:r w:rsidRPr="00DE64EE">
        <w:t>Calculations</w:t>
      </w:r>
      <w:bookmarkEnd w:id="22"/>
    </w:p>
    <w:p w:rsidR="00635D1F" w:rsidRPr="00DE64EE" w:rsidRDefault="00635D1F" w:rsidP="00135D22">
      <w:pPr>
        <w:pStyle w:val="h4Subdiv"/>
      </w:pPr>
      <w:bookmarkStart w:id="23" w:name="_Toc362952373"/>
      <w:r>
        <w:t xml:space="preserve">Subdivision </w:t>
      </w:r>
      <w:r w:rsidR="0060744B">
        <w:t>4.2.1</w:t>
      </w:r>
      <w:r>
        <w:tab/>
      </w:r>
      <w:r w:rsidRPr="00DE64EE">
        <w:t>Preliminary</w:t>
      </w:r>
      <w:bookmarkEnd w:id="23"/>
    </w:p>
    <w:p w:rsidR="00635D1F" w:rsidRDefault="0060744B" w:rsidP="00135D22">
      <w:pPr>
        <w:pStyle w:val="h5Section"/>
      </w:pPr>
      <w:bookmarkStart w:id="24" w:name="_Toc362952374"/>
      <w:r>
        <w:t>4.3</w:t>
      </w:r>
      <w:r w:rsidR="00635D1F">
        <w:tab/>
      </w:r>
      <w:r w:rsidR="006C46A8" w:rsidRPr="006C46A8">
        <w:t xml:space="preserve">Calculation </w:t>
      </w:r>
      <w:r w:rsidR="006C46A8">
        <w:t>of the</w:t>
      </w:r>
      <w:r w:rsidR="00C50EF3">
        <w:t xml:space="preserve"> carbon dioxide equivalent net abatement amount</w:t>
      </w:r>
      <w:bookmarkEnd w:id="24"/>
    </w:p>
    <w:p w:rsidR="000527F5" w:rsidRPr="000527F5" w:rsidRDefault="000527F5" w:rsidP="00135D22">
      <w:pPr>
        <w:pStyle w:val="tMain"/>
      </w:pPr>
      <w:r>
        <w:tab/>
      </w:r>
      <w:r w:rsidR="0060744B">
        <w:t>(1)</w:t>
      </w:r>
      <w:r>
        <w:tab/>
      </w:r>
      <w:r w:rsidR="00C50EF3">
        <w:t>The carbon dioxide equivalent net abatement amount</w:t>
      </w:r>
      <w:r w:rsidRPr="000527F5">
        <w:t xml:space="preserve"> for</w:t>
      </w:r>
      <w:r>
        <w:t xml:space="preserve"> each milking herd for</w:t>
      </w:r>
      <w:r w:rsidRPr="000527F5">
        <w:t xml:space="preserve"> each project year must be calculated using the Dietary Fats Calculator by entering into the Dietary Fats Calculator:</w:t>
      </w:r>
    </w:p>
    <w:p w:rsidR="000527F5" w:rsidRPr="000527F5" w:rsidRDefault="000527F5" w:rsidP="00135D22">
      <w:pPr>
        <w:pStyle w:val="tPara"/>
      </w:pPr>
      <w:r>
        <w:tab/>
      </w:r>
      <w:r w:rsidR="0060744B">
        <w:t>(a)</w:t>
      </w:r>
      <w:r>
        <w:tab/>
      </w:r>
      <w:proofErr w:type="gramStart"/>
      <w:r>
        <w:t>the</w:t>
      </w:r>
      <w:proofErr w:type="gramEnd"/>
      <w:r>
        <w:t xml:space="preserve"> inputs for the</w:t>
      </w:r>
      <w:r w:rsidRPr="000527F5">
        <w:t xml:space="preserve"> baseline determ</w:t>
      </w:r>
      <w:r w:rsidR="00B211C1">
        <w:t xml:space="preserve">ined in accordance with </w:t>
      </w:r>
      <w:r w:rsidR="00D20B67">
        <w:t xml:space="preserve">this </w:t>
      </w:r>
      <w:r w:rsidR="00B211C1">
        <w:t>Part</w:t>
      </w:r>
      <w:r w:rsidRPr="000527F5">
        <w:t>; and</w:t>
      </w:r>
    </w:p>
    <w:p w:rsidR="000527F5" w:rsidRDefault="000527F5" w:rsidP="00135D22">
      <w:pPr>
        <w:pStyle w:val="tPara"/>
      </w:pPr>
      <w:r>
        <w:tab/>
      </w:r>
      <w:r w:rsidR="0060744B">
        <w:t>(b)</w:t>
      </w:r>
      <w:r>
        <w:tab/>
      </w:r>
      <w:proofErr w:type="gramStart"/>
      <w:r w:rsidRPr="000527F5">
        <w:t>the</w:t>
      </w:r>
      <w:proofErr w:type="gramEnd"/>
      <w:r w:rsidRPr="000527F5">
        <w:t xml:space="preserve"> inputs</w:t>
      </w:r>
      <w:r>
        <w:t xml:space="preserve"> for the project year</w:t>
      </w:r>
      <w:r w:rsidRPr="000527F5">
        <w:t xml:space="preserve"> dete</w:t>
      </w:r>
      <w:r w:rsidR="00B211C1">
        <w:t>rmined in accordance with</w:t>
      </w:r>
      <w:r w:rsidR="00D20B67">
        <w:t xml:space="preserve"> this</w:t>
      </w:r>
      <w:r w:rsidR="00B211C1">
        <w:t xml:space="preserve"> Part</w:t>
      </w:r>
      <w:r w:rsidRPr="000527F5">
        <w:t xml:space="preserve">. </w:t>
      </w:r>
    </w:p>
    <w:p w:rsidR="006C46A8" w:rsidRDefault="006C46A8" w:rsidP="00135D22">
      <w:pPr>
        <w:pStyle w:val="tMain"/>
      </w:pPr>
      <w:r>
        <w:tab/>
      </w:r>
      <w:r w:rsidR="0060744B">
        <w:t>(2)</w:t>
      </w:r>
      <w:r>
        <w:tab/>
        <w:t>Where data from</w:t>
      </w:r>
      <w:r w:rsidR="003C6077">
        <w:t xml:space="preserve"> the</w:t>
      </w:r>
      <w:r>
        <w:t xml:space="preserve"> National Inventory Report is required to </w:t>
      </w:r>
      <w:r w:rsidR="00B211C1">
        <w:t xml:space="preserve">carry out calculations in </w:t>
      </w:r>
      <w:r w:rsidR="00D20B67">
        <w:t xml:space="preserve">this </w:t>
      </w:r>
      <w:r w:rsidR="00B211C1">
        <w:t xml:space="preserve">Part </w:t>
      </w:r>
      <w:r>
        <w:t>for a baseline year or project year, the relevant data is:</w:t>
      </w:r>
    </w:p>
    <w:p w:rsidR="006C46A8" w:rsidRDefault="006C46A8" w:rsidP="00135D22">
      <w:pPr>
        <w:pStyle w:val="tPara"/>
      </w:pPr>
      <w:r>
        <w:tab/>
      </w:r>
      <w:r w:rsidR="0060744B">
        <w:t>(a)</w:t>
      </w:r>
      <w:r>
        <w:tab/>
        <w:t xml:space="preserve">if the data is available in a National Inventory Report for the baseline or project year—the data published in the National Inventory Report that relates to that baseline year or the project year; or </w:t>
      </w:r>
    </w:p>
    <w:p w:rsidR="006C46A8" w:rsidRDefault="006C46A8" w:rsidP="00135D22">
      <w:pPr>
        <w:pStyle w:val="noteSubpara"/>
      </w:pPr>
      <w:r>
        <w:lastRenderedPageBreak/>
        <w:tab/>
      </w:r>
      <w:r>
        <w:rPr>
          <w:b/>
          <w:i/>
        </w:rPr>
        <w:t>Note</w:t>
      </w:r>
      <w:r>
        <w:tab/>
        <w:t xml:space="preserve">Data published in a National Inventory </w:t>
      </w:r>
      <w:r w:rsidR="003C6077">
        <w:t>Report relates to the period 2</w:t>
      </w:r>
      <w:r w:rsidR="005A6E74">
        <w:t xml:space="preserve"> years before the year of publication</w:t>
      </w:r>
      <w:r>
        <w:t>. For example</w:t>
      </w:r>
      <w:r w:rsidR="005A6E74">
        <w:t>,</w:t>
      </w:r>
      <w:r>
        <w:t xml:space="preserve"> the </w:t>
      </w:r>
      <w:r w:rsidRPr="005A6E74">
        <w:rPr>
          <w:i/>
        </w:rPr>
        <w:t>National Inventory Report</w:t>
      </w:r>
      <w:r w:rsidR="005A6E74">
        <w:rPr>
          <w:i/>
        </w:rPr>
        <w:t xml:space="preserve"> 2010</w:t>
      </w:r>
      <w:r>
        <w:t xml:space="preserve"> </w:t>
      </w:r>
      <w:r w:rsidR="005A6E74">
        <w:t>was published on 1 April 2012 and contains data relating to 2010</w:t>
      </w:r>
      <w:r>
        <w:t xml:space="preserve">. </w:t>
      </w:r>
    </w:p>
    <w:p w:rsidR="006C46A8" w:rsidRDefault="006C46A8" w:rsidP="00135D22">
      <w:pPr>
        <w:pStyle w:val="tPara"/>
      </w:pPr>
      <w:r>
        <w:tab/>
      </w:r>
      <w:r w:rsidR="0060744B">
        <w:t>(b)</w:t>
      </w:r>
      <w:r>
        <w:tab/>
      </w:r>
      <w:proofErr w:type="gramStart"/>
      <w:r>
        <w:t>if</w:t>
      </w:r>
      <w:proofErr w:type="gramEnd"/>
      <w:r>
        <w:t xml:space="preserve"> the data is not available in a National Inventory Report for the baseline or project year—the data published in the most recent National Inventory Report.</w:t>
      </w:r>
    </w:p>
    <w:p w:rsidR="006C46A8" w:rsidRDefault="006C46A8" w:rsidP="00135D22">
      <w:pPr>
        <w:pStyle w:val="noteSubpara"/>
      </w:pPr>
      <w:r>
        <w:tab/>
      </w:r>
      <w:r>
        <w:rPr>
          <w:b/>
          <w:i/>
        </w:rPr>
        <w:t>Note</w:t>
      </w:r>
      <w:r>
        <w:tab/>
        <w:t>The use of the most recent National Inventory Report in this circumstance will mean that the data that is used will not be data that relates specifically to that baseline or project ye</w:t>
      </w:r>
      <w:r w:rsidR="005A6E74">
        <w:t xml:space="preserve">ar. For example, if the third baseline year corresponds to the 2013 calendar year, then data for the third baseline year will not be available until the </w:t>
      </w:r>
      <w:r w:rsidRPr="005A6E74">
        <w:rPr>
          <w:i/>
        </w:rPr>
        <w:t>National Inventory Report</w:t>
      </w:r>
      <w:r w:rsidR="005A6E74" w:rsidRPr="005A6E74">
        <w:rPr>
          <w:i/>
        </w:rPr>
        <w:t xml:space="preserve"> 2013</w:t>
      </w:r>
      <w:r w:rsidR="005A6E74">
        <w:t xml:space="preserve"> is published in</w:t>
      </w:r>
      <w:r>
        <w:t xml:space="preserve"> 2015.</w:t>
      </w:r>
      <w:r w:rsidR="00CE1B31">
        <w:t xml:space="preserve"> </w:t>
      </w:r>
      <w:r w:rsidR="00351F04">
        <w:t>In this case</w:t>
      </w:r>
      <w:r>
        <w:t>, paragraph</w:t>
      </w:r>
      <w:r w:rsidR="00CE1B31">
        <w:t> </w:t>
      </w:r>
      <w:r>
        <w:t xml:space="preserve">(b) permits the use of the data reported in the </w:t>
      </w:r>
      <w:r w:rsidR="00351F04">
        <w:t xml:space="preserve">most recent National Inventory Report being the </w:t>
      </w:r>
      <w:r w:rsidR="00351F04">
        <w:rPr>
          <w:i/>
        </w:rPr>
        <w:t xml:space="preserve">National Inventory Report 2011 </w:t>
      </w:r>
      <w:r w:rsidR="00351F04">
        <w:t>published on 1</w:t>
      </w:r>
      <w:r w:rsidR="00CE1B31">
        <w:t> </w:t>
      </w:r>
      <w:r w:rsidR="00351F04">
        <w:t>April</w:t>
      </w:r>
      <w:r w:rsidR="00CE1B31">
        <w:t> </w:t>
      </w:r>
      <w:r w:rsidR="00351F04">
        <w:t>2013—until the next National Inventory Report is published.</w:t>
      </w:r>
      <w:r>
        <w:t xml:space="preserve"> </w:t>
      </w:r>
    </w:p>
    <w:p w:rsidR="00FA147B" w:rsidRPr="00DE64EE" w:rsidRDefault="0060744B" w:rsidP="00135D22">
      <w:pPr>
        <w:pStyle w:val="h5Section"/>
      </w:pPr>
      <w:bookmarkStart w:id="25" w:name="_Toc362952375"/>
      <w:r>
        <w:t>4.4</w:t>
      </w:r>
      <w:r w:rsidR="00FA147B">
        <w:tab/>
      </w:r>
      <w:r w:rsidR="006F04B5">
        <w:t xml:space="preserve">Greenhouse gases </w:t>
      </w:r>
      <w:r w:rsidR="00FA147B" w:rsidRPr="00DE64EE">
        <w:t>accounted for</w:t>
      </w:r>
      <w:bookmarkEnd w:id="25"/>
    </w:p>
    <w:p w:rsidR="0086765E" w:rsidRPr="0086765E" w:rsidRDefault="000867F6" w:rsidP="00135D22">
      <w:pPr>
        <w:pStyle w:val="tMain"/>
      </w:pPr>
      <w:r>
        <w:tab/>
      </w:r>
      <w:r>
        <w:tab/>
        <w:t>The Determination takes</w:t>
      </w:r>
      <w:r w:rsidR="0018274C">
        <w:t xml:space="preserve"> into account</w:t>
      </w:r>
      <w:r w:rsidR="00FD04BF">
        <w:t xml:space="preserve"> </w:t>
      </w:r>
      <w:r>
        <w:t>methane emissions from e</w:t>
      </w:r>
      <w:r w:rsidR="00FD04BF">
        <w:t>nteric fermentation.</w:t>
      </w:r>
      <w:r w:rsidR="005E4564">
        <w:tab/>
      </w:r>
    </w:p>
    <w:p w:rsidR="00B211C1" w:rsidRPr="0086765E" w:rsidRDefault="0060744B" w:rsidP="00135D22">
      <w:pPr>
        <w:pStyle w:val="h5Section"/>
      </w:pPr>
      <w:bookmarkStart w:id="26" w:name="_Toc362952376"/>
      <w:r>
        <w:t>4.5</w:t>
      </w:r>
      <w:r w:rsidR="00B211C1">
        <w:tab/>
        <w:t>The baseline</w:t>
      </w:r>
      <w:bookmarkEnd w:id="26"/>
    </w:p>
    <w:p w:rsidR="00B211C1" w:rsidRDefault="00B211C1" w:rsidP="00135D22">
      <w:pPr>
        <w:pStyle w:val="tMain"/>
      </w:pPr>
      <w:r>
        <w:tab/>
      </w:r>
      <w:r w:rsidR="0060744B">
        <w:t>(1)</w:t>
      </w:r>
      <w:r w:rsidRPr="00944441">
        <w:tab/>
        <w:t xml:space="preserve">For the purposes of paragraph 106(4)(f) of the Act, the baseline for the project must be calculated by entering each input for the </w:t>
      </w:r>
      <w:r w:rsidRPr="00C82C2B">
        <w:rPr>
          <w:b/>
          <w:i/>
        </w:rPr>
        <w:t>baseline years</w:t>
      </w:r>
      <w:r w:rsidRPr="00944441">
        <w:t xml:space="preserve"> mentioned in subsection</w:t>
      </w:r>
      <w:r>
        <w:t> </w:t>
      </w:r>
      <w:r w:rsidR="0060744B">
        <w:t>(2)</w:t>
      </w:r>
      <w:r w:rsidRPr="00944441">
        <w:t xml:space="preserve"> into t</w:t>
      </w:r>
      <w:r>
        <w:t>he Dietary Fats Calculator.</w:t>
      </w:r>
    </w:p>
    <w:p w:rsidR="00B211C1" w:rsidRDefault="00B211C1" w:rsidP="00135D22">
      <w:pPr>
        <w:pStyle w:val="h6Subsec"/>
        <w:jc w:val="both"/>
      </w:pPr>
      <w:r>
        <w:t>Selecting baseline years</w:t>
      </w:r>
    </w:p>
    <w:p w:rsidR="00B211C1" w:rsidRDefault="00B211C1" w:rsidP="00135D22">
      <w:pPr>
        <w:pStyle w:val="tMain"/>
      </w:pPr>
      <w:r w:rsidRPr="00944441">
        <w:tab/>
      </w:r>
      <w:r w:rsidR="0060744B">
        <w:t>(2)</w:t>
      </w:r>
      <w:r w:rsidRPr="00944441">
        <w:tab/>
        <w:t>For the purposes of subsection</w:t>
      </w:r>
      <w:r w:rsidR="000B76ED">
        <w:t xml:space="preserve"> </w:t>
      </w:r>
      <w:r w:rsidR="0060744B">
        <w:t>(1)</w:t>
      </w:r>
      <w:r>
        <w:t xml:space="preserve">, the </w:t>
      </w:r>
      <w:r w:rsidRPr="00944441">
        <w:t>baseline years are 3 consecutive years</w:t>
      </w:r>
      <w:r>
        <w:t>:</w:t>
      </w:r>
    </w:p>
    <w:p w:rsidR="00B211C1" w:rsidRDefault="00B211C1" w:rsidP="00135D22">
      <w:pPr>
        <w:pStyle w:val="tPara"/>
      </w:pPr>
      <w:r>
        <w:tab/>
      </w:r>
      <w:r w:rsidR="0060744B">
        <w:t>(a)</w:t>
      </w:r>
      <w:r>
        <w:tab/>
      </w:r>
      <w:proofErr w:type="gramStart"/>
      <w:r>
        <w:t>starting</w:t>
      </w:r>
      <w:proofErr w:type="gramEnd"/>
      <w:r>
        <w:t xml:space="preserve"> on the first day of a season;</w:t>
      </w:r>
    </w:p>
    <w:p w:rsidR="00B211C1" w:rsidRDefault="00B211C1" w:rsidP="00135D22">
      <w:pPr>
        <w:pStyle w:val="tPara"/>
      </w:pPr>
      <w:r>
        <w:tab/>
      </w:r>
      <w:r w:rsidR="0060744B">
        <w:t>(b)</w:t>
      </w:r>
      <w:r>
        <w:tab/>
      </w:r>
      <w:proofErr w:type="gramStart"/>
      <w:r w:rsidRPr="00944441">
        <w:t>ending</w:t>
      </w:r>
      <w:proofErr w:type="gramEnd"/>
      <w:r w:rsidRPr="00944441">
        <w:t xml:space="preserve"> before the start of the first project year; and</w:t>
      </w:r>
    </w:p>
    <w:p w:rsidR="00B211C1" w:rsidRDefault="00B211C1" w:rsidP="00135D22">
      <w:pPr>
        <w:pStyle w:val="tPara"/>
      </w:pPr>
      <w:r>
        <w:tab/>
      </w:r>
      <w:r w:rsidR="0060744B">
        <w:t>(c)</w:t>
      </w:r>
      <w:r>
        <w:tab/>
      </w:r>
      <w:proofErr w:type="gramStart"/>
      <w:r>
        <w:t>not</w:t>
      </w:r>
      <w:proofErr w:type="gramEnd"/>
      <w:r>
        <w:t xml:space="preserve"> starting earlier than 7 years before the start of the first project year.</w:t>
      </w:r>
    </w:p>
    <w:p w:rsidR="00B211C1" w:rsidRDefault="00B211C1" w:rsidP="00135D22">
      <w:pPr>
        <w:pStyle w:val="h6Subsec"/>
        <w:jc w:val="both"/>
      </w:pPr>
      <w:r>
        <w:t>Minimum baseline data</w:t>
      </w:r>
    </w:p>
    <w:p w:rsidR="00B211C1" w:rsidRPr="00944441" w:rsidRDefault="00B211C1" w:rsidP="00135D22">
      <w:pPr>
        <w:pStyle w:val="tMain"/>
      </w:pPr>
      <w:r>
        <w:tab/>
      </w:r>
      <w:r w:rsidR="0060744B">
        <w:t>(3)</w:t>
      </w:r>
      <w:r>
        <w:tab/>
        <w:t>T</w:t>
      </w:r>
      <w:r w:rsidRPr="00944441">
        <w:t>here must be sufficient data available in relation to each of the baseline years to</w:t>
      </w:r>
      <w:r>
        <w:t xml:space="preserve"> </w:t>
      </w:r>
      <w:r w:rsidRPr="00944441">
        <w:t>populate the Dietary Fats Calculator</w:t>
      </w:r>
      <w:r>
        <w:t xml:space="preserve"> </w:t>
      </w:r>
      <w:r w:rsidRPr="00944441">
        <w:t>with seasonal data relating to:</w:t>
      </w:r>
    </w:p>
    <w:p w:rsidR="00B211C1" w:rsidRPr="00944441" w:rsidRDefault="00B211C1" w:rsidP="00135D22">
      <w:pPr>
        <w:pStyle w:val="tPara"/>
      </w:pPr>
      <w:r>
        <w:tab/>
      </w:r>
      <w:r w:rsidR="0060744B">
        <w:t>(a)</w:t>
      </w:r>
      <w:r>
        <w:tab/>
      </w:r>
      <w:proofErr w:type="gramStart"/>
      <w:r>
        <w:t>average</w:t>
      </w:r>
      <w:proofErr w:type="gramEnd"/>
      <w:r w:rsidRPr="00944441">
        <w:t xml:space="preserve"> number</w:t>
      </w:r>
      <w:r w:rsidR="003723EE">
        <w:t xml:space="preserve"> of milking cows </w:t>
      </w:r>
      <w:r w:rsidRPr="00944441">
        <w:t xml:space="preserve"> in the</w:t>
      </w:r>
      <w:r>
        <w:t xml:space="preserve"> milking</w:t>
      </w:r>
      <w:r w:rsidRPr="00944441">
        <w:t xml:space="preserve"> herd (</w:t>
      </w:r>
      <w:proofErr w:type="spellStart"/>
      <w:r w:rsidRPr="00944441">
        <w:t>N</w:t>
      </w:r>
      <w:r w:rsidRPr="00944441">
        <w:rPr>
          <w:vertAlign w:val="subscript"/>
        </w:rPr>
        <w:t>j</w:t>
      </w:r>
      <w:proofErr w:type="spellEnd"/>
      <w:r w:rsidRPr="00944441">
        <w:t>);</w:t>
      </w:r>
    </w:p>
    <w:p w:rsidR="00B211C1" w:rsidRPr="00944441" w:rsidRDefault="00B211C1" w:rsidP="00135D22">
      <w:pPr>
        <w:pStyle w:val="tPara"/>
      </w:pPr>
      <w:r>
        <w:tab/>
      </w:r>
      <w:r w:rsidR="0060744B">
        <w:t>(b)</w:t>
      </w:r>
      <w:r>
        <w:tab/>
      </w:r>
      <w:proofErr w:type="gramStart"/>
      <w:r w:rsidRPr="00944441">
        <w:t>average</w:t>
      </w:r>
      <w:proofErr w:type="gramEnd"/>
      <w:r w:rsidRPr="00944441">
        <w:t xml:space="preserve"> milk production (</w:t>
      </w:r>
      <w:proofErr w:type="spellStart"/>
      <w:r w:rsidRPr="00944441">
        <w:t>MP</w:t>
      </w:r>
      <w:r w:rsidRPr="00944441">
        <w:rPr>
          <w:vertAlign w:val="subscript"/>
        </w:rPr>
        <w:t>j</w:t>
      </w:r>
      <w:proofErr w:type="spellEnd"/>
      <w:r>
        <w:t>); and</w:t>
      </w:r>
    </w:p>
    <w:p w:rsidR="00B211C1" w:rsidRDefault="00B211C1" w:rsidP="00135D22">
      <w:pPr>
        <w:pStyle w:val="tPara"/>
      </w:pPr>
      <w:r>
        <w:tab/>
      </w:r>
      <w:r w:rsidR="0060744B">
        <w:t>(c)</w:t>
      </w:r>
      <w:r>
        <w:tab/>
      </w:r>
      <w:proofErr w:type="gramStart"/>
      <w:r>
        <w:t>intake</w:t>
      </w:r>
      <w:proofErr w:type="gramEnd"/>
      <w:r>
        <w:t xml:space="preserve"> of </w:t>
      </w:r>
      <w:r w:rsidRPr="00944441">
        <w:t xml:space="preserve">feed type </w:t>
      </w:r>
      <w:r>
        <w:t>other than pasture</w:t>
      </w:r>
      <w:r w:rsidRPr="00944441">
        <w:t xml:space="preserve"> (</w:t>
      </w:r>
      <w:proofErr w:type="spellStart"/>
      <w:r w:rsidRPr="00944441">
        <w:t>DMI</w:t>
      </w:r>
      <w:r w:rsidRPr="00944441">
        <w:rPr>
          <w:vertAlign w:val="subscript"/>
        </w:rPr>
        <w:t>f,j</w:t>
      </w:r>
      <w:proofErr w:type="spellEnd"/>
      <w:r>
        <w:t>).</w:t>
      </w:r>
    </w:p>
    <w:p w:rsidR="00B211C1" w:rsidRDefault="00B211C1" w:rsidP="00135D22">
      <w:pPr>
        <w:pStyle w:val="notePara"/>
      </w:pPr>
      <w:r>
        <w:tab/>
      </w:r>
      <w:r>
        <w:rPr>
          <w:b/>
          <w:i/>
        </w:rPr>
        <w:t>Note</w:t>
      </w:r>
      <w:r>
        <w:tab/>
        <w:t>If the minimum baseline data for 3</w:t>
      </w:r>
      <w:r w:rsidRPr="00F82853">
        <w:t xml:space="preserve"> consecutive years before the start of the first project year</w:t>
      </w:r>
      <w:r>
        <w:t xml:space="preserve"> is not available</w:t>
      </w:r>
      <w:r w:rsidRPr="00F82853">
        <w:t xml:space="preserve">, </w:t>
      </w:r>
      <w:r>
        <w:t xml:space="preserve">it </w:t>
      </w:r>
      <w:r w:rsidRPr="00F82853">
        <w:t>will have to</w:t>
      </w:r>
      <w:r>
        <w:t xml:space="preserve"> be</w:t>
      </w:r>
      <w:r w:rsidRPr="00F82853">
        <w:t xml:space="preserve"> collect</w:t>
      </w:r>
      <w:r>
        <w:t xml:space="preserve">ed </w:t>
      </w:r>
      <w:r w:rsidRPr="00F82853">
        <w:t>before the</w:t>
      </w:r>
      <w:r>
        <w:t xml:space="preserve"> project can start.</w:t>
      </w:r>
    </w:p>
    <w:p w:rsidR="0086765E" w:rsidRDefault="0086765E" w:rsidP="00135D22">
      <w:pPr>
        <w:jc w:val="both"/>
      </w:pPr>
    </w:p>
    <w:p w:rsidR="006C46A8" w:rsidRPr="0086765E" w:rsidRDefault="006C46A8" w:rsidP="00135D22">
      <w:pPr>
        <w:jc w:val="both"/>
      </w:pPr>
    </w:p>
    <w:p w:rsidR="0086765E" w:rsidRPr="0086765E" w:rsidRDefault="0086765E" w:rsidP="00135D22">
      <w:pPr>
        <w:jc w:val="both"/>
      </w:pPr>
    </w:p>
    <w:p w:rsidR="00710BE3" w:rsidRDefault="00B211C1" w:rsidP="00135D22">
      <w:pPr>
        <w:pStyle w:val="h3Div"/>
      </w:pPr>
      <w:bookmarkStart w:id="27" w:name="_Toc362952377"/>
      <w:r>
        <w:lastRenderedPageBreak/>
        <w:t xml:space="preserve">Division </w:t>
      </w:r>
      <w:r w:rsidR="0060744B">
        <w:t>4.3</w:t>
      </w:r>
      <w:r>
        <w:tab/>
      </w:r>
      <w:r w:rsidR="00710BE3">
        <w:t xml:space="preserve">Using </w:t>
      </w:r>
      <w:r w:rsidR="00944441">
        <w:t>the Dietary Fats Calculator</w:t>
      </w:r>
      <w:bookmarkEnd w:id="27"/>
    </w:p>
    <w:p w:rsidR="008B7326" w:rsidRPr="007468B0" w:rsidRDefault="008B7326" w:rsidP="00135D22">
      <w:pPr>
        <w:pStyle w:val="h4Subdiv"/>
      </w:pPr>
      <w:bookmarkStart w:id="28" w:name="_Toc362952378"/>
      <w:r w:rsidRPr="006F5493">
        <w:t xml:space="preserve">Subdivision </w:t>
      </w:r>
      <w:r w:rsidR="0060744B">
        <w:t>4.3.1</w:t>
      </w:r>
      <w:r w:rsidRPr="006F5493">
        <w:tab/>
        <w:t xml:space="preserve">Calculating </w:t>
      </w:r>
      <w:r w:rsidR="00B352DA">
        <w:t xml:space="preserve">milking </w:t>
      </w:r>
      <w:r w:rsidRPr="006F5493">
        <w:t>herd information inputs</w:t>
      </w:r>
      <w:bookmarkEnd w:id="28"/>
      <w:r>
        <w:tab/>
      </w:r>
    </w:p>
    <w:p w:rsidR="008B7326" w:rsidRDefault="0060744B" w:rsidP="00135D22">
      <w:pPr>
        <w:pStyle w:val="h5Section"/>
      </w:pPr>
      <w:bookmarkStart w:id="29" w:name="_Toc362952379"/>
      <w:r>
        <w:t>4.6</w:t>
      </w:r>
      <w:r w:rsidR="008B7326">
        <w:tab/>
        <w:t>Average number in the</w:t>
      </w:r>
      <w:r w:rsidR="00B352DA">
        <w:t xml:space="preserve"> milking</w:t>
      </w:r>
      <w:r w:rsidR="008B7326">
        <w:t xml:space="preserve"> herd</w:t>
      </w:r>
      <w:bookmarkEnd w:id="29"/>
    </w:p>
    <w:p w:rsidR="00D92D3D" w:rsidRPr="00621253" w:rsidRDefault="0086765E" w:rsidP="00135D22">
      <w:pPr>
        <w:pStyle w:val="tMain"/>
      </w:pPr>
      <w:r>
        <w:tab/>
      </w:r>
      <w:r>
        <w:tab/>
      </w:r>
      <w:r w:rsidR="008B7326">
        <w:t>The average number of milking cows in the</w:t>
      </w:r>
      <w:r w:rsidR="00B352DA">
        <w:t xml:space="preserve"> milking</w:t>
      </w:r>
      <w:r w:rsidR="008B7326">
        <w:t xml:space="preserve"> herd in each season must be determined using the following formula:</w:t>
      </w:r>
    </w:p>
    <w:tbl>
      <w:tblPr>
        <w:tblStyle w:val="TableGrid"/>
        <w:tblW w:w="0" w:type="auto"/>
        <w:tblInd w:w="964" w:type="dxa"/>
        <w:tblLook w:val="04A0" w:firstRow="1" w:lastRow="0" w:firstColumn="1" w:lastColumn="0" w:noHBand="0" w:noVBand="1"/>
      </w:tblPr>
      <w:tblGrid>
        <w:gridCol w:w="6374"/>
        <w:gridCol w:w="1904"/>
      </w:tblGrid>
      <w:tr w:rsidR="008B7326" w:rsidRPr="008925DB" w:rsidTr="00135D22">
        <w:tc>
          <w:tcPr>
            <w:tcW w:w="6374" w:type="dxa"/>
          </w:tcPr>
          <w:p w:rsidR="008B7326" w:rsidRPr="00D92D3D" w:rsidRDefault="00414585" w:rsidP="00135D22">
            <w:pPr>
              <w:pStyle w:val="tMain"/>
              <w:spacing w:before="100" w:line="360" w:lineRule="auto"/>
              <w:ind w:left="0" w:firstLine="0"/>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j</m:t>
                    </m:r>
                  </m:sub>
                </m:sSub>
                <m:r>
                  <m:rPr>
                    <m:sty m:val="p"/>
                  </m:rPr>
                  <w:rPr>
                    <w:rFonts w:ascii="Cambria Math" w:hAnsi="Cambria Math"/>
                  </w:rPr>
                  <m:t xml:space="preserve">= </m:t>
                </m:r>
                <m:f>
                  <m:fPr>
                    <m:ctrlPr>
                      <w:rPr>
                        <w:rFonts w:ascii="Cambria Math" w:hAnsi="Cambria Math"/>
                      </w:rPr>
                    </m:ctrlPr>
                  </m:fPr>
                  <m:num>
                    <m:nary>
                      <m:naryPr>
                        <m:chr m:val="∑"/>
                        <m:limLoc m:val="undOvr"/>
                        <m:supHide m:val="1"/>
                        <m:ctrlPr>
                          <w:rPr>
                            <w:rFonts w:ascii="Cambria Math" w:hAnsi="Cambria Math"/>
                          </w:rPr>
                        </m:ctrlPr>
                      </m:naryPr>
                      <m:sub>
                        <m:r>
                          <m:rPr>
                            <m:sty m:val="p"/>
                          </m:rPr>
                          <w:rPr>
                            <w:rFonts w:ascii="Cambria Math" w:hAnsi="Cambria Math"/>
                          </w:rPr>
                          <m:t>o</m:t>
                        </m:r>
                      </m:sub>
                      <m:sup/>
                      <m:e>
                        <m:sSub>
                          <m:sSubPr>
                            <m:ctrlPr>
                              <w:rPr>
                                <w:rFonts w:ascii="Cambria Math" w:hAnsi="Cambria Math"/>
                              </w:rPr>
                            </m:ctrlPr>
                          </m:sSubPr>
                          <m:e>
                            <m:r>
                              <m:rPr>
                                <m:sty m:val="p"/>
                              </m:rPr>
                              <w:rPr>
                                <w:rFonts w:ascii="Cambria Math" w:hAnsi="Cambria Math"/>
                              </w:rPr>
                              <m:t>MC</m:t>
                            </m:r>
                          </m:e>
                          <m:sub>
                            <m:r>
                              <m:rPr>
                                <m:sty m:val="p"/>
                              </m:rPr>
                              <w:rPr>
                                <w:rFonts w:ascii="Cambria Math" w:hAnsi="Cambria Math"/>
                              </w:rPr>
                              <m:t>j,o</m:t>
                            </m:r>
                          </m:sub>
                        </m:sSub>
                      </m:e>
                    </m:nary>
                  </m:num>
                  <m:den>
                    <m:sSub>
                      <m:sSubPr>
                        <m:ctrlPr>
                          <w:rPr>
                            <w:rFonts w:ascii="Cambria Math" w:hAnsi="Cambria Math"/>
                          </w:rPr>
                        </m:ctrlPr>
                      </m:sSubPr>
                      <m:e>
                        <m:r>
                          <m:rPr>
                            <m:sty m:val="p"/>
                          </m:rPr>
                          <w:rPr>
                            <w:rFonts w:ascii="Cambria Math" w:hAnsi="Cambria Math"/>
                          </w:rPr>
                          <m:t>k</m:t>
                        </m:r>
                      </m:e>
                      <m:sub>
                        <m:r>
                          <m:rPr>
                            <m:sty m:val="p"/>
                          </m:rPr>
                          <w:rPr>
                            <w:rFonts w:ascii="Cambria Math" w:hAnsi="Cambria Math"/>
                          </w:rPr>
                          <m:t>j</m:t>
                        </m:r>
                      </m:sub>
                    </m:sSub>
                  </m:den>
                </m:f>
              </m:oMath>
            </m:oMathPara>
          </w:p>
        </w:tc>
        <w:tc>
          <w:tcPr>
            <w:tcW w:w="1904" w:type="dxa"/>
            <w:vAlign w:val="center"/>
          </w:tcPr>
          <w:p w:rsidR="008B7326" w:rsidRPr="005E6456" w:rsidRDefault="008B7326" w:rsidP="00135D22">
            <w:pPr>
              <w:pStyle w:val="tMain"/>
              <w:spacing w:line="360" w:lineRule="auto"/>
              <w:ind w:left="0" w:firstLine="0"/>
              <w:jc w:val="center"/>
              <w:rPr>
                <w:b/>
              </w:rPr>
            </w:pPr>
            <w:r w:rsidRPr="005E6456">
              <w:rPr>
                <w:b/>
              </w:rPr>
              <w:t>Equation 1</w:t>
            </w:r>
          </w:p>
        </w:tc>
      </w:tr>
    </w:tbl>
    <w:p w:rsidR="008B7326" w:rsidRPr="008925DB" w:rsidRDefault="008B7326" w:rsidP="00135D22">
      <w:pPr>
        <w:pStyle w:val="tMain"/>
      </w:pPr>
      <w:r w:rsidRPr="008925DB">
        <w:tab/>
      </w:r>
      <w:r w:rsidRPr="008925DB">
        <w:tab/>
        <w:t>Where:</w:t>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582"/>
      </w:tblGrid>
      <w:tr w:rsidR="008B7326" w:rsidRPr="008925DB" w:rsidTr="00993396">
        <w:tc>
          <w:tcPr>
            <w:tcW w:w="1696" w:type="dxa"/>
          </w:tcPr>
          <w:p w:rsidR="008B7326" w:rsidRPr="00B40FDC" w:rsidRDefault="00B40FDC" w:rsidP="00135D22">
            <w:pPr>
              <w:pStyle w:val="tMain"/>
              <w:ind w:left="0" w:firstLine="0"/>
              <w:jc w:val="right"/>
            </w:pPr>
            <w:proofErr w:type="spellStart"/>
            <w:r>
              <w:t>N</w:t>
            </w:r>
            <w:r>
              <w:rPr>
                <w:vertAlign w:val="subscript"/>
              </w:rPr>
              <w:t>j</w:t>
            </w:r>
            <w:proofErr w:type="spellEnd"/>
            <w:r>
              <w:rPr>
                <w:vertAlign w:val="subscript"/>
              </w:rPr>
              <w:t xml:space="preserve"> </w:t>
            </w:r>
            <w:r w:rsidR="0017629F">
              <w:rPr>
                <w:vertAlign w:val="subscript"/>
              </w:rPr>
              <w:t xml:space="preserve"> </w:t>
            </w:r>
            <w:r>
              <w:t>=</w:t>
            </w:r>
          </w:p>
        </w:tc>
        <w:tc>
          <w:tcPr>
            <w:tcW w:w="6582" w:type="dxa"/>
          </w:tcPr>
          <w:p w:rsidR="008B7326" w:rsidRPr="008925DB" w:rsidRDefault="008B7326" w:rsidP="00135D22">
            <w:pPr>
              <w:pStyle w:val="tMain"/>
              <w:ind w:left="0" w:firstLine="0"/>
            </w:pPr>
            <w:r w:rsidRPr="008925DB">
              <w:t>average number of milking cows in the</w:t>
            </w:r>
            <w:r w:rsidR="00B352DA">
              <w:t xml:space="preserve"> milking</w:t>
            </w:r>
            <w:r w:rsidRPr="008925DB">
              <w:t xml:space="preserve"> </w:t>
            </w:r>
            <w:r>
              <w:t>herd</w:t>
            </w:r>
            <w:r w:rsidRPr="008925DB">
              <w:t xml:space="preserve"> in season</w:t>
            </w:r>
            <w:r w:rsidRPr="008D718F">
              <w:rPr>
                <w:i/>
              </w:rPr>
              <w:t xml:space="preserve"> j</w:t>
            </w:r>
            <w:r w:rsidRPr="008925DB">
              <w:t>.</w:t>
            </w:r>
          </w:p>
        </w:tc>
      </w:tr>
      <w:tr w:rsidR="00993396" w:rsidRPr="008925DB" w:rsidTr="00993396">
        <w:tc>
          <w:tcPr>
            <w:tcW w:w="1696" w:type="dxa"/>
          </w:tcPr>
          <w:p w:rsidR="00993396" w:rsidRDefault="00993396" w:rsidP="00135D22">
            <w:pPr>
              <w:pStyle w:val="tMain"/>
              <w:ind w:left="0" w:firstLine="0"/>
              <w:jc w:val="right"/>
            </w:pPr>
            <w:r w:rsidRPr="00993396">
              <w:t>o =</w:t>
            </w:r>
          </w:p>
        </w:tc>
        <w:tc>
          <w:tcPr>
            <w:tcW w:w="6582" w:type="dxa"/>
          </w:tcPr>
          <w:p w:rsidR="00993396" w:rsidRPr="001A2CEE" w:rsidRDefault="00993396" w:rsidP="00135D22">
            <w:pPr>
              <w:pStyle w:val="tMain"/>
              <w:ind w:left="0" w:firstLine="0"/>
            </w:pPr>
            <w:proofErr w:type="spellStart"/>
            <w:r w:rsidRPr="00993396">
              <w:rPr>
                <w:i/>
              </w:rPr>
              <w:t>o</w:t>
            </w:r>
            <w:r w:rsidRPr="00993396">
              <w:rPr>
                <w:vertAlign w:val="superscript"/>
              </w:rPr>
              <w:t>th</w:t>
            </w:r>
            <w:proofErr w:type="spellEnd"/>
            <w:r w:rsidRPr="00993396">
              <w:t xml:space="preserve"> occasion on which the milking cows were counted in season </w:t>
            </w:r>
            <w:r w:rsidRPr="00993396">
              <w:rPr>
                <w:i/>
              </w:rPr>
              <w:t>j</w:t>
            </w:r>
            <w:r w:rsidR="001A2CEE">
              <w:t>.</w:t>
            </w:r>
          </w:p>
        </w:tc>
      </w:tr>
      <w:tr w:rsidR="008B7326" w:rsidRPr="008925DB" w:rsidTr="00993396">
        <w:tc>
          <w:tcPr>
            <w:tcW w:w="1696" w:type="dxa"/>
          </w:tcPr>
          <w:p w:rsidR="008B7326" w:rsidRPr="00B40FDC" w:rsidRDefault="00B40FDC" w:rsidP="00135D22">
            <w:pPr>
              <w:pStyle w:val="tMain"/>
              <w:ind w:left="0" w:firstLine="0"/>
              <w:jc w:val="right"/>
            </w:pPr>
            <w:proofErr w:type="spellStart"/>
            <w:r>
              <w:t>MC</w:t>
            </w:r>
            <w:r>
              <w:rPr>
                <w:vertAlign w:val="subscript"/>
              </w:rPr>
              <w:t>j,o</w:t>
            </w:r>
            <w:proofErr w:type="spellEnd"/>
            <w:r>
              <w:rPr>
                <w:vertAlign w:val="subscript"/>
              </w:rPr>
              <w:t xml:space="preserve"> </w:t>
            </w:r>
            <w:r w:rsidR="0017629F">
              <w:rPr>
                <w:vertAlign w:val="subscript"/>
              </w:rPr>
              <w:t xml:space="preserve"> </w:t>
            </w:r>
            <w:r>
              <w:t>=</w:t>
            </w:r>
          </w:p>
        </w:tc>
        <w:tc>
          <w:tcPr>
            <w:tcW w:w="6582" w:type="dxa"/>
          </w:tcPr>
          <w:p w:rsidR="008B7326" w:rsidRPr="008925DB" w:rsidRDefault="008B7326" w:rsidP="00135D22">
            <w:pPr>
              <w:pStyle w:val="tMain"/>
              <w:ind w:left="0" w:firstLine="0"/>
            </w:pPr>
            <w:r w:rsidRPr="008925DB">
              <w:t>number of</w:t>
            </w:r>
            <w:r w:rsidR="00262DF2">
              <w:t xml:space="preserve"> milking cows counted</w:t>
            </w:r>
            <w:r w:rsidRPr="008925DB">
              <w:t xml:space="preserve"> </w:t>
            </w:r>
            <w:r w:rsidR="00621253">
              <w:t>during</w:t>
            </w:r>
            <w:r w:rsidRPr="008925DB">
              <w:t xml:space="preserve"> season</w:t>
            </w:r>
            <w:r w:rsidRPr="008D718F">
              <w:rPr>
                <w:i/>
              </w:rPr>
              <w:t xml:space="preserve"> </w:t>
            </w:r>
            <m:oMath>
              <m:r>
                <w:rPr>
                  <w:rFonts w:ascii="Cambria Math" w:hAnsi="Cambria Math"/>
                </w:rPr>
                <m:t>j</m:t>
              </m:r>
            </m:oMath>
            <w:r w:rsidRPr="008D718F">
              <w:rPr>
                <w:i/>
              </w:rPr>
              <w:t xml:space="preserve"> </w:t>
            </w:r>
            <w:r w:rsidR="00621253">
              <w:t xml:space="preserve">on occasion </w:t>
            </w:r>
            <w:r w:rsidR="00621253">
              <w:rPr>
                <w:i/>
              </w:rPr>
              <w:t>o</w:t>
            </w:r>
            <w:r w:rsidRPr="008925DB">
              <w:t>.</w:t>
            </w:r>
          </w:p>
        </w:tc>
      </w:tr>
      <w:tr w:rsidR="008B7326" w:rsidRPr="008925DB" w:rsidTr="00993396">
        <w:tc>
          <w:tcPr>
            <w:tcW w:w="1696" w:type="dxa"/>
          </w:tcPr>
          <w:p w:rsidR="008B7326" w:rsidRPr="008925DB" w:rsidRDefault="0017629F" w:rsidP="00135D22">
            <w:pPr>
              <w:pStyle w:val="tMain"/>
              <w:ind w:left="0" w:firstLine="0"/>
              <w:jc w:val="right"/>
            </w:pPr>
            <w:proofErr w:type="spellStart"/>
            <w:r>
              <w:t>k</w:t>
            </w:r>
            <w:r>
              <w:rPr>
                <w:vertAlign w:val="subscript"/>
              </w:rPr>
              <w:t>j</w:t>
            </w:r>
            <w:proofErr w:type="spellEnd"/>
            <w:r>
              <w:rPr>
                <w:vertAlign w:val="subscript"/>
              </w:rPr>
              <w:t xml:space="preserve">  </w:t>
            </w:r>
            <w:r>
              <w:t>=</w:t>
            </w:r>
            <w:r w:rsidR="008B7326" w:rsidRPr="008925DB">
              <w:t xml:space="preserve">  </w:t>
            </w:r>
          </w:p>
        </w:tc>
        <w:tc>
          <w:tcPr>
            <w:tcW w:w="6582" w:type="dxa"/>
          </w:tcPr>
          <w:p w:rsidR="008B7326" w:rsidRPr="008925DB" w:rsidRDefault="008B7326" w:rsidP="00135D22">
            <w:pPr>
              <w:pStyle w:val="tMain"/>
              <w:ind w:left="0" w:firstLine="0"/>
            </w:pPr>
            <w:r w:rsidRPr="008925DB">
              <w:t>num</w:t>
            </w:r>
            <w:r w:rsidR="00E27225">
              <w:t xml:space="preserve">ber of occasions </w:t>
            </w:r>
            <w:r w:rsidR="00E27225">
              <w:rPr>
                <w:i/>
              </w:rPr>
              <w:t>o</w:t>
            </w:r>
            <w:r>
              <w:t xml:space="preserve"> </w:t>
            </w:r>
            <w:r w:rsidR="00E27225">
              <w:t>on which</w:t>
            </w:r>
            <w:r w:rsidR="00D92D3D">
              <w:t xml:space="preserve"> the</w:t>
            </w:r>
            <w:r w:rsidRPr="008925DB">
              <w:t xml:space="preserve"> milking cows </w:t>
            </w:r>
            <w:r w:rsidR="005C37B2">
              <w:t>were</w:t>
            </w:r>
            <w:r w:rsidR="00262DF2">
              <w:t xml:space="preserve"> counted</w:t>
            </w:r>
            <w:r>
              <w:t xml:space="preserve"> in season </w:t>
            </w:r>
            <w:r>
              <w:rPr>
                <w:i/>
              </w:rPr>
              <w:t>j</w:t>
            </w:r>
            <w:r w:rsidRPr="008925DB">
              <w:t>.</w:t>
            </w:r>
          </w:p>
        </w:tc>
      </w:tr>
    </w:tbl>
    <w:p w:rsidR="00EA146C" w:rsidRDefault="00EA146C" w:rsidP="00135D22">
      <w:pPr>
        <w:pStyle w:val="noteMain"/>
      </w:pPr>
      <w:r>
        <w:tab/>
      </w:r>
      <w:r>
        <w:rPr>
          <w:b/>
          <w:i/>
        </w:rPr>
        <w:t>Note</w:t>
      </w:r>
      <w:r w:rsidR="003723EE">
        <w:tab/>
        <w:t>See section 5</w:t>
      </w:r>
      <w:r>
        <w:t>.3 for the requirements relating to monitoring the number of milking cows in the milking herd.</w:t>
      </w:r>
    </w:p>
    <w:p w:rsidR="008B7326" w:rsidRDefault="0060744B" w:rsidP="00135D22">
      <w:pPr>
        <w:pStyle w:val="h5Section"/>
      </w:pPr>
      <w:bookmarkStart w:id="30" w:name="_Toc362952380"/>
      <w:r>
        <w:t>4.7</w:t>
      </w:r>
      <w:r w:rsidR="00EA146C">
        <w:tab/>
      </w:r>
      <w:r w:rsidR="008B7326">
        <w:t>Average</w:t>
      </w:r>
      <w:r w:rsidR="00B352DA">
        <w:t xml:space="preserve"> milking</w:t>
      </w:r>
      <w:r w:rsidR="006D303E">
        <w:t xml:space="preserve"> cow</w:t>
      </w:r>
      <w:r w:rsidR="008B7326">
        <w:t xml:space="preserve"> liveweight</w:t>
      </w:r>
      <w:bookmarkEnd w:id="30"/>
    </w:p>
    <w:p w:rsidR="001234FB" w:rsidRDefault="008B7326" w:rsidP="00135D22">
      <w:pPr>
        <w:pStyle w:val="tMain"/>
      </w:pPr>
      <w:r>
        <w:tab/>
      </w:r>
      <w:r w:rsidR="0060744B">
        <w:t>(1)</w:t>
      </w:r>
      <w:r>
        <w:tab/>
      </w:r>
      <w:r w:rsidR="001234FB">
        <w:t>T</w:t>
      </w:r>
      <w:r w:rsidRPr="003D2C9F">
        <w:t>he average</w:t>
      </w:r>
      <w:r w:rsidR="00B352DA">
        <w:t xml:space="preserve"> milking</w:t>
      </w:r>
      <w:r w:rsidR="006D303E">
        <w:t xml:space="preserve"> cow</w:t>
      </w:r>
      <w:r w:rsidRPr="003D2C9F">
        <w:t xml:space="preserve"> liveweight in each season must be determined using the following formula</w:t>
      </w:r>
      <w:r w:rsidR="001234FB">
        <w:t xml:space="preserve"> if da</w:t>
      </w:r>
      <w:r w:rsidR="006D303E">
        <w:t>ta is available for milking cow</w:t>
      </w:r>
      <w:r w:rsidR="001234FB">
        <w:t xml:space="preserve"> liveweight in</w:t>
      </w:r>
      <w:r w:rsidRPr="003D2C9F">
        <w:t>:</w:t>
      </w:r>
    </w:p>
    <w:p w:rsidR="008B7326" w:rsidRDefault="001234FB" w:rsidP="00135D22">
      <w:pPr>
        <w:pStyle w:val="tPara"/>
      </w:pPr>
      <w:r>
        <w:tab/>
      </w:r>
      <w:r w:rsidR="0060744B">
        <w:t>(a)</w:t>
      </w:r>
      <w:r>
        <w:tab/>
      </w:r>
      <w:proofErr w:type="gramStart"/>
      <w:r>
        <w:t>the</w:t>
      </w:r>
      <w:proofErr w:type="gramEnd"/>
      <w:r>
        <w:t xml:space="preserve"> season immediately preceding the baseline;</w:t>
      </w:r>
    </w:p>
    <w:p w:rsidR="001234FB" w:rsidRDefault="001234FB" w:rsidP="00135D22">
      <w:pPr>
        <w:pStyle w:val="tPara"/>
      </w:pPr>
      <w:r>
        <w:tab/>
      </w:r>
      <w:r w:rsidR="0060744B">
        <w:t>(b)</w:t>
      </w:r>
      <w:r>
        <w:tab/>
      </w:r>
      <w:proofErr w:type="gramStart"/>
      <w:r>
        <w:t>each</w:t>
      </w:r>
      <w:proofErr w:type="gramEnd"/>
      <w:r>
        <w:t xml:space="preserve"> season of the baseline; and</w:t>
      </w:r>
    </w:p>
    <w:p w:rsidR="001234FB" w:rsidRDefault="001234FB" w:rsidP="00135D22">
      <w:pPr>
        <w:pStyle w:val="tPara"/>
      </w:pPr>
      <w:r>
        <w:tab/>
      </w:r>
      <w:r w:rsidR="0060744B">
        <w:t>(c)</w:t>
      </w:r>
      <w:r>
        <w:tab/>
      </w:r>
      <w:proofErr w:type="gramStart"/>
      <w:r>
        <w:t>the</w:t>
      </w:r>
      <w:proofErr w:type="gramEnd"/>
      <w:r>
        <w:t xml:space="preserve"> season immediately preceding the project year.</w:t>
      </w:r>
    </w:p>
    <w:p w:rsidR="001234FB" w:rsidRPr="001234FB" w:rsidRDefault="00673B48" w:rsidP="00135D22">
      <w:pPr>
        <w:pStyle w:val="noteSubpara"/>
      </w:pPr>
      <w:r>
        <w:tab/>
      </w:r>
      <w:r>
        <w:rPr>
          <w:b/>
          <w:i/>
        </w:rPr>
        <w:t>Note</w:t>
      </w:r>
      <w:r>
        <w:tab/>
      </w:r>
      <w:r w:rsidR="004D56FA">
        <w:t>T</w:t>
      </w:r>
      <w:r>
        <w:t>he season immediately</w:t>
      </w:r>
      <w:r w:rsidR="004D56FA">
        <w:t xml:space="preserve"> </w:t>
      </w:r>
      <w:proofErr w:type="gramStart"/>
      <w:r w:rsidR="004D56FA">
        <w:t>preceding</w:t>
      </w:r>
      <w:proofErr w:type="gramEnd"/>
      <w:r w:rsidR="004D56FA">
        <w:t xml:space="preserve"> the project year may</w:t>
      </w:r>
      <w:r>
        <w:t xml:space="preserve"> be the last season of the baseline.</w:t>
      </w:r>
    </w:p>
    <w:tbl>
      <w:tblPr>
        <w:tblStyle w:val="TableGrid"/>
        <w:tblW w:w="0" w:type="auto"/>
        <w:tblInd w:w="964" w:type="dxa"/>
        <w:tblLook w:val="04A0" w:firstRow="1" w:lastRow="0" w:firstColumn="1" w:lastColumn="0" w:noHBand="0" w:noVBand="1"/>
      </w:tblPr>
      <w:tblGrid>
        <w:gridCol w:w="6374"/>
        <w:gridCol w:w="1904"/>
      </w:tblGrid>
      <w:tr w:rsidR="008B7326" w:rsidTr="00135D22">
        <w:tc>
          <w:tcPr>
            <w:tcW w:w="6374" w:type="dxa"/>
          </w:tcPr>
          <w:p w:rsidR="008B7326" w:rsidRPr="00EB27E6" w:rsidRDefault="00414585" w:rsidP="00135D22">
            <w:pPr>
              <w:pStyle w:val="tMain"/>
              <w:spacing w:before="100" w:line="360" w:lineRule="auto"/>
              <w:ind w:left="0" w:firstLine="0"/>
              <w:rPr>
                <w:i/>
              </w:rPr>
            </w:pPr>
            <m:oMathPara>
              <m:oMath>
                <m:sSub>
                  <m:sSubPr>
                    <m:ctrlPr>
                      <w:rPr>
                        <w:rFonts w:ascii="Cambria Math" w:hAnsi="Cambria Math"/>
                      </w:rPr>
                    </m:ctrlPr>
                  </m:sSubPr>
                  <m:e>
                    <m:r>
                      <m:rPr>
                        <m:sty m:val="p"/>
                      </m:rPr>
                      <w:rPr>
                        <w:rFonts w:ascii="Cambria Math" w:hAnsi="Cambria Math"/>
                      </w:rPr>
                      <m:t>LW</m:t>
                    </m:r>
                  </m:e>
                  <m:sub>
                    <m:r>
                      <m:rPr>
                        <m:sty m:val="p"/>
                      </m:rPr>
                      <w:rPr>
                        <w:rFonts w:ascii="Cambria Math" w:hAnsi="Cambria Math"/>
                      </w:rPr>
                      <m:t>j</m:t>
                    </m:r>
                  </m:sub>
                </m:sSub>
                <m:r>
                  <m:rPr>
                    <m:sty m:val="p"/>
                  </m:rPr>
                  <w:rPr>
                    <w:rFonts w:ascii="Cambria Math" w:hAnsi="Cambria Math"/>
                  </w:rPr>
                  <m:t xml:space="preserve">= </m:t>
                </m:r>
                <m:f>
                  <m:fPr>
                    <m:ctrlPr>
                      <w:rPr>
                        <w:rFonts w:ascii="Cambria Math" w:hAnsi="Cambria Math"/>
                      </w:rPr>
                    </m:ctrlPr>
                  </m:fPr>
                  <m:num>
                    <m:nary>
                      <m:naryPr>
                        <m:chr m:val="∑"/>
                        <m:limLoc m:val="subSup"/>
                        <m:supHide m:val="1"/>
                        <m:ctrlPr>
                          <w:rPr>
                            <w:rFonts w:ascii="Cambria Math" w:hAnsi="Cambria Math"/>
                          </w:rPr>
                        </m:ctrlPr>
                      </m:naryPr>
                      <m:sub>
                        <m:r>
                          <m:rPr>
                            <m:sty m:val="p"/>
                          </m:rPr>
                          <w:rPr>
                            <w:rFonts w:ascii="Cambria Math" w:hAnsi="Cambria Math"/>
                          </w:rPr>
                          <m:t>i</m:t>
                        </m:r>
                      </m:sub>
                      <m:sup/>
                      <m:e>
                        <m:sSub>
                          <m:sSubPr>
                            <m:ctrlPr>
                              <w:rPr>
                                <w:rFonts w:ascii="Cambria Math" w:hAnsi="Cambria Math"/>
                              </w:rPr>
                            </m:ctrlPr>
                          </m:sSubPr>
                          <m:e>
                            <m:r>
                              <m:rPr>
                                <m:sty m:val="p"/>
                              </m:rPr>
                              <w:rPr>
                                <w:rFonts w:ascii="Cambria Math" w:hAnsi="Cambria Math"/>
                              </w:rPr>
                              <m:t>MCLW</m:t>
                            </m:r>
                          </m:e>
                          <m:sub>
                            <m:r>
                              <m:rPr>
                                <m:sty m:val="p"/>
                              </m:rPr>
                              <w:rPr>
                                <w:rFonts w:ascii="Cambria Math" w:hAnsi="Cambria Math"/>
                              </w:rPr>
                              <m:t>i,j</m:t>
                            </m:r>
                          </m:sub>
                        </m:sSub>
                      </m:e>
                    </m:nary>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j</m:t>
                        </m:r>
                      </m:sub>
                    </m:sSub>
                  </m:den>
                </m:f>
              </m:oMath>
            </m:oMathPara>
          </w:p>
        </w:tc>
        <w:tc>
          <w:tcPr>
            <w:tcW w:w="1904" w:type="dxa"/>
            <w:vAlign w:val="center"/>
          </w:tcPr>
          <w:p w:rsidR="008B7326" w:rsidRPr="005E6456" w:rsidRDefault="008B7326" w:rsidP="00135D22">
            <w:pPr>
              <w:pStyle w:val="tMain"/>
              <w:ind w:left="0" w:firstLine="0"/>
              <w:jc w:val="center"/>
              <w:rPr>
                <w:b/>
              </w:rPr>
            </w:pPr>
            <w:r w:rsidRPr="005E6456">
              <w:rPr>
                <w:b/>
              </w:rPr>
              <w:t>Equation 2</w:t>
            </w:r>
          </w:p>
        </w:tc>
      </w:tr>
    </w:tbl>
    <w:p w:rsidR="008B7326" w:rsidRDefault="008B7326" w:rsidP="00135D22">
      <w:pPr>
        <w:pStyle w:val="tMain"/>
      </w:pPr>
      <w:r>
        <w:tab/>
      </w:r>
      <w:r>
        <w:tab/>
        <w:t>Where:</w:t>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582"/>
      </w:tblGrid>
      <w:tr w:rsidR="008B7326" w:rsidTr="00890C41">
        <w:tc>
          <w:tcPr>
            <w:tcW w:w="1696" w:type="dxa"/>
          </w:tcPr>
          <w:p w:rsidR="008B7326" w:rsidRPr="0017629F" w:rsidRDefault="0017629F" w:rsidP="00135D22">
            <w:pPr>
              <w:pStyle w:val="tMain"/>
              <w:ind w:left="0" w:firstLine="0"/>
              <w:jc w:val="right"/>
            </w:pPr>
            <w:proofErr w:type="spellStart"/>
            <w:r>
              <w:t>LW</w:t>
            </w:r>
            <w:r>
              <w:rPr>
                <w:vertAlign w:val="subscript"/>
              </w:rPr>
              <w:t>j</w:t>
            </w:r>
            <w:proofErr w:type="spellEnd"/>
            <w:r>
              <w:t xml:space="preserve">  =</w:t>
            </w:r>
          </w:p>
        </w:tc>
        <w:tc>
          <w:tcPr>
            <w:tcW w:w="6582" w:type="dxa"/>
          </w:tcPr>
          <w:p w:rsidR="008B7326" w:rsidRDefault="00890C41" w:rsidP="00135D22">
            <w:pPr>
              <w:pStyle w:val="tMain"/>
              <w:ind w:left="0" w:firstLine="0"/>
            </w:pPr>
            <w:proofErr w:type="gramStart"/>
            <w:r>
              <w:t>average</w:t>
            </w:r>
            <w:proofErr w:type="gramEnd"/>
            <w:r>
              <w:t xml:space="preserve"> liveweight of a</w:t>
            </w:r>
            <w:r w:rsidR="00B352DA">
              <w:t xml:space="preserve"> milking</w:t>
            </w:r>
            <w:r w:rsidR="008B7326" w:rsidRPr="00EB27E6">
              <w:t xml:space="preserve"> </w:t>
            </w:r>
            <w:r w:rsidR="006D303E">
              <w:t>cow</w:t>
            </w:r>
            <w:r w:rsidR="008B7326" w:rsidRPr="00EB27E6">
              <w:t xml:space="preserve"> during season </w:t>
            </w:r>
            <w:r w:rsidR="008B7326" w:rsidRPr="00EB27E6">
              <w:rPr>
                <w:i/>
              </w:rPr>
              <w:t>j</w:t>
            </w:r>
            <w:r w:rsidR="008B7326" w:rsidRPr="00EB27E6">
              <w:t>, in kilograms per head (kg.head</w:t>
            </w:r>
            <w:r w:rsidR="008B7326" w:rsidRPr="00EB27E6">
              <w:rPr>
                <w:vertAlign w:val="superscript"/>
              </w:rPr>
              <w:t>-1</w:t>
            </w:r>
            <w:r w:rsidR="008B7326" w:rsidRPr="00EB27E6">
              <w:t>)</w:t>
            </w:r>
            <w:r w:rsidR="008B7326">
              <w:t>.</w:t>
            </w:r>
          </w:p>
        </w:tc>
      </w:tr>
      <w:tr w:rsidR="00890C41" w:rsidTr="00890C41">
        <w:tc>
          <w:tcPr>
            <w:tcW w:w="1696" w:type="dxa"/>
          </w:tcPr>
          <w:p w:rsidR="00890C41" w:rsidRDefault="00890C41" w:rsidP="00135D22">
            <w:pPr>
              <w:pStyle w:val="tMain"/>
              <w:ind w:left="0" w:firstLine="0"/>
              <w:jc w:val="right"/>
            </w:pPr>
            <w:r>
              <w:lastRenderedPageBreak/>
              <w:t xml:space="preserve">i = </w:t>
            </w:r>
          </w:p>
        </w:tc>
        <w:tc>
          <w:tcPr>
            <w:tcW w:w="6582" w:type="dxa"/>
          </w:tcPr>
          <w:p w:rsidR="00890C41" w:rsidRPr="00890C41" w:rsidRDefault="00890C41" w:rsidP="00135D22">
            <w:pPr>
              <w:pStyle w:val="tMain"/>
              <w:ind w:left="0" w:firstLine="0"/>
            </w:pPr>
            <w:proofErr w:type="spellStart"/>
            <w:proofErr w:type="gramStart"/>
            <w:r w:rsidRPr="004123C3">
              <w:rPr>
                <w:i/>
              </w:rPr>
              <w:t>i</w:t>
            </w:r>
            <w:r>
              <w:rPr>
                <w:vertAlign w:val="superscript"/>
              </w:rPr>
              <w:t>th</w:t>
            </w:r>
            <w:proofErr w:type="spellEnd"/>
            <w:proofErr w:type="gramEnd"/>
            <w:r>
              <w:rPr>
                <w:vertAlign w:val="superscript"/>
              </w:rPr>
              <w:t xml:space="preserve"> </w:t>
            </w:r>
            <w:r>
              <w:t>milking cow in the milking herd.</w:t>
            </w:r>
          </w:p>
        </w:tc>
      </w:tr>
      <w:tr w:rsidR="008B7326" w:rsidTr="00890C41">
        <w:tc>
          <w:tcPr>
            <w:tcW w:w="1696" w:type="dxa"/>
          </w:tcPr>
          <w:p w:rsidR="008B7326" w:rsidRPr="0017629F" w:rsidRDefault="0017629F" w:rsidP="00135D22">
            <w:pPr>
              <w:pStyle w:val="tMain"/>
              <w:ind w:left="0" w:firstLine="0"/>
              <w:jc w:val="right"/>
            </w:pPr>
            <w:proofErr w:type="spellStart"/>
            <w:r>
              <w:t>MCLW</w:t>
            </w:r>
            <w:r>
              <w:rPr>
                <w:vertAlign w:val="subscript"/>
              </w:rPr>
              <w:t>i</w:t>
            </w:r>
            <w:r w:rsidR="004632D6">
              <w:rPr>
                <w:vertAlign w:val="subscript"/>
              </w:rPr>
              <w:t>,j</w:t>
            </w:r>
            <w:proofErr w:type="spellEnd"/>
            <w:r>
              <w:rPr>
                <w:vertAlign w:val="subscript"/>
              </w:rPr>
              <w:t xml:space="preserve">  </w:t>
            </w:r>
            <w:r>
              <w:t>=</w:t>
            </w:r>
          </w:p>
        </w:tc>
        <w:tc>
          <w:tcPr>
            <w:tcW w:w="6582" w:type="dxa"/>
          </w:tcPr>
          <w:p w:rsidR="008B7326" w:rsidRDefault="008B7326" w:rsidP="00135D22">
            <w:pPr>
              <w:pStyle w:val="tMain"/>
              <w:ind w:left="0" w:firstLine="0"/>
            </w:pPr>
            <w:proofErr w:type="gramStart"/>
            <w:r w:rsidRPr="00EB27E6">
              <w:t>liveweight</w:t>
            </w:r>
            <w:proofErr w:type="gramEnd"/>
            <w:r w:rsidRPr="00EB27E6">
              <w:t xml:space="preserve"> of</w:t>
            </w:r>
            <w:r>
              <w:t xml:space="preserve"> each milking cow </w:t>
            </w:r>
            <w:r>
              <w:rPr>
                <w:i/>
              </w:rPr>
              <w:t>i</w:t>
            </w:r>
            <w:r>
              <w:t xml:space="preserve"> during season </w:t>
            </w:r>
            <w:r>
              <w:rPr>
                <w:i/>
              </w:rPr>
              <w:t>j</w:t>
            </w:r>
            <w:r w:rsidRPr="00EB27E6">
              <w:t>, in kilograms (kg)</w:t>
            </w:r>
            <w:r>
              <w:t>.</w:t>
            </w:r>
          </w:p>
        </w:tc>
      </w:tr>
      <w:tr w:rsidR="008B7326" w:rsidTr="00890C41">
        <w:tc>
          <w:tcPr>
            <w:tcW w:w="1696" w:type="dxa"/>
          </w:tcPr>
          <w:p w:rsidR="008B7326" w:rsidRPr="0017629F" w:rsidRDefault="0017629F" w:rsidP="00135D22">
            <w:pPr>
              <w:pStyle w:val="tMain"/>
              <w:ind w:left="0" w:firstLine="0"/>
              <w:jc w:val="right"/>
            </w:pPr>
            <w:proofErr w:type="spellStart"/>
            <w:r>
              <w:t>N</w:t>
            </w:r>
            <w:r>
              <w:rPr>
                <w:vertAlign w:val="subscript"/>
              </w:rPr>
              <w:t>j</w:t>
            </w:r>
            <w:proofErr w:type="spellEnd"/>
            <w:r>
              <w:rPr>
                <w:vertAlign w:val="subscript"/>
              </w:rPr>
              <w:t xml:space="preserve">  </w:t>
            </w:r>
            <w:r>
              <w:t>=</w:t>
            </w:r>
          </w:p>
        </w:tc>
        <w:tc>
          <w:tcPr>
            <w:tcW w:w="6582" w:type="dxa"/>
          </w:tcPr>
          <w:p w:rsidR="008B7326" w:rsidRDefault="008B7326" w:rsidP="00135D22">
            <w:pPr>
              <w:pStyle w:val="tMain"/>
              <w:ind w:left="0" w:firstLine="0"/>
            </w:pPr>
            <w:proofErr w:type="gramStart"/>
            <w:r w:rsidRPr="000867F6">
              <w:t>average</w:t>
            </w:r>
            <w:proofErr w:type="gramEnd"/>
            <w:r w:rsidRPr="000867F6">
              <w:t xml:space="preserve"> number of milking cows</w:t>
            </w:r>
            <w:r w:rsidR="00765025" w:rsidRPr="000867F6">
              <w:t xml:space="preserve"> in the</w:t>
            </w:r>
            <w:r w:rsidR="00B352DA">
              <w:t xml:space="preserve"> milking</w:t>
            </w:r>
            <w:r w:rsidR="00765025" w:rsidRPr="000867F6">
              <w:t xml:space="preserve"> herd</w:t>
            </w:r>
            <w:r w:rsidRPr="000867F6">
              <w:t xml:space="preserve"> </w:t>
            </w:r>
            <w:r w:rsidR="00765025" w:rsidRPr="000867F6">
              <w:t>in</w:t>
            </w:r>
            <w:r w:rsidRPr="000867F6">
              <w:t xml:space="preserve"> season </w:t>
            </w:r>
            <w:r w:rsidRPr="000867F6">
              <w:rPr>
                <w:i/>
              </w:rPr>
              <w:t>j</w:t>
            </w:r>
            <w:r w:rsidRPr="000867F6">
              <w:t xml:space="preserve"> calculated</w:t>
            </w:r>
            <w:r w:rsidRPr="008D718F">
              <w:t xml:space="preserve"> in </w:t>
            </w:r>
            <w:r>
              <w:t xml:space="preserve">accordance with </w:t>
            </w:r>
            <w:r w:rsidRPr="008D718F">
              <w:t>Equation 1</w:t>
            </w:r>
            <w:r>
              <w:t>.</w:t>
            </w:r>
          </w:p>
        </w:tc>
      </w:tr>
    </w:tbl>
    <w:p w:rsidR="008B7326" w:rsidRDefault="00765025" w:rsidP="00135D22">
      <w:pPr>
        <w:pStyle w:val="tMain"/>
      </w:pPr>
      <w:r>
        <w:tab/>
      </w:r>
      <w:r w:rsidR="0060744B">
        <w:t>(2)</w:t>
      </w:r>
      <w:r>
        <w:tab/>
      </w:r>
      <w:r w:rsidR="008B7326">
        <w:t xml:space="preserve">If the data mentioned in subsection </w:t>
      </w:r>
      <w:r w:rsidR="0060744B">
        <w:t>(1)</w:t>
      </w:r>
      <w:r w:rsidR="008B7326">
        <w:t xml:space="preserve"> is not available,</w:t>
      </w:r>
      <w:r w:rsidR="008B7326" w:rsidRPr="00957B4A">
        <w:t xml:space="preserve"> the average</w:t>
      </w:r>
      <w:r w:rsidR="00B352DA">
        <w:t xml:space="preserve"> milking</w:t>
      </w:r>
      <w:r w:rsidR="00C961F5">
        <w:t xml:space="preserve"> cow</w:t>
      </w:r>
      <w:r w:rsidR="008B7326" w:rsidRPr="00957B4A">
        <w:t xml:space="preserve"> liveweight in each season must be determined using the standard reference </w:t>
      </w:r>
      <w:r w:rsidR="00944441">
        <w:t>live</w:t>
      </w:r>
      <w:r w:rsidR="008B7326" w:rsidRPr="00957B4A">
        <w:t>weight speci</w:t>
      </w:r>
      <w:r w:rsidR="008B7326">
        <w:t>fied in the National Inven</w:t>
      </w:r>
      <w:r w:rsidR="00132E6A">
        <w:t>tory Report for the milking cow</w:t>
      </w:r>
      <w:r w:rsidR="008B7326">
        <w:t xml:space="preserve"> against</w:t>
      </w:r>
      <w:r w:rsidR="00944441">
        <w:t xml:space="preserve"> its</w:t>
      </w:r>
      <w:r w:rsidR="008B7326" w:rsidRPr="00957B4A">
        <w:t xml:space="preserve"> geographic location</w:t>
      </w:r>
      <w:r w:rsidR="008B7326">
        <w:t>.</w:t>
      </w:r>
    </w:p>
    <w:p w:rsidR="00C82C2B" w:rsidRDefault="008B7326" w:rsidP="00135D22">
      <w:pPr>
        <w:pStyle w:val="tMain"/>
      </w:pPr>
      <w:r>
        <w:tab/>
      </w:r>
      <w:r w:rsidR="0060744B">
        <w:t>(3)</w:t>
      </w:r>
      <w:r>
        <w:tab/>
        <w:t>Whichever of the methods specified in subsections</w:t>
      </w:r>
      <w:r w:rsidR="00C82C2B">
        <w:t xml:space="preserve"> </w:t>
      </w:r>
      <w:r w:rsidR="0060744B">
        <w:t>(1)</w:t>
      </w:r>
      <w:r>
        <w:t xml:space="preserve"> </w:t>
      </w:r>
      <w:r w:rsidR="00C82C2B">
        <w:t>a</w:t>
      </w:r>
      <w:r>
        <w:t>nd</w:t>
      </w:r>
      <w:r w:rsidR="00C82C2B">
        <w:t xml:space="preserve"> </w:t>
      </w:r>
      <w:r w:rsidR="0060744B">
        <w:t>(2)</w:t>
      </w:r>
      <w:r>
        <w:t xml:space="preserve"> is used</w:t>
      </w:r>
      <w:r w:rsidR="00C82C2B">
        <w:t>, that method must continue to be applied in subsequent baseline years and in the project years.</w:t>
      </w:r>
    </w:p>
    <w:p w:rsidR="008B7326" w:rsidRDefault="0060744B" w:rsidP="00135D22">
      <w:pPr>
        <w:pStyle w:val="h5Section"/>
      </w:pPr>
      <w:bookmarkStart w:id="31" w:name="_Toc362952381"/>
      <w:r>
        <w:t>4.8</w:t>
      </w:r>
      <w:r w:rsidR="008B7326">
        <w:tab/>
        <w:t>Average daily liveweight gain</w:t>
      </w:r>
      <w:bookmarkEnd w:id="31"/>
      <w:r w:rsidR="008B7326">
        <w:t xml:space="preserve"> </w:t>
      </w:r>
    </w:p>
    <w:p w:rsidR="008B7326" w:rsidRDefault="008B7326" w:rsidP="00135D22">
      <w:pPr>
        <w:pStyle w:val="tMain"/>
      </w:pPr>
      <w:r>
        <w:tab/>
      </w:r>
      <w:r w:rsidR="0060744B">
        <w:t>(1)</w:t>
      </w:r>
      <w:r w:rsidRPr="003D2C9F">
        <w:tab/>
        <w:t>If data is available for</w:t>
      </w:r>
      <w:r w:rsidR="00B352DA">
        <w:t xml:space="preserve"> the milking</w:t>
      </w:r>
      <w:r w:rsidRPr="003D2C9F">
        <w:t xml:space="preserve"> </w:t>
      </w:r>
      <w:r w:rsidR="00132E6A">
        <w:t>cow</w:t>
      </w:r>
      <w:r w:rsidR="00D448E1">
        <w:t xml:space="preserve"> liveweight in each of the</w:t>
      </w:r>
      <w:r w:rsidRPr="003D2C9F">
        <w:t xml:space="preserve"> baseline years, the average liveweight gain in each season must be determined using the following formula:</w:t>
      </w:r>
      <w:r w:rsidRPr="00A333EC">
        <w:tab/>
      </w:r>
    </w:p>
    <w:tbl>
      <w:tblPr>
        <w:tblStyle w:val="TableGrid"/>
        <w:tblW w:w="8268" w:type="dxa"/>
        <w:tblInd w:w="964" w:type="dxa"/>
        <w:tblLook w:val="04A0" w:firstRow="1" w:lastRow="0" w:firstColumn="1" w:lastColumn="0" w:noHBand="0" w:noVBand="1"/>
      </w:tblPr>
      <w:tblGrid>
        <w:gridCol w:w="6374"/>
        <w:gridCol w:w="1894"/>
      </w:tblGrid>
      <w:tr w:rsidR="008B7326" w:rsidTr="00135D22">
        <w:trPr>
          <w:trHeight w:val="831"/>
        </w:trPr>
        <w:tc>
          <w:tcPr>
            <w:tcW w:w="6374" w:type="dxa"/>
          </w:tcPr>
          <w:p w:rsidR="008B7326" w:rsidRDefault="00414585" w:rsidP="00135D22">
            <w:pPr>
              <w:pStyle w:val="tMain"/>
              <w:spacing w:before="100" w:line="360" w:lineRule="auto"/>
              <w:ind w:left="0" w:firstLine="0"/>
            </w:pPr>
            <m:oMathPara>
              <m:oMath>
                <m:sSub>
                  <m:sSubPr>
                    <m:ctrlPr>
                      <w:rPr>
                        <w:rFonts w:ascii="Cambria Math" w:hAnsi="Cambria Math"/>
                      </w:rPr>
                    </m:ctrlPr>
                  </m:sSubPr>
                  <m:e>
                    <m:r>
                      <m:rPr>
                        <m:sty m:val="p"/>
                      </m:rPr>
                      <w:rPr>
                        <w:rFonts w:ascii="Cambria Math" w:hAnsi="Cambria Math"/>
                      </w:rPr>
                      <m:t>LWG</m:t>
                    </m:r>
                  </m:e>
                  <m:sub>
                    <m:r>
                      <m:rPr>
                        <m:sty m:val="p"/>
                      </m:rPr>
                      <w:rPr>
                        <w:rFonts w:ascii="Cambria Math" w:hAnsi="Cambria Math"/>
                      </w:rPr>
                      <m:t>j</m:t>
                    </m:r>
                  </m:sub>
                </m:sSub>
                <m:r>
                  <w:rPr>
                    <w:rFonts w:ascii="Cambria Math" w:hAnsi="Cambria Math"/>
                  </w:rPr>
                  <m:t xml:space="preserve">= </m:t>
                </m:r>
                <m:f>
                  <m:fPr>
                    <m:ctrlPr>
                      <w:rPr>
                        <w:rFonts w:ascii="Cambria Math" w:hAnsi="Cambria Math"/>
                      </w:rPr>
                    </m:ctrlPr>
                  </m:fPr>
                  <m:num>
                    <m:sSub>
                      <m:sSubPr>
                        <m:ctrlPr>
                          <w:rPr>
                            <w:rFonts w:ascii="Cambria Math" w:hAnsi="Cambria Math"/>
                          </w:rPr>
                        </m:ctrlPr>
                      </m:sSubPr>
                      <m:e>
                        <m:r>
                          <m:rPr>
                            <m:sty m:val="p"/>
                          </m:rPr>
                          <w:rPr>
                            <w:rFonts w:ascii="Cambria Math" w:hAnsi="Cambria Math"/>
                          </w:rPr>
                          <m:t>LW</m:t>
                        </m:r>
                      </m:e>
                      <m:sub>
                        <m:r>
                          <m:rPr>
                            <m:sty m:val="p"/>
                          </m:rPr>
                          <w:rPr>
                            <w:rFonts w:ascii="Cambria Math" w:hAnsi="Cambria Math"/>
                          </w:rPr>
                          <m:t>j</m:t>
                        </m:r>
                      </m:sub>
                    </m:sSub>
                    <m:r>
                      <w:rPr>
                        <w:rFonts w:ascii="Cambria Math" w:hAnsi="Cambria Math"/>
                      </w:rPr>
                      <m:t>-</m:t>
                    </m:r>
                    <m:sSub>
                      <m:sSubPr>
                        <m:ctrlPr>
                          <w:rPr>
                            <w:rFonts w:ascii="Cambria Math" w:hAnsi="Cambria Math"/>
                          </w:rPr>
                        </m:ctrlPr>
                      </m:sSubPr>
                      <m:e>
                        <m:r>
                          <m:rPr>
                            <m:sty m:val="p"/>
                          </m:rPr>
                          <w:rPr>
                            <w:rFonts w:ascii="Cambria Math" w:hAnsi="Cambria Math"/>
                          </w:rPr>
                          <m:t>LW</m:t>
                        </m:r>
                      </m:e>
                      <m:sub>
                        <m:r>
                          <m:rPr>
                            <m:sty m:val="p"/>
                          </m:rPr>
                          <w:rPr>
                            <w:rFonts w:ascii="Cambria Math" w:hAnsi="Cambria Math"/>
                          </w:rPr>
                          <m:t>j-1</m:t>
                        </m:r>
                      </m:sub>
                    </m:sSub>
                  </m:num>
                  <m:den>
                    <m:r>
                      <w:rPr>
                        <w:rFonts w:ascii="Cambria Math" w:hAnsi="Cambria Math"/>
                      </w:rPr>
                      <m:t>91.25</m:t>
                    </m:r>
                  </m:den>
                </m:f>
              </m:oMath>
            </m:oMathPara>
          </w:p>
        </w:tc>
        <w:tc>
          <w:tcPr>
            <w:tcW w:w="1894" w:type="dxa"/>
            <w:vAlign w:val="center"/>
          </w:tcPr>
          <w:p w:rsidR="008B7326" w:rsidRPr="005E6456" w:rsidRDefault="008B7326" w:rsidP="00135D22">
            <w:pPr>
              <w:pStyle w:val="tMain"/>
              <w:ind w:left="0" w:firstLine="0"/>
              <w:jc w:val="center"/>
              <w:rPr>
                <w:b/>
              </w:rPr>
            </w:pPr>
            <w:r w:rsidRPr="005E6456">
              <w:rPr>
                <w:b/>
              </w:rPr>
              <w:t>Equation 3</w:t>
            </w:r>
          </w:p>
        </w:tc>
      </w:tr>
    </w:tbl>
    <w:p w:rsidR="008B7326" w:rsidRDefault="008B7326" w:rsidP="00135D22">
      <w:pPr>
        <w:pStyle w:val="tMain"/>
      </w:pPr>
      <w:r>
        <w:tab/>
      </w:r>
      <w:r>
        <w:tab/>
        <w:t>Where:</w:t>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582"/>
      </w:tblGrid>
      <w:tr w:rsidR="008B7326" w:rsidTr="0017629F">
        <w:tc>
          <w:tcPr>
            <w:tcW w:w="1696" w:type="dxa"/>
          </w:tcPr>
          <w:p w:rsidR="008B7326" w:rsidRPr="0017629F" w:rsidRDefault="0017629F" w:rsidP="00135D22">
            <w:pPr>
              <w:pStyle w:val="tMain"/>
              <w:ind w:left="0" w:firstLine="0"/>
              <w:jc w:val="right"/>
            </w:pPr>
            <w:proofErr w:type="spellStart"/>
            <w:r>
              <w:t>LWG</w:t>
            </w:r>
            <w:r>
              <w:rPr>
                <w:vertAlign w:val="subscript"/>
              </w:rPr>
              <w:t>j</w:t>
            </w:r>
            <w:proofErr w:type="spellEnd"/>
            <w:r>
              <w:rPr>
                <w:vertAlign w:val="subscript"/>
              </w:rPr>
              <w:t xml:space="preserve">  </w:t>
            </w:r>
            <w:r>
              <w:t>=</w:t>
            </w:r>
          </w:p>
        </w:tc>
        <w:tc>
          <w:tcPr>
            <w:tcW w:w="6582" w:type="dxa"/>
          </w:tcPr>
          <w:p w:rsidR="008B7326" w:rsidRDefault="008B7326" w:rsidP="00135D22">
            <w:pPr>
              <w:pStyle w:val="tMain"/>
              <w:ind w:left="0" w:firstLine="0"/>
            </w:pPr>
            <w:proofErr w:type="gramStart"/>
            <w:r w:rsidRPr="00717E6F">
              <w:t>average</w:t>
            </w:r>
            <w:proofErr w:type="gramEnd"/>
            <w:r w:rsidRPr="00717E6F">
              <w:t xml:space="preserve"> liveweight gain of a milking cow during season </w:t>
            </w:r>
            <w:r w:rsidR="001A2CEE">
              <w:rPr>
                <w:i/>
              </w:rPr>
              <w:t>j</w:t>
            </w:r>
            <w:r w:rsidR="001A2CEE">
              <w:t>,</w:t>
            </w:r>
            <w:r w:rsidRPr="00717E6F">
              <w:t xml:space="preserve"> in kilograms per head per day (kg.head</w:t>
            </w:r>
            <w:r w:rsidRPr="00717E6F">
              <w:rPr>
                <w:vertAlign w:val="superscript"/>
              </w:rPr>
              <w:noBreakHyphen/>
              <w:t>1</w:t>
            </w:r>
            <w:r w:rsidR="003723EE">
              <w:t>.</w:t>
            </w:r>
            <w:r w:rsidRPr="00717E6F">
              <w:t>day</w:t>
            </w:r>
            <w:r w:rsidRPr="00717E6F">
              <w:rPr>
                <w:vertAlign w:val="superscript"/>
              </w:rPr>
              <w:t>-1</w:t>
            </w:r>
            <w:r w:rsidRPr="00717E6F">
              <w:t>)</w:t>
            </w:r>
            <w:r>
              <w:t>.</w:t>
            </w:r>
          </w:p>
        </w:tc>
      </w:tr>
      <w:tr w:rsidR="008B7326" w:rsidTr="0017629F">
        <w:tc>
          <w:tcPr>
            <w:tcW w:w="1696" w:type="dxa"/>
          </w:tcPr>
          <w:p w:rsidR="008B7326" w:rsidRPr="0017629F" w:rsidRDefault="0017629F" w:rsidP="00135D22">
            <w:pPr>
              <w:pStyle w:val="tMain"/>
              <w:ind w:left="0" w:firstLine="0"/>
              <w:jc w:val="right"/>
            </w:pPr>
            <w:proofErr w:type="spellStart"/>
            <w:r>
              <w:t>LW</w:t>
            </w:r>
            <w:r>
              <w:rPr>
                <w:vertAlign w:val="subscript"/>
              </w:rPr>
              <w:t>j</w:t>
            </w:r>
            <w:proofErr w:type="spellEnd"/>
            <w:r>
              <w:rPr>
                <w:vertAlign w:val="subscript"/>
              </w:rPr>
              <w:t xml:space="preserve">  </w:t>
            </w:r>
            <w:r>
              <w:t>=</w:t>
            </w:r>
          </w:p>
        </w:tc>
        <w:tc>
          <w:tcPr>
            <w:tcW w:w="6582" w:type="dxa"/>
          </w:tcPr>
          <w:p w:rsidR="008B7326" w:rsidRPr="008D718F" w:rsidRDefault="00890C41" w:rsidP="00135D22">
            <w:pPr>
              <w:pStyle w:val="tMain"/>
              <w:ind w:left="0" w:firstLine="0"/>
            </w:pPr>
            <w:proofErr w:type="gramStart"/>
            <w:r>
              <w:t>average</w:t>
            </w:r>
            <w:proofErr w:type="gramEnd"/>
            <w:r>
              <w:t xml:space="preserve"> liveweight of a</w:t>
            </w:r>
            <w:r w:rsidR="00B352DA">
              <w:t xml:space="preserve"> milking</w:t>
            </w:r>
            <w:r w:rsidR="00132E6A">
              <w:t xml:space="preserve"> cow</w:t>
            </w:r>
            <w:r w:rsidR="00262DF2">
              <w:t xml:space="preserve"> during season </w:t>
            </w:r>
            <w:r w:rsidR="008B7326" w:rsidRPr="008D718F">
              <w:rPr>
                <w:i/>
              </w:rPr>
              <w:t>j</w:t>
            </w:r>
            <w:r w:rsidR="008B7326" w:rsidRPr="008D718F">
              <w:t xml:space="preserve"> calculated </w:t>
            </w:r>
            <w:r w:rsidR="008B7326">
              <w:t>in accordance with Equation 2.</w:t>
            </w:r>
          </w:p>
        </w:tc>
      </w:tr>
      <w:tr w:rsidR="008B7326" w:rsidTr="0017629F">
        <w:tc>
          <w:tcPr>
            <w:tcW w:w="1696" w:type="dxa"/>
          </w:tcPr>
          <w:p w:rsidR="008B7326" w:rsidRPr="0017629F" w:rsidRDefault="0017629F" w:rsidP="00135D22">
            <w:pPr>
              <w:pStyle w:val="tMain"/>
              <w:ind w:left="0" w:firstLine="0"/>
              <w:jc w:val="right"/>
            </w:pPr>
            <w:r>
              <w:t>LW</w:t>
            </w:r>
            <w:r>
              <w:rPr>
                <w:vertAlign w:val="subscript"/>
              </w:rPr>
              <w:t>j-1</w:t>
            </w:r>
            <w:r>
              <w:t xml:space="preserve">  =</w:t>
            </w:r>
          </w:p>
        </w:tc>
        <w:tc>
          <w:tcPr>
            <w:tcW w:w="6582" w:type="dxa"/>
          </w:tcPr>
          <w:p w:rsidR="008B7326" w:rsidRPr="008D718F" w:rsidRDefault="00890C41" w:rsidP="00135D22">
            <w:pPr>
              <w:pStyle w:val="tMain"/>
              <w:ind w:left="0" w:firstLine="0"/>
            </w:pPr>
            <w:proofErr w:type="gramStart"/>
            <w:r>
              <w:t>average</w:t>
            </w:r>
            <w:proofErr w:type="gramEnd"/>
            <w:r>
              <w:t xml:space="preserve"> </w:t>
            </w:r>
            <w:r w:rsidR="008B7326" w:rsidRPr="008D718F">
              <w:t xml:space="preserve">liveweight of </w:t>
            </w:r>
            <w:r>
              <w:t>a</w:t>
            </w:r>
            <w:r w:rsidR="00B352DA">
              <w:t xml:space="preserve"> milking</w:t>
            </w:r>
            <w:r w:rsidR="00132E6A">
              <w:t xml:space="preserve"> cow</w:t>
            </w:r>
            <w:r w:rsidR="008B7326" w:rsidRPr="008D718F">
              <w:t xml:space="preserve"> during the season preceding season </w:t>
            </w:r>
            <w:r w:rsidR="008B7326" w:rsidRPr="008D718F">
              <w:rPr>
                <w:i/>
              </w:rPr>
              <w:t xml:space="preserve">j </w:t>
            </w:r>
            <w:r w:rsidR="008B7326" w:rsidRPr="00447938">
              <w:t>calculated in accordance with Equation 2.</w:t>
            </w:r>
          </w:p>
        </w:tc>
      </w:tr>
      <w:tr w:rsidR="008B7326" w:rsidTr="0017629F">
        <w:tc>
          <w:tcPr>
            <w:tcW w:w="1696" w:type="dxa"/>
          </w:tcPr>
          <w:p w:rsidR="008B7326" w:rsidRDefault="0017629F" w:rsidP="00135D22">
            <w:pPr>
              <w:pStyle w:val="tMain"/>
              <w:ind w:left="0" w:firstLine="0"/>
              <w:jc w:val="right"/>
            </w:pPr>
            <w:r>
              <w:t>91.25  =</w:t>
            </w:r>
          </w:p>
        </w:tc>
        <w:tc>
          <w:tcPr>
            <w:tcW w:w="6582" w:type="dxa"/>
          </w:tcPr>
          <w:p w:rsidR="008B7326" w:rsidRPr="008D718F" w:rsidRDefault="0049701B" w:rsidP="00135D22">
            <w:pPr>
              <w:pStyle w:val="tMain"/>
              <w:ind w:left="0" w:firstLine="0"/>
            </w:pPr>
            <w:proofErr w:type="gramStart"/>
            <w:r>
              <w:t>c</w:t>
            </w:r>
            <w:r w:rsidR="005160AB">
              <w:t>onstant</w:t>
            </w:r>
            <w:proofErr w:type="gramEnd"/>
            <w:r w:rsidR="00774E94">
              <w:t xml:space="preserve"> </w:t>
            </w:r>
            <w:r w:rsidR="008B7326">
              <w:t>average number of days in a season</w:t>
            </w:r>
            <w:r w:rsidR="005160AB">
              <w:t>.</w:t>
            </w:r>
          </w:p>
        </w:tc>
      </w:tr>
    </w:tbl>
    <w:p w:rsidR="008B7326" w:rsidRDefault="008B7326" w:rsidP="00135D22">
      <w:pPr>
        <w:pStyle w:val="tMain"/>
      </w:pPr>
      <w:r>
        <w:tab/>
      </w:r>
      <w:r w:rsidR="0060744B">
        <w:t>(2)</w:t>
      </w:r>
      <w:r>
        <w:tab/>
      </w:r>
      <w:r w:rsidRPr="00A333EC">
        <w:t xml:space="preserve">If the data mentioned in subsection </w:t>
      </w:r>
      <w:r w:rsidR="0060744B">
        <w:t>(1)</w:t>
      </w:r>
      <w:r>
        <w:t xml:space="preserve"> is not available</w:t>
      </w:r>
      <w:r w:rsidRPr="00A333EC">
        <w:t>,</w:t>
      </w:r>
      <w:r>
        <w:t xml:space="preserve"> the average</w:t>
      </w:r>
      <w:r w:rsidRPr="00A333EC">
        <w:t xml:space="preserve"> liveweight</w:t>
      </w:r>
      <w:r>
        <w:t xml:space="preserve"> gain</w:t>
      </w:r>
      <w:r w:rsidRPr="00A333EC">
        <w:t xml:space="preserve"> in each season must be determined using the standard reference </w:t>
      </w:r>
      <w:r w:rsidR="00765025">
        <w:t>live</w:t>
      </w:r>
      <w:r w:rsidRPr="00A333EC">
        <w:t>weight</w:t>
      </w:r>
      <w:r w:rsidR="00765025">
        <w:t xml:space="preserve"> gain</w:t>
      </w:r>
      <w:r w:rsidRPr="00A333EC">
        <w:t xml:space="preserve"> specified in </w:t>
      </w:r>
      <w:r>
        <w:t>the National Inventory Report</w:t>
      </w:r>
      <w:r w:rsidR="00765025">
        <w:t xml:space="preserve"> for the milking herd</w:t>
      </w:r>
      <w:r w:rsidRPr="00A333EC">
        <w:t xml:space="preserve"> ag</w:t>
      </w:r>
      <w:r w:rsidR="00765025">
        <w:t>ainst its</w:t>
      </w:r>
      <w:r w:rsidRPr="00A333EC">
        <w:t xml:space="preserve"> geographic location.</w:t>
      </w:r>
    </w:p>
    <w:p w:rsidR="000115A1" w:rsidRDefault="008B7326" w:rsidP="00135D22">
      <w:pPr>
        <w:pStyle w:val="tMain"/>
      </w:pPr>
      <w:r>
        <w:tab/>
      </w:r>
      <w:r w:rsidR="0060744B">
        <w:t>(3)</w:t>
      </w:r>
      <w:r>
        <w:tab/>
      </w:r>
      <w:r w:rsidRPr="003B61E6">
        <w:t>Whichever of the me</w:t>
      </w:r>
      <w:r>
        <w:t xml:space="preserve">thods specified in subsections </w:t>
      </w:r>
      <w:r w:rsidR="0060744B">
        <w:t>(1)</w:t>
      </w:r>
      <w:r w:rsidR="00C82C2B" w:rsidRPr="00C82C2B">
        <w:t xml:space="preserve"> and </w:t>
      </w:r>
      <w:r w:rsidR="0060744B">
        <w:t>(2)</w:t>
      </w:r>
      <w:r w:rsidR="00C82C2B" w:rsidRPr="00C82C2B">
        <w:t xml:space="preserve"> is used, that method must continue to be applied in subsequent baseline years and in the project years.</w:t>
      </w:r>
    </w:p>
    <w:p w:rsidR="00346D2C" w:rsidRDefault="00346D2C" w:rsidP="00135D22">
      <w:pPr>
        <w:pStyle w:val="tMain"/>
      </w:pPr>
    </w:p>
    <w:p w:rsidR="008B7326" w:rsidRDefault="0060744B" w:rsidP="00135D22">
      <w:pPr>
        <w:pStyle w:val="h5Section"/>
      </w:pPr>
      <w:bookmarkStart w:id="32" w:name="_Toc362952382"/>
      <w:r>
        <w:lastRenderedPageBreak/>
        <w:t>4.9</w:t>
      </w:r>
      <w:r w:rsidR="008B7326">
        <w:tab/>
        <w:t>Average milk production</w:t>
      </w:r>
      <w:bookmarkEnd w:id="32"/>
    </w:p>
    <w:p w:rsidR="008B7326" w:rsidRDefault="008B7326" w:rsidP="00135D22">
      <w:pPr>
        <w:pStyle w:val="tMain"/>
      </w:pPr>
      <w:r>
        <w:tab/>
      </w:r>
      <w:r>
        <w:tab/>
        <w:t>The average milk production of a milking cow for each season must be determined using the following formula:</w:t>
      </w:r>
      <w:r>
        <w:tab/>
      </w:r>
      <w:r>
        <w:tab/>
      </w:r>
    </w:p>
    <w:tbl>
      <w:tblPr>
        <w:tblStyle w:val="TableGrid"/>
        <w:tblW w:w="0" w:type="auto"/>
        <w:tblInd w:w="964" w:type="dxa"/>
        <w:tblLook w:val="04A0" w:firstRow="1" w:lastRow="0" w:firstColumn="1" w:lastColumn="0" w:noHBand="0" w:noVBand="1"/>
      </w:tblPr>
      <w:tblGrid>
        <w:gridCol w:w="6374"/>
        <w:gridCol w:w="1904"/>
      </w:tblGrid>
      <w:tr w:rsidR="008B7326" w:rsidTr="00135D22">
        <w:tc>
          <w:tcPr>
            <w:tcW w:w="6374" w:type="dxa"/>
          </w:tcPr>
          <w:p w:rsidR="008B7326" w:rsidRDefault="00414585" w:rsidP="00135D22">
            <w:pPr>
              <w:pStyle w:val="tMain"/>
              <w:spacing w:before="100" w:line="360" w:lineRule="auto"/>
              <w:ind w:left="0" w:firstLine="0"/>
            </w:pPr>
            <m:oMathPara>
              <m:oMath>
                <m:sSub>
                  <m:sSubPr>
                    <m:ctrlPr>
                      <w:rPr>
                        <w:rFonts w:ascii="Cambria Math" w:hAnsi="Cambria Math"/>
                      </w:rPr>
                    </m:ctrlPr>
                  </m:sSubPr>
                  <m:e>
                    <m:r>
                      <m:rPr>
                        <m:sty m:val="p"/>
                      </m:rPr>
                      <w:rPr>
                        <w:rFonts w:ascii="Cambria Math" w:hAnsi="Cambria Math"/>
                      </w:rPr>
                      <m:t>MP</m:t>
                    </m:r>
                  </m:e>
                  <m:sub>
                    <m:r>
                      <m:rPr>
                        <m:sty m:val="p"/>
                      </m:rPr>
                      <w:rPr>
                        <w:rFonts w:ascii="Cambria Math" w:hAnsi="Cambria Math"/>
                      </w:rPr>
                      <m:t>j</m:t>
                    </m:r>
                  </m:sub>
                </m:sSub>
                <m:r>
                  <w:rPr>
                    <w:rFonts w:ascii="Cambria Math" w:hAnsi="Cambria Math"/>
                  </w:rPr>
                  <m:t xml:space="preserve">= </m:t>
                </m:r>
                <m:f>
                  <m:fPr>
                    <m:ctrlPr>
                      <w:rPr>
                        <w:rFonts w:ascii="Cambria Math" w:hAnsi="Cambria Math"/>
                        <w:i/>
                      </w:rPr>
                    </m:ctrlPr>
                  </m:fPr>
                  <m:num>
                    <m:nary>
                      <m:naryPr>
                        <m:chr m:val="∑"/>
                        <m:limLoc m:val="subSup"/>
                        <m:supHide m:val="1"/>
                        <m:ctrlPr>
                          <w:rPr>
                            <w:rFonts w:ascii="Cambria Math" w:hAnsi="Cambria Math"/>
                            <w:i/>
                          </w:rPr>
                        </m:ctrlPr>
                      </m:naryPr>
                      <m:sub>
                        <m:r>
                          <m:rPr>
                            <m:sty m:val="p"/>
                          </m:rPr>
                          <w:rPr>
                            <w:rFonts w:ascii="Cambria Math" w:hAnsi="Cambria Math"/>
                          </w:rPr>
                          <m:t>d</m:t>
                        </m:r>
                      </m:sub>
                      <m:sup/>
                      <m:e>
                        <m:sSub>
                          <m:sSubPr>
                            <m:ctrlPr>
                              <w:rPr>
                                <w:rFonts w:ascii="Cambria Math" w:hAnsi="Cambria Math"/>
                              </w:rPr>
                            </m:ctrlPr>
                          </m:sSubPr>
                          <m:e>
                            <m:r>
                              <m:rPr>
                                <m:sty m:val="p"/>
                              </m:rPr>
                              <w:rPr>
                                <w:rFonts w:ascii="Cambria Math" w:hAnsi="Cambria Math"/>
                              </w:rPr>
                              <m:t>M</m:t>
                            </m:r>
                          </m:e>
                          <m:sub>
                            <m:r>
                              <m:rPr>
                                <m:sty m:val="p"/>
                              </m:rPr>
                              <w:rPr>
                                <w:rFonts w:ascii="Cambria Math" w:hAnsi="Cambria Math"/>
                              </w:rPr>
                              <m:t>d,j</m:t>
                            </m:r>
                          </m:sub>
                        </m:sSub>
                      </m:e>
                    </m:nary>
                  </m:num>
                  <m:den>
                    <m:sSub>
                      <m:sSubPr>
                        <m:ctrlPr>
                          <w:rPr>
                            <w:rFonts w:ascii="Cambria Math" w:hAnsi="Cambria Math"/>
                          </w:rPr>
                        </m:ctrlPr>
                      </m:sSubPr>
                      <m:e>
                        <m:r>
                          <m:rPr>
                            <m:sty m:val="p"/>
                          </m:rPr>
                          <w:rPr>
                            <w:rFonts w:ascii="Cambria Math" w:hAnsi="Cambria Math"/>
                          </w:rPr>
                          <m:t>91.25× N</m:t>
                        </m:r>
                      </m:e>
                      <m:sub>
                        <m:r>
                          <m:rPr>
                            <m:sty m:val="p"/>
                          </m:rPr>
                          <w:rPr>
                            <w:rFonts w:ascii="Cambria Math" w:hAnsi="Cambria Math"/>
                          </w:rPr>
                          <m:t>j</m:t>
                        </m:r>
                      </m:sub>
                    </m:sSub>
                    <m:r>
                      <m:rPr>
                        <m:sty m:val="p"/>
                      </m:rPr>
                      <w:rPr>
                        <w:rFonts w:ascii="Cambria Math" w:hAnsi="Cambria Math"/>
                      </w:rPr>
                      <m:t xml:space="preserve"> </m:t>
                    </m:r>
                  </m:den>
                </m:f>
              </m:oMath>
            </m:oMathPara>
          </w:p>
        </w:tc>
        <w:tc>
          <w:tcPr>
            <w:tcW w:w="1904" w:type="dxa"/>
            <w:vAlign w:val="center"/>
          </w:tcPr>
          <w:p w:rsidR="008B7326" w:rsidRPr="005E6456" w:rsidRDefault="008B7326" w:rsidP="00135D22">
            <w:pPr>
              <w:pStyle w:val="tMain"/>
              <w:ind w:left="0" w:firstLine="0"/>
              <w:jc w:val="center"/>
              <w:rPr>
                <w:b/>
              </w:rPr>
            </w:pPr>
            <w:r w:rsidRPr="005E6456">
              <w:rPr>
                <w:b/>
              </w:rPr>
              <w:t>Equation 4</w:t>
            </w:r>
          </w:p>
        </w:tc>
      </w:tr>
    </w:tbl>
    <w:p w:rsidR="008B7326" w:rsidRDefault="008B7326" w:rsidP="00135D22">
      <w:pPr>
        <w:pStyle w:val="tMain"/>
      </w:pPr>
      <w:r>
        <w:tab/>
      </w:r>
      <w:r>
        <w:tab/>
        <w:t>Where:</w:t>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582"/>
      </w:tblGrid>
      <w:tr w:rsidR="008B7326" w:rsidTr="00993396">
        <w:tc>
          <w:tcPr>
            <w:tcW w:w="1696" w:type="dxa"/>
          </w:tcPr>
          <w:p w:rsidR="008B7326" w:rsidRPr="0017629F" w:rsidRDefault="0017629F" w:rsidP="00135D22">
            <w:pPr>
              <w:pStyle w:val="tMain"/>
              <w:ind w:left="0" w:firstLine="0"/>
              <w:jc w:val="right"/>
            </w:pPr>
            <w:proofErr w:type="spellStart"/>
            <w:r>
              <w:t>MP</w:t>
            </w:r>
            <w:r>
              <w:rPr>
                <w:vertAlign w:val="subscript"/>
              </w:rPr>
              <w:t>j</w:t>
            </w:r>
            <w:proofErr w:type="spellEnd"/>
            <w:r>
              <w:rPr>
                <w:vertAlign w:val="subscript"/>
              </w:rPr>
              <w:t xml:space="preserve">  </w:t>
            </w:r>
            <w:r>
              <w:t>=</w:t>
            </w:r>
          </w:p>
        </w:tc>
        <w:tc>
          <w:tcPr>
            <w:tcW w:w="6582" w:type="dxa"/>
          </w:tcPr>
          <w:p w:rsidR="008B7326" w:rsidRDefault="008B7326" w:rsidP="00135D22">
            <w:pPr>
              <w:pStyle w:val="tMain"/>
              <w:ind w:left="0" w:firstLine="0"/>
            </w:pPr>
            <w:proofErr w:type="gramStart"/>
            <w:r w:rsidRPr="00BB2658">
              <w:t>average</w:t>
            </w:r>
            <w:proofErr w:type="gramEnd"/>
            <w:r w:rsidRPr="00BB2658">
              <w:t xml:space="preserve"> milk production of a milking cow during season </w:t>
            </w:r>
            <w:r w:rsidRPr="00BB2658">
              <w:rPr>
                <w:i/>
              </w:rPr>
              <w:t>j,</w:t>
            </w:r>
            <w:r w:rsidRPr="00BB2658">
              <w:t xml:space="preserve"> in litres per head per day (L.</w:t>
            </w:r>
            <w:r w:rsidRPr="00172A0C">
              <w:t>head</w:t>
            </w:r>
            <w:r w:rsidRPr="00172A0C">
              <w:rPr>
                <w:vertAlign w:val="superscript"/>
              </w:rPr>
              <w:noBreakHyphen/>
              <w:t>1</w:t>
            </w:r>
            <w:r w:rsidR="00132E6A">
              <w:t>.</w:t>
            </w:r>
            <w:r w:rsidRPr="00172A0C">
              <w:t>day</w:t>
            </w:r>
            <w:r w:rsidR="00172A0C" w:rsidRPr="00172A0C">
              <w:rPr>
                <w:vertAlign w:val="superscript"/>
              </w:rPr>
              <w:t>-1</w:t>
            </w:r>
            <w:r w:rsidRPr="00172A0C">
              <w:t>).</w:t>
            </w:r>
          </w:p>
        </w:tc>
      </w:tr>
      <w:tr w:rsidR="00993396" w:rsidTr="00993396">
        <w:tc>
          <w:tcPr>
            <w:tcW w:w="1696" w:type="dxa"/>
          </w:tcPr>
          <w:p w:rsidR="00993396" w:rsidRDefault="00993396" w:rsidP="00135D22">
            <w:pPr>
              <w:pStyle w:val="tMain"/>
              <w:ind w:left="0" w:firstLine="0"/>
              <w:jc w:val="right"/>
            </w:pPr>
            <w:r w:rsidRPr="00993396">
              <w:t>d  =</w:t>
            </w:r>
          </w:p>
        </w:tc>
        <w:tc>
          <w:tcPr>
            <w:tcW w:w="6582" w:type="dxa"/>
          </w:tcPr>
          <w:p w:rsidR="00993396" w:rsidRPr="00BB2658" w:rsidRDefault="00993396" w:rsidP="00135D22">
            <w:pPr>
              <w:pStyle w:val="tMain"/>
              <w:ind w:left="0" w:firstLine="0"/>
            </w:pPr>
            <w:proofErr w:type="spellStart"/>
            <w:r w:rsidRPr="001A2CEE">
              <w:rPr>
                <w:i/>
              </w:rPr>
              <w:t>d</w:t>
            </w:r>
            <w:r w:rsidRPr="00993396">
              <w:rPr>
                <w:vertAlign w:val="superscript"/>
              </w:rPr>
              <w:t>th</w:t>
            </w:r>
            <w:proofErr w:type="spellEnd"/>
            <w:r w:rsidRPr="00993396">
              <w:t xml:space="preserve"> day of season </w:t>
            </w:r>
            <w:r w:rsidRPr="00993396">
              <w:rPr>
                <w:i/>
              </w:rPr>
              <w:t>j</w:t>
            </w:r>
            <w:r w:rsidRPr="00993396">
              <w:t>.</w:t>
            </w:r>
          </w:p>
        </w:tc>
      </w:tr>
      <w:tr w:rsidR="008B7326" w:rsidTr="00993396">
        <w:tc>
          <w:tcPr>
            <w:tcW w:w="1696" w:type="dxa"/>
          </w:tcPr>
          <w:p w:rsidR="008B7326" w:rsidRPr="0017629F" w:rsidRDefault="0017629F" w:rsidP="00135D22">
            <w:pPr>
              <w:pStyle w:val="tMain"/>
              <w:ind w:left="0" w:firstLine="0"/>
              <w:jc w:val="right"/>
            </w:pPr>
            <w:proofErr w:type="spellStart"/>
            <w:r>
              <w:t>M</w:t>
            </w:r>
            <w:r>
              <w:rPr>
                <w:vertAlign w:val="subscript"/>
              </w:rPr>
              <w:t>d</w:t>
            </w:r>
            <w:r w:rsidR="00B41320">
              <w:rPr>
                <w:vertAlign w:val="subscript"/>
              </w:rPr>
              <w:t>,j</w:t>
            </w:r>
            <w:proofErr w:type="spellEnd"/>
            <w:r>
              <w:rPr>
                <w:vertAlign w:val="subscript"/>
              </w:rPr>
              <w:t xml:space="preserve">  </w:t>
            </w:r>
            <w:r>
              <w:t>=</w:t>
            </w:r>
          </w:p>
        </w:tc>
        <w:tc>
          <w:tcPr>
            <w:tcW w:w="6582" w:type="dxa"/>
          </w:tcPr>
          <w:p w:rsidR="008B7326" w:rsidRDefault="008B7326" w:rsidP="00135D22">
            <w:pPr>
              <w:pStyle w:val="tMain"/>
              <w:ind w:left="0" w:firstLine="0"/>
            </w:pPr>
            <w:proofErr w:type="gramStart"/>
            <w:r>
              <w:t>daily</w:t>
            </w:r>
            <w:proofErr w:type="gramEnd"/>
            <w:r>
              <w:t xml:space="preserve"> </w:t>
            </w:r>
            <w:r w:rsidRPr="0023244D">
              <w:t xml:space="preserve">volume of milk produced by the eligible dairy farm </w:t>
            </w:r>
            <w:r>
              <w:t xml:space="preserve">on day </w:t>
            </w:r>
            <w:r>
              <w:rPr>
                <w:i/>
              </w:rPr>
              <w:t>d</w:t>
            </w:r>
            <w:r>
              <w:t xml:space="preserve"> </w:t>
            </w:r>
            <w:r w:rsidRPr="0023244D">
              <w:t xml:space="preserve">during season </w:t>
            </w:r>
            <w:r w:rsidRPr="0023244D">
              <w:rPr>
                <w:i/>
              </w:rPr>
              <w:t>j</w:t>
            </w:r>
            <w:r w:rsidR="00CD3526">
              <w:rPr>
                <w:i/>
              </w:rPr>
              <w:t xml:space="preserve">, </w:t>
            </w:r>
            <w:r w:rsidR="00CD3526">
              <w:t>in litres (L)</w:t>
            </w:r>
            <w:r w:rsidRPr="0023244D">
              <w:t>.</w:t>
            </w:r>
          </w:p>
        </w:tc>
      </w:tr>
      <w:tr w:rsidR="00993396" w:rsidTr="00993396">
        <w:tc>
          <w:tcPr>
            <w:tcW w:w="1696" w:type="dxa"/>
          </w:tcPr>
          <w:p w:rsidR="00993396" w:rsidRDefault="00993396" w:rsidP="00135D22">
            <w:pPr>
              <w:pStyle w:val="tMain"/>
              <w:ind w:left="0" w:firstLine="0"/>
              <w:jc w:val="right"/>
            </w:pPr>
            <w:r w:rsidRPr="00993396">
              <w:t>91.25  =</w:t>
            </w:r>
          </w:p>
        </w:tc>
        <w:tc>
          <w:tcPr>
            <w:tcW w:w="6582" w:type="dxa"/>
          </w:tcPr>
          <w:p w:rsidR="00993396" w:rsidRDefault="00774E94" w:rsidP="00135D22">
            <w:pPr>
              <w:pStyle w:val="tMain"/>
              <w:ind w:left="0" w:firstLine="0"/>
            </w:pPr>
            <w:proofErr w:type="gramStart"/>
            <w:r>
              <w:t>constant</w:t>
            </w:r>
            <w:proofErr w:type="gramEnd"/>
            <w:r>
              <w:t xml:space="preserve"> </w:t>
            </w:r>
            <w:r w:rsidR="00993396" w:rsidRPr="00993396">
              <w:t>average number of days in a season.</w:t>
            </w:r>
          </w:p>
        </w:tc>
      </w:tr>
      <w:tr w:rsidR="008B7326" w:rsidTr="00993396">
        <w:tc>
          <w:tcPr>
            <w:tcW w:w="1696" w:type="dxa"/>
          </w:tcPr>
          <w:p w:rsidR="008B7326" w:rsidRPr="0017629F" w:rsidRDefault="0017629F" w:rsidP="00135D22">
            <w:pPr>
              <w:pStyle w:val="tMain"/>
              <w:ind w:left="0" w:firstLine="0"/>
              <w:jc w:val="right"/>
            </w:pPr>
            <w:proofErr w:type="spellStart"/>
            <w:r>
              <w:t>N</w:t>
            </w:r>
            <w:r>
              <w:rPr>
                <w:vertAlign w:val="subscript"/>
              </w:rPr>
              <w:t>j</w:t>
            </w:r>
            <w:proofErr w:type="spellEnd"/>
            <w:r>
              <w:rPr>
                <w:vertAlign w:val="subscript"/>
              </w:rPr>
              <w:t xml:space="preserve">  </w:t>
            </w:r>
            <w:r>
              <w:t>=</w:t>
            </w:r>
          </w:p>
        </w:tc>
        <w:tc>
          <w:tcPr>
            <w:tcW w:w="6582" w:type="dxa"/>
          </w:tcPr>
          <w:p w:rsidR="008B7326" w:rsidRPr="0023244D" w:rsidRDefault="00881DE2" w:rsidP="00135D22">
            <w:pPr>
              <w:pStyle w:val="tMain"/>
              <w:ind w:left="0" w:firstLine="0"/>
            </w:pPr>
            <w:r w:rsidRPr="00881DE2">
              <w:t xml:space="preserve">average number of milking cows in the milking herd in season </w:t>
            </w:r>
            <w:r w:rsidRPr="00881DE2">
              <w:rPr>
                <w:i/>
              </w:rPr>
              <w:t xml:space="preserve"> j</w:t>
            </w:r>
            <w:r w:rsidRPr="00881DE2">
              <w:t>.</w:t>
            </w:r>
          </w:p>
        </w:tc>
      </w:tr>
    </w:tbl>
    <w:p w:rsidR="008B7326" w:rsidRDefault="008B7326" w:rsidP="00135D22">
      <w:pPr>
        <w:pStyle w:val="h4Subdiv"/>
      </w:pPr>
      <w:bookmarkStart w:id="33" w:name="_Toc362952383"/>
      <w:r>
        <w:t xml:space="preserve">Subdivision </w:t>
      </w:r>
      <w:r w:rsidR="0060744B">
        <w:t>4.3.2</w:t>
      </w:r>
      <w:r>
        <w:tab/>
        <w:t>Calculating diet information inputs</w:t>
      </w:r>
      <w:bookmarkEnd w:id="33"/>
    </w:p>
    <w:p w:rsidR="008B7326" w:rsidRDefault="0060744B" w:rsidP="00135D22">
      <w:pPr>
        <w:pStyle w:val="h5Section"/>
      </w:pPr>
      <w:bookmarkStart w:id="34" w:name="_Toc362952384"/>
      <w:r>
        <w:t>4.10</w:t>
      </w:r>
      <w:r w:rsidR="008B7326">
        <w:tab/>
        <w:t>Intake of feed types other than pasture</w:t>
      </w:r>
      <w:r w:rsidR="00B837CB">
        <w:t xml:space="preserve"> and eligible additives</w:t>
      </w:r>
      <w:bookmarkEnd w:id="34"/>
    </w:p>
    <w:p w:rsidR="008B7326" w:rsidRDefault="008B7326" w:rsidP="00135D22">
      <w:pPr>
        <w:pStyle w:val="tMain"/>
      </w:pPr>
      <w:r>
        <w:tab/>
      </w:r>
      <w:r>
        <w:tab/>
        <w:t>The average daily dry matter intake of each feed type other than pasture</w:t>
      </w:r>
      <w:r w:rsidR="00B837CB">
        <w:t xml:space="preserve"> </w:t>
      </w:r>
      <w:r w:rsidR="00B837CB" w:rsidRPr="00B40FDC">
        <w:t>and eligible additives</w:t>
      </w:r>
      <w:r>
        <w:t xml:space="preserve"> by a milking cow for each season must be determined using the following formula:</w:t>
      </w:r>
      <w:r>
        <w:tab/>
      </w:r>
    </w:p>
    <w:tbl>
      <w:tblPr>
        <w:tblStyle w:val="TableGrid"/>
        <w:tblW w:w="0" w:type="auto"/>
        <w:tblInd w:w="964" w:type="dxa"/>
        <w:tblLook w:val="04A0" w:firstRow="1" w:lastRow="0" w:firstColumn="1" w:lastColumn="0" w:noHBand="0" w:noVBand="1"/>
      </w:tblPr>
      <w:tblGrid>
        <w:gridCol w:w="6374"/>
        <w:gridCol w:w="1904"/>
      </w:tblGrid>
      <w:tr w:rsidR="008B7326" w:rsidTr="00135D22">
        <w:trPr>
          <w:trHeight w:val="1177"/>
        </w:trPr>
        <w:tc>
          <w:tcPr>
            <w:tcW w:w="6374" w:type="dxa"/>
            <w:vAlign w:val="center"/>
          </w:tcPr>
          <w:p w:rsidR="008B7326" w:rsidRDefault="00414585" w:rsidP="00135D22">
            <w:pPr>
              <w:pStyle w:val="tMain"/>
              <w:spacing w:before="100" w:line="360" w:lineRule="auto"/>
              <w:ind w:left="0" w:firstLine="0"/>
            </w:pPr>
            <m:oMathPara>
              <m:oMath>
                <m:sSub>
                  <m:sSubPr>
                    <m:ctrlPr>
                      <w:rPr>
                        <w:rFonts w:ascii="Cambria Math" w:hAnsi="Cambria Math"/>
                      </w:rPr>
                    </m:ctrlPr>
                  </m:sSubPr>
                  <m:e>
                    <m:r>
                      <m:rPr>
                        <m:sty m:val="p"/>
                      </m:rPr>
                      <w:rPr>
                        <w:rFonts w:ascii="Cambria Math" w:hAnsi="Cambria Math"/>
                      </w:rPr>
                      <m:t>DMI</m:t>
                    </m:r>
                  </m:e>
                  <m:sub>
                    <m:r>
                      <m:rPr>
                        <m:sty m:val="p"/>
                      </m:rPr>
                      <w:rPr>
                        <w:rFonts w:ascii="Cambria Math" w:hAnsi="Cambria Math"/>
                      </w:rPr>
                      <m:t>f,j</m:t>
                    </m:r>
                  </m:sub>
                </m:sSub>
                <m:r>
                  <w:rPr>
                    <w:rFonts w:ascii="Cambria Math" w:hAnsi="Cambria Math"/>
                  </w:rPr>
                  <m:t>=</m:t>
                </m:r>
                <m:f>
                  <m:fPr>
                    <m:ctrlPr>
                      <w:rPr>
                        <w:rFonts w:ascii="Cambria Math" w:hAnsi="Cambria Math"/>
                        <w:i/>
                      </w:rPr>
                    </m:ctrlPr>
                  </m:fPr>
                  <m:num>
                    <m:r>
                      <w:rPr>
                        <w:rFonts w:ascii="Cambria Math" w:hAnsi="Cambria Math"/>
                      </w:rPr>
                      <m:t>0.98</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f,j</m:t>
                        </m:r>
                      </m:sub>
                    </m:sSub>
                    <m:r>
                      <w:rPr>
                        <w:rFonts w:ascii="Cambria Math" w:hAnsi="Cambria Math"/>
                      </w:rPr>
                      <m:t xml:space="preserve"> </m:t>
                    </m:r>
                  </m:num>
                  <m:den>
                    <m:r>
                      <m:rPr>
                        <m:sty m:val="p"/>
                      </m:rPr>
                      <w:rPr>
                        <w:rFonts w:ascii="Cambria Math" w:hAnsi="Cambria Math"/>
                      </w:rPr>
                      <m:t xml:space="preserve">91.25 × </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j</m:t>
                        </m:r>
                      </m:sub>
                    </m:sSub>
                  </m:den>
                </m:f>
              </m:oMath>
            </m:oMathPara>
          </w:p>
        </w:tc>
        <w:tc>
          <w:tcPr>
            <w:tcW w:w="1904" w:type="dxa"/>
            <w:vAlign w:val="center"/>
          </w:tcPr>
          <w:p w:rsidR="008B7326" w:rsidRPr="005E6456" w:rsidRDefault="008B7326" w:rsidP="00135D22">
            <w:pPr>
              <w:pStyle w:val="tMain"/>
              <w:ind w:left="0" w:firstLine="0"/>
              <w:jc w:val="center"/>
              <w:rPr>
                <w:b/>
              </w:rPr>
            </w:pPr>
            <w:r w:rsidRPr="005E6456">
              <w:rPr>
                <w:b/>
              </w:rPr>
              <w:t>Equation 5</w:t>
            </w:r>
          </w:p>
        </w:tc>
      </w:tr>
    </w:tbl>
    <w:p w:rsidR="008B7326" w:rsidRDefault="008B7326" w:rsidP="00135D22">
      <w:pPr>
        <w:pStyle w:val="tMain"/>
      </w:pPr>
      <w:r>
        <w:tab/>
      </w:r>
      <w:r>
        <w:tab/>
        <w:t>Where:</w:t>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582"/>
      </w:tblGrid>
      <w:tr w:rsidR="008B7326" w:rsidTr="00993396">
        <w:tc>
          <w:tcPr>
            <w:tcW w:w="1696" w:type="dxa"/>
          </w:tcPr>
          <w:p w:rsidR="008B7326" w:rsidRPr="000D23D9" w:rsidRDefault="008B7326" w:rsidP="00135D22">
            <w:pPr>
              <w:pStyle w:val="tMain"/>
              <w:ind w:left="0" w:firstLine="0"/>
              <w:jc w:val="right"/>
            </w:pPr>
            <w:proofErr w:type="spellStart"/>
            <w:r>
              <w:t>DMI</w:t>
            </w:r>
            <w:r>
              <w:rPr>
                <w:vertAlign w:val="subscript"/>
              </w:rPr>
              <w:t>f,j</w:t>
            </w:r>
            <w:proofErr w:type="spellEnd"/>
            <w:r>
              <w:t xml:space="preserve"> </w:t>
            </w:r>
            <w:r w:rsidR="00097403">
              <w:t xml:space="preserve"> </w:t>
            </w:r>
            <w:r>
              <w:t>=</w:t>
            </w:r>
          </w:p>
        </w:tc>
        <w:tc>
          <w:tcPr>
            <w:tcW w:w="6582" w:type="dxa"/>
          </w:tcPr>
          <w:p w:rsidR="001A2CEE" w:rsidRDefault="008B7326" w:rsidP="00135D22">
            <w:pPr>
              <w:pStyle w:val="tMain"/>
              <w:ind w:left="0" w:firstLine="0"/>
            </w:pPr>
            <w:proofErr w:type="gramStart"/>
            <w:r w:rsidRPr="00AE2394">
              <w:t>average</w:t>
            </w:r>
            <w:proofErr w:type="gramEnd"/>
            <w:r w:rsidRPr="00AE2394">
              <w:t xml:space="preserve"> daily dry matter intake of feed type </w:t>
            </w:r>
            <w:r w:rsidRPr="00AE2394">
              <w:rPr>
                <w:i/>
              </w:rPr>
              <w:t>f</w:t>
            </w:r>
            <w:r w:rsidRPr="00AE2394">
              <w:t xml:space="preserve"> </w:t>
            </w:r>
            <w:r w:rsidR="001A2CEE">
              <w:t xml:space="preserve">(by a milking cow) </w:t>
            </w:r>
            <w:r w:rsidRPr="00AE2394">
              <w:t xml:space="preserve">during season </w:t>
            </w:r>
            <w:r w:rsidRPr="00AE2394">
              <w:rPr>
                <w:i/>
              </w:rPr>
              <w:t>j,</w:t>
            </w:r>
            <w:r w:rsidRPr="00AE2394">
              <w:t xml:space="preserve"> in kilograms per head per day </w:t>
            </w:r>
            <w:r w:rsidR="001A2CEE">
              <w:t xml:space="preserve">  </w:t>
            </w:r>
            <w:r w:rsidRPr="00AE2394">
              <w:t>(kg</w:t>
            </w:r>
            <w:r>
              <w:t> </w:t>
            </w:r>
            <w:r w:rsidRPr="00AE2394">
              <w:t>DM.head</w:t>
            </w:r>
            <w:r w:rsidRPr="00AE2394">
              <w:rPr>
                <w:vertAlign w:val="superscript"/>
              </w:rPr>
              <w:noBreakHyphen/>
              <w:t>1</w:t>
            </w:r>
            <w:r w:rsidR="00132E6A">
              <w:t>.</w:t>
            </w:r>
            <w:r w:rsidRPr="00AE2394">
              <w:t>day</w:t>
            </w:r>
            <w:r w:rsidRPr="00AE2394">
              <w:rPr>
                <w:vertAlign w:val="superscript"/>
              </w:rPr>
              <w:t>-1</w:t>
            </w:r>
            <w:r w:rsidRPr="00AE2394">
              <w:t>)</w:t>
            </w:r>
            <w:r w:rsidR="00262DF2">
              <w:t>.</w:t>
            </w:r>
            <w:r w:rsidR="001A2CEE">
              <w:t xml:space="preserve"> </w:t>
            </w:r>
          </w:p>
        </w:tc>
      </w:tr>
      <w:tr w:rsidR="008B7326" w:rsidTr="00993396">
        <w:tc>
          <w:tcPr>
            <w:tcW w:w="1696" w:type="dxa"/>
          </w:tcPr>
          <w:p w:rsidR="008B7326" w:rsidRDefault="00346D2C" w:rsidP="00135D22">
            <w:pPr>
              <w:pStyle w:val="tMain"/>
              <w:ind w:left="0" w:firstLine="0"/>
              <w:jc w:val="right"/>
            </w:pPr>
            <w:r>
              <w:t>0.98</w:t>
            </w:r>
            <w:r w:rsidR="00262DF2">
              <w:t xml:space="preserve"> </w:t>
            </w:r>
            <w:r w:rsidR="00097403">
              <w:t xml:space="preserve"> </w:t>
            </w:r>
            <w:r w:rsidR="00262DF2">
              <w:t>=</w:t>
            </w:r>
          </w:p>
        </w:tc>
        <w:tc>
          <w:tcPr>
            <w:tcW w:w="6582" w:type="dxa"/>
          </w:tcPr>
          <w:p w:rsidR="004C2C46" w:rsidRPr="0086765E" w:rsidRDefault="00774E94" w:rsidP="00135D22">
            <w:pPr>
              <w:pStyle w:val="tMain"/>
              <w:ind w:left="0" w:firstLine="0"/>
              <w:rPr>
                <w:highlight w:val="yellow"/>
              </w:rPr>
            </w:pPr>
            <w:r>
              <w:t>c</w:t>
            </w:r>
            <w:r w:rsidR="00B946C1">
              <w:t>onstant</w:t>
            </w:r>
            <w:r>
              <w:t xml:space="preserve"> </w:t>
            </w:r>
            <w:r w:rsidR="00D92D3D">
              <w:t>to account</w:t>
            </w:r>
            <w:r w:rsidR="00B946C1">
              <w:t xml:space="preserve"> for wastage</w:t>
            </w:r>
            <w:r w:rsidR="00D92D3D">
              <w:t xml:space="preserve"> of 2% of </w:t>
            </w:r>
            <w:proofErr w:type="spellStart"/>
            <w:r w:rsidR="00D92D3D">
              <w:t>F</w:t>
            </w:r>
            <w:r w:rsidR="00D92D3D">
              <w:rPr>
                <w:vertAlign w:val="subscript"/>
              </w:rPr>
              <w:t>f,j</w:t>
            </w:r>
            <w:proofErr w:type="spellEnd"/>
            <w:r w:rsidR="00D92D3D">
              <w:t>.</w:t>
            </w:r>
          </w:p>
        </w:tc>
      </w:tr>
      <w:tr w:rsidR="008B7326" w:rsidTr="00993396">
        <w:tc>
          <w:tcPr>
            <w:tcW w:w="1696" w:type="dxa"/>
          </w:tcPr>
          <w:p w:rsidR="008B7326" w:rsidRPr="00262DF2" w:rsidRDefault="008B7326" w:rsidP="00135D22">
            <w:pPr>
              <w:pStyle w:val="tMain"/>
              <w:ind w:left="0" w:firstLine="0"/>
              <w:jc w:val="right"/>
            </w:pPr>
            <w:proofErr w:type="spellStart"/>
            <w:r>
              <w:t>F</w:t>
            </w:r>
            <w:r>
              <w:rPr>
                <w:vertAlign w:val="subscript"/>
              </w:rPr>
              <w:t>f,j</w:t>
            </w:r>
            <w:proofErr w:type="spellEnd"/>
            <w:r w:rsidR="00262DF2">
              <w:rPr>
                <w:vertAlign w:val="subscript"/>
              </w:rPr>
              <w:t xml:space="preserve"> </w:t>
            </w:r>
            <w:r w:rsidR="00097403">
              <w:rPr>
                <w:vertAlign w:val="subscript"/>
              </w:rPr>
              <w:t xml:space="preserve"> </w:t>
            </w:r>
            <w:r w:rsidR="00262DF2">
              <w:t>=</w:t>
            </w:r>
          </w:p>
        </w:tc>
        <w:tc>
          <w:tcPr>
            <w:tcW w:w="6582" w:type="dxa"/>
          </w:tcPr>
          <w:p w:rsidR="008B7326" w:rsidRDefault="004632D6" w:rsidP="00135D22">
            <w:pPr>
              <w:pStyle w:val="tMain"/>
              <w:ind w:left="0" w:firstLine="0"/>
            </w:pPr>
            <w:proofErr w:type="gramStart"/>
            <w:r>
              <w:t>mass</w:t>
            </w:r>
            <w:proofErr w:type="gramEnd"/>
            <w:r w:rsidR="00262DF2">
              <w:t xml:space="preserve"> of</w:t>
            </w:r>
            <w:r w:rsidR="008B7326" w:rsidRPr="00AE2394">
              <w:t xml:space="preserve"> feed type </w:t>
            </w:r>
            <w:r w:rsidR="008B7326" w:rsidRPr="00AE2394">
              <w:rPr>
                <w:i/>
              </w:rPr>
              <w:t xml:space="preserve">f </w:t>
            </w:r>
            <w:r w:rsidR="008B7326" w:rsidRPr="00AE2394">
              <w:t>fed to milking cows</w:t>
            </w:r>
            <w:r w:rsidR="003723EE">
              <w:t xml:space="preserve"> before wastage</w:t>
            </w:r>
            <w:r w:rsidR="008B7326" w:rsidRPr="00AE2394">
              <w:t xml:space="preserve"> during season </w:t>
            </w:r>
            <w:r w:rsidR="008B7326" w:rsidRPr="00AE2394">
              <w:rPr>
                <w:i/>
              </w:rPr>
              <w:t xml:space="preserve">j, </w:t>
            </w:r>
            <w:r w:rsidR="008B7326" w:rsidRPr="00AE2394">
              <w:t>in kilograms of dry matter (kg DM)</w:t>
            </w:r>
            <w:r w:rsidR="00262DF2">
              <w:t>.</w:t>
            </w:r>
          </w:p>
        </w:tc>
      </w:tr>
      <w:tr w:rsidR="00993396" w:rsidTr="00993396">
        <w:tc>
          <w:tcPr>
            <w:tcW w:w="1696" w:type="dxa"/>
          </w:tcPr>
          <w:p w:rsidR="00993396" w:rsidRDefault="00993396" w:rsidP="00135D22">
            <w:pPr>
              <w:pStyle w:val="tMain"/>
              <w:ind w:left="0" w:firstLine="0"/>
              <w:jc w:val="right"/>
            </w:pPr>
            <w:r w:rsidRPr="00993396">
              <w:t>91.25  =</w:t>
            </w:r>
          </w:p>
        </w:tc>
        <w:tc>
          <w:tcPr>
            <w:tcW w:w="6582" w:type="dxa"/>
          </w:tcPr>
          <w:p w:rsidR="00993396" w:rsidRDefault="00774E94" w:rsidP="00135D22">
            <w:pPr>
              <w:pStyle w:val="tMain"/>
              <w:ind w:left="0" w:firstLine="0"/>
            </w:pPr>
            <w:proofErr w:type="gramStart"/>
            <w:r>
              <w:t>constant</w:t>
            </w:r>
            <w:proofErr w:type="gramEnd"/>
            <w:r>
              <w:t xml:space="preserve"> </w:t>
            </w:r>
            <w:r w:rsidR="00993396">
              <w:t>average number of days in a season.</w:t>
            </w:r>
          </w:p>
        </w:tc>
      </w:tr>
      <w:tr w:rsidR="00993396" w:rsidTr="00993396">
        <w:tc>
          <w:tcPr>
            <w:tcW w:w="1696" w:type="dxa"/>
          </w:tcPr>
          <w:p w:rsidR="00993396" w:rsidRPr="00262DF2" w:rsidRDefault="00993396" w:rsidP="00135D22">
            <w:pPr>
              <w:pStyle w:val="tMain"/>
              <w:ind w:left="0" w:firstLine="0"/>
              <w:jc w:val="right"/>
            </w:pPr>
            <w:proofErr w:type="spellStart"/>
            <w:r>
              <w:lastRenderedPageBreak/>
              <w:t>N</w:t>
            </w:r>
            <w:r>
              <w:rPr>
                <w:vertAlign w:val="subscript"/>
              </w:rPr>
              <w:t>j</w:t>
            </w:r>
            <w:proofErr w:type="spellEnd"/>
            <w:r>
              <w:rPr>
                <w:vertAlign w:val="subscript"/>
              </w:rPr>
              <w:t xml:space="preserve">  </w:t>
            </w:r>
            <w:r>
              <w:t>=</w:t>
            </w:r>
          </w:p>
        </w:tc>
        <w:tc>
          <w:tcPr>
            <w:tcW w:w="6582" w:type="dxa"/>
          </w:tcPr>
          <w:p w:rsidR="00993396" w:rsidRDefault="00993396" w:rsidP="00135D22">
            <w:pPr>
              <w:pStyle w:val="tMain"/>
              <w:ind w:left="0" w:firstLine="0"/>
            </w:pPr>
            <w:r w:rsidRPr="00881DE2">
              <w:t xml:space="preserve">average number of milking cows in the milking herd in season </w:t>
            </w:r>
            <w:r w:rsidRPr="00881DE2">
              <w:rPr>
                <w:i/>
              </w:rPr>
              <w:t xml:space="preserve"> j</w:t>
            </w:r>
            <w:r w:rsidRPr="00881DE2">
              <w:t>.</w:t>
            </w:r>
          </w:p>
        </w:tc>
      </w:tr>
    </w:tbl>
    <w:p w:rsidR="008B7326" w:rsidRDefault="0060744B" w:rsidP="00135D22">
      <w:pPr>
        <w:pStyle w:val="h5Section"/>
      </w:pPr>
      <w:bookmarkStart w:id="35" w:name="_Toc362952385"/>
      <w:r>
        <w:t>4.11</w:t>
      </w:r>
      <w:r w:rsidR="008B7326">
        <w:tab/>
        <w:t>Dry matter digestibility, crude protein and fat</w:t>
      </w:r>
      <w:bookmarkEnd w:id="35"/>
    </w:p>
    <w:p w:rsidR="008B7326" w:rsidRDefault="008B7326" w:rsidP="00135D22">
      <w:pPr>
        <w:pStyle w:val="tMain"/>
      </w:pPr>
      <w:r>
        <w:tab/>
      </w:r>
      <w:r w:rsidR="0060744B">
        <w:t>(1)</w:t>
      </w:r>
      <w:r>
        <w:tab/>
        <w:t xml:space="preserve">The inputs </w:t>
      </w:r>
      <w:r w:rsidRPr="003D2C9F">
        <w:t>for</w:t>
      </w:r>
      <w:r w:rsidR="00B352DA">
        <w:t xml:space="preserve"> the</w:t>
      </w:r>
      <w:r w:rsidRPr="003D2C9F">
        <w:t xml:space="preserve"> dry matter digestibility, crude protein and fat</w:t>
      </w:r>
      <w:r w:rsidR="00D554D4">
        <w:t xml:space="preserve"> </w:t>
      </w:r>
      <w:r w:rsidR="00D554D4" w:rsidRPr="005003CF">
        <w:t>for each feed type</w:t>
      </w:r>
      <w:r w:rsidR="00B837CB">
        <w:t xml:space="preserve"> </w:t>
      </w:r>
      <w:r w:rsidR="00B837CB" w:rsidRPr="00B40FDC">
        <w:t>other than eligible additives</w:t>
      </w:r>
      <w:r>
        <w:t xml:space="preserve"> entered into the </w:t>
      </w:r>
      <w:r w:rsidR="006F04B5">
        <w:t>Dietary Fats Calculator</w:t>
      </w:r>
      <w:r w:rsidR="006248B6">
        <w:t xml:space="preserve"> </w:t>
      </w:r>
      <w:r>
        <w:t>must be obtained in accordance with this section.</w:t>
      </w:r>
    </w:p>
    <w:p w:rsidR="008B7326" w:rsidRPr="00C201B3" w:rsidRDefault="008B7326" w:rsidP="00135D22">
      <w:pPr>
        <w:pStyle w:val="tMain"/>
      </w:pPr>
      <w:r>
        <w:tab/>
      </w:r>
      <w:r w:rsidR="0060744B">
        <w:t>(2)</w:t>
      </w:r>
      <w:r>
        <w:tab/>
        <w:t>If the manufacturer</w:t>
      </w:r>
      <w:r w:rsidRPr="00C201B3">
        <w:t xml:space="preserve"> </w:t>
      </w:r>
      <w:r w:rsidR="006248B6">
        <w:t xml:space="preserve">of the feed type </w:t>
      </w:r>
      <w:r w:rsidRPr="00C201B3">
        <w:t xml:space="preserve">uses Australian Fodder Industry Association </w:t>
      </w:r>
      <w:r w:rsidR="001A2CEE">
        <w:t>l</w:t>
      </w:r>
      <w:r w:rsidRPr="00C201B3">
        <w:t>a</w:t>
      </w:r>
      <w:r>
        <w:t xml:space="preserve">boratory </w:t>
      </w:r>
      <w:r w:rsidR="001A2CEE">
        <w:t>m</w:t>
      </w:r>
      <w:r>
        <w:t>ethods</w:t>
      </w:r>
      <w:r w:rsidR="006248B6">
        <w:t xml:space="preserve"> to determine the inputs mentioned in subsection </w:t>
      </w:r>
      <w:r w:rsidR="0060744B">
        <w:t>(1)</w:t>
      </w:r>
      <w:r>
        <w:t>, the inputs mentioned in subsection</w:t>
      </w:r>
      <w:r w:rsidR="003E504D">
        <w:t xml:space="preserve"> </w:t>
      </w:r>
      <w:r w:rsidR="0060744B">
        <w:t>(1)</w:t>
      </w:r>
      <w:r>
        <w:t xml:space="preserve"> </w:t>
      </w:r>
      <w:r w:rsidRPr="00C201B3">
        <w:t xml:space="preserve">must be obtained from the </w:t>
      </w:r>
      <w:r>
        <w:t>manufacturer</w:t>
      </w:r>
      <w:r w:rsidR="006248B6">
        <w:t xml:space="preserve"> of the feed type</w:t>
      </w:r>
      <w:r w:rsidRPr="00C201B3">
        <w:t>.</w:t>
      </w:r>
    </w:p>
    <w:p w:rsidR="008B7326" w:rsidRPr="00C201B3" w:rsidRDefault="008B7326" w:rsidP="00135D22">
      <w:pPr>
        <w:pStyle w:val="tMain"/>
      </w:pPr>
      <w:r w:rsidRPr="00C201B3">
        <w:tab/>
      </w:r>
      <w:r w:rsidR="0060744B">
        <w:t>(3)</w:t>
      </w:r>
      <w:r w:rsidRPr="00C201B3">
        <w:tab/>
        <w:t xml:space="preserve">If the </w:t>
      </w:r>
      <w:r>
        <w:t>manufacturer</w:t>
      </w:r>
      <w:r w:rsidR="006248B6">
        <w:t xml:space="preserve"> of the feed type</w:t>
      </w:r>
      <w:r w:rsidRPr="00C201B3">
        <w:t xml:space="preserve"> does not use Australian Fodder Industry Associatio</w:t>
      </w:r>
      <w:r>
        <w:t xml:space="preserve">n </w:t>
      </w:r>
      <w:r w:rsidR="001A2CEE">
        <w:t>l</w:t>
      </w:r>
      <w:r>
        <w:t xml:space="preserve">aboratory </w:t>
      </w:r>
      <w:r w:rsidR="001A2CEE">
        <w:t>m</w:t>
      </w:r>
      <w:r>
        <w:t>ethods</w:t>
      </w:r>
      <w:r w:rsidR="006248B6">
        <w:t xml:space="preserve"> to determine the inputs mentioned in subsection</w:t>
      </w:r>
      <w:r w:rsidR="003C6077">
        <w:t> </w:t>
      </w:r>
      <w:r w:rsidR="0060744B">
        <w:t>(1)</w:t>
      </w:r>
      <w:r>
        <w:t>, the inputs mentioned in subsection</w:t>
      </w:r>
      <w:r w:rsidR="003E504D">
        <w:t xml:space="preserve"> </w:t>
      </w:r>
      <w:r w:rsidR="0060744B">
        <w:t>(1)</w:t>
      </w:r>
      <w:r>
        <w:t xml:space="preserve"> must be obtained from</w:t>
      </w:r>
      <w:r w:rsidRPr="00C201B3">
        <w:t>:</w:t>
      </w:r>
    </w:p>
    <w:p w:rsidR="008B7326" w:rsidRPr="00C201B3" w:rsidRDefault="008B7326" w:rsidP="00135D22">
      <w:pPr>
        <w:pStyle w:val="tPara"/>
      </w:pPr>
      <w:r w:rsidRPr="007F36F7">
        <w:tab/>
      </w:r>
      <w:r w:rsidR="0060744B">
        <w:t>(a)</w:t>
      </w:r>
      <w:r w:rsidRPr="007F36F7">
        <w:tab/>
      </w:r>
      <w:proofErr w:type="gramStart"/>
      <w:r w:rsidRPr="007F36F7">
        <w:t>an</w:t>
      </w:r>
      <w:proofErr w:type="gramEnd"/>
      <w:r w:rsidRPr="007F36F7">
        <w:t xml:space="preserve"> analysis</w:t>
      </w:r>
      <w:r w:rsidRPr="00C201B3">
        <w:t xml:space="preserve"> of bulk feed samples</w:t>
      </w:r>
      <w:r w:rsidR="006248B6">
        <w:t xml:space="preserve"> of the feed type</w:t>
      </w:r>
      <w:r>
        <w:t xml:space="preserve"> undertaken in accordance with Australian Soil and Plant Analysis Council sampling protocols by a laboratory accredited in respect of the analysis by the</w:t>
      </w:r>
      <w:r w:rsidRPr="00C201B3">
        <w:t xml:space="preserve"> National Association of Testing Autho</w:t>
      </w:r>
      <w:r w:rsidR="001A2CEE">
        <w:t>rities;</w:t>
      </w:r>
    </w:p>
    <w:p w:rsidR="008B7326" w:rsidRPr="00F95B52" w:rsidRDefault="008B7326" w:rsidP="00135D22">
      <w:pPr>
        <w:pStyle w:val="tPara"/>
      </w:pPr>
      <w:r>
        <w:tab/>
      </w:r>
      <w:r w:rsidR="0060744B">
        <w:t>(b)</w:t>
      </w:r>
      <w:r>
        <w:tab/>
      </w:r>
      <w:proofErr w:type="gramStart"/>
      <w:r>
        <w:t>the</w:t>
      </w:r>
      <w:proofErr w:type="gramEnd"/>
      <w:r>
        <w:t xml:space="preserve"> </w:t>
      </w:r>
      <w:r w:rsidRPr="00C201B3">
        <w:t>season</w:t>
      </w:r>
      <w:r>
        <w:t>al feed quality data tables in</w:t>
      </w:r>
      <w:r w:rsidRPr="00C201B3">
        <w:t xml:space="preserve"> </w:t>
      </w:r>
      <w:r w:rsidR="006248B6">
        <w:t>the Dietary Fats Calculator</w:t>
      </w:r>
      <w:r w:rsidRPr="00C201B3">
        <w:t>; or</w:t>
      </w:r>
    </w:p>
    <w:p w:rsidR="00136F58" w:rsidRDefault="008B7326" w:rsidP="00135D22">
      <w:pPr>
        <w:pStyle w:val="tPara"/>
      </w:pPr>
      <w:r>
        <w:tab/>
      </w:r>
      <w:r w:rsidR="0060744B">
        <w:t>(c)</w:t>
      </w:r>
      <w:r>
        <w:tab/>
      </w:r>
      <w:proofErr w:type="gramStart"/>
      <w:r w:rsidRPr="00C201B3">
        <w:t>the</w:t>
      </w:r>
      <w:proofErr w:type="gramEnd"/>
      <w:r w:rsidRPr="00C201B3">
        <w:t xml:space="preserve"> Australian Feed Composition Tables 1987.</w:t>
      </w:r>
    </w:p>
    <w:p w:rsidR="00184CCC" w:rsidRPr="00184CCC" w:rsidRDefault="0060744B" w:rsidP="00E12FAB">
      <w:pPr>
        <w:pStyle w:val="h5Section"/>
      </w:pPr>
      <w:bookmarkStart w:id="36" w:name="_Toc362952386"/>
      <w:r>
        <w:t>4.12</w:t>
      </w:r>
      <w:r w:rsidR="00184CCC">
        <w:tab/>
      </w:r>
      <w:r w:rsidR="00184CCC" w:rsidRPr="00184CCC">
        <w:t>Mass of eligible additive</w:t>
      </w:r>
      <w:r w:rsidR="00B837CB">
        <w:t>s</w:t>
      </w:r>
      <w:bookmarkEnd w:id="36"/>
      <w:r w:rsidR="00184CCC" w:rsidRPr="00184CCC">
        <w:t xml:space="preserve"> </w:t>
      </w:r>
    </w:p>
    <w:p w:rsidR="00184CCC" w:rsidRDefault="00184CCC" w:rsidP="00135D22">
      <w:pPr>
        <w:pStyle w:val="tMain"/>
      </w:pPr>
      <w:r>
        <w:tab/>
      </w:r>
      <w:r>
        <w:tab/>
      </w:r>
      <w:r w:rsidRPr="00184CCC">
        <w:t xml:space="preserve">The mass of each eligible additive for each season must be determined using the following formula: </w:t>
      </w:r>
    </w:p>
    <w:tbl>
      <w:tblPr>
        <w:tblStyle w:val="TableGrid"/>
        <w:tblW w:w="0" w:type="auto"/>
        <w:tblInd w:w="964" w:type="dxa"/>
        <w:tblLook w:val="04A0" w:firstRow="1" w:lastRow="0" w:firstColumn="1" w:lastColumn="0" w:noHBand="0" w:noVBand="1"/>
      </w:tblPr>
      <w:tblGrid>
        <w:gridCol w:w="6374"/>
        <w:gridCol w:w="1904"/>
      </w:tblGrid>
      <w:tr w:rsidR="00097403" w:rsidTr="00135D22">
        <w:tc>
          <w:tcPr>
            <w:tcW w:w="6374" w:type="dxa"/>
            <w:vAlign w:val="center"/>
          </w:tcPr>
          <w:p w:rsidR="00097403" w:rsidRDefault="00414585" w:rsidP="00135D22">
            <w:pPr>
              <w:pStyle w:val="tMain"/>
              <w:spacing w:before="100" w:line="360" w:lineRule="auto"/>
              <w:ind w:left="0" w:firstLine="0"/>
            </w:pPr>
            <m:oMathPara>
              <m:oMath>
                <m:sSub>
                  <m:sSubPr>
                    <m:ctrlPr>
                      <w:rPr>
                        <w:rFonts w:ascii="Cambria Math" w:hAnsi="Cambria Math"/>
                      </w:rPr>
                    </m:ctrlPr>
                  </m:sSubPr>
                  <m:e>
                    <m:r>
                      <m:rPr>
                        <m:sty m:val="p"/>
                      </m:rPr>
                      <w:rPr>
                        <w:rFonts w:ascii="Cambria Math" w:hAnsi="Cambria Math"/>
                      </w:rPr>
                      <m:t>ME</m:t>
                    </m:r>
                  </m:e>
                  <m:sub>
                    <m:r>
                      <m:rPr>
                        <m:sty m:val="p"/>
                      </m:rPr>
                      <w:rPr>
                        <w:rFonts w:ascii="Cambria Math" w:hAnsi="Cambria Math"/>
                      </w:rPr>
                      <m:t>e,j</m:t>
                    </m:r>
                  </m:sub>
                </m:sSub>
                <m:r>
                  <w:rPr>
                    <w:rFonts w:ascii="Cambria Math" w:hAnsi="Cambria Math"/>
                  </w:rPr>
                  <m:t>=0.98</m:t>
                </m:r>
                <m:sSub>
                  <m:sSubPr>
                    <m:ctrlPr>
                      <w:rPr>
                        <w:rFonts w:ascii="Cambria Math" w:hAnsi="Cambria Math"/>
                      </w:rPr>
                    </m:ctrlPr>
                  </m:sSubPr>
                  <m:e>
                    <m:r>
                      <m:rPr>
                        <m:sty m:val="p"/>
                      </m:rPr>
                      <w:rPr>
                        <w:rFonts w:ascii="Cambria Math" w:hAnsi="Cambria Math"/>
                      </w:rPr>
                      <m:t>E</m:t>
                    </m:r>
                  </m:e>
                  <m:sub>
                    <m:r>
                      <m:rPr>
                        <m:sty m:val="p"/>
                      </m:rPr>
                      <w:rPr>
                        <w:rFonts w:ascii="Cambria Math" w:hAnsi="Cambria Math"/>
                      </w:rPr>
                      <m:t>e,j</m:t>
                    </m:r>
                  </m:sub>
                </m:sSub>
              </m:oMath>
            </m:oMathPara>
          </w:p>
        </w:tc>
        <w:tc>
          <w:tcPr>
            <w:tcW w:w="1904" w:type="dxa"/>
            <w:vAlign w:val="center"/>
          </w:tcPr>
          <w:p w:rsidR="00097403" w:rsidRPr="00097403" w:rsidRDefault="00890C41" w:rsidP="00135D22">
            <w:pPr>
              <w:pStyle w:val="tMain"/>
              <w:ind w:left="0" w:firstLine="0"/>
              <w:jc w:val="center"/>
              <w:rPr>
                <w:b/>
              </w:rPr>
            </w:pPr>
            <w:r>
              <w:rPr>
                <w:b/>
              </w:rPr>
              <w:t>Equation 6</w:t>
            </w:r>
          </w:p>
        </w:tc>
      </w:tr>
    </w:tbl>
    <w:p w:rsidR="00184CCC" w:rsidRPr="00184CCC" w:rsidRDefault="00097403" w:rsidP="00135D22">
      <w:pPr>
        <w:pStyle w:val="tMain"/>
      </w:pPr>
      <w:r>
        <w:tab/>
      </w:r>
      <w:r>
        <w:tab/>
      </w:r>
      <w:r w:rsidR="00184CCC" w:rsidRPr="00184CCC">
        <w:t>Where:</w:t>
      </w:r>
    </w:p>
    <w:tbl>
      <w:tblPr>
        <w:tblW w:w="0" w:type="auto"/>
        <w:tblInd w:w="964" w:type="dxa"/>
        <w:tblCellMar>
          <w:left w:w="0" w:type="dxa"/>
          <w:right w:w="0" w:type="dxa"/>
        </w:tblCellMar>
        <w:tblLook w:val="04A0" w:firstRow="1" w:lastRow="0" w:firstColumn="1" w:lastColumn="0" w:noHBand="0" w:noVBand="1"/>
      </w:tblPr>
      <w:tblGrid>
        <w:gridCol w:w="1696"/>
        <w:gridCol w:w="6582"/>
      </w:tblGrid>
      <w:tr w:rsidR="00184CCC" w:rsidRPr="00184CCC" w:rsidTr="00097403">
        <w:tc>
          <w:tcPr>
            <w:tcW w:w="1696" w:type="dxa"/>
            <w:tcMar>
              <w:top w:w="0" w:type="dxa"/>
              <w:left w:w="108" w:type="dxa"/>
              <w:bottom w:w="0" w:type="dxa"/>
              <w:right w:w="108" w:type="dxa"/>
            </w:tcMar>
            <w:hideMark/>
          </w:tcPr>
          <w:p w:rsidR="00184CCC" w:rsidRPr="00097403" w:rsidRDefault="00D23C13" w:rsidP="00135D22">
            <w:pPr>
              <w:pStyle w:val="noteDrafter"/>
              <w:jc w:val="right"/>
              <w:rPr>
                <w:color w:val="auto"/>
              </w:rPr>
            </w:pPr>
            <w:proofErr w:type="spellStart"/>
            <w:r>
              <w:rPr>
                <w:color w:val="auto"/>
              </w:rPr>
              <w:t>ME</w:t>
            </w:r>
            <w:r>
              <w:rPr>
                <w:color w:val="auto"/>
                <w:vertAlign w:val="subscript"/>
              </w:rPr>
              <w:t>e,j</w:t>
            </w:r>
            <w:proofErr w:type="spellEnd"/>
            <w:r w:rsidR="00097403" w:rsidRPr="00097403">
              <w:rPr>
                <w:color w:val="auto"/>
              </w:rPr>
              <w:t xml:space="preserve"> </w:t>
            </w:r>
            <w:r w:rsidR="00097403">
              <w:rPr>
                <w:color w:val="auto"/>
              </w:rPr>
              <w:t xml:space="preserve"> </w:t>
            </w:r>
            <w:r w:rsidR="00097403" w:rsidRPr="00097403">
              <w:rPr>
                <w:color w:val="auto"/>
              </w:rPr>
              <w:t>=</w:t>
            </w:r>
          </w:p>
        </w:tc>
        <w:tc>
          <w:tcPr>
            <w:tcW w:w="6582" w:type="dxa"/>
            <w:tcMar>
              <w:top w:w="0" w:type="dxa"/>
              <w:left w:w="108" w:type="dxa"/>
              <w:bottom w:w="0" w:type="dxa"/>
              <w:right w:w="108" w:type="dxa"/>
            </w:tcMar>
            <w:hideMark/>
          </w:tcPr>
          <w:p w:rsidR="00184CCC" w:rsidRPr="00097403" w:rsidRDefault="00184CCC" w:rsidP="00135D22">
            <w:pPr>
              <w:pStyle w:val="noteDrafter"/>
              <w:jc w:val="both"/>
              <w:rPr>
                <w:color w:val="auto"/>
              </w:rPr>
            </w:pPr>
            <w:proofErr w:type="gramStart"/>
            <w:r w:rsidRPr="00097403">
              <w:rPr>
                <w:color w:val="auto"/>
              </w:rPr>
              <w:t>mass</w:t>
            </w:r>
            <w:proofErr w:type="gramEnd"/>
            <w:r w:rsidRPr="00097403">
              <w:rPr>
                <w:color w:val="auto"/>
              </w:rPr>
              <w:t xml:space="preserve"> of eligible additive </w:t>
            </w:r>
            <w:r w:rsidRPr="00A65C84">
              <w:rPr>
                <w:i/>
                <w:color w:val="auto"/>
              </w:rPr>
              <w:t>e</w:t>
            </w:r>
            <w:r w:rsidRPr="00097403">
              <w:rPr>
                <w:color w:val="auto"/>
              </w:rPr>
              <w:t xml:space="preserve"> fed to the milking herd during season </w:t>
            </w:r>
            <w:r w:rsidRPr="00A65C84">
              <w:rPr>
                <w:i/>
                <w:color w:val="auto"/>
              </w:rPr>
              <w:t>j</w:t>
            </w:r>
            <w:r w:rsidRPr="00097403">
              <w:rPr>
                <w:color w:val="auto"/>
              </w:rPr>
              <w:t>, in kilograms (kg).</w:t>
            </w:r>
          </w:p>
        </w:tc>
      </w:tr>
      <w:tr w:rsidR="00184CCC" w:rsidRPr="00184CCC" w:rsidTr="00097403">
        <w:tc>
          <w:tcPr>
            <w:tcW w:w="1696" w:type="dxa"/>
            <w:tcMar>
              <w:top w:w="0" w:type="dxa"/>
              <w:left w:w="108" w:type="dxa"/>
              <w:bottom w:w="0" w:type="dxa"/>
              <w:right w:w="108" w:type="dxa"/>
            </w:tcMar>
            <w:hideMark/>
          </w:tcPr>
          <w:p w:rsidR="00184CCC" w:rsidRPr="00097403" w:rsidRDefault="00097403" w:rsidP="00135D22">
            <w:pPr>
              <w:pStyle w:val="noteDrafter"/>
              <w:jc w:val="right"/>
              <w:rPr>
                <w:color w:val="auto"/>
              </w:rPr>
            </w:pPr>
            <w:r w:rsidRPr="00097403">
              <w:rPr>
                <w:color w:val="auto"/>
              </w:rPr>
              <w:t xml:space="preserve">0.98 </w:t>
            </w:r>
            <w:r>
              <w:rPr>
                <w:color w:val="auto"/>
              </w:rPr>
              <w:t xml:space="preserve"> </w:t>
            </w:r>
            <w:r w:rsidRPr="00097403">
              <w:rPr>
                <w:color w:val="auto"/>
              </w:rPr>
              <w:t>=</w:t>
            </w:r>
          </w:p>
        </w:tc>
        <w:tc>
          <w:tcPr>
            <w:tcW w:w="6582" w:type="dxa"/>
            <w:tcMar>
              <w:top w:w="0" w:type="dxa"/>
              <w:left w:w="108" w:type="dxa"/>
              <w:bottom w:w="0" w:type="dxa"/>
              <w:right w:w="108" w:type="dxa"/>
            </w:tcMar>
            <w:hideMark/>
          </w:tcPr>
          <w:p w:rsidR="00C53BE6" w:rsidRPr="00097403" w:rsidRDefault="00774E94" w:rsidP="00135D22">
            <w:pPr>
              <w:pStyle w:val="noteDrafter"/>
              <w:jc w:val="both"/>
              <w:rPr>
                <w:color w:val="auto"/>
              </w:rPr>
            </w:pPr>
            <w:r>
              <w:rPr>
                <w:color w:val="auto"/>
              </w:rPr>
              <w:t>c</w:t>
            </w:r>
            <w:r w:rsidR="00B946C1" w:rsidRPr="00097403">
              <w:rPr>
                <w:color w:val="auto"/>
              </w:rPr>
              <w:t>onstan</w:t>
            </w:r>
            <w:r w:rsidR="00D92D3D" w:rsidRPr="00097403">
              <w:rPr>
                <w:color w:val="auto"/>
              </w:rPr>
              <w:t>t</w:t>
            </w:r>
            <w:r>
              <w:rPr>
                <w:color w:val="auto"/>
              </w:rPr>
              <w:t xml:space="preserve"> </w:t>
            </w:r>
            <w:r w:rsidR="00D92D3D" w:rsidRPr="00097403">
              <w:rPr>
                <w:color w:val="auto"/>
              </w:rPr>
              <w:t xml:space="preserve">to account for wastage of 2% of </w:t>
            </w:r>
            <w:proofErr w:type="spellStart"/>
            <w:r w:rsidR="00993396">
              <w:rPr>
                <w:color w:val="auto"/>
              </w:rPr>
              <w:t>E</w:t>
            </w:r>
            <w:r w:rsidR="00993396">
              <w:rPr>
                <w:color w:val="auto"/>
                <w:vertAlign w:val="subscript"/>
              </w:rPr>
              <w:t>e</w:t>
            </w:r>
            <w:r w:rsidR="00D92D3D" w:rsidRPr="00004F3B">
              <w:rPr>
                <w:color w:val="auto"/>
                <w:vertAlign w:val="subscript"/>
              </w:rPr>
              <w:t>,j</w:t>
            </w:r>
            <w:proofErr w:type="spellEnd"/>
            <w:r w:rsidR="00D92D3D" w:rsidRPr="00097403">
              <w:rPr>
                <w:color w:val="auto"/>
              </w:rPr>
              <w:t>.</w:t>
            </w:r>
          </w:p>
        </w:tc>
      </w:tr>
      <w:tr w:rsidR="00184CCC" w:rsidRPr="00184CCC" w:rsidTr="00097403">
        <w:tc>
          <w:tcPr>
            <w:tcW w:w="1696" w:type="dxa"/>
            <w:tcMar>
              <w:top w:w="0" w:type="dxa"/>
              <w:left w:w="108" w:type="dxa"/>
              <w:bottom w:w="0" w:type="dxa"/>
              <w:right w:w="108" w:type="dxa"/>
            </w:tcMar>
            <w:hideMark/>
          </w:tcPr>
          <w:p w:rsidR="00184CCC" w:rsidRPr="00097403" w:rsidRDefault="00184CCC" w:rsidP="00135D22">
            <w:pPr>
              <w:pStyle w:val="noteDrafter"/>
              <w:jc w:val="right"/>
              <w:rPr>
                <w:color w:val="auto"/>
              </w:rPr>
            </w:pPr>
            <w:proofErr w:type="spellStart"/>
            <w:r w:rsidRPr="00097403">
              <w:rPr>
                <w:color w:val="auto"/>
              </w:rPr>
              <w:t>E</w:t>
            </w:r>
            <w:r w:rsidR="00D23C13">
              <w:rPr>
                <w:color w:val="auto"/>
                <w:vertAlign w:val="subscript"/>
              </w:rPr>
              <w:t>e,j</w:t>
            </w:r>
            <w:proofErr w:type="spellEnd"/>
            <w:r w:rsidRPr="00097403">
              <w:rPr>
                <w:color w:val="auto"/>
              </w:rPr>
              <w:t xml:space="preserve"> </w:t>
            </w:r>
            <w:r w:rsidR="00097403">
              <w:rPr>
                <w:color w:val="auto"/>
              </w:rPr>
              <w:t xml:space="preserve"> </w:t>
            </w:r>
            <w:r w:rsidRPr="00097403">
              <w:rPr>
                <w:color w:val="auto"/>
              </w:rPr>
              <w:t>=</w:t>
            </w:r>
          </w:p>
        </w:tc>
        <w:tc>
          <w:tcPr>
            <w:tcW w:w="6582" w:type="dxa"/>
            <w:tcMar>
              <w:top w:w="0" w:type="dxa"/>
              <w:left w:w="108" w:type="dxa"/>
              <w:bottom w:w="0" w:type="dxa"/>
              <w:right w:w="108" w:type="dxa"/>
            </w:tcMar>
            <w:hideMark/>
          </w:tcPr>
          <w:p w:rsidR="00184CCC" w:rsidRPr="00097403" w:rsidRDefault="00184CCC" w:rsidP="00135D22">
            <w:pPr>
              <w:pStyle w:val="noteDrafter"/>
              <w:jc w:val="both"/>
              <w:rPr>
                <w:color w:val="auto"/>
              </w:rPr>
            </w:pPr>
            <w:proofErr w:type="gramStart"/>
            <w:r w:rsidRPr="00097403">
              <w:rPr>
                <w:color w:val="auto"/>
              </w:rPr>
              <w:t>mass</w:t>
            </w:r>
            <w:proofErr w:type="gramEnd"/>
            <w:r w:rsidRPr="00097403">
              <w:rPr>
                <w:color w:val="auto"/>
              </w:rPr>
              <w:t xml:space="preserve"> of eligible additive </w:t>
            </w:r>
            <w:r w:rsidRPr="00A65C84">
              <w:rPr>
                <w:i/>
                <w:color w:val="auto"/>
              </w:rPr>
              <w:t>e</w:t>
            </w:r>
            <w:r w:rsidRPr="00097403">
              <w:rPr>
                <w:color w:val="auto"/>
              </w:rPr>
              <w:t xml:space="preserve"> fed to the milking herd during season </w:t>
            </w:r>
            <w:r w:rsidRPr="00A65C84">
              <w:rPr>
                <w:i/>
                <w:color w:val="auto"/>
              </w:rPr>
              <w:t>j</w:t>
            </w:r>
            <w:r w:rsidR="00027E39">
              <w:rPr>
                <w:color w:val="auto"/>
              </w:rPr>
              <w:t xml:space="preserve"> before wastage,</w:t>
            </w:r>
            <w:r w:rsidRPr="00097403">
              <w:rPr>
                <w:color w:val="auto"/>
              </w:rPr>
              <w:t xml:space="preserve"> in kilograms (kg).</w:t>
            </w:r>
          </w:p>
        </w:tc>
      </w:tr>
    </w:tbl>
    <w:p w:rsidR="006248B6" w:rsidRPr="006248B6" w:rsidRDefault="0060744B" w:rsidP="00E12FAB">
      <w:pPr>
        <w:pStyle w:val="h5Section"/>
      </w:pPr>
      <w:bookmarkStart w:id="37" w:name="_Toc362952387"/>
      <w:r>
        <w:t>4.13</w:t>
      </w:r>
      <w:r w:rsidR="006248B6">
        <w:tab/>
      </w:r>
      <w:r w:rsidR="004632D6">
        <w:t>Fat, metabolisable energy</w:t>
      </w:r>
      <w:r w:rsidR="006248B6" w:rsidRPr="006248B6">
        <w:t xml:space="preserve"> and crude protein</w:t>
      </w:r>
      <w:bookmarkEnd w:id="37"/>
    </w:p>
    <w:p w:rsidR="006248B6" w:rsidRDefault="006248B6" w:rsidP="00135D22">
      <w:pPr>
        <w:pStyle w:val="tMain"/>
      </w:pPr>
      <w:r>
        <w:tab/>
      </w:r>
      <w:r w:rsidR="0060744B">
        <w:t>(1)</w:t>
      </w:r>
      <w:r>
        <w:tab/>
      </w:r>
      <w:r w:rsidRPr="006248B6">
        <w:t>The inputs for</w:t>
      </w:r>
      <w:r w:rsidR="00D554D4">
        <w:t xml:space="preserve"> fat, metabolisable energy,</w:t>
      </w:r>
      <w:r w:rsidRPr="006248B6">
        <w:t xml:space="preserve"> and crude protein of eligible additives entered into the Dietary Fats Calculator must be obtained in accordance with this section.</w:t>
      </w:r>
    </w:p>
    <w:p w:rsidR="006248B6" w:rsidRPr="006248B6" w:rsidRDefault="006248B6" w:rsidP="00135D22">
      <w:pPr>
        <w:pStyle w:val="tMain"/>
      </w:pPr>
      <w:r>
        <w:lastRenderedPageBreak/>
        <w:tab/>
      </w:r>
      <w:r w:rsidR="0060744B">
        <w:t>(2)</w:t>
      </w:r>
      <w:r>
        <w:tab/>
      </w:r>
      <w:r w:rsidRPr="006248B6">
        <w:t>If the manufacturer of the eligible additive uses Australi</w:t>
      </w:r>
      <w:r w:rsidR="001A2CEE">
        <w:t>an Fodder Industry Association laboratory m</w:t>
      </w:r>
      <w:r w:rsidRPr="006248B6">
        <w:t>ethods to determine the inputs mentioned in subsection</w:t>
      </w:r>
      <w:r>
        <w:t> </w:t>
      </w:r>
      <w:r w:rsidR="0060744B">
        <w:t>(1)</w:t>
      </w:r>
      <w:r>
        <w:t>, the</w:t>
      </w:r>
      <w:r w:rsidRPr="006248B6">
        <w:t xml:space="preserve"> inputs must be obtained from the manufacturer of the eligible additive.</w:t>
      </w:r>
    </w:p>
    <w:p w:rsidR="006248B6" w:rsidRPr="006248B6" w:rsidRDefault="006248B6" w:rsidP="00135D22">
      <w:pPr>
        <w:pStyle w:val="tMain"/>
      </w:pPr>
      <w:r>
        <w:tab/>
      </w:r>
      <w:r w:rsidR="0060744B">
        <w:t>(3)</w:t>
      </w:r>
      <w:r>
        <w:tab/>
      </w:r>
      <w:r w:rsidRPr="006248B6">
        <w:t>If the manufacturer of the eligible additive does not use Australi</w:t>
      </w:r>
      <w:r w:rsidR="001A2CEE">
        <w:t>an Fodder Industry Association laboratory m</w:t>
      </w:r>
      <w:r w:rsidRPr="006248B6">
        <w:t>ethods to determine the inputs mentioned in subsection</w:t>
      </w:r>
      <w:r>
        <w:t> </w:t>
      </w:r>
      <w:r w:rsidR="0060744B">
        <w:t>(1)</w:t>
      </w:r>
      <w:r w:rsidRPr="006248B6">
        <w:t>, the</w:t>
      </w:r>
      <w:r>
        <w:t xml:space="preserve"> inputs</w:t>
      </w:r>
      <w:r w:rsidRPr="006248B6">
        <w:t xml:space="preserve"> must be obtained from:</w:t>
      </w:r>
    </w:p>
    <w:p w:rsidR="006248B6" w:rsidRPr="006248B6" w:rsidRDefault="006248B6" w:rsidP="00135D22">
      <w:pPr>
        <w:pStyle w:val="tPara"/>
      </w:pPr>
      <w:r>
        <w:tab/>
      </w:r>
      <w:r w:rsidR="0060744B">
        <w:t>(a)</w:t>
      </w:r>
      <w:r>
        <w:tab/>
      </w:r>
      <w:r w:rsidRPr="006248B6">
        <w:t>an analysis of bulk feed samples of the eligible additive undertaken in accordance with Australian Soil and Plant Analysis Council sampling protocols by a laboratory accredited in respect of the analysis by the National Association of Testing Authorities; or</w:t>
      </w:r>
    </w:p>
    <w:p w:rsidR="000B277E" w:rsidRDefault="00FF0714" w:rsidP="00135D22">
      <w:pPr>
        <w:pStyle w:val="tPara"/>
      </w:pPr>
      <w:r>
        <w:tab/>
      </w:r>
      <w:r w:rsidR="0060744B">
        <w:t>(b)</w:t>
      </w:r>
      <w:r>
        <w:tab/>
      </w:r>
      <w:proofErr w:type="gramStart"/>
      <w:r w:rsidR="006248B6" w:rsidRPr="006248B6">
        <w:t>the</w:t>
      </w:r>
      <w:proofErr w:type="gramEnd"/>
      <w:r w:rsidR="006248B6" w:rsidRPr="006248B6">
        <w:t xml:space="preserve"> Australian Feed Composition Tables 1987.</w:t>
      </w:r>
    </w:p>
    <w:p w:rsidR="000B277E" w:rsidRDefault="0060744B" w:rsidP="00E12FAB">
      <w:pPr>
        <w:pStyle w:val="h5Section"/>
      </w:pPr>
      <w:bookmarkStart w:id="38" w:name="_Toc362952388"/>
      <w:r>
        <w:t>4.14</w:t>
      </w:r>
      <w:r w:rsidR="000B277E">
        <w:tab/>
      </w:r>
      <w:r w:rsidR="000B277E" w:rsidRPr="00140088">
        <w:t>Intake of pasture</w:t>
      </w:r>
      <w:bookmarkEnd w:id="38"/>
    </w:p>
    <w:p w:rsidR="000B277E" w:rsidRDefault="000B277E" w:rsidP="00135D22">
      <w:pPr>
        <w:pStyle w:val="tMain"/>
      </w:pPr>
      <w:r>
        <w:tab/>
      </w:r>
      <w:r w:rsidR="0060744B">
        <w:t>(1)</w:t>
      </w:r>
      <w:r>
        <w:tab/>
      </w:r>
      <w:r w:rsidRPr="00140088">
        <w:t xml:space="preserve">The average daily dry matter intake of pasture by a milking cow </w:t>
      </w:r>
      <w:r>
        <w:t>for each season must be determined</w:t>
      </w:r>
      <w:r w:rsidRPr="00140088">
        <w:t xml:space="preserve"> in accordance with this section.</w:t>
      </w:r>
    </w:p>
    <w:p w:rsidR="000B277E" w:rsidRDefault="000B277E" w:rsidP="00135D22">
      <w:pPr>
        <w:pStyle w:val="tMain"/>
      </w:pPr>
      <w:r>
        <w:tab/>
      </w:r>
      <w:r w:rsidR="0060744B">
        <w:t>(2)</w:t>
      </w:r>
      <w:r>
        <w:tab/>
        <w:t xml:space="preserve">For each season, the intake of pasture must be determined only when the inputs mentioned in sections </w:t>
      </w:r>
      <w:r w:rsidR="0060744B">
        <w:t>4.6</w:t>
      </w:r>
      <w:r>
        <w:t xml:space="preserve"> to </w:t>
      </w:r>
      <w:r w:rsidR="0060744B">
        <w:t>4.13</w:t>
      </w:r>
      <w:r>
        <w:t xml:space="preserve"> have been entered into the Dietary Fats Calculator.</w:t>
      </w:r>
    </w:p>
    <w:p w:rsidR="000B277E" w:rsidRPr="00140088" w:rsidRDefault="000B277E" w:rsidP="00135D22">
      <w:pPr>
        <w:pStyle w:val="tMain"/>
      </w:pPr>
      <w:r>
        <w:tab/>
      </w:r>
      <w:r w:rsidR="0060744B">
        <w:t>(3)</w:t>
      </w:r>
      <w:r>
        <w:tab/>
      </w:r>
      <w:r w:rsidRPr="00140088">
        <w:t>For each season</w:t>
      </w:r>
      <w:r>
        <w:t>,</w:t>
      </w:r>
      <w:r w:rsidRPr="00140088">
        <w:t xml:space="preserve"> estimate the average daily dry matter intake of pasture of a</w:t>
      </w:r>
      <w:r>
        <w:t xml:space="preserve"> milking</w:t>
      </w:r>
      <w:r w:rsidRPr="00140088">
        <w:t xml:space="preserve"> cow in the milking herd using the following formula:</w:t>
      </w:r>
    </w:p>
    <w:tbl>
      <w:tblPr>
        <w:tblStyle w:val="TableGrid"/>
        <w:tblW w:w="0" w:type="auto"/>
        <w:tblInd w:w="964" w:type="dxa"/>
        <w:tblLook w:val="04A0" w:firstRow="1" w:lastRow="0" w:firstColumn="1" w:lastColumn="0" w:noHBand="0" w:noVBand="1"/>
      </w:tblPr>
      <w:tblGrid>
        <w:gridCol w:w="6374"/>
        <w:gridCol w:w="1904"/>
      </w:tblGrid>
      <w:tr w:rsidR="000B277E" w:rsidRPr="00140088" w:rsidTr="00135D22">
        <w:trPr>
          <w:trHeight w:val="1177"/>
        </w:trPr>
        <w:tc>
          <w:tcPr>
            <w:tcW w:w="6374" w:type="dxa"/>
            <w:vAlign w:val="center"/>
          </w:tcPr>
          <w:p w:rsidR="000B277E" w:rsidRPr="00140088" w:rsidRDefault="00414585" w:rsidP="00135D22">
            <w:pPr>
              <w:pStyle w:val="noteDrafter"/>
              <w:spacing w:after="100"/>
              <w:jc w:val="both"/>
              <w:rPr>
                <w:color w:val="auto"/>
              </w:rPr>
            </w:pPr>
            <m:oMathPara>
              <m:oMath>
                <m:sSub>
                  <m:sSubPr>
                    <m:ctrlPr>
                      <w:rPr>
                        <w:rFonts w:ascii="Cambria Math" w:hAnsi="Cambria Math"/>
                        <w:i/>
                        <w:color w:val="auto"/>
                      </w:rPr>
                    </m:ctrlPr>
                  </m:sSubPr>
                  <m:e>
                    <m:r>
                      <m:rPr>
                        <m:sty m:val="p"/>
                      </m:rPr>
                      <w:rPr>
                        <w:rFonts w:ascii="Cambria Math" w:hAnsi="Cambria Math"/>
                        <w:color w:val="auto"/>
                      </w:rPr>
                      <m:t>DMI</m:t>
                    </m:r>
                  </m:e>
                  <m:sub>
                    <m:r>
                      <m:rPr>
                        <m:sty m:val="p"/>
                      </m:rPr>
                      <w:rPr>
                        <w:rFonts w:ascii="Cambria Math" w:hAnsi="Cambria Math"/>
                        <w:color w:val="auto"/>
                      </w:rPr>
                      <m:t>pasture, j</m:t>
                    </m:r>
                  </m:sub>
                </m:sSub>
                <m: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PrDMI</m:t>
                    </m:r>
                  </m:e>
                  <m:sub>
                    <m:r>
                      <m:rPr>
                        <m:sty m:val="p"/>
                      </m:rPr>
                      <w:rPr>
                        <w:rFonts w:ascii="Cambria Math" w:hAnsi="Cambria Math"/>
                        <w:color w:val="auto"/>
                      </w:rPr>
                      <m:t>j</m:t>
                    </m:r>
                  </m:sub>
                </m:sSub>
                <m:r>
                  <w:rPr>
                    <w:rFonts w:ascii="Cambria Math" w:hAnsi="Cambria Math"/>
                    <w:color w:val="auto"/>
                  </w:rPr>
                  <m:t xml:space="preserve">- </m:t>
                </m:r>
                <m:d>
                  <m:dPr>
                    <m:ctrlPr>
                      <w:rPr>
                        <w:rFonts w:ascii="Cambria Math" w:hAnsi="Cambria Math"/>
                        <w:i/>
                        <w:color w:val="auto"/>
                      </w:rPr>
                    </m:ctrlPr>
                  </m:dPr>
                  <m:e>
                    <m:nary>
                      <m:naryPr>
                        <m:chr m:val="∑"/>
                        <m:limLoc m:val="subSup"/>
                        <m:supHide m:val="1"/>
                        <m:ctrlPr>
                          <w:rPr>
                            <w:rFonts w:ascii="Cambria Math" w:hAnsi="Cambria Math"/>
                            <w:i/>
                            <w:color w:val="auto"/>
                          </w:rPr>
                        </m:ctrlPr>
                      </m:naryPr>
                      <m:sub>
                        <m:r>
                          <m:rPr>
                            <m:sty m:val="p"/>
                          </m:rPr>
                          <w:rPr>
                            <w:rFonts w:ascii="Cambria Math" w:hAnsi="Cambria Math"/>
                            <w:color w:val="auto"/>
                          </w:rPr>
                          <m:t>f</m:t>
                        </m:r>
                      </m:sub>
                      <m:sup/>
                      <m:e>
                        <m:sSub>
                          <m:sSubPr>
                            <m:ctrlPr>
                              <w:rPr>
                                <w:rFonts w:ascii="Cambria Math" w:hAnsi="Cambria Math"/>
                                <w:color w:val="auto"/>
                              </w:rPr>
                            </m:ctrlPr>
                          </m:sSubPr>
                          <m:e>
                            <m:r>
                              <m:rPr>
                                <m:sty m:val="p"/>
                              </m:rPr>
                              <w:rPr>
                                <w:rFonts w:ascii="Cambria Math" w:hAnsi="Cambria Math"/>
                                <w:color w:val="auto"/>
                              </w:rPr>
                              <m:t>DMI</m:t>
                            </m:r>
                          </m:e>
                          <m:sub>
                            <m:r>
                              <m:rPr>
                                <m:sty m:val="p"/>
                              </m:rPr>
                              <w:rPr>
                                <w:rFonts w:ascii="Cambria Math" w:hAnsi="Cambria Math"/>
                                <w:color w:val="auto"/>
                              </w:rPr>
                              <m:t>f,j</m:t>
                            </m:r>
                          </m:sub>
                        </m:sSub>
                      </m:e>
                    </m:nary>
                  </m:e>
                </m:d>
              </m:oMath>
            </m:oMathPara>
          </w:p>
        </w:tc>
        <w:tc>
          <w:tcPr>
            <w:tcW w:w="1904" w:type="dxa"/>
            <w:vAlign w:val="center"/>
          </w:tcPr>
          <w:p w:rsidR="000B277E" w:rsidRPr="00140088" w:rsidRDefault="00890C41" w:rsidP="00135D22">
            <w:pPr>
              <w:pStyle w:val="noteDrafter"/>
              <w:jc w:val="center"/>
              <w:rPr>
                <w:b/>
                <w:color w:val="auto"/>
              </w:rPr>
            </w:pPr>
            <w:r>
              <w:rPr>
                <w:b/>
                <w:color w:val="auto"/>
              </w:rPr>
              <w:t>Equation 7</w:t>
            </w:r>
          </w:p>
        </w:tc>
      </w:tr>
    </w:tbl>
    <w:p w:rsidR="000B277E" w:rsidRPr="00140088" w:rsidRDefault="000B277E" w:rsidP="00135D22">
      <w:pPr>
        <w:pStyle w:val="tMain"/>
      </w:pPr>
      <w:r w:rsidRPr="00140088">
        <w:tab/>
      </w:r>
      <w:r w:rsidRPr="00140088">
        <w:tab/>
        <w:t>Where:</w:t>
      </w:r>
    </w:p>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582"/>
      </w:tblGrid>
      <w:tr w:rsidR="000B277E" w:rsidRPr="00140088" w:rsidTr="004123C3">
        <w:tc>
          <w:tcPr>
            <w:tcW w:w="1696" w:type="dxa"/>
          </w:tcPr>
          <w:p w:rsidR="000B277E" w:rsidRPr="00097403" w:rsidRDefault="000B277E" w:rsidP="00135D22">
            <w:pPr>
              <w:pStyle w:val="noteDrafter"/>
              <w:jc w:val="right"/>
              <w:rPr>
                <w:color w:val="auto"/>
              </w:rPr>
            </w:pPr>
            <w:proofErr w:type="spellStart"/>
            <w:r>
              <w:rPr>
                <w:color w:val="auto"/>
              </w:rPr>
              <w:t>DMI</w:t>
            </w:r>
            <w:r>
              <w:rPr>
                <w:color w:val="auto"/>
                <w:vertAlign w:val="subscript"/>
              </w:rPr>
              <w:t>pasture,j</w:t>
            </w:r>
            <w:proofErr w:type="spellEnd"/>
            <w:r>
              <w:rPr>
                <w:color w:val="auto"/>
                <w:vertAlign w:val="subscript"/>
              </w:rPr>
              <w:t xml:space="preserve">  </w:t>
            </w:r>
            <w:r>
              <w:rPr>
                <w:color w:val="auto"/>
              </w:rPr>
              <w:t>=</w:t>
            </w:r>
          </w:p>
        </w:tc>
        <w:tc>
          <w:tcPr>
            <w:tcW w:w="6582" w:type="dxa"/>
          </w:tcPr>
          <w:p w:rsidR="000B277E" w:rsidRPr="00140088" w:rsidRDefault="000B277E" w:rsidP="00135D22">
            <w:pPr>
              <w:pStyle w:val="noteDrafter"/>
              <w:jc w:val="both"/>
              <w:rPr>
                <w:color w:val="auto"/>
              </w:rPr>
            </w:pPr>
            <w:proofErr w:type="gramStart"/>
            <w:r>
              <w:rPr>
                <w:color w:val="auto"/>
              </w:rPr>
              <w:t>estimated</w:t>
            </w:r>
            <w:proofErr w:type="gramEnd"/>
            <w:r w:rsidRPr="00140088">
              <w:rPr>
                <w:color w:val="auto"/>
              </w:rPr>
              <w:t xml:space="preserve"> daily dry matter intake of pasture </w:t>
            </w:r>
            <w:r>
              <w:rPr>
                <w:color w:val="auto"/>
              </w:rPr>
              <w:t>of a</w:t>
            </w:r>
            <w:r w:rsidRPr="00140088">
              <w:rPr>
                <w:color w:val="auto"/>
              </w:rPr>
              <w:t xml:space="preserve"> milking cow during season </w:t>
            </w:r>
            <w:r w:rsidRPr="00140088">
              <w:rPr>
                <w:i/>
                <w:color w:val="auto"/>
              </w:rPr>
              <w:t>j,</w:t>
            </w:r>
            <w:r w:rsidRPr="00140088">
              <w:rPr>
                <w:color w:val="auto"/>
              </w:rPr>
              <w:t xml:space="preserve"> in kilograms per head per day </w:t>
            </w:r>
            <w:r>
              <w:rPr>
                <w:color w:val="auto"/>
              </w:rPr>
              <w:t xml:space="preserve">   </w:t>
            </w:r>
            <w:r w:rsidRPr="00140088">
              <w:rPr>
                <w:color w:val="auto"/>
              </w:rPr>
              <w:t>(kg DM.head</w:t>
            </w:r>
            <w:r w:rsidRPr="00140088">
              <w:rPr>
                <w:color w:val="auto"/>
                <w:vertAlign w:val="superscript"/>
              </w:rPr>
              <w:noBreakHyphen/>
              <w:t>1</w:t>
            </w:r>
            <w:r w:rsidR="00132E6A">
              <w:rPr>
                <w:color w:val="auto"/>
              </w:rPr>
              <w:t>.</w:t>
            </w:r>
            <w:r w:rsidRPr="00140088">
              <w:rPr>
                <w:color w:val="auto"/>
              </w:rPr>
              <w:t>day</w:t>
            </w:r>
            <w:r w:rsidRPr="00140088">
              <w:rPr>
                <w:color w:val="auto"/>
                <w:vertAlign w:val="superscript"/>
              </w:rPr>
              <w:t>-1</w:t>
            </w:r>
            <w:r w:rsidRPr="00140088">
              <w:rPr>
                <w:color w:val="auto"/>
              </w:rPr>
              <w:t>).</w:t>
            </w:r>
          </w:p>
        </w:tc>
      </w:tr>
      <w:tr w:rsidR="000B277E" w:rsidRPr="00140088" w:rsidTr="004123C3">
        <w:tc>
          <w:tcPr>
            <w:tcW w:w="1696" w:type="dxa"/>
          </w:tcPr>
          <w:p w:rsidR="000B277E" w:rsidRPr="00140088" w:rsidRDefault="000B277E" w:rsidP="00135D22">
            <w:pPr>
              <w:pStyle w:val="noteDrafter"/>
              <w:jc w:val="right"/>
              <w:rPr>
                <w:color w:val="auto"/>
              </w:rPr>
            </w:pPr>
            <w:proofErr w:type="spellStart"/>
            <w:r w:rsidRPr="00140088">
              <w:rPr>
                <w:color w:val="auto"/>
              </w:rPr>
              <w:t>PrDMI</w:t>
            </w:r>
            <w:r w:rsidRPr="00140088">
              <w:rPr>
                <w:color w:val="auto"/>
                <w:vertAlign w:val="subscript"/>
              </w:rPr>
              <w:t>j</w:t>
            </w:r>
            <w:proofErr w:type="spellEnd"/>
            <w:r w:rsidRPr="00140088">
              <w:rPr>
                <w:color w:val="auto"/>
                <w:vertAlign w:val="subscript"/>
              </w:rPr>
              <w:t xml:space="preserve"> </w:t>
            </w:r>
            <w:r>
              <w:rPr>
                <w:color w:val="auto"/>
                <w:vertAlign w:val="subscript"/>
              </w:rPr>
              <w:t xml:space="preserve"> </w:t>
            </w:r>
            <w:r w:rsidRPr="00140088">
              <w:rPr>
                <w:color w:val="auto"/>
              </w:rPr>
              <w:t>=</w:t>
            </w:r>
          </w:p>
        </w:tc>
        <w:tc>
          <w:tcPr>
            <w:tcW w:w="6582" w:type="dxa"/>
          </w:tcPr>
          <w:p w:rsidR="000B277E" w:rsidRPr="00140088" w:rsidRDefault="000B277E" w:rsidP="00135D22">
            <w:pPr>
              <w:pStyle w:val="noteDrafter"/>
              <w:jc w:val="both"/>
              <w:rPr>
                <w:color w:val="auto"/>
              </w:rPr>
            </w:pPr>
            <w:proofErr w:type="gramStart"/>
            <w:r w:rsidRPr="00140088">
              <w:rPr>
                <w:color w:val="auto"/>
              </w:rPr>
              <w:t>average</w:t>
            </w:r>
            <w:proofErr w:type="gramEnd"/>
            <w:r w:rsidRPr="00140088">
              <w:rPr>
                <w:color w:val="auto"/>
              </w:rPr>
              <w:t xml:space="preserve"> daily dry matter intake </w:t>
            </w:r>
            <w:r>
              <w:rPr>
                <w:color w:val="auto"/>
              </w:rPr>
              <w:t xml:space="preserve">of a milking cow </w:t>
            </w:r>
            <w:r w:rsidRPr="00140088">
              <w:rPr>
                <w:color w:val="auto"/>
              </w:rPr>
              <w:t xml:space="preserve">during season </w:t>
            </w:r>
            <w:r w:rsidRPr="00140088">
              <w:rPr>
                <w:i/>
                <w:color w:val="auto"/>
              </w:rPr>
              <w:t>j,</w:t>
            </w:r>
            <w:r w:rsidRPr="00140088">
              <w:rPr>
                <w:color w:val="auto"/>
              </w:rPr>
              <w:t xml:space="preserve"> in kilograms per head per day (kg DM.head</w:t>
            </w:r>
            <w:r w:rsidRPr="00140088">
              <w:rPr>
                <w:color w:val="auto"/>
                <w:vertAlign w:val="superscript"/>
              </w:rPr>
              <w:noBreakHyphen/>
              <w:t>1</w:t>
            </w:r>
            <w:r w:rsidR="00132E6A">
              <w:rPr>
                <w:color w:val="auto"/>
              </w:rPr>
              <w:t>.</w:t>
            </w:r>
            <w:r w:rsidRPr="00140088">
              <w:rPr>
                <w:color w:val="auto"/>
              </w:rPr>
              <w:t>day</w:t>
            </w:r>
            <w:r w:rsidRPr="00140088">
              <w:rPr>
                <w:color w:val="auto"/>
                <w:vertAlign w:val="superscript"/>
              </w:rPr>
              <w:t>-1</w:t>
            </w:r>
            <w:r w:rsidRPr="00140088">
              <w:rPr>
                <w:color w:val="auto"/>
              </w:rPr>
              <w:t>) predicted by the Dietary Fats Calculator.</w:t>
            </w:r>
          </w:p>
        </w:tc>
      </w:tr>
      <w:tr w:rsidR="00890C41" w:rsidRPr="00140088" w:rsidTr="004123C3">
        <w:tc>
          <w:tcPr>
            <w:tcW w:w="1696" w:type="dxa"/>
          </w:tcPr>
          <w:p w:rsidR="00890C41" w:rsidRPr="00140088" w:rsidRDefault="004123C3" w:rsidP="00135D22">
            <w:pPr>
              <w:pStyle w:val="noteDrafter"/>
              <w:jc w:val="right"/>
              <w:rPr>
                <w:color w:val="auto"/>
              </w:rPr>
            </w:pPr>
            <w:r>
              <w:rPr>
                <w:color w:val="auto"/>
              </w:rPr>
              <w:t>f</w:t>
            </w:r>
            <w:r w:rsidR="00890C41">
              <w:rPr>
                <w:color w:val="auto"/>
              </w:rPr>
              <w:t xml:space="preserve"> = </w:t>
            </w:r>
          </w:p>
        </w:tc>
        <w:tc>
          <w:tcPr>
            <w:tcW w:w="6582" w:type="dxa"/>
          </w:tcPr>
          <w:p w:rsidR="00890C41" w:rsidRPr="00890C41" w:rsidRDefault="00890C41" w:rsidP="00135D22">
            <w:pPr>
              <w:pStyle w:val="noteDrafter"/>
              <w:jc w:val="both"/>
              <w:rPr>
                <w:color w:val="auto"/>
              </w:rPr>
            </w:pPr>
            <w:proofErr w:type="spellStart"/>
            <w:proofErr w:type="gramStart"/>
            <w:r w:rsidRPr="004123C3">
              <w:rPr>
                <w:i/>
                <w:color w:val="auto"/>
              </w:rPr>
              <w:t>f</w:t>
            </w:r>
            <w:r>
              <w:rPr>
                <w:color w:val="auto"/>
                <w:vertAlign w:val="superscript"/>
              </w:rPr>
              <w:t>th</w:t>
            </w:r>
            <w:proofErr w:type="spellEnd"/>
            <w:proofErr w:type="gramEnd"/>
            <w:r>
              <w:rPr>
                <w:color w:val="auto"/>
                <w:vertAlign w:val="superscript"/>
              </w:rPr>
              <w:t xml:space="preserve"> </w:t>
            </w:r>
            <w:r>
              <w:rPr>
                <w:color w:val="auto"/>
              </w:rPr>
              <w:t>feed type</w:t>
            </w:r>
            <w:r w:rsidR="004123C3">
              <w:rPr>
                <w:color w:val="auto"/>
              </w:rPr>
              <w:t>.</w:t>
            </w:r>
          </w:p>
        </w:tc>
      </w:tr>
      <w:tr w:rsidR="000B277E" w:rsidRPr="00140088" w:rsidTr="004123C3">
        <w:tc>
          <w:tcPr>
            <w:tcW w:w="1696" w:type="dxa"/>
          </w:tcPr>
          <w:p w:rsidR="000B277E" w:rsidRPr="00140088" w:rsidRDefault="000B277E" w:rsidP="00135D22">
            <w:pPr>
              <w:pStyle w:val="noteDrafter"/>
              <w:jc w:val="right"/>
              <w:rPr>
                <w:color w:val="auto"/>
              </w:rPr>
            </w:pPr>
            <w:proofErr w:type="spellStart"/>
            <w:r w:rsidRPr="00140088">
              <w:rPr>
                <w:color w:val="auto"/>
              </w:rPr>
              <w:t>DMI</w:t>
            </w:r>
            <w:r w:rsidRPr="00140088">
              <w:rPr>
                <w:color w:val="auto"/>
                <w:vertAlign w:val="subscript"/>
              </w:rPr>
              <w:t>f,j</w:t>
            </w:r>
            <w:proofErr w:type="spellEnd"/>
            <w:r w:rsidRPr="00140088">
              <w:rPr>
                <w:color w:val="auto"/>
              </w:rPr>
              <w:t xml:space="preserve"> </w:t>
            </w:r>
            <w:r>
              <w:rPr>
                <w:color w:val="auto"/>
              </w:rPr>
              <w:t xml:space="preserve"> </w:t>
            </w:r>
            <w:r w:rsidRPr="00140088">
              <w:rPr>
                <w:color w:val="auto"/>
              </w:rPr>
              <w:t>=</w:t>
            </w:r>
          </w:p>
        </w:tc>
        <w:tc>
          <w:tcPr>
            <w:tcW w:w="6582" w:type="dxa"/>
          </w:tcPr>
          <w:p w:rsidR="000B277E" w:rsidRPr="00140088" w:rsidRDefault="000B277E" w:rsidP="00135D22">
            <w:pPr>
              <w:pStyle w:val="noteDrafter"/>
              <w:jc w:val="both"/>
              <w:rPr>
                <w:color w:val="auto"/>
              </w:rPr>
            </w:pPr>
            <w:proofErr w:type="gramStart"/>
            <w:r w:rsidRPr="00140088">
              <w:rPr>
                <w:color w:val="auto"/>
              </w:rPr>
              <w:t>average</w:t>
            </w:r>
            <w:proofErr w:type="gramEnd"/>
            <w:r w:rsidRPr="00140088">
              <w:rPr>
                <w:color w:val="auto"/>
              </w:rPr>
              <w:t xml:space="preserve"> daily dry matter intake of a milking cow of feed type </w:t>
            </w:r>
            <w:r w:rsidRPr="00140088">
              <w:rPr>
                <w:i/>
                <w:color w:val="auto"/>
              </w:rPr>
              <w:t>f</w:t>
            </w:r>
            <w:r w:rsidRPr="00140088">
              <w:rPr>
                <w:color w:val="auto"/>
              </w:rPr>
              <w:t xml:space="preserve"> during season </w:t>
            </w:r>
            <w:r w:rsidRPr="00140088">
              <w:rPr>
                <w:i/>
                <w:color w:val="auto"/>
              </w:rPr>
              <w:t>j,</w:t>
            </w:r>
            <w:r w:rsidRPr="00140088">
              <w:rPr>
                <w:color w:val="auto"/>
              </w:rPr>
              <w:t xml:space="preserve"> in kilograms per head per day </w:t>
            </w:r>
            <w:r>
              <w:rPr>
                <w:color w:val="auto"/>
              </w:rPr>
              <w:t xml:space="preserve">   </w:t>
            </w:r>
            <w:r w:rsidRPr="00140088">
              <w:rPr>
                <w:color w:val="auto"/>
              </w:rPr>
              <w:t>(kg DM.head</w:t>
            </w:r>
            <w:r w:rsidRPr="00140088">
              <w:rPr>
                <w:color w:val="auto"/>
                <w:vertAlign w:val="superscript"/>
              </w:rPr>
              <w:noBreakHyphen/>
              <w:t>1</w:t>
            </w:r>
            <w:r w:rsidR="00132E6A">
              <w:rPr>
                <w:color w:val="auto"/>
              </w:rPr>
              <w:t>.</w:t>
            </w:r>
            <w:r w:rsidRPr="00140088">
              <w:rPr>
                <w:color w:val="auto"/>
              </w:rPr>
              <w:t>day</w:t>
            </w:r>
            <w:r w:rsidRPr="00140088">
              <w:rPr>
                <w:color w:val="auto"/>
                <w:vertAlign w:val="superscript"/>
              </w:rPr>
              <w:t>-1</w:t>
            </w:r>
            <w:r w:rsidRPr="00140088">
              <w:rPr>
                <w:color w:val="auto"/>
              </w:rPr>
              <w:t>), calculated in accordance with Equation 5.</w:t>
            </w:r>
          </w:p>
        </w:tc>
      </w:tr>
    </w:tbl>
    <w:p w:rsidR="000B277E" w:rsidRPr="00140088" w:rsidRDefault="000B277E" w:rsidP="00135D22">
      <w:pPr>
        <w:pStyle w:val="tMain"/>
      </w:pPr>
      <w:r>
        <w:lastRenderedPageBreak/>
        <w:tab/>
      </w:r>
      <w:r w:rsidR="0060744B">
        <w:t>(4)</w:t>
      </w:r>
      <w:r>
        <w:tab/>
      </w:r>
      <w:r w:rsidRPr="00140088">
        <w:t>For each season, enter the estimated average daily dry matter intake of pasture, calculat</w:t>
      </w:r>
      <w:r w:rsidR="00890C41">
        <w:t>ed in accordance with Equation 7</w:t>
      </w:r>
      <w:r w:rsidRPr="00140088">
        <w:t>, into the ‘Pastures’ field in the Dietary Fats Calculator.</w:t>
      </w:r>
    </w:p>
    <w:p w:rsidR="000B277E" w:rsidRPr="001A2CEE" w:rsidRDefault="000B277E" w:rsidP="00135D22">
      <w:pPr>
        <w:pStyle w:val="tMain"/>
      </w:pPr>
      <w:r>
        <w:tab/>
      </w:r>
      <w:r w:rsidR="0060744B">
        <w:t>(5)</w:t>
      </w:r>
      <w:r>
        <w:tab/>
      </w:r>
      <w:r w:rsidRPr="00140088">
        <w:t xml:space="preserve">If, after completing </w:t>
      </w:r>
      <w:r>
        <w:t>the step in subsection</w:t>
      </w:r>
      <w:r w:rsidRPr="00140088">
        <w:t xml:space="preserve"> </w:t>
      </w:r>
      <w:r w:rsidR="0060744B">
        <w:t>(4)</w:t>
      </w:r>
      <w:r w:rsidRPr="00140088">
        <w:t>, the actual seasonal daily intake calculated by the Dietary Fats Calculator is the same as the predicted seasonal daily intake (</w:t>
      </w:r>
      <w:proofErr w:type="spellStart"/>
      <w:r w:rsidRPr="00140088">
        <w:t>PrDMI</w:t>
      </w:r>
      <w:r w:rsidRPr="00140088">
        <w:rPr>
          <w:vertAlign w:val="subscript"/>
        </w:rPr>
        <w:t>j</w:t>
      </w:r>
      <w:proofErr w:type="spellEnd"/>
      <w:r w:rsidRPr="00140088">
        <w:t xml:space="preserve">), then the value obtained in </w:t>
      </w:r>
      <w:r>
        <w:t>subsection</w:t>
      </w:r>
      <w:r w:rsidRPr="00140088">
        <w:t xml:space="preserve"> </w:t>
      </w:r>
      <w:r w:rsidR="0060744B">
        <w:t>(3)</w:t>
      </w:r>
      <w:r w:rsidRPr="00140088">
        <w:t xml:space="preserve"> is the </w:t>
      </w:r>
      <w:r>
        <w:t>DMI of pasture for that season (</w:t>
      </w:r>
      <w:proofErr w:type="spellStart"/>
      <w:r>
        <w:t>DMI</w:t>
      </w:r>
      <w:r>
        <w:rPr>
          <w:vertAlign w:val="subscript"/>
        </w:rPr>
        <w:t>pasture,j</w:t>
      </w:r>
      <w:proofErr w:type="spellEnd"/>
      <w:r>
        <w:t>).</w:t>
      </w:r>
    </w:p>
    <w:p w:rsidR="000B277E" w:rsidRDefault="000B277E" w:rsidP="00135D22">
      <w:pPr>
        <w:pStyle w:val="tMain"/>
      </w:pPr>
      <w:r>
        <w:tab/>
      </w:r>
      <w:r w:rsidR="0060744B">
        <w:t>(6)</w:t>
      </w:r>
      <w:r>
        <w:tab/>
      </w:r>
      <w:r w:rsidRPr="00140088">
        <w:t>If the actual seasonal daily intake generated by the Dietary Fats Calculator is not the same as the predicted seasonal daily intake (</w:t>
      </w:r>
      <w:proofErr w:type="spellStart"/>
      <w:r w:rsidRPr="00140088">
        <w:t>PrDMI</w:t>
      </w:r>
      <w:r w:rsidRPr="00140088">
        <w:rPr>
          <w:vertAlign w:val="subscript"/>
        </w:rPr>
        <w:t>j</w:t>
      </w:r>
      <w:proofErr w:type="spellEnd"/>
      <w:r w:rsidRPr="00140088">
        <w:t xml:space="preserve">), then the </w:t>
      </w:r>
      <w:r>
        <w:t>DMI of pasture for that season (</w:t>
      </w:r>
      <w:proofErr w:type="spellStart"/>
      <w:r>
        <w:t>DMI</w:t>
      </w:r>
      <w:r>
        <w:rPr>
          <w:vertAlign w:val="subscript"/>
        </w:rPr>
        <w:t>pasture</w:t>
      </w:r>
      <w:proofErr w:type="gramStart"/>
      <w:r>
        <w:rPr>
          <w:vertAlign w:val="subscript"/>
        </w:rPr>
        <w:t>,j</w:t>
      </w:r>
      <w:proofErr w:type="spellEnd"/>
      <w:proofErr w:type="gramEnd"/>
      <w:r>
        <w:t xml:space="preserve">) </w:t>
      </w:r>
      <w:r w:rsidR="003723EE">
        <w:t xml:space="preserve">must </w:t>
      </w:r>
      <w:r w:rsidRPr="00140088">
        <w:t>be adjusted until the actual seasonal daily intake generated by the Dietary Fats Calculator is the same</w:t>
      </w:r>
      <w:r>
        <w:t xml:space="preserve"> to one decimal place</w:t>
      </w:r>
      <w:r w:rsidRPr="00140088">
        <w:t xml:space="preserve"> as the predicted seasonal daily intake (</w:t>
      </w:r>
      <w:proofErr w:type="spellStart"/>
      <w:r w:rsidRPr="00140088">
        <w:t>PrDMI</w:t>
      </w:r>
      <w:r w:rsidRPr="00140088">
        <w:rPr>
          <w:vertAlign w:val="subscript"/>
        </w:rPr>
        <w:t>j</w:t>
      </w:r>
      <w:proofErr w:type="spellEnd"/>
      <w:r w:rsidRPr="00140088">
        <w:t>).</w:t>
      </w:r>
    </w:p>
    <w:p w:rsidR="000B277E" w:rsidRDefault="000B277E" w:rsidP="00135D22">
      <w:pPr>
        <w:pStyle w:val="tMain"/>
      </w:pPr>
      <w:r>
        <w:tab/>
      </w:r>
      <w:r w:rsidR="0060744B">
        <w:t>(7)</w:t>
      </w:r>
      <w:r>
        <w:tab/>
      </w:r>
      <w:r w:rsidRPr="00140088">
        <w:t xml:space="preserve">If subsection </w:t>
      </w:r>
      <w:r w:rsidR="0060744B">
        <w:t>(6)</w:t>
      </w:r>
      <w:r>
        <w:t xml:space="preserve"> </w:t>
      </w:r>
      <w:r w:rsidRPr="00140088">
        <w:t xml:space="preserve">applies, </w:t>
      </w:r>
      <w:r>
        <w:t>the DMI of pasture for that season (</w:t>
      </w:r>
      <w:proofErr w:type="spellStart"/>
      <w:r>
        <w:t>DMI</w:t>
      </w:r>
      <w:r>
        <w:rPr>
          <w:vertAlign w:val="subscript"/>
        </w:rPr>
        <w:t>pasture</w:t>
      </w:r>
      <w:proofErr w:type="gramStart"/>
      <w:r>
        <w:rPr>
          <w:vertAlign w:val="subscript"/>
        </w:rPr>
        <w:t>,j</w:t>
      </w:r>
      <w:proofErr w:type="spellEnd"/>
      <w:proofErr w:type="gramEnd"/>
      <w:r>
        <w:t>) is the adjusted value mentioned in that provision.</w:t>
      </w:r>
    </w:p>
    <w:p w:rsidR="000B277E" w:rsidRDefault="000B277E" w:rsidP="00135D22">
      <w:pPr>
        <w:pStyle w:val="tPara"/>
      </w:pPr>
    </w:p>
    <w:p w:rsidR="00635D1F" w:rsidRDefault="00635D1F" w:rsidP="00135D22">
      <w:pPr>
        <w:pStyle w:val="h2Part"/>
      </w:pPr>
      <w:bookmarkStart w:id="39" w:name="_Toc362952389"/>
      <w:r w:rsidRPr="000828F3">
        <w:lastRenderedPageBreak/>
        <w:t xml:space="preserve">Part </w:t>
      </w:r>
      <w:r w:rsidR="0060744B">
        <w:t>5</w:t>
      </w:r>
      <w:r w:rsidRPr="000828F3">
        <w:tab/>
      </w:r>
      <w:r w:rsidR="0086765E">
        <w:t>Monitoring,</w:t>
      </w:r>
      <w:r w:rsidR="00591A95">
        <w:t xml:space="preserve"> measuring,</w:t>
      </w:r>
      <w:r w:rsidR="0086765E">
        <w:t xml:space="preserve"> record</w:t>
      </w:r>
      <w:r w:rsidR="0086765E">
        <w:noBreakHyphen/>
        <w:t>k</w:t>
      </w:r>
      <w:r w:rsidRPr="000828F3">
        <w:t>eeping and reporting requirements</w:t>
      </w:r>
      <w:bookmarkEnd w:id="39"/>
    </w:p>
    <w:p w:rsidR="00635D1F" w:rsidRPr="000828F3" w:rsidRDefault="00635D1F" w:rsidP="00135D22">
      <w:pPr>
        <w:pStyle w:val="noteMain"/>
      </w:pPr>
      <w:r w:rsidRPr="000828F3">
        <w:tab/>
      </w:r>
      <w:r w:rsidRPr="000828F3">
        <w:rPr>
          <w:b/>
          <w:i/>
        </w:rPr>
        <w:t>Note</w:t>
      </w:r>
      <w:r w:rsidRPr="000828F3">
        <w:tab/>
        <w:t>See subsection 106(3) of the Act.</w:t>
      </w:r>
    </w:p>
    <w:p w:rsidR="00635D1F" w:rsidRPr="000828F3" w:rsidRDefault="00635D1F" w:rsidP="00135D22">
      <w:pPr>
        <w:pStyle w:val="h3Div"/>
        <w:jc w:val="both"/>
      </w:pPr>
      <w:bookmarkStart w:id="40" w:name="_Toc362952390"/>
      <w:r w:rsidRPr="000828F3">
        <w:t xml:space="preserve">Division </w:t>
      </w:r>
      <w:r w:rsidR="0060744B">
        <w:t>5.1</w:t>
      </w:r>
      <w:r w:rsidRPr="000828F3">
        <w:tab/>
        <w:t>General</w:t>
      </w:r>
      <w:bookmarkEnd w:id="40"/>
    </w:p>
    <w:p w:rsidR="00635D1F" w:rsidRPr="000828F3" w:rsidRDefault="0060744B" w:rsidP="00135D22">
      <w:pPr>
        <w:pStyle w:val="h5Section"/>
        <w:jc w:val="both"/>
      </w:pPr>
      <w:bookmarkStart w:id="41" w:name="_Toc362952391"/>
      <w:r>
        <w:t>5.1</w:t>
      </w:r>
      <w:r w:rsidR="00635D1F" w:rsidRPr="000828F3">
        <w:tab/>
        <w:t>General</w:t>
      </w:r>
      <w:bookmarkEnd w:id="41"/>
    </w:p>
    <w:p w:rsidR="00635D1F" w:rsidRPr="00DE64EE" w:rsidRDefault="00635D1F" w:rsidP="00135D22">
      <w:pPr>
        <w:pStyle w:val="tMain"/>
      </w:pPr>
      <w:r w:rsidRPr="000828F3">
        <w:tab/>
      </w:r>
      <w:r w:rsidRPr="000828F3">
        <w:tab/>
        <w:t>For the purposes of subsection 106(3) of the Act, a project proponent of a</w:t>
      </w:r>
      <w:r w:rsidR="007E4BE2">
        <w:t>n eligible offsets</w:t>
      </w:r>
      <w:r w:rsidRPr="000828F3">
        <w:t xml:space="preserve"> project to which this Determination applies must comply with the monitoring, measurement, record-keeping and reporting requirements of this Part.</w:t>
      </w:r>
    </w:p>
    <w:p w:rsidR="00635D1F" w:rsidRPr="009358F2" w:rsidRDefault="00BC4684" w:rsidP="00E12FAB">
      <w:pPr>
        <w:pStyle w:val="h3Div"/>
      </w:pPr>
      <w:bookmarkStart w:id="42" w:name="_Toc362952392"/>
      <w:r>
        <w:t xml:space="preserve">Division </w:t>
      </w:r>
      <w:r w:rsidR="0060744B">
        <w:t>5.2</w:t>
      </w:r>
      <w:r>
        <w:tab/>
      </w:r>
      <w:r w:rsidR="00635D1F" w:rsidRPr="009358F2">
        <w:t>Monitoring</w:t>
      </w:r>
      <w:r w:rsidR="00591A95">
        <w:t xml:space="preserve"> and measuring</w:t>
      </w:r>
      <w:bookmarkEnd w:id="42"/>
    </w:p>
    <w:p w:rsidR="00635D1F" w:rsidRPr="009358F2" w:rsidRDefault="00635D1F" w:rsidP="00135D22">
      <w:pPr>
        <w:pStyle w:val="h5Section"/>
        <w:jc w:val="both"/>
        <w:rPr>
          <w:noProof/>
        </w:rPr>
      </w:pPr>
      <w:r>
        <w:rPr>
          <w:noProof/>
        </w:rPr>
        <w:t xml:space="preserve"> </w:t>
      </w:r>
      <w:bookmarkStart w:id="43" w:name="_Toc362952393"/>
      <w:r w:rsidR="0060744B">
        <w:rPr>
          <w:noProof/>
        </w:rPr>
        <w:t>5.2</w:t>
      </w:r>
      <w:r>
        <w:rPr>
          <w:noProof/>
        </w:rPr>
        <w:tab/>
      </w:r>
      <w:r w:rsidRPr="009358F2">
        <w:rPr>
          <w:noProof/>
        </w:rPr>
        <w:t>General</w:t>
      </w:r>
      <w:bookmarkEnd w:id="43"/>
    </w:p>
    <w:p w:rsidR="00635D1F" w:rsidRDefault="00635D1F" w:rsidP="00135D22">
      <w:pPr>
        <w:pStyle w:val="tMain"/>
        <w:spacing w:before="120" w:after="120"/>
      </w:pPr>
      <w:r w:rsidRPr="009358F2">
        <w:tab/>
      </w:r>
      <w:r w:rsidRPr="009358F2">
        <w:tab/>
        <w:t>The project proponent must monitor</w:t>
      </w:r>
      <w:r w:rsidR="00C53BE6">
        <w:t xml:space="preserve"> the project</w:t>
      </w:r>
      <w:r w:rsidRPr="009358F2">
        <w:t xml:space="preserve"> and record the information</w:t>
      </w:r>
      <w:r w:rsidR="00C53BE6">
        <w:t xml:space="preserve"> as</w:t>
      </w:r>
      <w:r w:rsidRPr="009358F2">
        <w:t xml:space="preserve"> specified in this Division.</w:t>
      </w:r>
    </w:p>
    <w:p w:rsidR="00FF7FDD" w:rsidRDefault="0060744B" w:rsidP="00E12FAB">
      <w:pPr>
        <w:pStyle w:val="h5Section"/>
      </w:pPr>
      <w:bookmarkStart w:id="44" w:name="_Toc362952394"/>
      <w:r>
        <w:t>5.3</w:t>
      </w:r>
      <w:r w:rsidR="00E75C4E">
        <w:tab/>
        <w:t>Monitoring</w:t>
      </w:r>
      <w:r w:rsidR="000A08E3">
        <w:t xml:space="preserve"> number in the</w:t>
      </w:r>
      <w:r w:rsidR="00F7627F">
        <w:t xml:space="preserve"> milking herd</w:t>
      </w:r>
      <w:bookmarkEnd w:id="44"/>
    </w:p>
    <w:p w:rsidR="00EA146C" w:rsidRDefault="00EA146C" w:rsidP="00135D22">
      <w:pPr>
        <w:pStyle w:val="tMain"/>
      </w:pPr>
      <w:r>
        <w:tab/>
      </w:r>
      <w:r>
        <w:tab/>
      </w:r>
      <w:r w:rsidR="003C3EED" w:rsidRPr="003C3EED">
        <w:t>For the purposes of section</w:t>
      </w:r>
      <w:r w:rsidR="00290F9C">
        <w:t xml:space="preserve"> </w:t>
      </w:r>
      <w:r w:rsidR="0060744B">
        <w:t>4.6</w:t>
      </w:r>
      <w:r>
        <w:t>:</w:t>
      </w:r>
    </w:p>
    <w:p w:rsidR="003C3EED" w:rsidRPr="003C3EED" w:rsidRDefault="00EA146C" w:rsidP="00135D22">
      <w:pPr>
        <w:pStyle w:val="tPara"/>
      </w:pPr>
      <w:r>
        <w:tab/>
      </w:r>
      <w:r w:rsidR="0060744B">
        <w:t>(a)</w:t>
      </w:r>
      <w:r>
        <w:tab/>
      </w:r>
      <w:proofErr w:type="gramStart"/>
      <w:r w:rsidR="00E75C4E">
        <w:t>the</w:t>
      </w:r>
      <w:proofErr w:type="gramEnd"/>
      <w:r w:rsidR="00FF7FDD">
        <w:t xml:space="preserve"> number</w:t>
      </w:r>
      <w:r w:rsidR="00E75C4E">
        <w:t xml:space="preserve"> of milking cows</w:t>
      </w:r>
      <w:r w:rsidR="00FF7FDD">
        <w:t xml:space="preserve"> in</w:t>
      </w:r>
      <w:r w:rsidR="003C3EED" w:rsidRPr="003C3EED">
        <w:t xml:space="preserve"> the </w:t>
      </w:r>
      <w:r w:rsidR="002A5069">
        <w:t>milking herd</w:t>
      </w:r>
      <w:r w:rsidR="003C3EED" w:rsidRPr="003C3EED">
        <w:t xml:space="preserve"> must be tracked by supplying each </w:t>
      </w:r>
      <w:r w:rsidR="00FF7FDD">
        <w:t xml:space="preserve">milking </w:t>
      </w:r>
      <w:r w:rsidR="003C3EED" w:rsidRPr="003C3EED">
        <w:t>cow with:</w:t>
      </w:r>
    </w:p>
    <w:p w:rsidR="003C3EED" w:rsidRPr="003C3EED" w:rsidRDefault="00EA146C" w:rsidP="00135D22">
      <w:pPr>
        <w:pStyle w:val="tSubpara"/>
      </w:pPr>
      <w:r>
        <w:tab/>
      </w:r>
      <w:r w:rsidR="0060744B">
        <w:t>(i)</w:t>
      </w:r>
      <w:r>
        <w:tab/>
      </w:r>
      <w:proofErr w:type="gramStart"/>
      <w:r w:rsidR="003C3EED" w:rsidRPr="003C3EED">
        <w:t>an</w:t>
      </w:r>
      <w:proofErr w:type="gramEnd"/>
      <w:r w:rsidR="003C3EED" w:rsidRPr="003C3EED">
        <w:t xml:space="preserve"> animal identification tag; or</w:t>
      </w:r>
    </w:p>
    <w:p w:rsidR="003C3EED" w:rsidRDefault="00EA146C" w:rsidP="00135D22">
      <w:pPr>
        <w:pStyle w:val="tSubpara"/>
      </w:pPr>
      <w:r>
        <w:tab/>
      </w:r>
      <w:r w:rsidR="0060744B">
        <w:t>(ii)</w:t>
      </w:r>
      <w:r>
        <w:tab/>
      </w:r>
      <w:proofErr w:type="gramStart"/>
      <w:r>
        <w:t>another</w:t>
      </w:r>
      <w:proofErr w:type="gramEnd"/>
      <w:r>
        <w:t xml:space="preserve"> unique identifier; and</w:t>
      </w:r>
    </w:p>
    <w:p w:rsidR="00EA146C" w:rsidRDefault="00EA146C" w:rsidP="00135D22">
      <w:pPr>
        <w:pStyle w:val="tPara"/>
      </w:pPr>
      <w:r>
        <w:tab/>
      </w:r>
      <w:r w:rsidR="0060744B">
        <w:t>(b)</w:t>
      </w:r>
      <w:r>
        <w:tab/>
      </w:r>
      <w:proofErr w:type="gramStart"/>
      <w:r>
        <w:t>the</w:t>
      </w:r>
      <w:proofErr w:type="gramEnd"/>
      <w:r>
        <w:t xml:space="preserve"> milking cows in the milking herd must be counte</w:t>
      </w:r>
      <w:r w:rsidR="005531E2">
        <w:t xml:space="preserve">d at least once per month in each year of the </w:t>
      </w:r>
      <w:r>
        <w:t>baseline and each project year.</w:t>
      </w:r>
    </w:p>
    <w:p w:rsidR="0037501A" w:rsidRDefault="0060744B" w:rsidP="00E12FAB">
      <w:pPr>
        <w:pStyle w:val="h5Section"/>
      </w:pPr>
      <w:bookmarkStart w:id="45" w:name="_Toc362952395"/>
      <w:r>
        <w:t>5.4</w:t>
      </w:r>
      <w:r w:rsidR="00F01B79">
        <w:tab/>
      </w:r>
      <w:r w:rsidR="0037501A" w:rsidRPr="001F18B8">
        <w:t>Quality assurance and quality control</w:t>
      </w:r>
      <w:bookmarkEnd w:id="45"/>
    </w:p>
    <w:p w:rsidR="000B1C7C" w:rsidRPr="000B1C7C" w:rsidRDefault="00A60521" w:rsidP="00135D22">
      <w:pPr>
        <w:pStyle w:val="tMain"/>
        <w:rPr>
          <w:rFonts w:eastAsia="Calibri"/>
        </w:rPr>
      </w:pPr>
      <w:r>
        <w:rPr>
          <w:rFonts w:eastAsia="Calibri"/>
        </w:rPr>
        <w:tab/>
      </w:r>
      <w:r w:rsidR="0060744B">
        <w:rPr>
          <w:rFonts w:eastAsia="Calibri"/>
        </w:rPr>
        <w:t>(1)</w:t>
      </w:r>
      <w:r>
        <w:rPr>
          <w:rFonts w:eastAsia="Calibri"/>
        </w:rPr>
        <w:tab/>
        <w:t>Each</w:t>
      </w:r>
      <w:r w:rsidR="000B1C7C" w:rsidRPr="000B1C7C">
        <w:rPr>
          <w:rFonts w:eastAsia="Calibri"/>
        </w:rPr>
        <w:t xml:space="preserve"> </w:t>
      </w:r>
      <w:r w:rsidR="000B1C7C">
        <w:rPr>
          <w:rFonts w:eastAsia="Calibri"/>
        </w:rPr>
        <w:t xml:space="preserve">measuring or </w:t>
      </w:r>
      <w:r>
        <w:rPr>
          <w:rFonts w:eastAsia="Calibri"/>
        </w:rPr>
        <w:t>monitoring instrument</w:t>
      </w:r>
      <w:r w:rsidR="000B1C7C" w:rsidRPr="000B1C7C">
        <w:rPr>
          <w:rFonts w:eastAsia="Calibri"/>
        </w:rPr>
        <w:t xml:space="preserve"> use</w:t>
      </w:r>
      <w:r w:rsidR="000B277E">
        <w:rPr>
          <w:rFonts w:eastAsia="Calibri"/>
        </w:rPr>
        <w:t>d to collect data used in Part</w:t>
      </w:r>
      <w:r w:rsidR="000B1C7C">
        <w:rPr>
          <w:rFonts w:eastAsia="Calibri"/>
        </w:rPr>
        <w:t xml:space="preserve"> </w:t>
      </w:r>
      <w:r w:rsidR="0060744B">
        <w:rPr>
          <w:rFonts w:eastAsia="Calibri"/>
        </w:rPr>
        <w:t>4</w:t>
      </w:r>
      <w:r w:rsidR="000B277E">
        <w:rPr>
          <w:rFonts w:eastAsia="Calibri"/>
        </w:rPr>
        <w:t xml:space="preserve"> </w:t>
      </w:r>
      <w:r w:rsidR="000B1C7C" w:rsidRPr="000B1C7C">
        <w:rPr>
          <w:rFonts w:eastAsia="Calibri"/>
        </w:rPr>
        <w:t>must be inspected, maintained and calibrated</w:t>
      </w:r>
      <w:r w:rsidR="000B1C7C">
        <w:rPr>
          <w:rFonts w:eastAsia="Calibri"/>
        </w:rPr>
        <w:t xml:space="preserve"> in accordance with</w:t>
      </w:r>
      <w:r w:rsidR="000B1C7C" w:rsidRPr="000B1C7C">
        <w:rPr>
          <w:rFonts w:eastAsia="Calibri"/>
        </w:rPr>
        <w:t>:</w:t>
      </w:r>
    </w:p>
    <w:p w:rsidR="000B1C7C" w:rsidRPr="000B1C7C" w:rsidRDefault="000B1C7C" w:rsidP="00135D22">
      <w:pPr>
        <w:pStyle w:val="tPara"/>
        <w:rPr>
          <w:rFonts w:eastAsia="Calibri"/>
        </w:rPr>
      </w:pPr>
      <w:r>
        <w:rPr>
          <w:rFonts w:eastAsia="Calibri"/>
        </w:rPr>
        <w:tab/>
      </w:r>
      <w:r w:rsidR="0060744B">
        <w:rPr>
          <w:rFonts w:eastAsia="Calibri"/>
        </w:rPr>
        <w:t>(a)</w:t>
      </w:r>
      <w:r>
        <w:rPr>
          <w:rFonts w:eastAsia="Calibri"/>
        </w:rPr>
        <w:tab/>
      </w:r>
      <w:proofErr w:type="gramStart"/>
      <w:r w:rsidRPr="000B1C7C">
        <w:rPr>
          <w:rFonts w:eastAsia="Calibri"/>
        </w:rPr>
        <w:t>the</w:t>
      </w:r>
      <w:proofErr w:type="gramEnd"/>
      <w:r w:rsidRPr="000B1C7C">
        <w:rPr>
          <w:rFonts w:eastAsia="Calibri"/>
        </w:rPr>
        <w:t xml:space="preserve"> product litera</w:t>
      </w:r>
      <w:r>
        <w:rPr>
          <w:rFonts w:eastAsia="Calibri"/>
        </w:rPr>
        <w:t>ture that accompanies the instrument; or</w:t>
      </w:r>
    </w:p>
    <w:p w:rsidR="000B1C7C" w:rsidRDefault="00A60521" w:rsidP="00135D22">
      <w:pPr>
        <w:pStyle w:val="tPara"/>
        <w:rPr>
          <w:rFonts w:eastAsia="Calibri"/>
        </w:rPr>
      </w:pPr>
      <w:r>
        <w:rPr>
          <w:rFonts w:eastAsia="Calibri"/>
        </w:rPr>
        <w:tab/>
      </w:r>
      <w:r w:rsidR="0060744B">
        <w:rPr>
          <w:rFonts w:eastAsia="Calibri"/>
        </w:rPr>
        <w:t>(b)</w:t>
      </w:r>
      <w:r>
        <w:rPr>
          <w:rFonts w:eastAsia="Calibri"/>
        </w:rPr>
        <w:tab/>
      </w:r>
      <w:proofErr w:type="gramStart"/>
      <w:r w:rsidR="000B1C7C">
        <w:rPr>
          <w:rFonts w:eastAsia="Calibri"/>
        </w:rPr>
        <w:t>the</w:t>
      </w:r>
      <w:proofErr w:type="gramEnd"/>
      <w:r>
        <w:rPr>
          <w:rFonts w:eastAsia="Calibri"/>
        </w:rPr>
        <w:t xml:space="preserve"> applicable standard</w:t>
      </w:r>
      <w:r w:rsidR="00870D30">
        <w:rPr>
          <w:rFonts w:eastAsia="Calibri"/>
        </w:rPr>
        <w:t>.</w:t>
      </w:r>
    </w:p>
    <w:p w:rsidR="00A60521" w:rsidRDefault="00A60521" w:rsidP="00135D22">
      <w:pPr>
        <w:pStyle w:val="tMain"/>
        <w:rPr>
          <w:rFonts w:eastAsia="Calibri"/>
        </w:rPr>
      </w:pPr>
      <w:r>
        <w:rPr>
          <w:rFonts w:eastAsia="Calibri"/>
        </w:rPr>
        <w:tab/>
      </w:r>
      <w:r w:rsidR="0060744B">
        <w:rPr>
          <w:rFonts w:eastAsia="Calibri"/>
        </w:rPr>
        <w:t>(2)</w:t>
      </w:r>
      <w:r>
        <w:rPr>
          <w:rFonts w:eastAsia="Calibri"/>
        </w:rPr>
        <w:tab/>
        <w:t xml:space="preserve">In this section, </w:t>
      </w:r>
      <w:r>
        <w:rPr>
          <w:rFonts w:eastAsia="Calibri"/>
          <w:b/>
          <w:i/>
        </w:rPr>
        <w:t xml:space="preserve">standard </w:t>
      </w:r>
      <w:r w:rsidR="00870D30">
        <w:rPr>
          <w:rFonts w:eastAsia="Calibri"/>
        </w:rPr>
        <w:t>means</w:t>
      </w:r>
      <w:r>
        <w:rPr>
          <w:rFonts w:eastAsia="Calibri"/>
        </w:rPr>
        <w:t>:</w:t>
      </w:r>
    </w:p>
    <w:p w:rsidR="00A60521" w:rsidRPr="00A60521" w:rsidRDefault="00A60521" w:rsidP="00135D22">
      <w:pPr>
        <w:pStyle w:val="tPara"/>
        <w:rPr>
          <w:rFonts w:eastAsia="Calibri"/>
        </w:rPr>
      </w:pPr>
      <w:r>
        <w:rPr>
          <w:rFonts w:eastAsia="Calibri"/>
          <w:b/>
          <w:bCs/>
          <w:i/>
          <w:iCs/>
        </w:rPr>
        <w:tab/>
      </w:r>
      <w:r w:rsidR="0060744B">
        <w:rPr>
          <w:rFonts w:eastAsia="Calibri"/>
          <w:bCs/>
          <w:iCs/>
        </w:rPr>
        <w:t>(a)</w:t>
      </w:r>
      <w:r w:rsidRPr="00A60521">
        <w:rPr>
          <w:rFonts w:eastAsia="Calibri"/>
          <w:bCs/>
          <w:iCs/>
        </w:rPr>
        <w:tab/>
      </w:r>
      <w:proofErr w:type="gramStart"/>
      <w:r w:rsidR="00870D30">
        <w:rPr>
          <w:rFonts w:eastAsia="Calibri"/>
          <w:bCs/>
          <w:iCs/>
        </w:rPr>
        <w:t>an</w:t>
      </w:r>
      <w:proofErr w:type="gramEnd"/>
      <w:r w:rsidR="00870D30">
        <w:rPr>
          <w:rFonts w:eastAsia="Calibri"/>
          <w:bCs/>
          <w:iCs/>
        </w:rPr>
        <w:t xml:space="preserve"> </w:t>
      </w:r>
      <w:r w:rsidRPr="00A60521">
        <w:rPr>
          <w:rFonts w:eastAsia="Calibri"/>
          <w:bCs/>
          <w:iCs/>
        </w:rPr>
        <w:t xml:space="preserve">Australian Standard </w:t>
      </w:r>
      <w:r w:rsidRPr="00A60521">
        <w:rPr>
          <w:rFonts w:eastAsia="Calibri"/>
        </w:rPr>
        <w:t>published by Standards Australia Limited</w:t>
      </w:r>
      <w:r>
        <w:rPr>
          <w:rFonts w:eastAsia="Calibri"/>
        </w:rPr>
        <w:t xml:space="preserve"> and</w:t>
      </w:r>
      <w:r w:rsidRPr="00A60521">
        <w:rPr>
          <w:rFonts w:eastAsia="Calibri"/>
        </w:rPr>
        <w:t xml:space="preserve"> denoted by the letters "AS</w:t>
      </w:r>
      <w:r>
        <w:rPr>
          <w:rFonts w:eastAsia="Calibri"/>
        </w:rPr>
        <w:t>" and identifying numbers or letters;</w:t>
      </w:r>
    </w:p>
    <w:p w:rsidR="00A60521" w:rsidRPr="00A60521" w:rsidRDefault="00A60521" w:rsidP="00135D22">
      <w:pPr>
        <w:pStyle w:val="tPara"/>
        <w:rPr>
          <w:rFonts w:eastAsia="Calibri"/>
        </w:rPr>
      </w:pPr>
      <w:r>
        <w:rPr>
          <w:rFonts w:eastAsia="Calibri"/>
          <w:b/>
          <w:bCs/>
          <w:i/>
          <w:iCs/>
        </w:rPr>
        <w:lastRenderedPageBreak/>
        <w:tab/>
      </w:r>
      <w:r w:rsidR="0060744B">
        <w:rPr>
          <w:rFonts w:eastAsia="Calibri"/>
          <w:bCs/>
          <w:iCs/>
        </w:rPr>
        <w:t>(b)</w:t>
      </w:r>
      <w:r w:rsidRPr="00A60521">
        <w:rPr>
          <w:rFonts w:eastAsia="Calibri"/>
          <w:bCs/>
          <w:iCs/>
        </w:rPr>
        <w:tab/>
      </w:r>
      <w:proofErr w:type="gramStart"/>
      <w:r w:rsidR="00870D30">
        <w:rPr>
          <w:rFonts w:eastAsia="Calibri"/>
          <w:bCs/>
          <w:iCs/>
        </w:rPr>
        <w:t>an</w:t>
      </w:r>
      <w:proofErr w:type="gramEnd"/>
      <w:r w:rsidR="00870D30">
        <w:rPr>
          <w:rFonts w:eastAsia="Calibri"/>
          <w:bCs/>
          <w:iCs/>
        </w:rPr>
        <w:t xml:space="preserve"> </w:t>
      </w:r>
      <w:r w:rsidRPr="00A60521">
        <w:rPr>
          <w:rFonts w:eastAsia="Calibri"/>
          <w:bCs/>
          <w:iCs/>
        </w:rPr>
        <w:t xml:space="preserve">Australian/New Zealand Standard </w:t>
      </w:r>
      <w:r w:rsidRPr="00A60521">
        <w:rPr>
          <w:rFonts w:eastAsia="Calibri"/>
        </w:rPr>
        <w:t>jointly published by Standards Australia Limited and Standards New Zealand</w:t>
      </w:r>
      <w:r>
        <w:rPr>
          <w:rFonts w:eastAsia="Calibri"/>
        </w:rPr>
        <w:t xml:space="preserve"> and</w:t>
      </w:r>
      <w:r w:rsidRPr="00A60521">
        <w:rPr>
          <w:rFonts w:eastAsia="Calibri"/>
        </w:rPr>
        <w:t xml:space="preserve"> denoted by the letters “AS/NZS” and ide</w:t>
      </w:r>
      <w:r>
        <w:rPr>
          <w:rFonts w:eastAsia="Calibri"/>
        </w:rPr>
        <w:t>ntifying numbers or</w:t>
      </w:r>
      <w:r w:rsidRPr="00A60521">
        <w:rPr>
          <w:rFonts w:eastAsia="Calibri"/>
        </w:rPr>
        <w:t xml:space="preserve"> letters</w:t>
      </w:r>
      <w:r w:rsidR="00CE6220">
        <w:rPr>
          <w:rFonts w:eastAsia="Calibri"/>
        </w:rPr>
        <w:t>;</w:t>
      </w:r>
    </w:p>
    <w:p w:rsidR="00B96BBC" w:rsidRDefault="00A60521" w:rsidP="00135D22">
      <w:pPr>
        <w:pStyle w:val="tPara"/>
        <w:rPr>
          <w:rFonts w:eastAsia="Calibri"/>
        </w:rPr>
      </w:pPr>
      <w:r>
        <w:rPr>
          <w:rFonts w:eastAsia="Calibri"/>
          <w:b/>
          <w:bCs/>
          <w:i/>
          <w:iCs/>
        </w:rPr>
        <w:tab/>
      </w:r>
      <w:r w:rsidR="0060744B">
        <w:rPr>
          <w:rFonts w:eastAsia="Calibri"/>
          <w:bCs/>
          <w:iCs/>
        </w:rPr>
        <w:t>(c)</w:t>
      </w:r>
      <w:r w:rsidRPr="00A60521">
        <w:rPr>
          <w:rFonts w:eastAsia="Calibri"/>
          <w:bCs/>
          <w:iCs/>
        </w:rPr>
        <w:tab/>
      </w:r>
      <w:r w:rsidR="00870D30">
        <w:rPr>
          <w:rFonts w:eastAsia="Calibri"/>
          <w:bCs/>
          <w:iCs/>
        </w:rPr>
        <w:t xml:space="preserve">an </w:t>
      </w:r>
      <w:r w:rsidRPr="00A60521">
        <w:rPr>
          <w:rFonts w:eastAsia="Calibri"/>
          <w:bCs/>
          <w:iCs/>
        </w:rPr>
        <w:t xml:space="preserve">ISO Standard </w:t>
      </w:r>
      <w:r w:rsidRPr="00A60521">
        <w:rPr>
          <w:rFonts w:eastAsia="Calibri"/>
        </w:rPr>
        <w:t>published by the International Orga</w:t>
      </w:r>
      <w:r w:rsidR="00CB3D12">
        <w:rPr>
          <w:rFonts w:eastAsia="Calibri"/>
        </w:rPr>
        <w:t>nization for Standard</w:t>
      </w:r>
      <w:r w:rsidR="00724566">
        <w:rPr>
          <w:rFonts w:eastAsia="Calibri"/>
        </w:rPr>
        <w:t>ization and</w:t>
      </w:r>
      <w:r w:rsidRPr="00A60521">
        <w:rPr>
          <w:rFonts w:eastAsia="Calibri"/>
        </w:rPr>
        <w:t xml:space="preserve"> denoted by the letters "ISO" and identifying nu</w:t>
      </w:r>
      <w:r w:rsidR="00724566">
        <w:rPr>
          <w:rFonts w:eastAsia="Calibri"/>
        </w:rPr>
        <w:t xml:space="preserve">mbers </w:t>
      </w:r>
      <w:r w:rsidR="00CE6220">
        <w:rPr>
          <w:rFonts w:eastAsia="Calibri"/>
        </w:rPr>
        <w:t>or letters; or</w:t>
      </w:r>
    </w:p>
    <w:p w:rsidR="00CE6220" w:rsidRDefault="00CE6220" w:rsidP="00135D22">
      <w:pPr>
        <w:pStyle w:val="tPara"/>
        <w:rPr>
          <w:rFonts w:eastAsia="Calibri"/>
        </w:rPr>
      </w:pPr>
      <w:r>
        <w:rPr>
          <w:rFonts w:eastAsia="Calibri"/>
        </w:rPr>
        <w:tab/>
      </w:r>
      <w:r w:rsidR="0060744B">
        <w:rPr>
          <w:rFonts w:eastAsia="Calibri"/>
        </w:rPr>
        <w:t>(d)</w:t>
      </w:r>
      <w:r>
        <w:rPr>
          <w:rFonts w:eastAsia="Calibri"/>
        </w:rPr>
        <w:tab/>
      </w:r>
      <w:proofErr w:type="gramStart"/>
      <w:r>
        <w:rPr>
          <w:rFonts w:eastAsia="Calibri"/>
        </w:rPr>
        <w:t>any</w:t>
      </w:r>
      <w:proofErr w:type="gramEnd"/>
      <w:r>
        <w:rPr>
          <w:rFonts w:eastAsia="Calibri"/>
        </w:rPr>
        <w:t xml:space="preserve"> other equivalent document.</w:t>
      </w:r>
    </w:p>
    <w:p w:rsidR="00953156" w:rsidRDefault="000121B3" w:rsidP="00E12FAB">
      <w:pPr>
        <w:pStyle w:val="h3Div"/>
      </w:pPr>
      <w:bookmarkStart w:id="46" w:name="_Toc362952396"/>
      <w:r>
        <w:t xml:space="preserve">Division </w:t>
      </w:r>
      <w:r w:rsidR="0060744B">
        <w:t>5.3</w:t>
      </w:r>
      <w:r>
        <w:tab/>
        <w:t>Record</w:t>
      </w:r>
      <w:r w:rsidR="00132E6A">
        <w:t>-</w:t>
      </w:r>
      <w:r>
        <w:t>keeping requirements</w:t>
      </w:r>
      <w:bookmarkEnd w:id="46"/>
    </w:p>
    <w:p w:rsidR="00635D1F" w:rsidRDefault="0060744B" w:rsidP="00E12FAB">
      <w:pPr>
        <w:pStyle w:val="h5Section"/>
      </w:pPr>
      <w:bookmarkStart w:id="47" w:name="_Toc362952397"/>
      <w:r>
        <w:t>5.5</w:t>
      </w:r>
      <w:r w:rsidR="000121B3">
        <w:tab/>
      </w:r>
      <w:r w:rsidR="00C75BE2">
        <w:t>Seasonal r</w:t>
      </w:r>
      <w:r w:rsidR="00635D1F">
        <w:t>ecords that must be kept</w:t>
      </w:r>
      <w:bookmarkEnd w:id="47"/>
    </w:p>
    <w:p w:rsidR="00086F80" w:rsidRDefault="00C75BE2" w:rsidP="00135D22">
      <w:pPr>
        <w:pStyle w:val="tMain"/>
      </w:pPr>
      <w:r>
        <w:tab/>
      </w:r>
      <w:r w:rsidR="0060744B">
        <w:t>(1)</w:t>
      </w:r>
      <w:r>
        <w:tab/>
        <w:t xml:space="preserve">For each season of each </w:t>
      </w:r>
      <w:r w:rsidR="00086F80">
        <w:t>baseline</w:t>
      </w:r>
      <w:r>
        <w:t xml:space="preserve"> year</w:t>
      </w:r>
      <w:r w:rsidR="00086F80">
        <w:t xml:space="preserve"> and each project year, records must be kept of the</w:t>
      </w:r>
      <w:r>
        <w:t xml:space="preserve"> following</w:t>
      </w:r>
      <w:r w:rsidR="00086F80">
        <w:t>:</w:t>
      </w:r>
    </w:p>
    <w:p w:rsidR="00086F80" w:rsidRDefault="00086F80" w:rsidP="00135D22">
      <w:pPr>
        <w:pStyle w:val="tPara"/>
      </w:pPr>
      <w:r>
        <w:tab/>
      </w:r>
      <w:r w:rsidR="0060744B">
        <w:t>(a)</w:t>
      </w:r>
      <w:r>
        <w:tab/>
      </w:r>
      <w:proofErr w:type="gramStart"/>
      <w:r w:rsidR="00C75BE2">
        <w:t>the</w:t>
      </w:r>
      <w:proofErr w:type="gramEnd"/>
      <w:r w:rsidR="00C75BE2">
        <w:t xml:space="preserve"> </w:t>
      </w:r>
      <w:r>
        <w:t>number of milking cows measured</w:t>
      </w:r>
      <w:r w:rsidR="005E6456">
        <w:t xml:space="preserve"> (</w:t>
      </w:r>
      <w:proofErr w:type="spellStart"/>
      <w:r w:rsidR="005E6456">
        <w:t>MC</w:t>
      </w:r>
      <w:r w:rsidR="005E6456">
        <w:rPr>
          <w:vertAlign w:val="subscript"/>
        </w:rPr>
        <w:t>j</w:t>
      </w:r>
      <w:proofErr w:type="spellEnd"/>
      <w:r w:rsidR="005E6456">
        <w:t>)</w:t>
      </w:r>
      <w:r>
        <w:t>;</w:t>
      </w:r>
    </w:p>
    <w:p w:rsidR="00086F80" w:rsidRDefault="00086F80" w:rsidP="00135D22">
      <w:pPr>
        <w:pStyle w:val="tPara"/>
      </w:pPr>
      <w:r>
        <w:tab/>
      </w:r>
      <w:r w:rsidR="0060744B">
        <w:t>(b)</w:t>
      </w:r>
      <w:r>
        <w:tab/>
      </w:r>
      <w:proofErr w:type="gramStart"/>
      <w:r w:rsidR="00C75BE2">
        <w:t>the</w:t>
      </w:r>
      <w:proofErr w:type="gramEnd"/>
      <w:r w:rsidR="00C75BE2">
        <w:t xml:space="preserve"> </w:t>
      </w:r>
      <w:r>
        <w:t>liv</w:t>
      </w:r>
      <w:r w:rsidR="000C702E">
        <w:t>eweight of each milking cow;</w:t>
      </w:r>
    </w:p>
    <w:p w:rsidR="00086F80" w:rsidRDefault="00086F80" w:rsidP="00135D22">
      <w:pPr>
        <w:pStyle w:val="tPara"/>
      </w:pPr>
      <w:r>
        <w:tab/>
      </w:r>
      <w:r w:rsidR="0060744B">
        <w:t>(c)</w:t>
      </w:r>
      <w:r>
        <w:tab/>
      </w:r>
      <w:proofErr w:type="gramStart"/>
      <w:r w:rsidR="00C75BE2">
        <w:t>the</w:t>
      </w:r>
      <w:proofErr w:type="gramEnd"/>
      <w:r w:rsidR="00C75BE2">
        <w:t xml:space="preserve"> </w:t>
      </w:r>
      <w:r w:rsidRPr="00086F80">
        <w:t>daily volume of milk produced by the e</w:t>
      </w:r>
      <w:r>
        <w:t>ligible dairy farm</w:t>
      </w:r>
      <w:r w:rsidR="005E6456">
        <w:t xml:space="preserve"> (</w:t>
      </w:r>
      <w:proofErr w:type="spellStart"/>
      <w:r w:rsidR="005E6456">
        <w:t>M</w:t>
      </w:r>
      <w:r w:rsidR="005E6456">
        <w:rPr>
          <w:vertAlign w:val="subscript"/>
        </w:rPr>
        <w:t>j,d</w:t>
      </w:r>
      <w:proofErr w:type="spellEnd"/>
      <w:r w:rsidR="005E6456">
        <w:t>)</w:t>
      </w:r>
      <w:r>
        <w:t>;</w:t>
      </w:r>
    </w:p>
    <w:p w:rsidR="00CB18D6" w:rsidRDefault="00CB18D6" w:rsidP="00135D22">
      <w:pPr>
        <w:pStyle w:val="tPara"/>
      </w:pPr>
      <w:r>
        <w:tab/>
      </w:r>
      <w:r w:rsidR="0060744B">
        <w:t>(d)</w:t>
      </w:r>
      <w:r>
        <w:tab/>
      </w:r>
      <w:proofErr w:type="gramStart"/>
      <w:r w:rsidR="004632D6">
        <w:t>the</w:t>
      </w:r>
      <w:proofErr w:type="gramEnd"/>
      <w:r w:rsidR="004632D6">
        <w:t xml:space="preserve"> mass</w:t>
      </w:r>
      <w:r w:rsidRPr="00CB18D6">
        <w:t xml:space="preserve"> of each feed type fed to the milking herd (</w:t>
      </w:r>
      <w:proofErr w:type="spellStart"/>
      <w:r w:rsidRPr="00CB18D6">
        <w:t>F</w:t>
      </w:r>
      <w:r w:rsidRPr="00CB18D6">
        <w:rPr>
          <w:vertAlign w:val="subscript"/>
        </w:rPr>
        <w:t>f,j</w:t>
      </w:r>
      <w:proofErr w:type="spellEnd"/>
      <w:r w:rsidRPr="00CB18D6">
        <w:t>)</w:t>
      </w:r>
      <w:r>
        <w:t>; and</w:t>
      </w:r>
    </w:p>
    <w:p w:rsidR="000C702E" w:rsidRDefault="000C702E" w:rsidP="00135D22">
      <w:pPr>
        <w:pStyle w:val="tPara"/>
      </w:pPr>
      <w:r>
        <w:tab/>
      </w:r>
      <w:r w:rsidR="0060744B">
        <w:t>(e)</w:t>
      </w:r>
      <w:r>
        <w:tab/>
      </w:r>
      <w:proofErr w:type="gramStart"/>
      <w:r w:rsidR="00C75BE2">
        <w:t>the</w:t>
      </w:r>
      <w:proofErr w:type="gramEnd"/>
      <w:r w:rsidR="00C75BE2">
        <w:t xml:space="preserve"> </w:t>
      </w:r>
      <w:r w:rsidR="004632D6">
        <w:t>mass</w:t>
      </w:r>
      <w:r w:rsidR="00086F80">
        <w:t xml:space="preserve"> of each</w:t>
      </w:r>
      <w:r w:rsidR="006E38A6">
        <w:t xml:space="preserve"> eligible</w:t>
      </w:r>
      <w:r w:rsidR="00086F80">
        <w:t xml:space="preserve"> additive </w:t>
      </w:r>
      <w:r w:rsidR="00FF0714">
        <w:t>fed to the milking herd</w:t>
      </w:r>
      <w:r w:rsidR="00290F9C">
        <w:t xml:space="preserve"> (</w:t>
      </w:r>
      <w:proofErr w:type="spellStart"/>
      <w:r w:rsidR="00290F9C">
        <w:t>E</w:t>
      </w:r>
      <w:r w:rsidR="00290F9C">
        <w:rPr>
          <w:vertAlign w:val="subscript"/>
        </w:rPr>
        <w:t>e,j</w:t>
      </w:r>
      <w:proofErr w:type="spellEnd"/>
      <w:r w:rsidR="00290F9C">
        <w:t>)</w:t>
      </w:r>
      <w:r w:rsidR="00CB18D6">
        <w:t>.</w:t>
      </w:r>
    </w:p>
    <w:p w:rsidR="00140088" w:rsidRDefault="00C75BE2" w:rsidP="00135D22">
      <w:pPr>
        <w:pStyle w:val="tMain"/>
      </w:pPr>
      <w:r>
        <w:tab/>
      </w:r>
      <w:r w:rsidR="0060744B">
        <w:t>(2)</w:t>
      </w:r>
      <w:r>
        <w:tab/>
      </w:r>
      <w:r w:rsidR="000C702E">
        <w:t>The requirements in paragraphs</w:t>
      </w:r>
      <w:r w:rsidR="00161765">
        <w:t xml:space="preserve"> </w:t>
      </w:r>
      <w:r w:rsidR="0060744B">
        <w:t>(1</w:t>
      </w:r>
      <w:proofErr w:type="gramStart"/>
      <w:r w:rsidR="0060744B">
        <w:t>)(</w:t>
      </w:r>
      <w:proofErr w:type="gramEnd"/>
      <w:r w:rsidR="0060744B">
        <w:t>d)</w:t>
      </w:r>
      <w:r w:rsidR="00161765">
        <w:t xml:space="preserve"> and</w:t>
      </w:r>
      <w:r w:rsidR="000C702E">
        <w:t xml:space="preserve"> </w:t>
      </w:r>
      <w:r w:rsidR="0060744B">
        <w:t>(1)(e)</w:t>
      </w:r>
      <w:r w:rsidR="00161765">
        <w:t xml:space="preserve"> </w:t>
      </w:r>
      <w:r w:rsidR="000C702E">
        <w:t>may be met by keeping</w:t>
      </w:r>
      <w:r w:rsidR="00140088">
        <w:t>:</w:t>
      </w:r>
    </w:p>
    <w:p w:rsidR="00140088" w:rsidRDefault="00140088" w:rsidP="00135D22">
      <w:pPr>
        <w:pStyle w:val="tPara"/>
      </w:pPr>
      <w:r>
        <w:tab/>
      </w:r>
      <w:r w:rsidR="0060744B">
        <w:t>(a)</w:t>
      </w:r>
      <w:r>
        <w:tab/>
      </w:r>
      <w:proofErr w:type="gramStart"/>
      <w:r w:rsidR="000C702E">
        <w:t>invoices</w:t>
      </w:r>
      <w:proofErr w:type="gramEnd"/>
      <w:r w:rsidR="000C702E">
        <w:t xml:space="preserve"> from the supplier of the feed type o</w:t>
      </w:r>
      <w:r w:rsidR="00DC77C2">
        <w:t>r</w:t>
      </w:r>
      <w:r w:rsidR="000C702E">
        <w:t xml:space="preserve"> eligible additive</w:t>
      </w:r>
      <w:r>
        <w:t>; or</w:t>
      </w:r>
    </w:p>
    <w:p w:rsidR="00C75BE2" w:rsidRDefault="00140088" w:rsidP="00135D22">
      <w:pPr>
        <w:pStyle w:val="tPara"/>
      </w:pPr>
      <w:r>
        <w:tab/>
      </w:r>
      <w:r w:rsidR="0060744B">
        <w:t>(b)</w:t>
      </w:r>
      <w:r w:rsidR="00F00D4A">
        <w:tab/>
      </w:r>
      <w:proofErr w:type="gramStart"/>
      <w:r w:rsidR="00F00D4A">
        <w:t>records</w:t>
      </w:r>
      <w:proofErr w:type="gramEnd"/>
      <w:r w:rsidR="00F00D4A">
        <w:t xml:space="preserve"> detailing the production of any feed type not purchased.</w:t>
      </w:r>
    </w:p>
    <w:p w:rsidR="004B03E8" w:rsidRDefault="0060744B" w:rsidP="00E12FAB">
      <w:pPr>
        <w:pStyle w:val="h5Section"/>
      </w:pPr>
      <w:bookmarkStart w:id="48" w:name="_Toc362952398"/>
      <w:r>
        <w:t>5.6</w:t>
      </w:r>
      <w:r w:rsidR="00FF0714">
        <w:tab/>
        <w:t>Additional diet records that must be kept</w:t>
      </w:r>
      <w:bookmarkEnd w:id="48"/>
    </w:p>
    <w:p w:rsidR="00FF0714" w:rsidRDefault="00FF0714" w:rsidP="00135D22">
      <w:pPr>
        <w:pStyle w:val="tMain"/>
      </w:pPr>
      <w:r>
        <w:tab/>
      </w:r>
      <w:r w:rsidR="0060744B">
        <w:t>(1)</w:t>
      </w:r>
      <w:r>
        <w:tab/>
      </w:r>
      <w:r w:rsidR="00B12739">
        <w:t>R</w:t>
      </w:r>
      <w:r w:rsidR="00651492">
        <w:t>ecords must be kept</w:t>
      </w:r>
      <w:r w:rsidR="003571F4">
        <w:t xml:space="preserve"> </w:t>
      </w:r>
      <w:r w:rsidR="00651492">
        <w:t>evidencing the</w:t>
      </w:r>
      <w:r w:rsidR="003571F4" w:rsidRPr="003571F4">
        <w:t xml:space="preserve"> dry matter digestibility, crude protein</w:t>
      </w:r>
      <w:r w:rsidR="003571F4">
        <w:t xml:space="preserve"> content</w:t>
      </w:r>
      <w:r w:rsidR="003571F4" w:rsidRPr="003571F4">
        <w:t xml:space="preserve"> and fat</w:t>
      </w:r>
      <w:r w:rsidR="003571F4">
        <w:t xml:space="preserve"> content inputs mentioned in subsection </w:t>
      </w:r>
      <w:r w:rsidR="0060744B">
        <w:t>4.11(1)</w:t>
      </w:r>
      <w:r w:rsidR="006A278B">
        <w:t>.</w:t>
      </w:r>
    </w:p>
    <w:p w:rsidR="00FF0714" w:rsidRDefault="00FF0714" w:rsidP="00135D22">
      <w:pPr>
        <w:pStyle w:val="tMain"/>
      </w:pPr>
      <w:r>
        <w:tab/>
      </w:r>
      <w:r w:rsidR="0060744B">
        <w:t>(2)</w:t>
      </w:r>
      <w:r>
        <w:tab/>
        <w:t xml:space="preserve">For the purposes of subsection </w:t>
      </w:r>
      <w:r w:rsidR="0060744B">
        <w:t>(1)</w:t>
      </w:r>
      <w:r>
        <w:t>, records may include:</w:t>
      </w:r>
    </w:p>
    <w:p w:rsidR="00FF0714" w:rsidRDefault="00FF0714" w:rsidP="00135D22">
      <w:pPr>
        <w:pStyle w:val="tPara"/>
      </w:pPr>
      <w:r>
        <w:tab/>
      </w:r>
      <w:r w:rsidR="0060744B">
        <w:t>(a)</w:t>
      </w:r>
      <w:r>
        <w:tab/>
      </w:r>
      <w:proofErr w:type="gramStart"/>
      <w:r w:rsidR="00B12739">
        <w:t>for</w:t>
      </w:r>
      <w:proofErr w:type="gramEnd"/>
      <w:r w:rsidR="00B12739">
        <w:t xml:space="preserve"> subsection </w:t>
      </w:r>
      <w:r w:rsidR="0060744B">
        <w:t>4.11(2)</w:t>
      </w:r>
      <w:r w:rsidR="00B12739">
        <w:t xml:space="preserve">, </w:t>
      </w:r>
      <w:r>
        <w:t>product information from the manufacturer of the feed ty</w:t>
      </w:r>
      <w:r w:rsidR="00B12739">
        <w:t>pe;</w:t>
      </w:r>
    </w:p>
    <w:p w:rsidR="00FF0714" w:rsidRDefault="00FF0714" w:rsidP="00135D22">
      <w:pPr>
        <w:pStyle w:val="tPara"/>
      </w:pPr>
      <w:r>
        <w:tab/>
      </w:r>
      <w:r w:rsidR="0060744B">
        <w:t>(b)</w:t>
      </w:r>
      <w:r>
        <w:tab/>
      </w:r>
      <w:proofErr w:type="gramStart"/>
      <w:r w:rsidR="00B12739">
        <w:t>for</w:t>
      </w:r>
      <w:proofErr w:type="gramEnd"/>
      <w:r w:rsidR="00B12739">
        <w:t xml:space="preserve"> paragraph </w:t>
      </w:r>
      <w:r w:rsidR="0060744B">
        <w:t>4.11(3)(a)</w:t>
      </w:r>
      <w:r w:rsidR="00B12739">
        <w:t xml:space="preserve">, </w:t>
      </w:r>
      <w:r>
        <w:t>a copy of the</w:t>
      </w:r>
      <w:r w:rsidRPr="00FF0714">
        <w:t xml:space="preserve"> analysis of bulk feed samples of the feed type</w:t>
      </w:r>
      <w:r w:rsidR="00B12739">
        <w:t>; or</w:t>
      </w:r>
    </w:p>
    <w:p w:rsidR="00B12739" w:rsidRDefault="00B12739" w:rsidP="00135D22">
      <w:pPr>
        <w:pStyle w:val="tPara"/>
      </w:pPr>
      <w:r>
        <w:tab/>
      </w:r>
      <w:r w:rsidR="0060744B">
        <w:t>(c)</w:t>
      </w:r>
      <w:r>
        <w:tab/>
      </w:r>
      <w:proofErr w:type="gramStart"/>
      <w:r>
        <w:t>for</w:t>
      </w:r>
      <w:proofErr w:type="gramEnd"/>
      <w:r>
        <w:t xml:space="preserve"> paragraphs </w:t>
      </w:r>
      <w:r w:rsidR="0060744B">
        <w:t>4.11(3)(b)</w:t>
      </w:r>
      <w:r>
        <w:t xml:space="preserve"> and </w:t>
      </w:r>
      <w:r w:rsidR="0060744B">
        <w:t>4.11(3)(c)</w:t>
      </w:r>
      <w:r>
        <w:t>, references to:</w:t>
      </w:r>
    </w:p>
    <w:p w:rsidR="00B12739" w:rsidRPr="00B12739" w:rsidRDefault="00B12739" w:rsidP="00135D22">
      <w:pPr>
        <w:pStyle w:val="tSubpara"/>
      </w:pPr>
      <w:r>
        <w:tab/>
      </w:r>
      <w:r w:rsidR="0060744B">
        <w:t>(i)</w:t>
      </w:r>
      <w:r>
        <w:tab/>
      </w:r>
      <w:proofErr w:type="gramStart"/>
      <w:r w:rsidRPr="00B12739">
        <w:t>the</w:t>
      </w:r>
      <w:proofErr w:type="gramEnd"/>
      <w:r w:rsidRPr="00B12739">
        <w:t xml:space="preserve"> seasonal feed quality data tables in the Dietary Fats Calculator; or</w:t>
      </w:r>
    </w:p>
    <w:p w:rsidR="00971F1E" w:rsidRDefault="00B12739" w:rsidP="00135D22">
      <w:pPr>
        <w:pStyle w:val="tSubpara"/>
      </w:pPr>
      <w:r>
        <w:tab/>
      </w:r>
      <w:r w:rsidR="0060744B">
        <w:t>(ii)</w:t>
      </w:r>
      <w:r>
        <w:tab/>
      </w:r>
      <w:proofErr w:type="gramStart"/>
      <w:r w:rsidRPr="00B12739">
        <w:t>the</w:t>
      </w:r>
      <w:proofErr w:type="gramEnd"/>
      <w:r w:rsidRPr="00B12739">
        <w:t xml:space="preserve"> Australian Feed Composition Tables 1987.</w:t>
      </w:r>
      <w:r w:rsidR="00971F1E">
        <w:tab/>
      </w:r>
    </w:p>
    <w:p w:rsidR="00FF0714" w:rsidRDefault="0060744B" w:rsidP="00E12FAB">
      <w:pPr>
        <w:pStyle w:val="h5Section"/>
      </w:pPr>
      <w:bookmarkStart w:id="49" w:name="_Toc362952399"/>
      <w:r>
        <w:lastRenderedPageBreak/>
        <w:t>5.7</w:t>
      </w:r>
      <w:r w:rsidR="00FF0714">
        <w:tab/>
        <w:t>Additional eligible additive records that must be kept</w:t>
      </w:r>
      <w:bookmarkEnd w:id="49"/>
    </w:p>
    <w:p w:rsidR="00FF0714" w:rsidRDefault="00FF0714" w:rsidP="00135D22">
      <w:pPr>
        <w:pStyle w:val="tMain"/>
      </w:pPr>
      <w:r>
        <w:tab/>
      </w:r>
      <w:r w:rsidR="0060744B">
        <w:t>(1)</w:t>
      </w:r>
      <w:r>
        <w:tab/>
      </w:r>
      <w:r w:rsidR="00B12739">
        <w:t>R</w:t>
      </w:r>
      <w:r>
        <w:t xml:space="preserve">ecords must be kept evidencing the fat, metabolisable energy, mass and crude protein inputs mentioned in </w:t>
      </w:r>
      <w:r w:rsidR="003571F4">
        <w:t xml:space="preserve">subsection </w:t>
      </w:r>
      <w:r w:rsidR="0060744B">
        <w:t>4.13(1)</w:t>
      </w:r>
      <w:r>
        <w:t>.</w:t>
      </w:r>
    </w:p>
    <w:p w:rsidR="00FF0714" w:rsidRDefault="00FF0714" w:rsidP="00135D22">
      <w:pPr>
        <w:pStyle w:val="tMain"/>
      </w:pPr>
      <w:r>
        <w:tab/>
      </w:r>
      <w:r w:rsidR="0060744B">
        <w:t>(2)</w:t>
      </w:r>
      <w:r>
        <w:tab/>
        <w:t xml:space="preserve">For the purposes of subsection </w:t>
      </w:r>
      <w:r w:rsidR="0060744B">
        <w:t>(1)</w:t>
      </w:r>
      <w:r>
        <w:t>, records may include:</w:t>
      </w:r>
    </w:p>
    <w:p w:rsidR="00FF0714" w:rsidRDefault="00FF0714" w:rsidP="00135D22">
      <w:pPr>
        <w:pStyle w:val="tPara"/>
      </w:pPr>
      <w:r>
        <w:tab/>
      </w:r>
      <w:r w:rsidR="0060744B">
        <w:t>(a)</w:t>
      </w:r>
      <w:r>
        <w:tab/>
      </w:r>
      <w:proofErr w:type="gramStart"/>
      <w:r w:rsidR="003B2305">
        <w:t>for</w:t>
      </w:r>
      <w:proofErr w:type="gramEnd"/>
      <w:r w:rsidR="003B2305">
        <w:t xml:space="preserve"> subsection </w:t>
      </w:r>
      <w:r w:rsidR="0060744B">
        <w:t>4.13(2)</w:t>
      </w:r>
      <w:r w:rsidR="003B2305">
        <w:t xml:space="preserve">, </w:t>
      </w:r>
      <w:r>
        <w:t>product information from the manufactu</w:t>
      </w:r>
      <w:r w:rsidR="00B12739">
        <w:t>rer of the eligible additive;</w:t>
      </w:r>
    </w:p>
    <w:p w:rsidR="00FF0714" w:rsidRDefault="00FF0714" w:rsidP="00135D22">
      <w:pPr>
        <w:pStyle w:val="tPara"/>
      </w:pPr>
      <w:r>
        <w:tab/>
      </w:r>
      <w:r w:rsidR="0060744B">
        <w:t>(b)</w:t>
      </w:r>
      <w:r>
        <w:tab/>
      </w:r>
      <w:proofErr w:type="gramStart"/>
      <w:r w:rsidR="00B12739">
        <w:t>for</w:t>
      </w:r>
      <w:proofErr w:type="gramEnd"/>
      <w:r w:rsidR="00B12739">
        <w:t xml:space="preserve"> paragraph </w:t>
      </w:r>
      <w:r w:rsidR="0060744B">
        <w:t>4.13(3)(a)</w:t>
      </w:r>
      <w:r w:rsidR="003B2305">
        <w:t xml:space="preserve">, </w:t>
      </w:r>
      <w:r>
        <w:t>a copy of the analysis of bulk feed samples of the eligible</w:t>
      </w:r>
      <w:r w:rsidR="00B12739">
        <w:t xml:space="preserve"> additive; or</w:t>
      </w:r>
    </w:p>
    <w:p w:rsidR="0050467A" w:rsidRDefault="00B12739" w:rsidP="00135D22">
      <w:pPr>
        <w:pStyle w:val="tPara"/>
      </w:pPr>
      <w:r>
        <w:tab/>
      </w:r>
      <w:r w:rsidR="0060744B">
        <w:t>(c)</w:t>
      </w:r>
      <w:r>
        <w:tab/>
      </w:r>
      <w:proofErr w:type="gramStart"/>
      <w:r>
        <w:t>for</w:t>
      </w:r>
      <w:proofErr w:type="gramEnd"/>
      <w:r>
        <w:t xml:space="preserve"> paragraph </w:t>
      </w:r>
      <w:r w:rsidR="0060744B">
        <w:t>4.13(3)(b)</w:t>
      </w:r>
      <w:r>
        <w:t>, references to the</w:t>
      </w:r>
      <w:r w:rsidR="0050467A">
        <w:t xml:space="preserve"> applicable parts of the</w:t>
      </w:r>
      <w:r w:rsidRPr="00B12739">
        <w:t xml:space="preserve"> Australian Feed Composition Tables 1987.</w:t>
      </w:r>
    </w:p>
    <w:p w:rsidR="00635D1F" w:rsidRDefault="0060744B" w:rsidP="00E12FAB">
      <w:pPr>
        <w:pStyle w:val="h5Section"/>
      </w:pPr>
      <w:bookmarkStart w:id="50" w:name="_Toc362952400"/>
      <w:r>
        <w:t>5.8</w:t>
      </w:r>
      <w:r w:rsidR="00E368C6">
        <w:tab/>
        <w:t>Data retention and quality</w:t>
      </w:r>
      <w:bookmarkEnd w:id="50"/>
    </w:p>
    <w:p w:rsidR="000F359D" w:rsidRPr="00234EAC" w:rsidRDefault="00E368C6" w:rsidP="00135D22">
      <w:pPr>
        <w:pStyle w:val="tMain"/>
      </w:pPr>
      <w:r>
        <w:tab/>
      </w:r>
      <w:r>
        <w:tab/>
      </w:r>
      <w:r w:rsidR="000F359D" w:rsidRPr="00234EAC">
        <w:t xml:space="preserve">All data </w:t>
      </w:r>
      <w:r w:rsidR="00C01D93">
        <w:t xml:space="preserve">recorded or otherwise </w:t>
      </w:r>
      <w:r w:rsidR="000F359D" w:rsidRPr="00234EAC">
        <w:t>used under this Part must be:</w:t>
      </w:r>
    </w:p>
    <w:p w:rsidR="000F359D" w:rsidRDefault="000F359D" w:rsidP="00135D22">
      <w:pPr>
        <w:pStyle w:val="tPara"/>
      </w:pPr>
      <w:r w:rsidRPr="00234EAC">
        <w:tab/>
      </w:r>
      <w:r w:rsidR="0060744B">
        <w:t>(a)</w:t>
      </w:r>
      <w:r w:rsidRPr="00234EAC">
        <w:tab/>
      </w:r>
      <w:proofErr w:type="gramStart"/>
      <w:r w:rsidRPr="00234EAC">
        <w:t>stored</w:t>
      </w:r>
      <w:proofErr w:type="gramEnd"/>
      <w:r w:rsidRPr="00234EAC">
        <w:t xml:space="preserve"> in its raw form; and</w:t>
      </w:r>
      <w:r w:rsidRPr="00234EAC">
        <w:tab/>
      </w:r>
    </w:p>
    <w:p w:rsidR="00E368C6" w:rsidRPr="00234EAC" w:rsidRDefault="000F359D" w:rsidP="00135D22">
      <w:pPr>
        <w:pStyle w:val="tPara"/>
      </w:pPr>
      <w:r w:rsidRPr="00234EAC">
        <w:tab/>
      </w:r>
      <w:r w:rsidR="0060744B">
        <w:t>(b)</w:t>
      </w:r>
      <w:r w:rsidRPr="00234EAC">
        <w:tab/>
      </w:r>
      <w:proofErr w:type="gramStart"/>
      <w:r w:rsidRPr="00234EAC">
        <w:t>stored</w:t>
      </w:r>
      <w:proofErr w:type="gramEnd"/>
      <w:r w:rsidRPr="00234EAC">
        <w:t xml:space="preserve"> and managed in accordance with a data contingency plan that is designed to operate if </w:t>
      </w:r>
      <w:r w:rsidR="00A61097">
        <w:t xml:space="preserve">the </w:t>
      </w:r>
      <w:r w:rsidRPr="00234EAC">
        <w:t>data is lost.</w:t>
      </w:r>
      <w:r w:rsidRPr="00234EAC">
        <w:tab/>
      </w:r>
    </w:p>
    <w:p w:rsidR="00635D1F" w:rsidRDefault="00635D1F" w:rsidP="00E12FAB">
      <w:pPr>
        <w:pStyle w:val="h3Div"/>
        <w:rPr>
          <w:rStyle w:val="CharSectno"/>
          <w:szCs w:val="28"/>
        </w:rPr>
      </w:pPr>
      <w:bookmarkStart w:id="51" w:name="_Toc362952401"/>
      <w:r w:rsidRPr="008B3A07">
        <w:rPr>
          <w:rStyle w:val="CharSectno"/>
          <w:szCs w:val="28"/>
        </w:rPr>
        <w:t xml:space="preserve">Division </w:t>
      </w:r>
      <w:r w:rsidR="0060744B">
        <w:rPr>
          <w:rStyle w:val="CharSectno"/>
          <w:szCs w:val="28"/>
        </w:rPr>
        <w:t>5.4</w:t>
      </w:r>
      <w:r w:rsidRPr="008B3A07">
        <w:rPr>
          <w:rStyle w:val="CharSectno"/>
          <w:szCs w:val="28"/>
        </w:rPr>
        <w:tab/>
        <w:t>Offsets report requirements</w:t>
      </w:r>
      <w:bookmarkEnd w:id="51"/>
    </w:p>
    <w:p w:rsidR="00454DEB" w:rsidRPr="00454DEB" w:rsidRDefault="00454DEB" w:rsidP="00135D22">
      <w:pPr>
        <w:pStyle w:val="noteMain"/>
      </w:pPr>
      <w:r>
        <w:tab/>
      </w:r>
      <w:r>
        <w:rPr>
          <w:b/>
          <w:i/>
        </w:rPr>
        <w:t>Note</w:t>
      </w:r>
      <w:r w:rsidR="00931FE0">
        <w:tab/>
        <w:t>See paragraph 6.2(j)</w:t>
      </w:r>
      <w:r>
        <w:t xml:space="preserve"> of the Regulations.</w:t>
      </w:r>
    </w:p>
    <w:p w:rsidR="00635D1F" w:rsidRDefault="0060744B" w:rsidP="00E12FAB">
      <w:pPr>
        <w:pStyle w:val="h5Section"/>
      </w:pPr>
      <w:bookmarkStart w:id="52" w:name="_Toc362952402"/>
      <w:r>
        <w:t>5.9</w:t>
      </w:r>
      <w:r w:rsidR="00E368C6">
        <w:tab/>
      </w:r>
      <w:r w:rsidR="00635D1F">
        <w:t>Report requirements</w:t>
      </w:r>
      <w:bookmarkEnd w:id="52"/>
    </w:p>
    <w:p w:rsidR="00BD1E6E" w:rsidRDefault="004F6BF3" w:rsidP="00135D22">
      <w:pPr>
        <w:pStyle w:val="tMain"/>
      </w:pPr>
      <w:r>
        <w:tab/>
      </w:r>
      <w:r>
        <w:tab/>
      </w:r>
      <w:r w:rsidR="00BD1E6E">
        <w:t xml:space="preserve">An offsets report </w:t>
      </w:r>
      <w:r w:rsidR="001B4B29">
        <w:t xml:space="preserve">must be submitted for each </w:t>
      </w:r>
      <w:r>
        <w:t>reporting period.</w:t>
      </w:r>
    </w:p>
    <w:p w:rsidR="00B720DA" w:rsidRDefault="0060744B" w:rsidP="00E12FAB">
      <w:pPr>
        <w:pStyle w:val="h5Section"/>
      </w:pPr>
      <w:bookmarkStart w:id="53" w:name="_Toc362952403"/>
      <w:r>
        <w:t>5.10</w:t>
      </w:r>
      <w:r w:rsidR="00B720DA">
        <w:tab/>
        <w:t>Information that must be included in the first offsets report</w:t>
      </w:r>
      <w:bookmarkEnd w:id="53"/>
    </w:p>
    <w:p w:rsidR="00B720DA" w:rsidRDefault="004F6BF3" w:rsidP="00135D22">
      <w:pPr>
        <w:pStyle w:val="tMain"/>
      </w:pPr>
      <w:r>
        <w:tab/>
      </w:r>
      <w:r w:rsidR="0060744B">
        <w:t>(1)</w:t>
      </w:r>
      <w:r>
        <w:tab/>
      </w:r>
      <w:r w:rsidR="00B720DA">
        <w:t>The</w:t>
      </w:r>
      <w:r>
        <w:t xml:space="preserve"> following</w:t>
      </w:r>
      <w:r w:rsidR="00B720DA">
        <w:t xml:space="preserve"> information must be included in the first offsets report:</w:t>
      </w:r>
    </w:p>
    <w:p w:rsidR="00B720DA" w:rsidRDefault="00B720DA" w:rsidP="00135D22">
      <w:pPr>
        <w:pStyle w:val="tPara"/>
      </w:pPr>
      <w:r>
        <w:tab/>
      </w:r>
      <w:r w:rsidR="0060744B">
        <w:t>(a)</w:t>
      </w:r>
      <w:r>
        <w:tab/>
      </w:r>
      <w:proofErr w:type="gramStart"/>
      <w:r>
        <w:t>the</w:t>
      </w:r>
      <w:proofErr w:type="gramEnd"/>
      <w:r>
        <w:t xml:space="preserve"> start dat</w:t>
      </w:r>
      <w:r w:rsidR="00D448E1">
        <w:t xml:space="preserve">e and end date of each of the </w:t>
      </w:r>
      <w:r>
        <w:t>baseline years</w:t>
      </w:r>
      <w:r w:rsidR="004F6BF3">
        <w:t>;</w:t>
      </w:r>
    </w:p>
    <w:p w:rsidR="004F6BF3" w:rsidRDefault="004F6BF3" w:rsidP="00135D22">
      <w:pPr>
        <w:pStyle w:val="tPara"/>
        <w:rPr>
          <w:lang w:val="en-NZ"/>
        </w:rPr>
      </w:pPr>
      <w:r>
        <w:tab/>
      </w:r>
      <w:r w:rsidR="0060744B">
        <w:t>(b)</w:t>
      </w:r>
      <w:r>
        <w:tab/>
      </w:r>
      <w:proofErr w:type="gramStart"/>
      <w:r w:rsidRPr="004F6BF3">
        <w:t>all</w:t>
      </w:r>
      <w:proofErr w:type="gramEnd"/>
      <w:r w:rsidRPr="004F6BF3">
        <w:t xml:space="preserve"> inputs and outputs from the </w:t>
      </w:r>
      <w:r w:rsidR="006F04B5">
        <w:rPr>
          <w:lang w:val="en-NZ"/>
        </w:rPr>
        <w:t>Dietary Fats Calculator</w:t>
      </w:r>
      <w:r w:rsidR="00D750D3">
        <w:rPr>
          <w:lang w:val="en-NZ"/>
        </w:rPr>
        <w:t xml:space="preserve"> </w:t>
      </w:r>
      <w:r>
        <w:rPr>
          <w:lang w:val="en-NZ"/>
        </w:rPr>
        <w:t>for each of the baseline years</w:t>
      </w:r>
      <w:r w:rsidRPr="004F6BF3">
        <w:rPr>
          <w:lang w:val="en-NZ"/>
        </w:rPr>
        <w:t>; and</w:t>
      </w:r>
    </w:p>
    <w:p w:rsidR="004F6BF3" w:rsidRDefault="004F6BF3" w:rsidP="00135D22">
      <w:pPr>
        <w:pStyle w:val="tPara"/>
      </w:pPr>
      <w:r>
        <w:tab/>
      </w:r>
      <w:r w:rsidR="0060744B">
        <w:t>(c)</w:t>
      </w:r>
      <w:r>
        <w:tab/>
      </w:r>
      <w:proofErr w:type="gramStart"/>
      <w:r>
        <w:t>the</w:t>
      </w:r>
      <w:proofErr w:type="gramEnd"/>
      <w:r>
        <w:t xml:space="preserve"> information mentioned in section </w:t>
      </w:r>
      <w:r w:rsidR="0060744B">
        <w:t>5.11</w:t>
      </w:r>
      <w:r>
        <w:t xml:space="preserve">. </w:t>
      </w:r>
    </w:p>
    <w:p w:rsidR="004F6BF3" w:rsidRPr="00B720DA" w:rsidRDefault="004F6BF3" w:rsidP="00135D22">
      <w:pPr>
        <w:pStyle w:val="tMain"/>
      </w:pPr>
      <w:r>
        <w:tab/>
      </w:r>
      <w:r w:rsidR="0060744B">
        <w:t>(2)</w:t>
      </w:r>
      <w:r>
        <w:tab/>
        <w:t xml:space="preserve">The requirement in paragraph </w:t>
      </w:r>
      <w:r w:rsidR="0060744B">
        <w:t>(1</w:t>
      </w:r>
      <w:proofErr w:type="gramStart"/>
      <w:r w:rsidR="0060744B">
        <w:t>)(</w:t>
      </w:r>
      <w:proofErr w:type="gramEnd"/>
      <w:r w:rsidR="0060744B">
        <w:t>b)</w:t>
      </w:r>
      <w:r>
        <w:t xml:space="preserve"> may be met by including a printout</w:t>
      </w:r>
      <w:r w:rsidR="00290F9C">
        <w:t xml:space="preserve"> or soft copy</w:t>
      </w:r>
      <w:r>
        <w:t xml:space="preserve"> of the completed </w:t>
      </w:r>
      <w:r w:rsidR="006F04B5">
        <w:t>Dietary Fats Calculator</w:t>
      </w:r>
      <w:r w:rsidR="00D750D3">
        <w:t xml:space="preserve"> </w:t>
      </w:r>
      <w:r>
        <w:t>for each</w:t>
      </w:r>
      <w:r w:rsidR="00D4454A">
        <w:t xml:space="preserve"> </w:t>
      </w:r>
      <w:r w:rsidR="002A5069">
        <w:t>milking herd</w:t>
      </w:r>
      <w:r w:rsidR="00D4454A">
        <w:t xml:space="preserve"> for each</w:t>
      </w:r>
      <w:r w:rsidR="00D448E1">
        <w:t xml:space="preserve"> of the </w:t>
      </w:r>
      <w:r>
        <w:t>baseline years.</w:t>
      </w:r>
    </w:p>
    <w:p w:rsidR="00B720DA" w:rsidRPr="00B720DA" w:rsidRDefault="0060744B" w:rsidP="00E12FAB">
      <w:pPr>
        <w:pStyle w:val="h5Section"/>
      </w:pPr>
      <w:bookmarkStart w:id="54" w:name="_Toc362952404"/>
      <w:r>
        <w:t>5.11</w:t>
      </w:r>
      <w:r w:rsidR="00B720DA">
        <w:tab/>
        <w:t>Information that must be included in each offsets report</w:t>
      </w:r>
      <w:bookmarkEnd w:id="54"/>
    </w:p>
    <w:p w:rsidR="001203DE" w:rsidRDefault="004F6BF3" w:rsidP="00135D22">
      <w:pPr>
        <w:pStyle w:val="tMain"/>
      </w:pPr>
      <w:r>
        <w:tab/>
      </w:r>
      <w:r w:rsidR="0060744B">
        <w:t>(1)</w:t>
      </w:r>
      <w:r>
        <w:tab/>
      </w:r>
      <w:r w:rsidR="00727642" w:rsidRPr="00DE64EE">
        <w:t xml:space="preserve">The following information </w:t>
      </w:r>
      <w:r w:rsidR="00BD1E6E">
        <w:t>must</w:t>
      </w:r>
      <w:r w:rsidR="00727642" w:rsidRPr="00DE64EE">
        <w:t xml:space="preserve"> be included in </w:t>
      </w:r>
      <w:r w:rsidR="00BD1E6E">
        <w:t>each</w:t>
      </w:r>
      <w:r w:rsidR="00727642" w:rsidRPr="00DE64EE">
        <w:t xml:space="preserve"> offsets report:</w:t>
      </w:r>
      <w:r w:rsidR="00A37E49">
        <w:tab/>
      </w:r>
    </w:p>
    <w:p w:rsidR="006D5BA7" w:rsidRDefault="00AA4BE5" w:rsidP="00135D22">
      <w:pPr>
        <w:pStyle w:val="tPara"/>
      </w:pPr>
      <w:r>
        <w:tab/>
      </w:r>
      <w:r w:rsidR="0060744B">
        <w:t>(a)</w:t>
      </w:r>
      <w:r>
        <w:tab/>
      </w:r>
      <w:proofErr w:type="gramStart"/>
      <w:r w:rsidR="00C52978">
        <w:t>t</w:t>
      </w:r>
      <w:r w:rsidR="004F6BF3">
        <w:t>he</w:t>
      </w:r>
      <w:proofErr w:type="gramEnd"/>
      <w:r w:rsidR="004F6BF3">
        <w:t xml:space="preserve"> start date and end date of each</w:t>
      </w:r>
      <w:r w:rsidR="00BD1E6E">
        <w:t xml:space="preserve"> </w:t>
      </w:r>
      <w:r w:rsidR="00B720DA">
        <w:t>p</w:t>
      </w:r>
      <w:r w:rsidR="00F9419E">
        <w:t>roject year</w:t>
      </w:r>
      <w:r w:rsidR="00BD1E6E">
        <w:t xml:space="preserve"> to which the offsets report applies</w:t>
      </w:r>
      <w:r w:rsidR="006D5BA7">
        <w:t>;</w:t>
      </w:r>
    </w:p>
    <w:p w:rsidR="00094DCE" w:rsidRPr="00094DCE" w:rsidRDefault="00104C5C" w:rsidP="00135D22">
      <w:pPr>
        <w:pStyle w:val="tPara"/>
      </w:pPr>
      <w:r>
        <w:lastRenderedPageBreak/>
        <w:tab/>
      </w:r>
      <w:r w:rsidR="0060744B">
        <w:t>(b)</w:t>
      </w:r>
      <w:r>
        <w:tab/>
      </w:r>
      <w:proofErr w:type="gramStart"/>
      <w:r w:rsidR="00A37E49">
        <w:t>all</w:t>
      </w:r>
      <w:proofErr w:type="gramEnd"/>
      <w:r w:rsidR="00A37E49">
        <w:t xml:space="preserve"> inputs and outputs from the </w:t>
      </w:r>
      <w:r w:rsidR="006F04B5">
        <w:rPr>
          <w:lang w:val="en-NZ"/>
        </w:rPr>
        <w:t>Dietary Fats Calculator</w:t>
      </w:r>
      <w:r w:rsidR="00D750D3">
        <w:rPr>
          <w:lang w:val="en-NZ"/>
        </w:rPr>
        <w:t xml:space="preserve"> </w:t>
      </w:r>
      <w:r w:rsidR="004F6BF3">
        <w:rPr>
          <w:lang w:val="en-NZ"/>
        </w:rPr>
        <w:t>for each project year in the reporting period</w:t>
      </w:r>
      <w:r w:rsidR="006626DE">
        <w:rPr>
          <w:lang w:val="en-NZ"/>
        </w:rPr>
        <w:t>;</w:t>
      </w:r>
      <w:r w:rsidR="00BD1E6E">
        <w:rPr>
          <w:lang w:val="en-NZ"/>
        </w:rPr>
        <w:t xml:space="preserve"> and</w:t>
      </w:r>
      <w:r w:rsidR="006626DE">
        <w:rPr>
          <w:lang w:val="en-NZ"/>
        </w:rPr>
        <w:tab/>
      </w:r>
    </w:p>
    <w:p w:rsidR="00E368C6" w:rsidRDefault="009359CE" w:rsidP="00135D22">
      <w:pPr>
        <w:pStyle w:val="tPara"/>
      </w:pPr>
      <w:r>
        <w:tab/>
      </w:r>
      <w:r w:rsidR="0060744B">
        <w:t>(c)</w:t>
      </w:r>
      <w:r w:rsidR="00E368C6">
        <w:tab/>
      </w:r>
      <w:proofErr w:type="gramStart"/>
      <w:r w:rsidR="00617FEF">
        <w:t>the</w:t>
      </w:r>
      <w:proofErr w:type="gramEnd"/>
      <w:r w:rsidR="00617FEF">
        <w:t xml:space="preserve"> </w:t>
      </w:r>
      <w:r w:rsidR="00C50EF3">
        <w:t>carbon dioxide equivalent net abatement amount</w:t>
      </w:r>
      <w:r w:rsidR="00A65E35">
        <w:t xml:space="preserve"> measured in tonnes of</w:t>
      </w:r>
      <w:r w:rsidR="00B720DA">
        <w:t xml:space="preserve"> carbon dioxide equivalent</w:t>
      </w:r>
      <w:r w:rsidR="00FA7E0E">
        <w:t xml:space="preserve"> </w:t>
      </w:r>
      <w:r w:rsidR="00A65E35">
        <w:t>(t </w:t>
      </w:r>
      <w:r w:rsidR="00A65E35" w:rsidRPr="00FA43FC">
        <w:t>CO</w:t>
      </w:r>
      <w:r w:rsidR="00A65E35" w:rsidRPr="00AE680C">
        <w:rPr>
          <w:vertAlign w:val="subscript"/>
        </w:rPr>
        <w:t>2</w:t>
      </w:r>
      <w:r w:rsidR="00FA7E0E">
        <w:noBreakHyphen/>
      </w:r>
      <w:r w:rsidR="00A65E35" w:rsidRPr="00FA43FC">
        <w:t>e</w:t>
      </w:r>
      <w:r w:rsidR="00A65E35">
        <w:t>)</w:t>
      </w:r>
      <w:r w:rsidR="006626DE">
        <w:t xml:space="preserve">, calculated using the </w:t>
      </w:r>
      <w:r w:rsidR="00D750D3">
        <w:rPr>
          <w:lang w:val="en-NZ"/>
        </w:rPr>
        <w:t>Dietary Fats Calculator.</w:t>
      </w:r>
    </w:p>
    <w:p w:rsidR="004F6BF3" w:rsidRDefault="004F6BF3" w:rsidP="00135D22">
      <w:pPr>
        <w:pStyle w:val="tMain"/>
      </w:pPr>
      <w:r>
        <w:tab/>
      </w:r>
      <w:r w:rsidR="0060744B">
        <w:t>(2)</w:t>
      </w:r>
      <w:r>
        <w:tab/>
      </w:r>
      <w:r w:rsidRPr="004F6BF3">
        <w:t xml:space="preserve">The requirement in paragraph </w:t>
      </w:r>
      <w:r w:rsidR="0060744B">
        <w:t>(1</w:t>
      </w:r>
      <w:proofErr w:type="gramStart"/>
      <w:r w:rsidR="0060744B">
        <w:t>)(</w:t>
      </w:r>
      <w:proofErr w:type="gramEnd"/>
      <w:r w:rsidR="0060744B">
        <w:t>b)</w:t>
      </w:r>
      <w:r w:rsidRPr="004F6BF3">
        <w:t xml:space="preserve"> may be met by including a printout</w:t>
      </w:r>
      <w:r w:rsidR="00290F9C">
        <w:t xml:space="preserve"> or soft copy</w:t>
      </w:r>
      <w:r w:rsidRPr="004F6BF3">
        <w:t xml:space="preserve"> of the completed </w:t>
      </w:r>
      <w:r w:rsidR="006F04B5">
        <w:t>Dietary Fats Calculator</w:t>
      </w:r>
      <w:r w:rsidR="00D750D3">
        <w:t xml:space="preserve"> </w:t>
      </w:r>
      <w:r w:rsidRPr="004F6BF3">
        <w:t>for each</w:t>
      </w:r>
      <w:r w:rsidR="00D4454A">
        <w:t xml:space="preserve"> </w:t>
      </w:r>
      <w:r w:rsidR="002A5069">
        <w:t>milking herd</w:t>
      </w:r>
      <w:r w:rsidR="00D4454A">
        <w:t xml:space="preserve"> for each project year in the reporting period.</w:t>
      </w:r>
    </w:p>
    <w:p w:rsidR="009F2E78" w:rsidRPr="00FF615C" w:rsidRDefault="009F2E78" w:rsidP="009F2E78">
      <w:pPr>
        <w:pStyle w:val="NoteEnd"/>
        <w:pBdr>
          <w:top w:val="single" w:sz="4" w:space="3" w:color="auto"/>
        </w:pBdr>
        <w:spacing w:before="480"/>
        <w:rPr>
          <w:rFonts w:ascii="Arial" w:hAnsi="Arial"/>
          <w:b/>
          <w:color w:val="000000" w:themeColor="text1"/>
          <w:sz w:val="24"/>
        </w:rPr>
      </w:pPr>
      <w:r w:rsidRPr="00FF615C">
        <w:rPr>
          <w:rFonts w:ascii="Arial" w:hAnsi="Arial"/>
          <w:b/>
          <w:color w:val="000000" w:themeColor="text1"/>
          <w:sz w:val="24"/>
        </w:rPr>
        <w:t>Note</w:t>
      </w:r>
    </w:p>
    <w:p w:rsidR="009F2E78" w:rsidRPr="00FF615C" w:rsidRDefault="009F2E78" w:rsidP="009F2E78">
      <w:pPr>
        <w:pStyle w:val="NoteEnd"/>
        <w:rPr>
          <w:color w:val="000000" w:themeColor="text1"/>
        </w:rPr>
      </w:pPr>
      <w:r w:rsidRPr="00FF615C">
        <w:rPr>
          <w:color w:val="000000" w:themeColor="text1"/>
        </w:rPr>
        <w:t>1.</w:t>
      </w:r>
      <w:r w:rsidRPr="00FF615C">
        <w:rPr>
          <w:color w:val="000000" w:themeColor="text1"/>
        </w:rPr>
        <w:tab/>
        <w:t xml:space="preserve">All legislative instruments and compilations are registered on the Federal Register of Legislative Instruments kept under the </w:t>
      </w:r>
      <w:r w:rsidRPr="00FF615C">
        <w:rPr>
          <w:i/>
          <w:color w:val="000000" w:themeColor="text1"/>
        </w:rPr>
        <w:t xml:space="preserve">Legislative Instruments Act 2003. </w:t>
      </w:r>
      <w:r w:rsidRPr="00FF615C">
        <w:rPr>
          <w:color w:val="000000" w:themeColor="text1"/>
        </w:rPr>
        <w:t xml:space="preserve">See </w:t>
      </w:r>
      <w:r w:rsidRPr="00FF615C">
        <w:rPr>
          <w:color w:val="000000" w:themeColor="text1"/>
          <w:u w:val="single"/>
        </w:rPr>
        <w:t>http://www.frli.gov.au</w:t>
      </w:r>
      <w:r w:rsidRPr="00FF615C">
        <w:rPr>
          <w:color w:val="000000" w:themeColor="text1"/>
        </w:rPr>
        <w:t>.</w:t>
      </w:r>
    </w:p>
    <w:p w:rsidR="009F2E78" w:rsidRPr="00FF615C" w:rsidRDefault="009F2E78" w:rsidP="009F2E78">
      <w:pPr>
        <w:pStyle w:val="h5Section"/>
        <w:rPr>
          <w:color w:val="000000" w:themeColor="text1"/>
        </w:rPr>
      </w:pPr>
    </w:p>
    <w:p w:rsidR="00F20FA9" w:rsidRPr="00F20FA9" w:rsidRDefault="00F20FA9" w:rsidP="00135D22">
      <w:pPr>
        <w:jc w:val="both"/>
      </w:pPr>
    </w:p>
    <w:sectPr w:rsidR="00F20FA9" w:rsidRPr="00F20FA9" w:rsidSect="00D55828">
      <w:headerReference w:type="default" r:id="rId11"/>
      <w:footerReference w:type="default" r:id="rId12"/>
      <w:pgSz w:w="11906" w:h="16838"/>
      <w:pgMar w:top="1440"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TEMPLATEPROJECT.N_AUTONUMBERED_PARAGRAPHS.N_1_CHAPTER_HEADING"/>
    </wne:keymap>
    <wne:keymap wne:kcmPrimary="0432">
      <wne:macro wne:macroName="TEMPLATEPROJECT.N_AUTONUMBERED_PARAGRAPHS.N_2_PART_HEADING"/>
    </wne:keymap>
    <wne:keymap wne:kcmPrimary="0433">
      <wne:macro wne:macroName="TEMPLATEPROJECT.N_AUTONUMBERED_PARAGRAPHS.N_3_DIVISION_HEADING"/>
    </wne:keymap>
    <wne:keymap wne:kcmPrimary="0434">
      <wne:macro wne:macroName="TEMPLATEPROJECT.N_AUTONUMBERED_PARAGRAPHS.N_4_SUBDIVISION_HEADING"/>
    </wne:keymap>
    <wne:keymap wne:kcmPrimary="0435">
      <wne:macro wne:macroName="TEMPLATEPROJECT.N_AUTONUMBERED_PARAGRAPHS.N_5_SECTION_HEADING"/>
    </wne:keymap>
    <wne:keymap wne:kcmPrimary="0436">
      <wne:macro wne:macroName="TEMPLATEPROJECT.U_UNNUMBERED_PARAGRAPHS.U_SUBSECTION_HEADING"/>
    </wne:keymap>
    <wne:keymap wne:kcmPrimary="0441">
      <wne:macro wne:macroName="TEMPLATEPROJECT.U_UNNUMBERED_PARAGRAPHS.U_UNDIVIDED_SECTION_TEXT"/>
    </wne:keymap>
    <wne:keymap wne:kcmPrimary="0444">
      <wne:macro wne:macroName="TEMPLATEPROJECT.U_UNNUMBERED_PARAGRAPHS.U_DEFINITION"/>
    </wne:keymap>
    <wne:keymap wne:kcmPrimary="0445">
      <wne:macro wne:macroName="TEMPLATEPROJECT.N_AUTONUMBERED_PARAGRAPHS.N_7_PARAGRAPH"/>
    </wne:keymap>
    <wne:keymap wne:kcmPrimary="044E" wne:kcmSecondary="0044">
      <wne:macro wne:macroName="TEMPLATEPROJECT.U_UNNUMBERED_PARAGRAPHS.U_DRAFTERS_NOTE"/>
    </wne:keymap>
    <wne:keymap wne:kcmPrimary="044E" wne:kcmSecondary="0045">
      <wne:macro wne:macroName="TEMPLATEPROJECT.U_UNNUMBERED_PARAGRAPHS.U_PARAGRAPH_NOTE"/>
    </wne:keymap>
    <wne:keymap wne:kcmPrimary="044E" wne:kcmSecondary="0047">
      <wne:macro wne:macroName="NORMAL.NEWMACROS.TEMPORARY_COMMENT"/>
    </wne:keymap>
    <wne:keymap wne:kcmPrimary="044E" wne:kcmSecondary="0051">
      <wne:macro wne:macroName="TEMPLATEPROJECT.U_UNNUMBERED_PARAGRAPHS.U_SECTION_NOTE"/>
    </wne:keymap>
    <wne:keymap wne:kcmPrimary="044E" wne:kcmSecondary="0052">
      <wne:macro wne:macroName="TEMPLATEPROJECT.U_UNNUMBERED_PARAGRAPHS.U_SUBPARAGRAPH_NOTE"/>
    </wne:keymap>
    <wne:keymap wne:kcmPrimary="044E" wne:kcmSecondary="0057">
      <wne:macro wne:macroName="TEMPLATEPROJECT.U_UNNUMBERED_PARAGRAPHS.U_SUBSECTION_NOTE"/>
    </wne:keymap>
    <wne:keymap wne:kcmPrimary="044E" wne:kcmSecondary="0058">
      <wne:macro wne:macroName="TEMPLATEPROJECT.MAIN_FORMAT_AND_NUMBERS.X_REFERENCES"/>
    </wne:keymap>
    <wne:keymap wne:kcmPrimary="044F" wne:kcmSecondary="004E">
      <wne:macro wne:macroName="TEMPLATEPROJECT.FIX_UP_MAIN_NUMBERING.J_FIX_UP_MAIN_NUMBERING"/>
    </wne:keymap>
    <wne:keymap wne:kcmPrimary="044F" wne:kcmSecondary="0050">
      <wne:macro wne:macroName="TEMPLATEPROJECT.C_CLEANUP_MACROS.C_PREPARE_FOR_CLIENT"/>
    </wne:keymap>
    <wne:keymap wne:kcmPrimary="044F" wne:kcmSecondary="0054">
      <wne:macro wne:macroName="TEMPLATEPROJECT.TABLE_OF_CONTENTS.TABLE_OF_CONTENTS"/>
    </wne:keymap>
    <wne:keymap wne:kcmPrimary="0450" wne:kcmSecondary="0045">
      <wne:macro wne:macroName="TEMPLATEPROJECT.U_UNNUMBERED_PARAGRAPHS.U_PARAGRAPH_NOTE_PARA"/>
    </wne:keymap>
    <wne:keymap wne:kcmPrimary="0450" wne:kcmSecondary="0051">
      <wne:macro wne:macroName="TEMPLATEPROJECT.U_UNNUMBERED_PARAGRAPHS.U_SECTION_NOTE_PARA"/>
    </wne:keymap>
    <wne:keymap wne:kcmPrimary="0450" wne:kcmSecondary="0057">
      <wne:macro wne:macroName="TEMPLATEPROJECT.U_UNNUMBERED_PARAGRAPHS.U_SUBSECTION_NOTE_PARA"/>
    </wne:keymap>
    <wne:keymap wne:kcmPrimary="0451">
      <wne:macro wne:macroName="TEMPLATEPROJECT.N_AUTONUMBERED_PARAGRAPHS.N_5_SECTION_HEADING"/>
    </wne:keymap>
    <wne:keymap wne:kcmPrimary="0452">
      <wne:macro wne:macroName="TEMPLATEPROJECT.N_AUTONUMBERED_PARAGRAPHS.N_8_SUB_PARAGRAPH"/>
    </wne:keymap>
    <wne:keymap wne:kcmPrimary="0453">
      <wne:macro wne:macroName="TEMPLATEPROJECT.N_AUTONUMBERED_PARAGRAPHS.N_1_SCHEDULE_HEADING"/>
    </wne:keymap>
    <wne:keymap wne:kcmPrimary="0454">
      <wne:macro wne:macroName="TEMPLATEPROJECT.N_AUTONUMBERED_PARAGRAPHS.N_9_SUBSUB_PARAGRAPH"/>
    </wne:keymap>
    <wne:keymap wne:kcmPrimary="0457">
      <wne:macro wne:macroName="TEMPLATEPROJECT.N_AUTONUMBERED_PARAGRAPHS.N_6_SUBSECTION_TEXT"/>
    </wne:keymap>
    <wne:keymap wne:kcmPrimary="045A" wne:kcmSecondary="0031">
      <wne:acd wne:acdName="acd9"/>
    </wne:keymap>
    <wne:keymap wne:kcmPrimary="045A" wne:kcmSecondary="0032">
      <wne:acd wne:acdName="acd11"/>
    </wne:keymap>
    <wne:keymap wne:kcmPrimary="045A" wne:kcmSecondary="0033">
      <wne:acd wne:acdName="acd13"/>
    </wne:keymap>
    <wne:keymap wne:kcmPrimary="045A" wne:kcmSecondary="0034">
      <wne:acd wne:acdName="acd12"/>
    </wne:keymap>
    <wne:keymap wne:kcmPrimary="045A" wne:kcmSecondary="0035">
      <wne:acd wne:acdName="acd0"/>
    </wne:keymap>
    <wne:keymap wne:kcmPrimary="045A" wne:kcmSecondary="0037">
      <wne:acd wne:acdName="acd14"/>
    </wne:keymap>
    <wne:keymap wne:kcmPrimary="045A" wne:kcmSecondary="0044">
      <wne:acd wne:acdName="acd17"/>
    </wne:keymap>
    <wne:keymap wne:kcmPrimary="045A" wne:kcmSecondary="0045">
      <wne:acd wne:acdName="acd15"/>
    </wne:keymap>
    <wne:keymap wne:kcmPrimary="045A" wne:kcmSecondary="0052">
      <wne:acd wne:acdName="acd16"/>
    </wne:keymap>
    <wne:keymap wne:kcmPrimary="045A" wne:kcmSecondary="0054">
      <wne:acd wne:acdName="acd19"/>
    </wne:keymap>
    <wne:keymap wne:kcmPrimary="1058">
      <wne:macro wne:macroName="TEMPLATEPROJECT.C_CLEANUP_MACROS.C_SET_NUMBERED_PARAS_TO_OUR_STYLES"/>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oADUAXwBTAGUAYwB0AGkAbwBuAA==" wne:acdName="acd0" wne:fciIndexBasedOn="0065"/>
    <wne:acd wne:argValue="" wne:acdName="acd1" wne:fciIndexBasedOn="0065"/>
    <wne:acd wne:argValue="" wne:acdName="acd2" wne:fciIndexBasedOn="0065"/>
    <wne:acd wne:argValue="" wne:acdName="acd3" wne:fciIndexBasedOn="0065"/>
    <wne:acd wne:argValue="" wne:acdName="acd4" wne:fciIndexBasedOn="0065"/>
    <wne:acd wne:argValue="" wne:acdName="acd5" wne:fciIndexBasedOn="0065"/>
    <wne:acd wne:argValue="" wne:acdName="acd6" wne:fciIndexBasedOn="0065"/>
    <wne:acd wne:argValue="" wne:acdName="acd7" wne:fciIndexBasedOn="0065"/>
    <wne:acd wne:argValue="" wne:acdName="acd8" wne:fciIndexBasedOn="0065"/>
    <wne:acd wne:argValue="AgBoADEAXwBDAGgAXwBTAGMAaAA=" wne:acdName="acd9" wne:fciIndexBasedOn="0065"/>
    <wne:acd wne:acdName="acd10" wne:fciIndexBasedOn="0065"/>
    <wne:acd wne:argValue="AgBoADIAXwBQAGEAcgB0AA==" wne:acdName="acd11" wne:fciIndexBasedOn="0065"/>
    <wne:acd wne:argValue="AgBoADQAXwBTAHUAYgBkAGkAdgA=" wne:acdName="acd12" wne:fciIndexBasedOn="0065"/>
    <wne:acd wne:argValue="AgBoADMAXwBEAGkAdgA=" wne:acdName="acd13" wne:fciIndexBasedOn="0065"/>
    <wne:acd wne:argValue="AgBoADcAXwBFAHgAYQBtAHAAbABlAA==" wne:acdName="acd14" wne:fciIndexBasedOn="0065"/>
    <wne:acd wne:argValue="AgB0AF8AUABhAHIAYQA=" wne:acdName="acd15" wne:fciIndexBasedOn="0065"/>
    <wne:acd wne:argValue="AgB0AF8AUwB1AGIAcABhAHIAYQA=" wne:acdName="acd16" wne:fciIndexBasedOn="0065"/>
    <wne:acd wne:argValue="AgB0AF8ARABlAGYAbgA=" wne:acdName="acd17" wne:fciIndexBasedOn="0065"/>
    <wne:acd wne:acdName="acd18" wne:fciIndexBasedOn="0065"/>
    <wne:acd wne:argValue="AgB0AF8AUwB1AGIAcwB1AGIA" wne:acdName="acd1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D22" w:rsidRDefault="00135D22" w:rsidP="00CD349A">
      <w:r>
        <w:separator/>
      </w:r>
    </w:p>
  </w:endnote>
  <w:endnote w:type="continuationSeparator" w:id="0">
    <w:p w:rsidR="00135D22" w:rsidRDefault="00135D22" w:rsidP="00CD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D22" w:rsidRDefault="00135D22" w:rsidP="00D5582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135D22" w:rsidTr="004A0A4F">
      <w:trPr>
        <w:trHeight w:val="1067"/>
      </w:trPr>
      <w:tc>
        <w:tcPr>
          <w:tcW w:w="1134" w:type="dxa"/>
        </w:tcPr>
        <w:p w:rsidR="00135D22" w:rsidRDefault="00135D22" w:rsidP="005E089C">
          <w:pPr>
            <w:spacing w:line="240" w:lineRule="exact"/>
          </w:pPr>
        </w:p>
      </w:tc>
      <w:tc>
        <w:tcPr>
          <w:tcW w:w="6095" w:type="dxa"/>
        </w:tcPr>
        <w:p w:rsidR="00135D22" w:rsidRPr="00C91887" w:rsidRDefault="00135D22" w:rsidP="00BF2F59">
          <w:pPr>
            <w:pStyle w:val="FooterCitation"/>
            <w:rPr>
              <w:bCs/>
            </w:rPr>
          </w:pPr>
          <w:r w:rsidRPr="00C91887">
            <w:rPr>
              <w:bCs/>
            </w:rPr>
            <w:t>Carbon Credits (Carbon Farming Initiative) (Reducing Greenhouse Gas</w:t>
          </w:r>
          <w:r>
            <w:rPr>
              <w:bCs/>
            </w:rPr>
            <w:t xml:space="preserve"> Emissions by Feeding Dietary Additives</w:t>
          </w:r>
          <w:r w:rsidRPr="00C91887">
            <w:rPr>
              <w:bCs/>
            </w:rPr>
            <w:t xml:space="preserve"> to Milking Cows) Methodology Determination 2013</w:t>
          </w:r>
        </w:p>
        <w:p w:rsidR="00135D22" w:rsidRPr="004F5D6D" w:rsidRDefault="00135D22" w:rsidP="005E089C">
          <w:pPr>
            <w:pStyle w:val="FooterCitation"/>
          </w:pPr>
        </w:p>
      </w:tc>
      <w:tc>
        <w:tcPr>
          <w:tcW w:w="1134" w:type="dxa"/>
        </w:tcPr>
        <w:p w:rsidR="00135D22" w:rsidRPr="003D7214" w:rsidRDefault="00135D22" w:rsidP="005E089C">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414585">
            <w:rPr>
              <w:rStyle w:val="PageNumber"/>
              <w:rFonts w:cs="Arial"/>
              <w:noProof/>
              <w:szCs w:val="22"/>
            </w:rPr>
            <w:t>2</w:t>
          </w:r>
          <w:r w:rsidRPr="003D7214">
            <w:rPr>
              <w:rStyle w:val="PageNumber"/>
              <w:rFonts w:cs="Arial"/>
              <w:szCs w:val="22"/>
            </w:rPr>
            <w:fldChar w:fldCharType="end"/>
          </w:r>
        </w:p>
      </w:tc>
    </w:tr>
  </w:tbl>
  <w:p w:rsidR="00135D22" w:rsidRPr="00D55828" w:rsidRDefault="00135D22" w:rsidP="008B2DC2">
    <w:pPr>
      <w:pStyle w:val="FooterDraft"/>
      <w:tabs>
        <w:tab w:val="right" w:pos="5670"/>
        <w:tab w:val="right" w:pos="7938"/>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D22" w:rsidRDefault="00135D22" w:rsidP="00CD349A">
      <w:r>
        <w:separator/>
      </w:r>
    </w:p>
  </w:footnote>
  <w:footnote w:type="continuationSeparator" w:id="0">
    <w:p w:rsidR="00135D22" w:rsidRDefault="00135D22" w:rsidP="00CD3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135D22" w:rsidTr="005E089C">
      <w:tc>
        <w:tcPr>
          <w:tcW w:w="6914" w:type="dxa"/>
        </w:tcPr>
        <w:p w:rsidR="00135D22" w:rsidRDefault="00135D22" w:rsidP="005E089C">
          <w:pPr>
            <w:pStyle w:val="HeaderLiteOdd"/>
            <w:tabs>
              <w:tab w:val="clear" w:pos="3969"/>
              <w:tab w:val="clear" w:pos="8505"/>
              <w:tab w:val="left" w:pos="1418"/>
            </w:tabs>
            <w:jc w:val="left"/>
          </w:pPr>
          <w:r>
            <w:fldChar w:fldCharType="begin"/>
          </w:r>
          <w:r>
            <w:instrText xml:space="preserve"> IF </w:instrText>
          </w:r>
          <w:r>
            <w:fldChar w:fldCharType="begin"/>
          </w:r>
          <w:r>
            <w:instrText xml:space="preserve"> STYLEREF  "HC"  \* MERGEFORMAT </w:instrText>
          </w:r>
          <w:r>
            <w:fldChar w:fldCharType="separate"/>
          </w:r>
          <w:r w:rsidR="00414585">
            <w:rPr>
              <w:b/>
              <w:bCs/>
              <w:noProof/>
              <w:lang w:val="en-US"/>
            </w:rPr>
            <w:instrText>Error! Use the Home tab to apply HC to the text that you want to appear here.</w:instrText>
          </w:r>
          <w:r>
            <w:rPr>
              <w:noProof/>
            </w:rPr>
            <w:fldChar w:fldCharType="end"/>
          </w:r>
          <w:r>
            <w:instrText xml:space="preserve"> &lt;&gt; "Error*"</w:instrText>
          </w:r>
          <w:r>
            <w:fldChar w:fldCharType="begin"/>
          </w:r>
          <w:r>
            <w:instrText xml:space="preserve"> STYLEREF  "HC"  \* MERGEFORMAT </w:instrText>
          </w:r>
          <w:r>
            <w:rPr>
              <w:noProof/>
            </w:rPr>
            <w:fldChar w:fldCharType="end"/>
          </w:r>
          <w:r>
            <w:instrText xml:space="preserve"> \* MERGEFORMAT </w:instrText>
          </w:r>
          <w:r>
            <w:fldChar w:fldCharType="end"/>
          </w:r>
          <w:r>
            <w:br/>
          </w:r>
          <w:r>
            <w:fldChar w:fldCharType="begin"/>
          </w:r>
          <w:r>
            <w:instrText xml:space="preserve"> IF </w:instrText>
          </w:r>
          <w:r>
            <w:fldChar w:fldCharType="begin"/>
          </w:r>
          <w:r>
            <w:instrText xml:space="preserve"> STYLEREF  "HP"  \* MERGEFORMAT </w:instrText>
          </w:r>
          <w:r>
            <w:fldChar w:fldCharType="separate"/>
          </w:r>
          <w:r w:rsidR="00414585">
            <w:rPr>
              <w:b/>
              <w:bCs/>
              <w:noProof/>
              <w:lang w:val="en-US"/>
            </w:rPr>
            <w:instrText>Error! Use the Home tab to apply HP to the text that you want to appear here.</w:instrText>
          </w:r>
          <w:r>
            <w:rPr>
              <w:noProof/>
            </w:rPr>
            <w:fldChar w:fldCharType="end"/>
          </w:r>
          <w:r>
            <w:instrText xml:space="preserve"> &lt;&gt; "Error*"</w:instrText>
          </w:r>
          <w:r w:rsidR="00414585">
            <w:fldChar w:fldCharType="begin"/>
          </w:r>
          <w:r w:rsidR="00414585">
            <w:instrText xml:space="preserve"> STYLEREF  "HP"  \* MERGEFORMAT </w:instrText>
          </w:r>
          <w:r w:rsidR="00414585">
            <w:fldChar w:fldCharType="separate"/>
          </w:r>
          <w:r>
            <w:rPr>
              <w:noProof/>
            </w:rPr>
            <w:instrText xml:space="preserve">Part </w:instrText>
          </w:r>
          <w:r>
            <w:rPr>
              <w:noProof/>
            </w:rPr>
            <w:tab/>
            <w:instrText>Monitoring, record-keeping and reporting requirements</w:instrText>
          </w:r>
          <w:r w:rsidR="00414585">
            <w:rPr>
              <w:noProof/>
            </w:rPr>
            <w:fldChar w:fldCharType="end"/>
          </w:r>
          <w:r>
            <w:instrText xml:space="preserve"> \* MERGEFORMAT </w:instrText>
          </w:r>
          <w:r>
            <w:fldChar w:fldCharType="end"/>
          </w:r>
          <w:r>
            <w:br/>
          </w:r>
          <w:r>
            <w:fldChar w:fldCharType="begin"/>
          </w:r>
          <w:r>
            <w:instrText xml:space="preserve"> IF </w:instrText>
          </w:r>
          <w:r>
            <w:fldChar w:fldCharType="begin"/>
          </w:r>
          <w:r>
            <w:instrText xml:space="preserve"> STYLEREF  "HD"  \* MERGEFORMAT </w:instrText>
          </w:r>
          <w:r>
            <w:fldChar w:fldCharType="separate"/>
          </w:r>
          <w:r w:rsidR="00414585">
            <w:rPr>
              <w:b/>
              <w:bCs/>
              <w:noProof/>
              <w:lang w:val="en-US"/>
            </w:rPr>
            <w:instrText>Error! Use the Home tab to apply HD to the text that you want to appear here.</w:instrText>
          </w:r>
          <w:r>
            <w:rPr>
              <w:noProof/>
            </w:rPr>
            <w:fldChar w:fldCharType="end"/>
          </w:r>
          <w:r>
            <w:instrText xml:space="preserve"> &lt;&gt; "Error*"</w:instrText>
          </w:r>
          <w:r w:rsidR="00414585">
            <w:fldChar w:fldCharType="begin"/>
          </w:r>
          <w:r w:rsidR="00414585">
            <w:instrText xml:space="preserve"> STYLEREF  "HD"  \* MERGEFORMAT </w:instrText>
          </w:r>
          <w:r w:rsidR="00414585">
            <w:fldChar w:fldCharType="separate"/>
          </w:r>
          <w:r>
            <w:rPr>
              <w:noProof/>
            </w:rPr>
            <w:instrText xml:space="preserve">Division </w:instrText>
          </w:r>
          <w:r>
            <w:rPr>
              <w:noProof/>
            </w:rPr>
            <w:tab/>
            <w:instrText>General</w:instrText>
          </w:r>
          <w:r w:rsidR="00414585">
            <w:rPr>
              <w:noProof/>
            </w:rPr>
            <w:fldChar w:fldCharType="end"/>
          </w:r>
          <w:r>
            <w:instrText xml:space="preserve"> \* MERGEFORMAT </w:instrText>
          </w:r>
          <w:r>
            <w:fldChar w:fldCharType="end"/>
          </w:r>
          <w:r>
            <w:br/>
          </w:r>
        </w:p>
      </w:tc>
      <w:tc>
        <w:tcPr>
          <w:tcW w:w="1471" w:type="dxa"/>
        </w:tcPr>
        <w:p w:rsidR="00135D22" w:rsidRDefault="00135D22" w:rsidP="005E089C">
          <w:pPr>
            <w:pStyle w:val="HeaderLiteOdd"/>
          </w:pPr>
        </w:p>
      </w:tc>
    </w:tr>
    <w:tr w:rsidR="00135D22" w:rsidTr="005E089C">
      <w:tc>
        <w:tcPr>
          <w:tcW w:w="6914" w:type="dxa"/>
        </w:tcPr>
        <w:p w:rsidR="00135D22" w:rsidRDefault="00135D22" w:rsidP="005E089C">
          <w:pPr>
            <w:pStyle w:val="HeaderLiteOdd"/>
            <w:jc w:val="left"/>
          </w:pPr>
        </w:p>
      </w:tc>
      <w:tc>
        <w:tcPr>
          <w:tcW w:w="1471" w:type="dxa"/>
        </w:tcPr>
        <w:p w:rsidR="00135D22" w:rsidRDefault="00135D22" w:rsidP="005E089C">
          <w:pPr>
            <w:pStyle w:val="HeaderLiteOdd"/>
          </w:pPr>
        </w:p>
      </w:tc>
    </w:tr>
    <w:tr w:rsidR="00135D22" w:rsidTr="005E089C">
      <w:tc>
        <w:tcPr>
          <w:tcW w:w="8385" w:type="dxa"/>
          <w:gridSpan w:val="2"/>
          <w:tcBorders>
            <w:bottom w:val="single" w:sz="4" w:space="0" w:color="auto"/>
          </w:tcBorders>
        </w:tcPr>
        <w:p w:rsidR="00135D22" w:rsidRDefault="00135D22" w:rsidP="005E089C">
          <w:pPr>
            <w:pStyle w:val="HeaderBoldOdd"/>
          </w:pPr>
        </w:p>
      </w:tc>
    </w:tr>
  </w:tbl>
  <w:p w:rsidR="00135D22" w:rsidRDefault="00135D22" w:rsidP="00D558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9DA"/>
    <w:multiLevelType w:val="multilevel"/>
    <w:tmpl w:val="0C09001F"/>
    <w:name w:val="main numb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B17281"/>
    <w:multiLevelType w:val="multilevel"/>
    <w:tmpl w:val="3796E964"/>
    <w:lvl w:ilvl="0">
      <w:start w:val="1"/>
      <w:numFmt w:val="bullet"/>
      <w:pStyle w:val="Bullet"/>
      <w:lvlText w:val="•"/>
      <w:lvlJc w:val="left"/>
      <w:pPr>
        <w:tabs>
          <w:tab w:val="num" w:pos="520"/>
        </w:tabs>
        <w:ind w:left="520" w:hanging="520"/>
      </w:pPr>
      <w:rPr>
        <w:rFonts w:ascii="Times New Roman" w:hAnsi="Times New Roman"/>
      </w:rPr>
    </w:lvl>
    <w:lvl w:ilvl="1">
      <w:start w:val="1"/>
      <w:numFmt w:val="bullet"/>
      <w:pStyle w:val="Dash"/>
      <w:lvlText w:val="–"/>
      <w:lvlJc w:val="left"/>
      <w:pPr>
        <w:tabs>
          <w:tab w:val="num" w:pos="1040"/>
        </w:tabs>
        <w:ind w:left="1040"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2">
    <w:nsid w:val="13125BD1"/>
    <w:multiLevelType w:val="multilevel"/>
    <w:tmpl w:val="384E8C9C"/>
    <w:styleLink w:val="CABNETList"/>
    <w:lvl w:ilvl="0">
      <w:start w:val="1"/>
      <w:numFmt w:val="decimal"/>
      <w:lvlText w:val="%1."/>
      <w:lvlJc w:val="left"/>
      <w:pPr>
        <w:tabs>
          <w:tab w:val="num" w:pos="567"/>
        </w:tabs>
      </w:pPr>
      <w:rPr>
        <w:rFonts w:ascii="Verdana" w:hAnsi="Verdana" w:cs="Times New Roman"/>
        <w:sz w:val="24"/>
        <w:szCs w:val="24"/>
      </w:rPr>
    </w:lvl>
    <w:lvl w:ilvl="1">
      <w:start w:val="1"/>
      <w:numFmt w:val="lowerLetter"/>
      <w:lvlText w:val="(%2)"/>
      <w:lvlJc w:val="left"/>
      <w:pPr>
        <w:tabs>
          <w:tab w:val="num" w:pos="567"/>
        </w:tabs>
        <w:ind w:left="1134" w:hanging="567"/>
      </w:pPr>
      <w:rPr>
        <w:rFonts w:ascii="Verdana" w:hAnsi="Verdana" w:cs="Times New Roman" w:hint="default"/>
        <w:b w:val="0"/>
        <w:i w:val="0"/>
        <w:color w:val="auto"/>
        <w:sz w:val="24"/>
        <w:szCs w:val="24"/>
      </w:rPr>
    </w:lvl>
    <w:lvl w:ilvl="2">
      <w:start w:val="1"/>
      <w:numFmt w:val="lowerRoman"/>
      <w:lvlText w:val="(%3)"/>
      <w:lvlJc w:val="left"/>
      <w:pPr>
        <w:tabs>
          <w:tab w:val="num" w:pos="567"/>
        </w:tabs>
        <w:ind w:left="1701" w:hanging="567"/>
      </w:pPr>
      <w:rPr>
        <w:rFonts w:ascii="Verdana" w:hAnsi="Verdana" w:cs="Times New Roman" w:hint="default"/>
        <w:b w:val="0"/>
        <w:i w:val="0"/>
        <w:color w:val="auto"/>
        <w:sz w:val="24"/>
        <w:szCs w:val="24"/>
      </w:rPr>
    </w:lvl>
    <w:lvl w:ilvl="3">
      <w:start w:val="1"/>
      <w:numFmt w:val="upperLetter"/>
      <w:lvlText w:val="(%4)"/>
      <w:lvlJc w:val="left"/>
      <w:pPr>
        <w:tabs>
          <w:tab w:val="num" w:pos="567"/>
        </w:tabs>
        <w:ind w:left="2268" w:hanging="567"/>
      </w:pPr>
      <w:rPr>
        <w:rFonts w:ascii="Verdana" w:hAnsi="Verdana" w:cs="Times New Roman" w:hint="default"/>
        <w:b w:val="0"/>
        <w:i w:val="0"/>
        <w:color w:val="auto"/>
        <w:sz w:val="24"/>
        <w:szCs w:val="24"/>
      </w:rPr>
    </w:lvl>
    <w:lvl w:ilvl="4">
      <w:start w:val="1"/>
      <w:numFmt w:val="decimal"/>
      <w:lvlText w:val="(%5)"/>
      <w:lvlJc w:val="left"/>
      <w:pPr>
        <w:tabs>
          <w:tab w:val="num" w:pos="567"/>
        </w:tabs>
        <w:ind w:left="2835" w:hanging="567"/>
      </w:pPr>
      <w:rPr>
        <w:rFonts w:ascii="Verdana" w:hAnsi="Verdana" w:cs="Times New Roman" w:hint="default"/>
        <w:b w:val="0"/>
        <w:i w:val="0"/>
        <w:color w:val="auto"/>
        <w:sz w:val="24"/>
        <w:szCs w:val="24"/>
      </w:rPr>
    </w:lvl>
    <w:lvl w:ilvl="5">
      <w:start w:val="1"/>
      <w:numFmt w:val="none"/>
      <w:lvlText w:val="."/>
      <w:lvlJc w:val="left"/>
      <w:pPr>
        <w:tabs>
          <w:tab w:val="num" w:pos="567"/>
        </w:tabs>
        <w:ind w:left="3402" w:hanging="567"/>
      </w:pPr>
      <w:rPr>
        <w:rFonts w:ascii="Verdana" w:hAnsi="Verdana" w:cs="Times New Roman" w:hint="default"/>
        <w:b w:val="0"/>
        <w:i w:val="0"/>
        <w:color w:val="auto"/>
        <w:sz w:val="24"/>
        <w:szCs w:val="24"/>
      </w:rPr>
    </w:lvl>
    <w:lvl w:ilvl="6">
      <w:start w:val="1"/>
      <w:numFmt w:val="none"/>
      <w:lvlText w:val="%7."/>
      <w:lvlJc w:val="left"/>
      <w:pPr>
        <w:tabs>
          <w:tab w:val="num" w:pos="567"/>
        </w:tabs>
        <w:ind w:left="3969" w:hanging="567"/>
      </w:pPr>
      <w:rPr>
        <w:rFonts w:ascii="Verdana" w:hAnsi="Verdana" w:cs="Times New Roman" w:hint="default"/>
        <w:b w:val="0"/>
        <w:i w:val="0"/>
        <w:color w:val="auto"/>
        <w:sz w:val="24"/>
        <w:szCs w:val="24"/>
      </w:rPr>
    </w:lvl>
    <w:lvl w:ilvl="7">
      <w:start w:val="1"/>
      <w:numFmt w:val="none"/>
      <w:lvlText w:val="%8."/>
      <w:lvlJc w:val="left"/>
      <w:pPr>
        <w:tabs>
          <w:tab w:val="num" w:pos="567"/>
        </w:tabs>
        <w:ind w:left="4536" w:hanging="567"/>
      </w:pPr>
      <w:rPr>
        <w:rFonts w:ascii="Verdana" w:hAnsi="Verdana" w:cs="Times New Roman" w:hint="default"/>
        <w:b w:val="0"/>
        <w:i w:val="0"/>
        <w:color w:val="auto"/>
        <w:sz w:val="24"/>
        <w:szCs w:val="24"/>
      </w:rPr>
    </w:lvl>
    <w:lvl w:ilvl="8">
      <w:start w:val="1"/>
      <w:numFmt w:val="none"/>
      <w:lvlText w:val="%9."/>
      <w:lvlJc w:val="left"/>
      <w:pPr>
        <w:tabs>
          <w:tab w:val="num" w:pos="567"/>
        </w:tabs>
        <w:ind w:left="5103" w:hanging="567"/>
      </w:pPr>
      <w:rPr>
        <w:rFonts w:ascii="Verdana" w:hAnsi="Verdana" w:cs="Times New Roman" w:hint="default"/>
        <w:b w:val="0"/>
        <w:i w:val="0"/>
        <w:color w:val="auto"/>
        <w:sz w:val="24"/>
        <w:szCs w:val="24"/>
      </w:rPr>
    </w:lvl>
  </w:abstractNum>
  <w:abstractNum w:abstractNumId="3">
    <w:nsid w:val="160E5660"/>
    <w:multiLevelType w:val="multilevel"/>
    <w:tmpl w:val="91363FF2"/>
    <w:lvl w:ilvl="0">
      <w:start w:val="1"/>
      <w:numFmt w:val="decimal"/>
      <w:pStyle w:val="OutlineNumbered1"/>
      <w:lvlText w:val="%1."/>
      <w:lvlJc w:val="left"/>
      <w:pPr>
        <w:tabs>
          <w:tab w:val="num" w:pos="1240"/>
        </w:tabs>
        <w:ind w:left="1240" w:hanging="520"/>
      </w:pPr>
      <w:rPr>
        <w:rFonts w:cs="Times New Roman" w:hint="default"/>
      </w:rPr>
    </w:lvl>
    <w:lvl w:ilvl="1">
      <w:start w:val="1"/>
      <w:numFmt w:val="decimal"/>
      <w:pStyle w:val="OutlineNumbered2"/>
      <w:lvlText w:val="%1.%2."/>
      <w:lvlJc w:val="left"/>
      <w:pPr>
        <w:tabs>
          <w:tab w:val="num" w:pos="1760"/>
        </w:tabs>
        <w:ind w:left="1760" w:hanging="520"/>
      </w:pPr>
      <w:rPr>
        <w:rFonts w:cs="Times New Roman" w:hint="default"/>
      </w:rPr>
    </w:lvl>
    <w:lvl w:ilvl="2">
      <w:start w:val="1"/>
      <w:numFmt w:val="decimal"/>
      <w:pStyle w:val="OutlineNumbered3"/>
      <w:lvlText w:val="%1.%2.%3."/>
      <w:lvlJc w:val="left"/>
      <w:pPr>
        <w:tabs>
          <w:tab w:val="num" w:pos="2280"/>
        </w:tabs>
        <w:ind w:left="2280" w:hanging="52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4">
    <w:nsid w:val="26BA6561"/>
    <w:multiLevelType w:val="hybridMultilevel"/>
    <w:tmpl w:val="7EF892D4"/>
    <w:name w:val="StandardNumberedList23232"/>
    <w:lvl w:ilvl="0" w:tplc="AC6ACB42">
      <w:numFmt w:val="bullet"/>
      <w:lvlText w:val="•"/>
      <w:lvlJc w:val="left"/>
      <w:pPr>
        <w:ind w:left="880" w:hanging="360"/>
      </w:pPr>
      <w:rPr>
        <w:rFonts w:ascii="Calibri" w:eastAsia="Times New Roman" w:hAnsi="Calibri" w:hint="default"/>
      </w:rPr>
    </w:lvl>
    <w:lvl w:ilvl="1" w:tplc="0C090019" w:tentative="1">
      <w:start w:val="1"/>
      <w:numFmt w:val="bullet"/>
      <w:lvlText w:val="o"/>
      <w:lvlJc w:val="left"/>
      <w:pPr>
        <w:ind w:left="1600" w:hanging="360"/>
      </w:pPr>
      <w:rPr>
        <w:rFonts w:ascii="Courier New" w:hAnsi="Courier New" w:hint="default"/>
      </w:rPr>
    </w:lvl>
    <w:lvl w:ilvl="2" w:tplc="0C09001B" w:tentative="1">
      <w:start w:val="1"/>
      <w:numFmt w:val="bullet"/>
      <w:lvlText w:val=""/>
      <w:lvlJc w:val="left"/>
      <w:pPr>
        <w:ind w:left="2320" w:hanging="360"/>
      </w:pPr>
      <w:rPr>
        <w:rFonts w:ascii="Wingdings" w:hAnsi="Wingdings" w:hint="default"/>
      </w:rPr>
    </w:lvl>
    <w:lvl w:ilvl="3" w:tplc="0C09000F" w:tentative="1">
      <w:start w:val="1"/>
      <w:numFmt w:val="bullet"/>
      <w:lvlText w:val=""/>
      <w:lvlJc w:val="left"/>
      <w:pPr>
        <w:ind w:left="3040" w:hanging="360"/>
      </w:pPr>
      <w:rPr>
        <w:rFonts w:ascii="Symbol" w:hAnsi="Symbol" w:hint="default"/>
      </w:rPr>
    </w:lvl>
    <w:lvl w:ilvl="4" w:tplc="0C090019" w:tentative="1">
      <w:start w:val="1"/>
      <w:numFmt w:val="bullet"/>
      <w:lvlText w:val="o"/>
      <w:lvlJc w:val="left"/>
      <w:pPr>
        <w:ind w:left="3760" w:hanging="360"/>
      </w:pPr>
      <w:rPr>
        <w:rFonts w:ascii="Courier New" w:hAnsi="Courier New" w:hint="default"/>
      </w:rPr>
    </w:lvl>
    <w:lvl w:ilvl="5" w:tplc="0C09001B" w:tentative="1">
      <w:start w:val="1"/>
      <w:numFmt w:val="bullet"/>
      <w:lvlText w:val=""/>
      <w:lvlJc w:val="left"/>
      <w:pPr>
        <w:ind w:left="4480" w:hanging="360"/>
      </w:pPr>
      <w:rPr>
        <w:rFonts w:ascii="Wingdings" w:hAnsi="Wingdings" w:hint="default"/>
      </w:rPr>
    </w:lvl>
    <w:lvl w:ilvl="6" w:tplc="0C09000F" w:tentative="1">
      <w:start w:val="1"/>
      <w:numFmt w:val="bullet"/>
      <w:lvlText w:val=""/>
      <w:lvlJc w:val="left"/>
      <w:pPr>
        <w:ind w:left="5200" w:hanging="360"/>
      </w:pPr>
      <w:rPr>
        <w:rFonts w:ascii="Symbol" w:hAnsi="Symbol" w:hint="default"/>
      </w:rPr>
    </w:lvl>
    <w:lvl w:ilvl="7" w:tplc="0C090019" w:tentative="1">
      <w:start w:val="1"/>
      <w:numFmt w:val="bullet"/>
      <w:lvlText w:val="o"/>
      <w:lvlJc w:val="left"/>
      <w:pPr>
        <w:ind w:left="5920" w:hanging="360"/>
      </w:pPr>
      <w:rPr>
        <w:rFonts w:ascii="Courier New" w:hAnsi="Courier New" w:hint="default"/>
      </w:rPr>
    </w:lvl>
    <w:lvl w:ilvl="8" w:tplc="0C09001B" w:tentative="1">
      <w:start w:val="1"/>
      <w:numFmt w:val="bullet"/>
      <w:lvlText w:val=""/>
      <w:lvlJc w:val="left"/>
      <w:pPr>
        <w:ind w:left="6640" w:hanging="360"/>
      </w:pPr>
      <w:rPr>
        <w:rFonts w:ascii="Wingdings" w:hAnsi="Wingdings" w:hint="default"/>
      </w:rPr>
    </w:lvl>
  </w:abstractNum>
  <w:abstractNum w:abstractNumId="5">
    <w:nsid w:val="4B5130B8"/>
    <w:multiLevelType w:val="multilevel"/>
    <w:tmpl w:val="0C09001F"/>
    <w:name w:val="main numbering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CEB298A"/>
    <w:multiLevelType w:val="multilevel"/>
    <w:tmpl w:val="0C09001F"/>
    <w:name w:val="main numbering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FF702AA"/>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
    <w:nsid w:val="54FB5D34"/>
    <w:multiLevelType w:val="multilevel"/>
    <w:tmpl w:val="7B2E377C"/>
    <w:name w:val="main numbering"/>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9">
    <w:nsid w:val="651362A7"/>
    <w:multiLevelType w:val="hybridMultilevel"/>
    <w:tmpl w:val="C712B3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2D239D2"/>
    <w:multiLevelType w:val="hybridMultilevel"/>
    <w:tmpl w:val="C590B246"/>
    <w:lvl w:ilvl="0" w:tplc="8FDA09E0">
      <w:start w:val="1"/>
      <w:numFmt w:val="decimal"/>
      <w:pStyle w:val="bullets"/>
      <w:lvlText w:val="%1."/>
      <w:lvlJc w:val="left"/>
      <w:pPr>
        <w:ind w:left="2880" w:hanging="360"/>
      </w:pPr>
      <w:rPr>
        <w:rFonts w:hint="default"/>
      </w:rPr>
    </w:lvl>
    <w:lvl w:ilvl="1" w:tplc="3350D608" w:tentative="1">
      <w:start w:val="1"/>
      <w:numFmt w:val="bullet"/>
      <w:lvlText w:val="o"/>
      <w:lvlJc w:val="left"/>
      <w:pPr>
        <w:ind w:left="3600" w:hanging="360"/>
      </w:pPr>
      <w:rPr>
        <w:rFonts w:ascii="Courier New" w:hAnsi="Courier New" w:cs="Courier New" w:hint="default"/>
      </w:rPr>
    </w:lvl>
    <w:lvl w:ilvl="2" w:tplc="8228C9B2" w:tentative="1">
      <w:start w:val="1"/>
      <w:numFmt w:val="bullet"/>
      <w:lvlText w:val=""/>
      <w:lvlJc w:val="left"/>
      <w:pPr>
        <w:ind w:left="4320" w:hanging="360"/>
      </w:pPr>
      <w:rPr>
        <w:rFonts w:ascii="Wingdings" w:hAnsi="Wingdings" w:hint="default"/>
      </w:rPr>
    </w:lvl>
    <w:lvl w:ilvl="3" w:tplc="47CE3FE8" w:tentative="1">
      <w:start w:val="1"/>
      <w:numFmt w:val="bullet"/>
      <w:lvlText w:val=""/>
      <w:lvlJc w:val="left"/>
      <w:pPr>
        <w:ind w:left="5040" w:hanging="360"/>
      </w:pPr>
      <w:rPr>
        <w:rFonts w:ascii="Symbol" w:hAnsi="Symbol" w:hint="default"/>
      </w:rPr>
    </w:lvl>
    <w:lvl w:ilvl="4" w:tplc="FD7C2850" w:tentative="1">
      <w:start w:val="1"/>
      <w:numFmt w:val="bullet"/>
      <w:lvlText w:val="o"/>
      <w:lvlJc w:val="left"/>
      <w:pPr>
        <w:ind w:left="5760" w:hanging="360"/>
      </w:pPr>
      <w:rPr>
        <w:rFonts w:ascii="Courier New" w:hAnsi="Courier New" w:cs="Courier New" w:hint="default"/>
      </w:rPr>
    </w:lvl>
    <w:lvl w:ilvl="5" w:tplc="CF1A8F00" w:tentative="1">
      <w:start w:val="1"/>
      <w:numFmt w:val="bullet"/>
      <w:lvlText w:val=""/>
      <w:lvlJc w:val="left"/>
      <w:pPr>
        <w:ind w:left="6480" w:hanging="360"/>
      </w:pPr>
      <w:rPr>
        <w:rFonts w:ascii="Wingdings" w:hAnsi="Wingdings" w:hint="default"/>
      </w:rPr>
    </w:lvl>
    <w:lvl w:ilvl="6" w:tplc="9640B0B2" w:tentative="1">
      <w:start w:val="1"/>
      <w:numFmt w:val="bullet"/>
      <w:lvlText w:val=""/>
      <w:lvlJc w:val="left"/>
      <w:pPr>
        <w:ind w:left="7200" w:hanging="360"/>
      </w:pPr>
      <w:rPr>
        <w:rFonts w:ascii="Symbol" w:hAnsi="Symbol" w:hint="default"/>
      </w:rPr>
    </w:lvl>
    <w:lvl w:ilvl="7" w:tplc="2F04F9AC" w:tentative="1">
      <w:start w:val="1"/>
      <w:numFmt w:val="bullet"/>
      <w:lvlText w:val="o"/>
      <w:lvlJc w:val="left"/>
      <w:pPr>
        <w:ind w:left="7920" w:hanging="360"/>
      </w:pPr>
      <w:rPr>
        <w:rFonts w:ascii="Courier New" w:hAnsi="Courier New" w:cs="Courier New" w:hint="default"/>
      </w:rPr>
    </w:lvl>
    <w:lvl w:ilvl="8" w:tplc="C15EED6C" w:tentative="1">
      <w:start w:val="1"/>
      <w:numFmt w:val="bullet"/>
      <w:lvlText w:val=""/>
      <w:lvlJc w:val="left"/>
      <w:pPr>
        <w:ind w:left="8640" w:hanging="360"/>
      </w:pPr>
      <w:rPr>
        <w:rFonts w:ascii="Wingdings" w:hAnsi="Wingdings" w:hint="default"/>
      </w:rPr>
    </w:lvl>
  </w:abstractNum>
  <w:num w:numId="1">
    <w:abstractNumId w:val="8"/>
  </w:num>
  <w:num w:numId="2">
    <w:abstractNumId w:val="1"/>
  </w:num>
  <w:num w:numId="3">
    <w:abstractNumId w:val="3"/>
  </w:num>
  <w:num w:numId="4">
    <w:abstractNumId w:val="2"/>
  </w:num>
  <w:num w:numId="5">
    <w:abstractNumId w:val="7"/>
  </w:num>
  <w:num w:numId="6">
    <w:abstractNumId w:val="10"/>
  </w:num>
  <w:num w:numId="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87"/>
    <w:rsid w:val="00000791"/>
    <w:rsid w:val="00003E0B"/>
    <w:rsid w:val="00004F3B"/>
    <w:rsid w:val="00011287"/>
    <w:rsid w:val="000115A1"/>
    <w:rsid w:val="00011738"/>
    <w:rsid w:val="000121B3"/>
    <w:rsid w:val="00012947"/>
    <w:rsid w:val="0001342C"/>
    <w:rsid w:val="000135A1"/>
    <w:rsid w:val="000148AE"/>
    <w:rsid w:val="0001490D"/>
    <w:rsid w:val="00015D29"/>
    <w:rsid w:val="000173A6"/>
    <w:rsid w:val="00020117"/>
    <w:rsid w:val="0002054E"/>
    <w:rsid w:val="000208B4"/>
    <w:rsid w:val="00020B4A"/>
    <w:rsid w:val="00023D8E"/>
    <w:rsid w:val="000249B2"/>
    <w:rsid w:val="00024DB6"/>
    <w:rsid w:val="00025F49"/>
    <w:rsid w:val="000277C7"/>
    <w:rsid w:val="00027E39"/>
    <w:rsid w:val="000300B7"/>
    <w:rsid w:val="00032636"/>
    <w:rsid w:val="00032802"/>
    <w:rsid w:val="00032C38"/>
    <w:rsid w:val="00033ADF"/>
    <w:rsid w:val="000375AF"/>
    <w:rsid w:val="00041B06"/>
    <w:rsid w:val="000437A4"/>
    <w:rsid w:val="000452CB"/>
    <w:rsid w:val="00045FAD"/>
    <w:rsid w:val="00047F86"/>
    <w:rsid w:val="00050A1D"/>
    <w:rsid w:val="000527F5"/>
    <w:rsid w:val="00052C0E"/>
    <w:rsid w:val="00053185"/>
    <w:rsid w:val="0005336F"/>
    <w:rsid w:val="00054D28"/>
    <w:rsid w:val="00056183"/>
    <w:rsid w:val="0005792B"/>
    <w:rsid w:val="00060E90"/>
    <w:rsid w:val="00060F94"/>
    <w:rsid w:val="000632F7"/>
    <w:rsid w:val="0006409B"/>
    <w:rsid w:val="00071ABA"/>
    <w:rsid w:val="00072A78"/>
    <w:rsid w:val="00075652"/>
    <w:rsid w:val="00082332"/>
    <w:rsid w:val="00082777"/>
    <w:rsid w:val="000828F3"/>
    <w:rsid w:val="00082909"/>
    <w:rsid w:val="000833C5"/>
    <w:rsid w:val="00083C84"/>
    <w:rsid w:val="000867F6"/>
    <w:rsid w:val="00086AC9"/>
    <w:rsid w:val="00086F80"/>
    <w:rsid w:val="00087BAD"/>
    <w:rsid w:val="00094DCE"/>
    <w:rsid w:val="00095836"/>
    <w:rsid w:val="00096B53"/>
    <w:rsid w:val="00097403"/>
    <w:rsid w:val="00097420"/>
    <w:rsid w:val="00097721"/>
    <w:rsid w:val="000A08E3"/>
    <w:rsid w:val="000A0F62"/>
    <w:rsid w:val="000A1C1E"/>
    <w:rsid w:val="000A21A5"/>
    <w:rsid w:val="000A3D72"/>
    <w:rsid w:val="000B1C7C"/>
    <w:rsid w:val="000B277E"/>
    <w:rsid w:val="000B2BCC"/>
    <w:rsid w:val="000B7269"/>
    <w:rsid w:val="000B76ED"/>
    <w:rsid w:val="000C1347"/>
    <w:rsid w:val="000C1854"/>
    <w:rsid w:val="000C1F3A"/>
    <w:rsid w:val="000C3480"/>
    <w:rsid w:val="000C4C07"/>
    <w:rsid w:val="000C63BE"/>
    <w:rsid w:val="000C648B"/>
    <w:rsid w:val="000C702E"/>
    <w:rsid w:val="000D19CF"/>
    <w:rsid w:val="000D23D9"/>
    <w:rsid w:val="000D3FCA"/>
    <w:rsid w:val="000D40AA"/>
    <w:rsid w:val="000D4B9D"/>
    <w:rsid w:val="000D7ADD"/>
    <w:rsid w:val="000E2729"/>
    <w:rsid w:val="000E6C91"/>
    <w:rsid w:val="000E7491"/>
    <w:rsid w:val="000F1996"/>
    <w:rsid w:val="000F268F"/>
    <w:rsid w:val="000F359D"/>
    <w:rsid w:val="000F51C8"/>
    <w:rsid w:val="000F5EAB"/>
    <w:rsid w:val="000F6026"/>
    <w:rsid w:val="00101BC6"/>
    <w:rsid w:val="001028DD"/>
    <w:rsid w:val="00103469"/>
    <w:rsid w:val="00104C5C"/>
    <w:rsid w:val="00104E4D"/>
    <w:rsid w:val="00106071"/>
    <w:rsid w:val="00112230"/>
    <w:rsid w:val="001156C2"/>
    <w:rsid w:val="00115CAE"/>
    <w:rsid w:val="0011662A"/>
    <w:rsid w:val="001203DE"/>
    <w:rsid w:val="001209E7"/>
    <w:rsid w:val="00121D80"/>
    <w:rsid w:val="001222E9"/>
    <w:rsid w:val="001234FB"/>
    <w:rsid w:val="00124842"/>
    <w:rsid w:val="00124AC1"/>
    <w:rsid w:val="0012722C"/>
    <w:rsid w:val="00127A9E"/>
    <w:rsid w:val="00130E0C"/>
    <w:rsid w:val="0013181B"/>
    <w:rsid w:val="00132096"/>
    <w:rsid w:val="00132E6A"/>
    <w:rsid w:val="00133B22"/>
    <w:rsid w:val="00135D22"/>
    <w:rsid w:val="00136D39"/>
    <w:rsid w:val="00136F58"/>
    <w:rsid w:val="001371A8"/>
    <w:rsid w:val="001371F9"/>
    <w:rsid w:val="00140088"/>
    <w:rsid w:val="001400AF"/>
    <w:rsid w:val="001420DE"/>
    <w:rsid w:val="00142409"/>
    <w:rsid w:val="00143A72"/>
    <w:rsid w:val="00143B27"/>
    <w:rsid w:val="00145B9C"/>
    <w:rsid w:val="001558C5"/>
    <w:rsid w:val="00155ABF"/>
    <w:rsid w:val="001612A4"/>
    <w:rsid w:val="00161765"/>
    <w:rsid w:val="00163585"/>
    <w:rsid w:val="00163D37"/>
    <w:rsid w:val="001657FB"/>
    <w:rsid w:val="001664E7"/>
    <w:rsid w:val="00166D61"/>
    <w:rsid w:val="00171394"/>
    <w:rsid w:val="00172A0C"/>
    <w:rsid w:val="0017447F"/>
    <w:rsid w:val="0017629F"/>
    <w:rsid w:val="001767D2"/>
    <w:rsid w:val="00182515"/>
    <w:rsid w:val="0018274C"/>
    <w:rsid w:val="001832C7"/>
    <w:rsid w:val="0018353D"/>
    <w:rsid w:val="00184CCC"/>
    <w:rsid w:val="001879A5"/>
    <w:rsid w:val="00187AD1"/>
    <w:rsid w:val="00190146"/>
    <w:rsid w:val="00191089"/>
    <w:rsid w:val="00192E2C"/>
    <w:rsid w:val="00193395"/>
    <w:rsid w:val="001936DF"/>
    <w:rsid w:val="001962CD"/>
    <w:rsid w:val="001968CD"/>
    <w:rsid w:val="001A1C92"/>
    <w:rsid w:val="001A2CEE"/>
    <w:rsid w:val="001A4E33"/>
    <w:rsid w:val="001A7B24"/>
    <w:rsid w:val="001A7D69"/>
    <w:rsid w:val="001A7EF9"/>
    <w:rsid w:val="001B0EDE"/>
    <w:rsid w:val="001B319F"/>
    <w:rsid w:val="001B43F7"/>
    <w:rsid w:val="001B4B29"/>
    <w:rsid w:val="001B5737"/>
    <w:rsid w:val="001B763C"/>
    <w:rsid w:val="001C2606"/>
    <w:rsid w:val="001C353E"/>
    <w:rsid w:val="001C4586"/>
    <w:rsid w:val="001C46E5"/>
    <w:rsid w:val="001C52F5"/>
    <w:rsid w:val="001C5B60"/>
    <w:rsid w:val="001C5EE4"/>
    <w:rsid w:val="001C6855"/>
    <w:rsid w:val="001D344D"/>
    <w:rsid w:val="001D58CA"/>
    <w:rsid w:val="001D7558"/>
    <w:rsid w:val="001E0A1F"/>
    <w:rsid w:val="001E33C5"/>
    <w:rsid w:val="001E4F13"/>
    <w:rsid w:val="001E771E"/>
    <w:rsid w:val="001E79BB"/>
    <w:rsid w:val="001F0177"/>
    <w:rsid w:val="001F0D9D"/>
    <w:rsid w:val="001F0D9F"/>
    <w:rsid w:val="001F1A39"/>
    <w:rsid w:val="001F4BCE"/>
    <w:rsid w:val="001F6CA4"/>
    <w:rsid w:val="00202F96"/>
    <w:rsid w:val="002034E9"/>
    <w:rsid w:val="00203DE6"/>
    <w:rsid w:val="00204312"/>
    <w:rsid w:val="00204389"/>
    <w:rsid w:val="00204FF5"/>
    <w:rsid w:val="0020602F"/>
    <w:rsid w:val="00206A51"/>
    <w:rsid w:val="0020777C"/>
    <w:rsid w:val="00210DEE"/>
    <w:rsid w:val="00212E62"/>
    <w:rsid w:val="002167C6"/>
    <w:rsid w:val="002173BE"/>
    <w:rsid w:val="002225C5"/>
    <w:rsid w:val="0022355A"/>
    <w:rsid w:val="00224AB8"/>
    <w:rsid w:val="00225021"/>
    <w:rsid w:val="00225979"/>
    <w:rsid w:val="002265BB"/>
    <w:rsid w:val="00227859"/>
    <w:rsid w:val="00231021"/>
    <w:rsid w:val="002319EF"/>
    <w:rsid w:val="00231CE8"/>
    <w:rsid w:val="0023244D"/>
    <w:rsid w:val="00234A8E"/>
    <w:rsid w:val="00234EAC"/>
    <w:rsid w:val="00235F35"/>
    <w:rsid w:val="00236443"/>
    <w:rsid w:val="00236F3D"/>
    <w:rsid w:val="00240387"/>
    <w:rsid w:val="002409D3"/>
    <w:rsid w:val="0024118F"/>
    <w:rsid w:val="00241C3A"/>
    <w:rsid w:val="002422A5"/>
    <w:rsid w:val="002426BA"/>
    <w:rsid w:val="00243060"/>
    <w:rsid w:val="00243E36"/>
    <w:rsid w:val="00244D4E"/>
    <w:rsid w:val="00244E0C"/>
    <w:rsid w:val="0025054A"/>
    <w:rsid w:val="0025163A"/>
    <w:rsid w:val="00251FF0"/>
    <w:rsid w:val="0025292A"/>
    <w:rsid w:val="002531C3"/>
    <w:rsid w:val="002554F6"/>
    <w:rsid w:val="00255BF7"/>
    <w:rsid w:val="002614E8"/>
    <w:rsid w:val="002619A7"/>
    <w:rsid w:val="00262DF2"/>
    <w:rsid w:val="002640EF"/>
    <w:rsid w:val="00265BBE"/>
    <w:rsid w:val="002700A4"/>
    <w:rsid w:val="00270539"/>
    <w:rsid w:val="00270CE0"/>
    <w:rsid w:val="002736A1"/>
    <w:rsid w:val="00274A6D"/>
    <w:rsid w:val="00277E78"/>
    <w:rsid w:val="00280702"/>
    <w:rsid w:val="00281CC2"/>
    <w:rsid w:val="0028468B"/>
    <w:rsid w:val="00290F9C"/>
    <w:rsid w:val="00292D0A"/>
    <w:rsid w:val="00292D2C"/>
    <w:rsid w:val="002955FC"/>
    <w:rsid w:val="00296B04"/>
    <w:rsid w:val="00296BB0"/>
    <w:rsid w:val="00296F45"/>
    <w:rsid w:val="00297E8F"/>
    <w:rsid w:val="002A5069"/>
    <w:rsid w:val="002A61CC"/>
    <w:rsid w:val="002A715D"/>
    <w:rsid w:val="002A792A"/>
    <w:rsid w:val="002B015C"/>
    <w:rsid w:val="002B05FC"/>
    <w:rsid w:val="002B3355"/>
    <w:rsid w:val="002B3FCD"/>
    <w:rsid w:val="002B570A"/>
    <w:rsid w:val="002B5979"/>
    <w:rsid w:val="002B732D"/>
    <w:rsid w:val="002C2687"/>
    <w:rsid w:val="002C2F7B"/>
    <w:rsid w:val="002C41E1"/>
    <w:rsid w:val="002C5D48"/>
    <w:rsid w:val="002C73A9"/>
    <w:rsid w:val="002D128C"/>
    <w:rsid w:val="002D164F"/>
    <w:rsid w:val="002D1F76"/>
    <w:rsid w:val="002D6FC7"/>
    <w:rsid w:val="002E3DFD"/>
    <w:rsid w:val="002E7D67"/>
    <w:rsid w:val="002F1977"/>
    <w:rsid w:val="002F26F6"/>
    <w:rsid w:val="002F649F"/>
    <w:rsid w:val="003001FC"/>
    <w:rsid w:val="00305187"/>
    <w:rsid w:val="00307145"/>
    <w:rsid w:val="003074D1"/>
    <w:rsid w:val="00310DD7"/>
    <w:rsid w:val="0031217E"/>
    <w:rsid w:val="003124E9"/>
    <w:rsid w:val="003141C8"/>
    <w:rsid w:val="00315919"/>
    <w:rsid w:val="00317664"/>
    <w:rsid w:val="003305B9"/>
    <w:rsid w:val="00330F44"/>
    <w:rsid w:val="003311E8"/>
    <w:rsid w:val="0033181E"/>
    <w:rsid w:val="0033655F"/>
    <w:rsid w:val="00337681"/>
    <w:rsid w:val="00340469"/>
    <w:rsid w:val="003406DF"/>
    <w:rsid w:val="00340CA6"/>
    <w:rsid w:val="00340F5E"/>
    <w:rsid w:val="00342DAB"/>
    <w:rsid w:val="00344E1B"/>
    <w:rsid w:val="00346D2C"/>
    <w:rsid w:val="00350190"/>
    <w:rsid w:val="003503A7"/>
    <w:rsid w:val="00351B82"/>
    <w:rsid w:val="00351F04"/>
    <w:rsid w:val="003564BC"/>
    <w:rsid w:val="0035658A"/>
    <w:rsid w:val="003566A5"/>
    <w:rsid w:val="00356B26"/>
    <w:rsid w:val="003571F4"/>
    <w:rsid w:val="00362E16"/>
    <w:rsid w:val="00363CA7"/>
    <w:rsid w:val="00364799"/>
    <w:rsid w:val="003650F0"/>
    <w:rsid w:val="00365265"/>
    <w:rsid w:val="00366F6E"/>
    <w:rsid w:val="00370FF3"/>
    <w:rsid w:val="00371AD6"/>
    <w:rsid w:val="00371E4C"/>
    <w:rsid w:val="003723EE"/>
    <w:rsid w:val="00372DB1"/>
    <w:rsid w:val="00373147"/>
    <w:rsid w:val="0037501A"/>
    <w:rsid w:val="003758C6"/>
    <w:rsid w:val="00375FF2"/>
    <w:rsid w:val="00381BC0"/>
    <w:rsid w:val="003905AA"/>
    <w:rsid w:val="003907E6"/>
    <w:rsid w:val="00390AB7"/>
    <w:rsid w:val="003923BF"/>
    <w:rsid w:val="00392832"/>
    <w:rsid w:val="003934F6"/>
    <w:rsid w:val="00394BF6"/>
    <w:rsid w:val="00395403"/>
    <w:rsid w:val="00396663"/>
    <w:rsid w:val="00396F12"/>
    <w:rsid w:val="00396FEC"/>
    <w:rsid w:val="003977C5"/>
    <w:rsid w:val="00397DF7"/>
    <w:rsid w:val="003A049F"/>
    <w:rsid w:val="003A07C2"/>
    <w:rsid w:val="003A5389"/>
    <w:rsid w:val="003A5E23"/>
    <w:rsid w:val="003A716A"/>
    <w:rsid w:val="003B03D1"/>
    <w:rsid w:val="003B076C"/>
    <w:rsid w:val="003B1A21"/>
    <w:rsid w:val="003B2246"/>
    <w:rsid w:val="003B2305"/>
    <w:rsid w:val="003B46EF"/>
    <w:rsid w:val="003B4719"/>
    <w:rsid w:val="003B47D6"/>
    <w:rsid w:val="003B533D"/>
    <w:rsid w:val="003B583B"/>
    <w:rsid w:val="003B61E6"/>
    <w:rsid w:val="003B6384"/>
    <w:rsid w:val="003B7825"/>
    <w:rsid w:val="003C154A"/>
    <w:rsid w:val="003C2667"/>
    <w:rsid w:val="003C287B"/>
    <w:rsid w:val="003C2F76"/>
    <w:rsid w:val="003C3EED"/>
    <w:rsid w:val="003C4005"/>
    <w:rsid w:val="003C5373"/>
    <w:rsid w:val="003C6077"/>
    <w:rsid w:val="003C6BF6"/>
    <w:rsid w:val="003C7261"/>
    <w:rsid w:val="003C7391"/>
    <w:rsid w:val="003D00E6"/>
    <w:rsid w:val="003D13A0"/>
    <w:rsid w:val="003D1D52"/>
    <w:rsid w:val="003D1F08"/>
    <w:rsid w:val="003D2216"/>
    <w:rsid w:val="003D2C9F"/>
    <w:rsid w:val="003D3593"/>
    <w:rsid w:val="003D3E65"/>
    <w:rsid w:val="003D42C2"/>
    <w:rsid w:val="003D46E3"/>
    <w:rsid w:val="003D58C7"/>
    <w:rsid w:val="003D601D"/>
    <w:rsid w:val="003D6333"/>
    <w:rsid w:val="003E0F6B"/>
    <w:rsid w:val="003E504D"/>
    <w:rsid w:val="003E59D5"/>
    <w:rsid w:val="003E75F5"/>
    <w:rsid w:val="003E7AE3"/>
    <w:rsid w:val="003E7F79"/>
    <w:rsid w:val="003F60B4"/>
    <w:rsid w:val="003F6684"/>
    <w:rsid w:val="00400062"/>
    <w:rsid w:val="00402113"/>
    <w:rsid w:val="004024D8"/>
    <w:rsid w:val="0040399B"/>
    <w:rsid w:val="0040535F"/>
    <w:rsid w:val="004056FA"/>
    <w:rsid w:val="004057EE"/>
    <w:rsid w:val="00407B0F"/>
    <w:rsid w:val="00412299"/>
    <w:rsid w:val="004123C3"/>
    <w:rsid w:val="00414585"/>
    <w:rsid w:val="004163A0"/>
    <w:rsid w:val="004169E9"/>
    <w:rsid w:val="00417214"/>
    <w:rsid w:val="00417307"/>
    <w:rsid w:val="00420FE9"/>
    <w:rsid w:val="00422ACA"/>
    <w:rsid w:val="00424DF9"/>
    <w:rsid w:val="004256EA"/>
    <w:rsid w:val="00431944"/>
    <w:rsid w:val="0043202C"/>
    <w:rsid w:val="00432EBC"/>
    <w:rsid w:val="004347BE"/>
    <w:rsid w:val="00434F43"/>
    <w:rsid w:val="004351A4"/>
    <w:rsid w:val="004360B9"/>
    <w:rsid w:val="0043695B"/>
    <w:rsid w:val="00437832"/>
    <w:rsid w:val="00443E28"/>
    <w:rsid w:val="0044430C"/>
    <w:rsid w:val="00445440"/>
    <w:rsid w:val="00445A92"/>
    <w:rsid w:val="004466D2"/>
    <w:rsid w:val="00446F32"/>
    <w:rsid w:val="00447CED"/>
    <w:rsid w:val="0045122A"/>
    <w:rsid w:val="004523DD"/>
    <w:rsid w:val="004533C9"/>
    <w:rsid w:val="004533E6"/>
    <w:rsid w:val="004544DC"/>
    <w:rsid w:val="00454CDD"/>
    <w:rsid w:val="00454DEB"/>
    <w:rsid w:val="00454E8D"/>
    <w:rsid w:val="004565EE"/>
    <w:rsid w:val="0045684D"/>
    <w:rsid w:val="004573AE"/>
    <w:rsid w:val="00462386"/>
    <w:rsid w:val="004632D6"/>
    <w:rsid w:val="00466CDC"/>
    <w:rsid w:val="0046762A"/>
    <w:rsid w:val="00467C66"/>
    <w:rsid w:val="00474360"/>
    <w:rsid w:val="004751B4"/>
    <w:rsid w:val="004766E2"/>
    <w:rsid w:val="00476BF6"/>
    <w:rsid w:val="00481A0D"/>
    <w:rsid w:val="00481C41"/>
    <w:rsid w:val="00481FE4"/>
    <w:rsid w:val="0048255C"/>
    <w:rsid w:val="004828FB"/>
    <w:rsid w:val="00483E03"/>
    <w:rsid w:val="004851AF"/>
    <w:rsid w:val="0048581A"/>
    <w:rsid w:val="00485C37"/>
    <w:rsid w:val="004866F0"/>
    <w:rsid w:val="004908AB"/>
    <w:rsid w:val="00491982"/>
    <w:rsid w:val="00493593"/>
    <w:rsid w:val="004943F7"/>
    <w:rsid w:val="004949BD"/>
    <w:rsid w:val="0049701B"/>
    <w:rsid w:val="004A0A4F"/>
    <w:rsid w:val="004A493E"/>
    <w:rsid w:val="004A5133"/>
    <w:rsid w:val="004A667F"/>
    <w:rsid w:val="004A7433"/>
    <w:rsid w:val="004A75B7"/>
    <w:rsid w:val="004B03E8"/>
    <w:rsid w:val="004B27AD"/>
    <w:rsid w:val="004B5D4C"/>
    <w:rsid w:val="004C17D9"/>
    <w:rsid w:val="004C2C46"/>
    <w:rsid w:val="004C5342"/>
    <w:rsid w:val="004D224C"/>
    <w:rsid w:val="004D341D"/>
    <w:rsid w:val="004D3DCE"/>
    <w:rsid w:val="004D56FA"/>
    <w:rsid w:val="004D69F1"/>
    <w:rsid w:val="004D7C4F"/>
    <w:rsid w:val="004E4CE4"/>
    <w:rsid w:val="004E5BF1"/>
    <w:rsid w:val="004E6A0F"/>
    <w:rsid w:val="004F218E"/>
    <w:rsid w:val="004F2F92"/>
    <w:rsid w:val="004F61CA"/>
    <w:rsid w:val="004F6BF3"/>
    <w:rsid w:val="005003CF"/>
    <w:rsid w:val="005039D7"/>
    <w:rsid w:val="0050467A"/>
    <w:rsid w:val="00505797"/>
    <w:rsid w:val="00511F42"/>
    <w:rsid w:val="00512ACC"/>
    <w:rsid w:val="00513B7A"/>
    <w:rsid w:val="00514F64"/>
    <w:rsid w:val="005160AB"/>
    <w:rsid w:val="0051675E"/>
    <w:rsid w:val="00520E10"/>
    <w:rsid w:val="00520FEC"/>
    <w:rsid w:val="005219C4"/>
    <w:rsid w:val="0052529B"/>
    <w:rsid w:val="00525705"/>
    <w:rsid w:val="00527005"/>
    <w:rsid w:val="00530A5F"/>
    <w:rsid w:val="005310C8"/>
    <w:rsid w:val="00533033"/>
    <w:rsid w:val="00533EF6"/>
    <w:rsid w:val="00541F29"/>
    <w:rsid w:val="00542D10"/>
    <w:rsid w:val="005442B8"/>
    <w:rsid w:val="00546B83"/>
    <w:rsid w:val="0054754D"/>
    <w:rsid w:val="00547C31"/>
    <w:rsid w:val="00552435"/>
    <w:rsid w:val="00552F86"/>
    <w:rsid w:val="005531AF"/>
    <w:rsid w:val="005531E2"/>
    <w:rsid w:val="00553EFF"/>
    <w:rsid w:val="005546C9"/>
    <w:rsid w:val="005547B0"/>
    <w:rsid w:val="00555DE4"/>
    <w:rsid w:val="00560D49"/>
    <w:rsid w:val="00560DF0"/>
    <w:rsid w:val="00562703"/>
    <w:rsid w:val="00562AA2"/>
    <w:rsid w:val="005636E2"/>
    <w:rsid w:val="00565D03"/>
    <w:rsid w:val="00566788"/>
    <w:rsid w:val="005703E7"/>
    <w:rsid w:val="00572605"/>
    <w:rsid w:val="00573D0A"/>
    <w:rsid w:val="00576829"/>
    <w:rsid w:val="00581114"/>
    <w:rsid w:val="00585C2A"/>
    <w:rsid w:val="0058785F"/>
    <w:rsid w:val="00591A95"/>
    <w:rsid w:val="00594D8F"/>
    <w:rsid w:val="0059631B"/>
    <w:rsid w:val="0059640E"/>
    <w:rsid w:val="005A1035"/>
    <w:rsid w:val="005A15DB"/>
    <w:rsid w:val="005A24DD"/>
    <w:rsid w:val="005A3AE7"/>
    <w:rsid w:val="005A4F18"/>
    <w:rsid w:val="005A6E74"/>
    <w:rsid w:val="005B56AA"/>
    <w:rsid w:val="005B6638"/>
    <w:rsid w:val="005C1744"/>
    <w:rsid w:val="005C37B2"/>
    <w:rsid w:val="005C6E41"/>
    <w:rsid w:val="005D4841"/>
    <w:rsid w:val="005D49F2"/>
    <w:rsid w:val="005D4A8D"/>
    <w:rsid w:val="005D6E64"/>
    <w:rsid w:val="005D7B3A"/>
    <w:rsid w:val="005E089C"/>
    <w:rsid w:val="005E1360"/>
    <w:rsid w:val="005E2ADF"/>
    <w:rsid w:val="005E3A8B"/>
    <w:rsid w:val="005E3EEB"/>
    <w:rsid w:val="005E4564"/>
    <w:rsid w:val="005E549E"/>
    <w:rsid w:val="005E6456"/>
    <w:rsid w:val="005E6C8C"/>
    <w:rsid w:val="005E7824"/>
    <w:rsid w:val="005F0B3D"/>
    <w:rsid w:val="005F10F3"/>
    <w:rsid w:val="005F1734"/>
    <w:rsid w:val="005F18A6"/>
    <w:rsid w:val="005F1BDC"/>
    <w:rsid w:val="005F55E2"/>
    <w:rsid w:val="00600011"/>
    <w:rsid w:val="0060097E"/>
    <w:rsid w:val="00603737"/>
    <w:rsid w:val="00603A21"/>
    <w:rsid w:val="006049D3"/>
    <w:rsid w:val="0060744B"/>
    <w:rsid w:val="006124AB"/>
    <w:rsid w:val="00614805"/>
    <w:rsid w:val="00614DE3"/>
    <w:rsid w:val="006155B0"/>
    <w:rsid w:val="00617578"/>
    <w:rsid w:val="006178D3"/>
    <w:rsid w:val="00617FEF"/>
    <w:rsid w:val="006207C9"/>
    <w:rsid w:val="00620956"/>
    <w:rsid w:val="0062110B"/>
    <w:rsid w:val="00621253"/>
    <w:rsid w:val="0062242B"/>
    <w:rsid w:val="006232B5"/>
    <w:rsid w:val="006233EA"/>
    <w:rsid w:val="006248B6"/>
    <w:rsid w:val="00625937"/>
    <w:rsid w:val="00626FA3"/>
    <w:rsid w:val="006270CE"/>
    <w:rsid w:val="006272FB"/>
    <w:rsid w:val="00632F5C"/>
    <w:rsid w:val="0063321A"/>
    <w:rsid w:val="0063449A"/>
    <w:rsid w:val="00635D1F"/>
    <w:rsid w:val="006367E5"/>
    <w:rsid w:val="00642C2D"/>
    <w:rsid w:val="00650CCF"/>
    <w:rsid w:val="00650DCC"/>
    <w:rsid w:val="00651492"/>
    <w:rsid w:val="00651ED3"/>
    <w:rsid w:val="006569C8"/>
    <w:rsid w:val="00657B9F"/>
    <w:rsid w:val="006626DE"/>
    <w:rsid w:val="00662CB5"/>
    <w:rsid w:val="00663ECC"/>
    <w:rsid w:val="00665FCB"/>
    <w:rsid w:val="0066791E"/>
    <w:rsid w:val="00670631"/>
    <w:rsid w:val="00673B48"/>
    <w:rsid w:val="00675B17"/>
    <w:rsid w:val="0067627B"/>
    <w:rsid w:val="0067646C"/>
    <w:rsid w:val="006765EF"/>
    <w:rsid w:val="00676D39"/>
    <w:rsid w:val="0067713E"/>
    <w:rsid w:val="006826E4"/>
    <w:rsid w:val="00682B62"/>
    <w:rsid w:val="006856B5"/>
    <w:rsid w:val="0069420F"/>
    <w:rsid w:val="00697AA3"/>
    <w:rsid w:val="006A278B"/>
    <w:rsid w:val="006A2D0F"/>
    <w:rsid w:val="006A43B6"/>
    <w:rsid w:val="006A7471"/>
    <w:rsid w:val="006B3FF1"/>
    <w:rsid w:val="006B418F"/>
    <w:rsid w:val="006B611B"/>
    <w:rsid w:val="006B6E9E"/>
    <w:rsid w:val="006C0333"/>
    <w:rsid w:val="006C46A8"/>
    <w:rsid w:val="006C4A73"/>
    <w:rsid w:val="006C62F2"/>
    <w:rsid w:val="006C6D45"/>
    <w:rsid w:val="006C70A6"/>
    <w:rsid w:val="006C7E0D"/>
    <w:rsid w:val="006D023B"/>
    <w:rsid w:val="006D046D"/>
    <w:rsid w:val="006D303E"/>
    <w:rsid w:val="006D394E"/>
    <w:rsid w:val="006D5BA7"/>
    <w:rsid w:val="006D5C62"/>
    <w:rsid w:val="006D6286"/>
    <w:rsid w:val="006E174A"/>
    <w:rsid w:val="006E1A91"/>
    <w:rsid w:val="006E38A6"/>
    <w:rsid w:val="006E675D"/>
    <w:rsid w:val="006E7B3A"/>
    <w:rsid w:val="006F03E5"/>
    <w:rsid w:val="006F04B5"/>
    <w:rsid w:val="006F5493"/>
    <w:rsid w:val="00705260"/>
    <w:rsid w:val="00705C48"/>
    <w:rsid w:val="00707E95"/>
    <w:rsid w:val="00710AC7"/>
    <w:rsid w:val="00710BA3"/>
    <w:rsid w:val="00710BE3"/>
    <w:rsid w:val="00710FC1"/>
    <w:rsid w:val="0071283C"/>
    <w:rsid w:val="00713672"/>
    <w:rsid w:val="00715BC8"/>
    <w:rsid w:val="00717E6F"/>
    <w:rsid w:val="0072089E"/>
    <w:rsid w:val="00721FDB"/>
    <w:rsid w:val="00723CE4"/>
    <w:rsid w:val="00724566"/>
    <w:rsid w:val="00724ABF"/>
    <w:rsid w:val="00725630"/>
    <w:rsid w:val="00727642"/>
    <w:rsid w:val="007331D5"/>
    <w:rsid w:val="00740443"/>
    <w:rsid w:val="00740556"/>
    <w:rsid w:val="00743F4E"/>
    <w:rsid w:val="00746394"/>
    <w:rsid w:val="007468B0"/>
    <w:rsid w:val="007506F6"/>
    <w:rsid w:val="0075253D"/>
    <w:rsid w:val="007525D0"/>
    <w:rsid w:val="00752D6C"/>
    <w:rsid w:val="007543C8"/>
    <w:rsid w:val="007544C1"/>
    <w:rsid w:val="007546F4"/>
    <w:rsid w:val="00754C4A"/>
    <w:rsid w:val="00756074"/>
    <w:rsid w:val="00757BB4"/>
    <w:rsid w:val="00762FB2"/>
    <w:rsid w:val="00763EB9"/>
    <w:rsid w:val="00764EB3"/>
    <w:rsid w:val="00765025"/>
    <w:rsid w:val="007650B7"/>
    <w:rsid w:val="00765B0C"/>
    <w:rsid w:val="00767F73"/>
    <w:rsid w:val="007708AC"/>
    <w:rsid w:val="007718A6"/>
    <w:rsid w:val="00774E94"/>
    <w:rsid w:val="00776654"/>
    <w:rsid w:val="00785F91"/>
    <w:rsid w:val="00786178"/>
    <w:rsid w:val="007869CE"/>
    <w:rsid w:val="0079294E"/>
    <w:rsid w:val="00796495"/>
    <w:rsid w:val="007A2301"/>
    <w:rsid w:val="007A318C"/>
    <w:rsid w:val="007A59B3"/>
    <w:rsid w:val="007A67EE"/>
    <w:rsid w:val="007A6918"/>
    <w:rsid w:val="007A7509"/>
    <w:rsid w:val="007B145A"/>
    <w:rsid w:val="007B24C4"/>
    <w:rsid w:val="007B2CF2"/>
    <w:rsid w:val="007B5C7F"/>
    <w:rsid w:val="007B7833"/>
    <w:rsid w:val="007C0631"/>
    <w:rsid w:val="007C0F8A"/>
    <w:rsid w:val="007C1158"/>
    <w:rsid w:val="007C12F3"/>
    <w:rsid w:val="007C21D1"/>
    <w:rsid w:val="007C2A94"/>
    <w:rsid w:val="007C6D7D"/>
    <w:rsid w:val="007C7586"/>
    <w:rsid w:val="007D2527"/>
    <w:rsid w:val="007D3148"/>
    <w:rsid w:val="007D7360"/>
    <w:rsid w:val="007E2322"/>
    <w:rsid w:val="007E4BE2"/>
    <w:rsid w:val="007E75DC"/>
    <w:rsid w:val="007F36F7"/>
    <w:rsid w:val="007F484E"/>
    <w:rsid w:val="007F5442"/>
    <w:rsid w:val="007F706B"/>
    <w:rsid w:val="007F7224"/>
    <w:rsid w:val="007F7B88"/>
    <w:rsid w:val="007F7FA1"/>
    <w:rsid w:val="0080047B"/>
    <w:rsid w:val="00803F1D"/>
    <w:rsid w:val="00804CF3"/>
    <w:rsid w:val="00805509"/>
    <w:rsid w:val="008074E3"/>
    <w:rsid w:val="00810A0E"/>
    <w:rsid w:val="008118B6"/>
    <w:rsid w:val="0081215E"/>
    <w:rsid w:val="0081293F"/>
    <w:rsid w:val="008140E0"/>
    <w:rsid w:val="00814708"/>
    <w:rsid w:val="008155E8"/>
    <w:rsid w:val="00816173"/>
    <w:rsid w:val="0081785D"/>
    <w:rsid w:val="00817C22"/>
    <w:rsid w:val="008213DE"/>
    <w:rsid w:val="00823764"/>
    <w:rsid w:val="00823913"/>
    <w:rsid w:val="008250B2"/>
    <w:rsid w:val="008273FF"/>
    <w:rsid w:val="00831BE7"/>
    <w:rsid w:val="008330CE"/>
    <w:rsid w:val="00834B84"/>
    <w:rsid w:val="00835479"/>
    <w:rsid w:val="00835D4C"/>
    <w:rsid w:val="0084154C"/>
    <w:rsid w:val="00843186"/>
    <w:rsid w:val="00843E9E"/>
    <w:rsid w:val="0084410D"/>
    <w:rsid w:val="00845FCF"/>
    <w:rsid w:val="00850C35"/>
    <w:rsid w:val="00854A9A"/>
    <w:rsid w:val="00861586"/>
    <w:rsid w:val="008649A4"/>
    <w:rsid w:val="0086765E"/>
    <w:rsid w:val="00870D30"/>
    <w:rsid w:val="00870D8D"/>
    <w:rsid w:val="00872091"/>
    <w:rsid w:val="00881DE2"/>
    <w:rsid w:val="008834A0"/>
    <w:rsid w:val="00884CFC"/>
    <w:rsid w:val="00890110"/>
    <w:rsid w:val="00890C41"/>
    <w:rsid w:val="008925DB"/>
    <w:rsid w:val="008929C9"/>
    <w:rsid w:val="00893102"/>
    <w:rsid w:val="00893A7E"/>
    <w:rsid w:val="00895FCC"/>
    <w:rsid w:val="008A196F"/>
    <w:rsid w:val="008A2A93"/>
    <w:rsid w:val="008B2DC2"/>
    <w:rsid w:val="008B2F4E"/>
    <w:rsid w:val="008B3EFF"/>
    <w:rsid w:val="008B413C"/>
    <w:rsid w:val="008B7076"/>
    <w:rsid w:val="008B7326"/>
    <w:rsid w:val="008B79A2"/>
    <w:rsid w:val="008C232C"/>
    <w:rsid w:val="008C3B95"/>
    <w:rsid w:val="008C7A46"/>
    <w:rsid w:val="008D59E8"/>
    <w:rsid w:val="008D6C90"/>
    <w:rsid w:val="008D7045"/>
    <w:rsid w:val="008D718F"/>
    <w:rsid w:val="008D7765"/>
    <w:rsid w:val="008E076A"/>
    <w:rsid w:val="008E11DF"/>
    <w:rsid w:val="008E17AF"/>
    <w:rsid w:val="008E2A0E"/>
    <w:rsid w:val="008E5FE2"/>
    <w:rsid w:val="008E675D"/>
    <w:rsid w:val="008E6F70"/>
    <w:rsid w:val="008F0F0A"/>
    <w:rsid w:val="008F1DB0"/>
    <w:rsid w:val="008F4A20"/>
    <w:rsid w:val="008F5F30"/>
    <w:rsid w:val="008F7599"/>
    <w:rsid w:val="008F7F79"/>
    <w:rsid w:val="009062A3"/>
    <w:rsid w:val="009066B8"/>
    <w:rsid w:val="00906C6F"/>
    <w:rsid w:val="00906CF9"/>
    <w:rsid w:val="00911D4F"/>
    <w:rsid w:val="00913C4C"/>
    <w:rsid w:val="009157E5"/>
    <w:rsid w:val="00920103"/>
    <w:rsid w:val="00920A65"/>
    <w:rsid w:val="00920D33"/>
    <w:rsid w:val="00920E05"/>
    <w:rsid w:val="009241F1"/>
    <w:rsid w:val="00927D87"/>
    <w:rsid w:val="00931407"/>
    <w:rsid w:val="009316F5"/>
    <w:rsid w:val="009319B4"/>
    <w:rsid w:val="00931FE0"/>
    <w:rsid w:val="0093227F"/>
    <w:rsid w:val="00932847"/>
    <w:rsid w:val="00933AFC"/>
    <w:rsid w:val="00934668"/>
    <w:rsid w:val="009359CE"/>
    <w:rsid w:val="009419B8"/>
    <w:rsid w:val="0094231B"/>
    <w:rsid w:val="0094334A"/>
    <w:rsid w:val="00944441"/>
    <w:rsid w:val="009459C3"/>
    <w:rsid w:val="00953156"/>
    <w:rsid w:val="009573BA"/>
    <w:rsid w:val="00957B4A"/>
    <w:rsid w:val="00957BCC"/>
    <w:rsid w:val="00957ECF"/>
    <w:rsid w:val="0096240C"/>
    <w:rsid w:val="0096385E"/>
    <w:rsid w:val="00967460"/>
    <w:rsid w:val="00971F1E"/>
    <w:rsid w:val="00971FFD"/>
    <w:rsid w:val="00972F9B"/>
    <w:rsid w:val="00973C1F"/>
    <w:rsid w:val="00980C19"/>
    <w:rsid w:val="00980ECA"/>
    <w:rsid w:val="0098224F"/>
    <w:rsid w:val="009824CB"/>
    <w:rsid w:val="00987D38"/>
    <w:rsid w:val="009900AA"/>
    <w:rsid w:val="00991580"/>
    <w:rsid w:val="009919DD"/>
    <w:rsid w:val="00993396"/>
    <w:rsid w:val="00994C6F"/>
    <w:rsid w:val="00995905"/>
    <w:rsid w:val="009A00FC"/>
    <w:rsid w:val="009A01B3"/>
    <w:rsid w:val="009A0447"/>
    <w:rsid w:val="009A045C"/>
    <w:rsid w:val="009A5F47"/>
    <w:rsid w:val="009A6C83"/>
    <w:rsid w:val="009A715B"/>
    <w:rsid w:val="009B0636"/>
    <w:rsid w:val="009B3419"/>
    <w:rsid w:val="009B4706"/>
    <w:rsid w:val="009B4E34"/>
    <w:rsid w:val="009B5895"/>
    <w:rsid w:val="009B705E"/>
    <w:rsid w:val="009B7380"/>
    <w:rsid w:val="009C1804"/>
    <w:rsid w:val="009C18AA"/>
    <w:rsid w:val="009C4A0D"/>
    <w:rsid w:val="009D0203"/>
    <w:rsid w:val="009D05B5"/>
    <w:rsid w:val="009D0B61"/>
    <w:rsid w:val="009D1029"/>
    <w:rsid w:val="009D3691"/>
    <w:rsid w:val="009D4F1D"/>
    <w:rsid w:val="009D5D08"/>
    <w:rsid w:val="009D683B"/>
    <w:rsid w:val="009D6A61"/>
    <w:rsid w:val="009D76CF"/>
    <w:rsid w:val="009D7CF1"/>
    <w:rsid w:val="009E0D6F"/>
    <w:rsid w:val="009E0DCE"/>
    <w:rsid w:val="009E3BE8"/>
    <w:rsid w:val="009E5CBC"/>
    <w:rsid w:val="009E691D"/>
    <w:rsid w:val="009F06F8"/>
    <w:rsid w:val="009F0B66"/>
    <w:rsid w:val="009F1B65"/>
    <w:rsid w:val="009F2725"/>
    <w:rsid w:val="009F2E78"/>
    <w:rsid w:val="009F5C8E"/>
    <w:rsid w:val="00A002DC"/>
    <w:rsid w:val="00A01784"/>
    <w:rsid w:val="00A01FDC"/>
    <w:rsid w:val="00A022A5"/>
    <w:rsid w:val="00A0256A"/>
    <w:rsid w:val="00A02F1C"/>
    <w:rsid w:val="00A0364B"/>
    <w:rsid w:val="00A03965"/>
    <w:rsid w:val="00A05173"/>
    <w:rsid w:val="00A06F35"/>
    <w:rsid w:val="00A104ED"/>
    <w:rsid w:val="00A12CAF"/>
    <w:rsid w:val="00A1330C"/>
    <w:rsid w:val="00A1337C"/>
    <w:rsid w:val="00A13CE8"/>
    <w:rsid w:val="00A14735"/>
    <w:rsid w:val="00A23F20"/>
    <w:rsid w:val="00A25312"/>
    <w:rsid w:val="00A265D5"/>
    <w:rsid w:val="00A315AE"/>
    <w:rsid w:val="00A320A2"/>
    <w:rsid w:val="00A323FB"/>
    <w:rsid w:val="00A328A6"/>
    <w:rsid w:val="00A333EC"/>
    <w:rsid w:val="00A33525"/>
    <w:rsid w:val="00A33A77"/>
    <w:rsid w:val="00A34326"/>
    <w:rsid w:val="00A350DD"/>
    <w:rsid w:val="00A36C5A"/>
    <w:rsid w:val="00A37E49"/>
    <w:rsid w:val="00A4045D"/>
    <w:rsid w:val="00A41AA4"/>
    <w:rsid w:val="00A422D1"/>
    <w:rsid w:val="00A43B9B"/>
    <w:rsid w:val="00A44898"/>
    <w:rsid w:val="00A5007B"/>
    <w:rsid w:val="00A543C2"/>
    <w:rsid w:val="00A54E8C"/>
    <w:rsid w:val="00A56CEE"/>
    <w:rsid w:val="00A577A9"/>
    <w:rsid w:val="00A60521"/>
    <w:rsid w:val="00A61097"/>
    <w:rsid w:val="00A613A8"/>
    <w:rsid w:val="00A6155D"/>
    <w:rsid w:val="00A63183"/>
    <w:rsid w:val="00A645F4"/>
    <w:rsid w:val="00A65C84"/>
    <w:rsid w:val="00A65E35"/>
    <w:rsid w:val="00A66304"/>
    <w:rsid w:val="00A7138C"/>
    <w:rsid w:val="00A72E52"/>
    <w:rsid w:val="00A73032"/>
    <w:rsid w:val="00A7660E"/>
    <w:rsid w:val="00A77FA8"/>
    <w:rsid w:val="00A81948"/>
    <w:rsid w:val="00A81F0D"/>
    <w:rsid w:val="00A81F69"/>
    <w:rsid w:val="00A8249F"/>
    <w:rsid w:val="00A8314E"/>
    <w:rsid w:val="00A904AB"/>
    <w:rsid w:val="00A97D81"/>
    <w:rsid w:val="00AA098A"/>
    <w:rsid w:val="00AA1248"/>
    <w:rsid w:val="00AA12CE"/>
    <w:rsid w:val="00AA243E"/>
    <w:rsid w:val="00AA47DC"/>
    <w:rsid w:val="00AA4BE5"/>
    <w:rsid w:val="00AA687D"/>
    <w:rsid w:val="00AB1420"/>
    <w:rsid w:val="00AB2468"/>
    <w:rsid w:val="00AB5347"/>
    <w:rsid w:val="00AB53F1"/>
    <w:rsid w:val="00AB734F"/>
    <w:rsid w:val="00AB7580"/>
    <w:rsid w:val="00AC06C4"/>
    <w:rsid w:val="00AC1A99"/>
    <w:rsid w:val="00AC1F36"/>
    <w:rsid w:val="00AC3C70"/>
    <w:rsid w:val="00AC3FC1"/>
    <w:rsid w:val="00AC6D6E"/>
    <w:rsid w:val="00AC71C9"/>
    <w:rsid w:val="00AC735A"/>
    <w:rsid w:val="00AD047E"/>
    <w:rsid w:val="00AD21D8"/>
    <w:rsid w:val="00AD2CB2"/>
    <w:rsid w:val="00AD452B"/>
    <w:rsid w:val="00AD5F3A"/>
    <w:rsid w:val="00AD6418"/>
    <w:rsid w:val="00AE116D"/>
    <w:rsid w:val="00AE1D20"/>
    <w:rsid w:val="00AE2394"/>
    <w:rsid w:val="00AE3BF7"/>
    <w:rsid w:val="00AE47A5"/>
    <w:rsid w:val="00AE6CB5"/>
    <w:rsid w:val="00AE6E48"/>
    <w:rsid w:val="00AE6F5E"/>
    <w:rsid w:val="00AE700A"/>
    <w:rsid w:val="00AF2045"/>
    <w:rsid w:val="00AF2C02"/>
    <w:rsid w:val="00B00E8C"/>
    <w:rsid w:val="00B02D1D"/>
    <w:rsid w:val="00B12739"/>
    <w:rsid w:val="00B1388B"/>
    <w:rsid w:val="00B14105"/>
    <w:rsid w:val="00B14966"/>
    <w:rsid w:val="00B153D1"/>
    <w:rsid w:val="00B15498"/>
    <w:rsid w:val="00B1601C"/>
    <w:rsid w:val="00B211C1"/>
    <w:rsid w:val="00B22B3C"/>
    <w:rsid w:val="00B22DC5"/>
    <w:rsid w:val="00B22F67"/>
    <w:rsid w:val="00B24BF4"/>
    <w:rsid w:val="00B34992"/>
    <w:rsid w:val="00B352DA"/>
    <w:rsid w:val="00B35485"/>
    <w:rsid w:val="00B40FDC"/>
    <w:rsid w:val="00B41320"/>
    <w:rsid w:val="00B417EB"/>
    <w:rsid w:val="00B4433D"/>
    <w:rsid w:val="00B470F6"/>
    <w:rsid w:val="00B519CD"/>
    <w:rsid w:val="00B52169"/>
    <w:rsid w:val="00B52900"/>
    <w:rsid w:val="00B530C8"/>
    <w:rsid w:val="00B5715A"/>
    <w:rsid w:val="00B63EBA"/>
    <w:rsid w:val="00B65565"/>
    <w:rsid w:val="00B660C7"/>
    <w:rsid w:val="00B713C1"/>
    <w:rsid w:val="00B720DA"/>
    <w:rsid w:val="00B77A79"/>
    <w:rsid w:val="00B81BDE"/>
    <w:rsid w:val="00B82AB4"/>
    <w:rsid w:val="00B837CB"/>
    <w:rsid w:val="00B83CF9"/>
    <w:rsid w:val="00B8428D"/>
    <w:rsid w:val="00B854F9"/>
    <w:rsid w:val="00B901FC"/>
    <w:rsid w:val="00B946C1"/>
    <w:rsid w:val="00B94CEA"/>
    <w:rsid w:val="00B95B28"/>
    <w:rsid w:val="00B96BBC"/>
    <w:rsid w:val="00BA3368"/>
    <w:rsid w:val="00BA4EE4"/>
    <w:rsid w:val="00BA57A6"/>
    <w:rsid w:val="00BA7CD6"/>
    <w:rsid w:val="00BB1E93"/>
    <w:rsid w:val="00BB3015"/>
    <w:rsid w:val="00BB3A18"/>
    <w:rsid w:val="00BB61C1"/>
    <w:rsid w:val="00BB660C"/>
    <w:rsid w:val="00BB7A0C"/>
    <w:rsid w:val="00BC00D8"/>
    <w:rsid w:val="00BC386B"/>
    <w:rsid w:val="00BC4684"/>
    <w:rsid w:val="00BC55A6"/>
    <w:rsid w:val="00BC5BA0"/>
    <w:rsid w:val="00BC71E3"/>
    <w:rsid w:val="00BC7B34"/>
    <w:rsid w:val="00BD0F15"/>
    <w:rsid w:val="00BD1E6E"/>
    <w:rsid w:val="00BD314A"/>
    <w:rsid w:val="00BD3F4F"/>
    <w:rsid w:val="00BD53DB"/>
    <w:rsid w:val="00BD7536"/>
    <w:rsid w:val="00BE0952"/>
    <w:rsid w:val="00BE16BB"/>
    <w:rsid w:val="00BE473F"/>
    <w:rsid w:val="00BE6E28"/>
    <w:rsid w:val="00BE752F"/>
    <w:rsid w:val="00BF2F59"/>
    <w:rsid w:val="00BF4875"/>
    <w:rsid w:val="00BF54AF"/>
    <w:rsid w:val="00C00764"/>
    <w:rsid w:val="00C01D93"/>
    <w:rsid w:val="00C01F1F"/>
    <w:rsid w:val="00C0263C"/>
    <w:rsid w:val="00C036C2"/>
    <w:rsid w:val="00C048DF"/>
    <w:rsid w:val="00C05AF5"/>
    <w:rsid w:val="00C05F15"/>
    <w:rsid w:val="00C064EC"/>
    <w:rsid w:val="00C070C2"/>
    <w:rsid w:val="00C109B3"/>
    <w:rsid w:val="00C12F3E"/>
    <w:rsid w:val="00C13A3F"/>
    <w:rsid w:val="00C16CC4"/>
    <w:rsid w:val="00C201B3"/>
    <w:rsid w:val="00C205E4"/>
    <w:rsid w:val="00C210A1"/>
    <w:rsid w:val="00C2230C"/>
    <w:rsid w:val="00C2232A"/>
    <w:rsid w:val="00C308AD"/>
    <w:rsid w:val="00C32F9F"/>
    <w:rsid w:val="00C342CB"/>
    <w:rsid w:val="00C36C6F"/>
    <w:rsid w:val="00C36F2B"/>
    <w:rsid w:val="00C3791E"/>
    <w:rsid w:val="00C436A3"/>
    <w:rsid w:val="00C446F9"/>
    <w:rsid w:val="00C45148"/>
    <w:rsid w:val="00C4585C"/>
    <w:rsid w:val="00C45AD7"/>
    <w:rsid w:val="00C4648F"/>
    <w:rsid w:val="00C47613"/>
    <w:rsid w:val="00C47B5F"/>
    <w:rsid w:val="00C50EF3"/>
    <w:rsid w:val="00C51FB6"/>
    <w:rsid w:val="00C52978"/>
    <w:rsid w:val="00C52D8D"/>
    <w:rsid w:val="00C53BE6"/>
    <w:rsid w:val="00C54BF6"/>
    <w:rsid w:val="00C55AA1"/>
    <w:rsid w:val="00C60859"/>
    <w:rsid w:val="00C64B6E"/>
    <w:rsid w:val="00C65281"/>
    <w:rsid w:val="00C65B4E"/>
    <w:rsid w:val="00C65D2D"/>
    <w:rsid w:val="00C67101"/>
    <w:rsid w:val="00C70493"/>
    <w:rsid w:val="00C70791"/>
    <w:rsid w:val="00C75BE2"/>
    <w:rsid w:val="00C75DC6"/>
    <w:rsid w:val="00C77304"/>
    <w:rsid w:val="00C773D5"/>
    <w:rsid w:val="00C808C2"/>
    <w:rsid w:val="00C82C2B"/>
    <w:rsid w:val="00C83705"/>
    <w:rsid w:val="00C86C5F"/>
    <w:rsid w:val="00C872CF"/>
    <w:rsid w:val="00C875F9"/>
    <w:rsid w:val="00C87BE5"/>
    <w:rsid w:val="00C911D8"/>
    <w:rsid w:val="00C91887"/>
    <w:rsid w:val="00C929F8"/>
    <w:rsid w:val="00C92A0A"/>
    <w:rsid w:val="00C92B7B"/>
    <w:rsid w:val="00C937D8"/>
    <w:rsid w:val="00C95FFE"/>
    <w:rsid w:val="00C961F5"/>
    <w:rsid w:val="00C962D7"/>
    <w:rsid w:val="00C967E9"/>
    <w:rsid w:val="00C9705E"/>
    <w:rsid w:val="00CA15B7"/>
    <w:rsid w:val="00CA1E5D"/>
    <w:rsid w:val="00CA1EE0"/>
    <w:rsid w:val="00CA4FE4"/>
    <w:rsid w:val="00CB18D6"/>
    <w:rsid w:val="00CB2D1B"/>
    <w:rsid w:val="00CB33E8"/>
    <w:rsid w:val="00CB3D12"/>
    <w:rsid w:val="00CB53C2"/>
    <w:rsid w:val="00CC0576"/>
    <w:rsid w:val="00CC16F1"/>
    <w:rsid w:val="00CC5716"/>
    <w:rsid w:val="00CD3370"/>
    <w:rsid w:val="00CD349A"/>
    <w:rsid w:val="00CD3526"/>
    <w:rsid w:val="00CD5247"/>
    <w:rsid w:val="00CD654D"/>
    <w:rsid w:val="00CD7A03"/>
    <w:rsid w:val="00CE08E3"/>
    <w:rsid w:val="00CE11D9"/>
    <w:rsid w:val="00CE1B31"/>
    <w:rsid w:val="00CE31D1"/>
    <w:rsid w:val="00CE59C9"/>
    <w:rsid w:val="00CE6220"/>
    <w:rsid w:val="00CF234D"/>
    <w:rsid w:val="00CF384A"/>
    <w:rsid w:val="00CF5374"/>
    <w:rsid w:val="00CF76A3"/>
    <w:rsid w:val="00CF7768"/>
    <w:rsid w:val="00D01B9F"/>
    <w:rsid w:val="00D02523"/>
    <w:rsid w:val="00D030EB"/>
    <w:rsid w:val="00D03FD0"/>
    <w:rsid w:val="00D052B5"/>
    <w:rsid w:val="00D06019"/>
    <w:rsid w:val="00D06ABC"/>
    <w:rsid w:val="00D07C48"/>
    <w:rsid w:val="00D10E6A"/>
    <w:rsid w:val="00D12281"/>
    <w:rsid w:val="00D17EA1"/>
    <w:rsid w:val="00D20B67"/>
    <w:rsid w:val="00D20BCD"/>
    <w:rsid w:val="00D228B3"/>
    <w:rsid w:val="00D23C13"/>
    <w:rsid w:val="00D253B6"/>
    <w:rsid w:val="00D3089C"/>
    <w:rsid w:val="00D31EC8"/>
    <w:rsid w:val="00D332CB"/>
    <w:rsid w:val="00D34D5C"/>
    <w:rsid w:val="00D34ED4"/>
    <w:rsid w:val="00D35ED8"/>
    <w:rsid w:val="00D3655F"/>
    <w:rsid w:val="00D40124"/>
    <w:rsid w:val="00D4454A"/>
    <w:rsid w:val="00D448E1"/>
    <w:rsid w:val="00D465D5"/>
    <w:rsid w:val="00D47635"/>
    <w:rsid w:val="00D47EE5"/>
    <w:rsid w:val="00D554D4"/>
    <w:rsid w:val="00D55828"/>
    <w:rsid w:val="00D57477"/>
    <w:rsid w:val="00D57817"/>
    <w:rsid w:val="00D57DFB"/>
    <w:rsid w:val="00D62078"/>
    <w:rsid w:val="00D62256"/>
    <w:rsid w:val="00D6431A"/>
    <w:rsid w:val="00D651C1"/>
    <w:rsid w:val="00D66D06"/>
    <w:rsid w:val="00D70111"/>
    <w:rsid w:val="00D711E7"/>
    <w:rsid w:val="00D718F4"/>
    <w:rsid w:val="00D71973"/>
    <w:rsid w:val="00D7276E"/>
    <w:rsid w:val="00D72B5A"/>
    <w:rsid w:val="00D750D3"/>
    <w:rsid w:val="00D7646E"/>
    <w:rsid w:val="00D76503"/>
    <w:rsid w:val="00D768E5"/>
    <w:rsid w:val="00D77274"/>
    <w:rsid w:val="00D775D3"/>
    <w:rsid w:val="00D80959"/>
    <w:rsid w:val="00D80DBD"/>
    <w:rsid w:val="00D834E8"/>
    <w:rsid w:val="00D839EF"/>
    <w:rsid w:val="00D83E25"/>
    <w:rsid w:val="00D85952"/>
    <w:rsid w:val="00D86018"/>
    <w:rsid w:val="00D9054B"/>
    <w:rsid w:val="00D9055E"/>
    <w:rsid w:val="00D91796"/>
    <w:rsid w:val="00D92788"/>
    <w:rsid w:val="00D92D3D"/>
    <w:rsid w:val="00D93434"/>
    <w:rsid w:val="00D938FF"/>
    <w:rsid w:val="00D9442A"/>
    <w:rsid w:val="00D94E46"/>
    <w:rsid w:val="00D95990"/>
    <w:rsid w:val="00D9655B"/>
    <w:rsid w:val="00DA0F17"/>
    <w:rsid w:val="00DA29B2"/>
    <w:rsid w:val="00DA5069"/>
    <w:rsid w:val="00DA5416"/>
    <w:rsid w:val="00DA6EB1"/>
    <w:rsid w:val="00DA7C48"/>
    <w:rsid w:val="00DB01C9"/>
    <w:rsid w:val="00DB2E74"/>
    <w:rsid w:val="00DB44C8"/>
    <w:rsid w:val="00DB7715"/>
    <w:rsid w:val="00DC1B77"/>
    <w:rsid w:val="00DC1C44"/>
    <w:rsid w:val="00DC2C87"/>
    <w:rsid w:val="00DC320C"/>
    <w:rsid w:val="00DC6B2C"/>
    <w:rsid w:val="00DC6F50"/>
    <w:rsid w:val="00DC77C2"/>
    <w:rsid w:val="00DD026C"/>
    <w:rsid w:val="00DD1F13"/>
    <w:rsid w:val="00DD210F"/>
    <w:rsid w:val="00DD3285"/>
    <w:rsid w:val="00DD6CAB"/>
    <w:rsid w:val="00DD761D"/>
    <w:rsid w:val="00DE2E2C"/>
    <w:rsid w:val="00DE3702"/>
    <w:rsid w:val="00DE3D6C"/>
    <w:rsid w:val="00DE456E"/>
    <w:rsid w:val="00DE7CB3"/>
    <w:rsid w:val="00DF04C7"/>
    <w:rsid w:val="00DF23BC"/>
    <w:rsid w:val="00DF3C94"/>
    <w:rsid w:val="00DF4569"/>
    <w:rsid w:val="00DF48EF"/>
    <w:rsid w:val="00DF4AED"/>
    <w:rsid w:val="00DF5A78"/>
    <w:rsid w:val="00DF5C3D"/>
    <w:rsid w:val="00E02925"/>
    <w:rsid w:val="00E0305A"/>
    <w:rsid w:val="00E03F76"/>
    <w:rsid w:val="00E07B55"/>
    <w:rsid w:val="00E128DC"/>
    <w:rsid w:val="00E12F24"/>
    <w:rsid w:val="00E12FAB"/>
    <w:rsid w:val="00E13814"/>
    <w:rsid w:val="00E20F4C"/>
    <w:rsid w:val="00E2322D"/>
    <w:rsid w:val="00E23CDB"/>
    <w:rsid w:val="00E26B39"/>
    <w:rsid w:val="00E26C4A"/>
    <w:rsid w:val="00E27225"/>
    <w:rsid w:val="00E349BF"/>
    <w:rsid w:val="00E368C6"/>
    <w:rsid w:val="00E37BF0"/>
    <w:rsid w:val="00E414B6"/>
    <w:rsid w:val="00E45644"/>
    <w:rsid w:val="00E462EE"/>
    <w:rsid w:val="00E471B9"/>
    <w:rsid w:val="00E4759A"/>
    <w:rsid w:val="00E47935"/>
    <w:rsid w:val="00E505C0"/>
    <w:rsid w:val="00E506B1"/>
    <w:rsid w:val="00E529B9"/>
    <w:rsid w:val="00E52B23"/>
    <w:rsid w:val="00E53FBF"/>
    <w:rsid w:val="00E628CC"/>
    <w:rsid w:val="00E63A92"/>
    <w:rsid w:val="00E63DA9"/>
    <w:rsid w:val="00E6436A"/>
    <w:rsid w:val="00E65030"/>
    <w:rsid w:val="00E70EC4"/>
    <w:rsid w:val="00E71056"/>
    <w:rsid w:val="00E7127D"/>
    <w:rsid w:val="00E748B4"/>
    <w:rsid w:val="00E74F27"/>
    <w:rsid w:val="00E753F5"/>
    <w:rsid w:val="00E75C4E"/>
    <w:rsid w:val="00E75CDB"/>
    <w:rsid w:val="00E76F43"/>
    <w:rsid w:val="00E81FBB"/>
    <w:rsid w:val="00E82111"/>
    <w:rsid w:val="00E83053"/>
    <w:rsid w:val="00E85FFE"/>
    <w:rsid w:val="00E860B2"/>
    <w:rsid w:val="00E901DF"/>
    <w:rsid w:val="00E90AC7"/>
    <w:rsid w:val="00E90EFD"/>
    <w:rsid w:val="00E915F4"/>
    <w:rsid w:val="00E92D60"/>
    <w:rsid w:val="00E92FF0"/>
    <w:rsid w:val="00E972B6"/>
    <w:rsid w:val="00EA146C"/>
    <w:rsid w:val="00EA290A"/>
    <w:rsid w:val="00EA3640"/>
    <w:rsid w:val="00EA373B"/>
    <w:rsid w:val="00EA3AB5"/>
    <w:rsid w:val="00EA50E3"/>
    <w:rsid w:val="00EA5603"/>
    <w:rsid w:val="00EA5791"/>
    <w:rsid w:val="00EA5AAD"/>
    <w:rsid w:val="00EA7C0B"/>
    <w:rsid w:val="00EB267C"/>
    <w:rsid w:val="00EB2732"/>
    <w:rsid w:val="00EB27E6"/>
    <w:rsid w:val="00EB37BE"/>
    <w:rsid w:val="00EB7C42"/>
    <w:rsid w:val="00EC0B61"/>
    <w:rsid w:val="00EC43A1"/>
    <w:rsid w:val="00EC4B6F"/>
    <w:rsid w:val="00ED0A2F"/>
    <w:rsid w:val="00ED165B"/>
    <w:rsid w:val="00ED3E9B"/>
    <w:rsid w:val="00ED40E1"/>
    <w:rsid w:val="00ED55FE"/>
    <w:rsid w:val="00EE1E3D"/>
    <w:rsid w:val="00EE72D7"/>
    <w:rsid w:val="00EE7A95"/>
    <w:rsid w:val="00EE7C79"/>
    <w:rsid w:val="00EF197A"/>
    <w:rsid w:val="00EF2C71"/>
    <w:rsid w:val="00EF4B19"/>
    <w:rsid w:val="00EF6354"/>
    <w:rsid w:val="00EF6537"/>
    <w:rsid w:val="00EF6BFD"/>
    <w:rsid w:val="00EF72BE"/>
    <w:rsid w:val="00EF7FE5"/>
    <w:rsid w:val="00F008D3"/>
    <w:rsid w:val="00F0091B"/>
    <w:rsid w:val="00F00D4A"/>
    <w:rsid w:val="00F01B79"/>
    <w:rsid w:val="00F04184"/>
    <w:rsid w:val="00F05F85"/>
    <w:rsid w:val="00F06C7F"/>
    <w:rsid w:val="00F07BEC"/>
    <w:rsid w:val="00F104E8"/>
    <w:rsid w:val="00F112FC"/>
    <w:rsid w:val="00F12134"/>
    <w:rsid w:val="00F12B35"/>
    <w:rsid w:val="00F15649"/>
    <w:rsid w:val="00F164DC"/>
    <w:rsid w:val="00F172FF"/>
    <w:rsid w:val="00F1757C"/>
    <w:rsid w:val="00F17746"/>
    <w:rsid w:val="00F1796A"/>
    <w:rsid w:val="00F20FA9"/>
    <w:rsid w:val="00F21044"/>
    <w:rsid w:val="00F21A82"/>
    <w:rsid w:val="00F22D75"/>
    <w:rsid w:val="00F237D9"/>
    <w:rsid w:val="00F239F9"/>
    <w:rsid w:val="00F2404D"/>
    <w:rsid w:val="00F24BE6"/>
    <w:rsid w:val="00F24DB5"/>
    <w:rsid w:val="00F26067"/>
    <w:rsid w:val="00F2637B"/>
    <w:rsid w:val="00F26A4F"/>
    <w:rsid w:val="00F27F4A"/>
    <w:rsid w:val="00F3251C"/>
    <w:rsid w:val="00F32B3F"/>
    <w:rsid w:val="00F3318F"/>
    <w:rsid w:val="00F35935"/>
    <w:rsid w:val="00F3644F"/>
    <w:rsid w:val="00F40EC0"/>
    <w:rsid w:val="00F422F2"/>
    <w:rsid w:val="00F42AF1"/>
    <w:rsid w:val="00F42C06"/>
    <w:rsid w:val="00F42E1A"/>
    <w:rsid w:val="00F45142"/>
    <w:rsid w:val="00F45955"/>
    <w:rsid w:val="00F4690D"/>
    <w:rsid w:val="00F47A10"/>
    <w:rsid w:val="00F47BEA"/>
    <w:rsid w:val="00F51531"/>
    <w:rsid w:val="00F51F8E"/>
    <w:rsid w:val="00F57846"/>
    <w:rsid w:val="00F6043F"/>
    <w:rsid w:val="00F612FF"/>
    <w:rsid w:val="00F62040"/>
    <w:rsid w:val="00F62AB8"/>
    <w:rsid w:val="00F6331D"/>
    <w:rsid w:val="00F654B1"/>
    <w:rsid w:val="00F71708"/>
    <w:rsid w:val="00F7177B"/>
    <w:rsid w:val="00F7242B"/>
    <w:rsid w:val="00F72558"/>
    <w:rsid w:val="00F7627F"/>
    <w:rsid w:val="00F805AE"/>
    <w:rsid w:val="00F80AB9"/>
    <w:rsid w:val="00F82853"/>
    <w:rsid w:val="00F83DBD"/>
    <w:rsid w:val="00F84CDB"/>
    <w:rsid w:val="00F91748"/>
    <w:rsid w:val="00F9419E"/>
    <w:rsid w:val="00F95B52"/>
    <w:rsid w:val="00F9680B"/>
    <w:rsid w:val="00F97223"/>
    <w:rsid w:val="00F973A4"/>
    <w:rsid w:val="00FA147B"/>
    <w:rsid w:val="00FA2F3D"/>
    <w:rsid w:val="00FA3427"/>
    <w:rsid w:val="00FA66D5"/>
    <w:rsid w:val="00FA7E0E"/>
    <w:rsid w:val="00FB0925"/>
    <w:rsid w:val="00FB1BC6"/>
    <w:rsid w:val="00FB1D2C"/>
    <w:rsid w:val="00FB250F"/>
    <w:rsid w:val="00FB2F95"/>
    <w:rsid w:val="00FB7E1F"/>
    <w:rsid w:val="00FC0420"/>
    <w:rsid w:val="00FC37FF"/>
    <w:rsid w:val="00FC3815"/>
    <w:rsid w:val="00FC4FDE"/>
    <w:rsid w:val="00FC6435"/>
    <w:rsid w:val="00FC7315"/>
    <w:rsid w:val="00FD04BF"/>
    <w:rsid w:val="00FD0B3B"/>
    <w:rsid w:val="00FD1136"/>
    <w:rsid w:val="00FD16EB"/>
    <w:rsid w:val="00FD1DE5"/>
    <w:rsid w:val="00FD61C7"/>
    <w:rsid w:val="00FD6C74"/>
    <w:rsid w:val="00FD6F34"/>
    <w:rsid w:val="00FD71E1"/>
    <w:rsid w:val="00FE0B74"/>
    <w:rsid w:val="00FE687D"/>
    <w:rsid w:val="00FE6AD0"/>
    <w:rsid w:val="00FE70E9"/>
    <w:rsid w:val="00FE7D50"/>
    <w:rsid w:val="00FF0714"/>
    <w:rsid w:val="00FF189F"/>
    <w:rsid w:val="00FF43B2"/>
    <w:rsid w:val="00FF5DE3"/>
    <w:rsid w:val="00FF7F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qFormat/>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F1A39"/>
    <w:pPr>
      <w:keepNext/>
      <w:keepLines/>
      <w:spacing w:before="200" w:line="276" w:lineRule="auto"/>
      <w:ind w:left="1152" w:hanging="432"/>
      <w:outlineLvl w:val="5"/>
    </w:pPr>
    <w:rPr>
      <w:rFonts w:ascii="Cambria" w:hAnsi="Cambria"/>
      <w:i/>
      <w:iCs/>
      <w:color w:val="243F60"/>
      <w:sz w:val="22"/>
      <w:szCs w:val="22"/>
      <w:lang w:eastAsia="en-US"/>
    </w:rPr>
  </w:style>
  <w:style w:type="paragraph" w:styleId="Heading7">
    <w:name w:val="heading 7"/>
    <w:basedOn w:val="Normal"/>
    <w:next w:val="Normal"/>
    <w:link w:val="Heading7Char"/>
    <w:uiPriority w:val="9"/>
    <w:semiHidden/>
    <w:unhideWhenUsed/>
    <w:qFormat/>
    <w:rsid w:val="001F1A39"/>
    <w:pPr>
      <w:keepNext/>
      <w:keepLines/>
      <w:spacing w:before="200" w:line="276" w:lineRule="auto"/>
      <w:ind w:left="1296" w:hanging="288"/>
      <w:outlineLvl w:val="6"/>
    </w:pPr>
    <w:rPr>
      <w:rFonts w:ascii="Cambria" w:hAnsi="Cambria"/>
      <w:i/>
      <w:iCs/>
      <w:color w:val="404040"/>
      <w:sz w:val="22"/>
      <w:szCs w:val="22"/>
      <w:lang w:eastAsia="en-US"/>
    </w:rPr>
  </w:style>
  <w:style w:type="paragraph" w:styleId="Heading8">
    <w:name w:val="heading 8"/>
    <w:basedOn w:val="Normal"/>
    <w:next w:val="Normal"/>
    <w:link w:val="Heading8Char"/>
    <w:uiPriority w:val="9"/>
    <w:semiHidden/>
    <w:unhideWhenUsed/>
    <w:qFormat/>
    <w:rsid w:val="001F1A39"/>
    <w:pPr>
      <w:keepNext/>
      <w:keepLines/>
      <w:spacing w:before="200" w:line="276" w:lineRule="auto"/>
      <w:ind w:left="1440" w:hanging="432"/>
      <w:outlineLvl w:val="7"/>
    </w:pPr>
    <w:rPr>
      <w:rFonts w:ascii="Cambria" w:hAnsi="Cambria"/>
      <w:color w:val="404040"/>
      <w:sz w:val="20"/>
      <w:szCs w:val="20"/>
      <w:lang w:eastAsia="en-US"/>
    </w:rPr>
  </w:style>
  <w:style w:type="paragraph" w:styleId="Heading9">
    <w:name w:val="heading 9"/>
    <w:basedOn w:val="Normal"/>
    <w:next w:val="Normal"/>
    <w:link w:val="Heading9Char"/>
    <w:uiPriority w:val="9"/>
    <w:semiHidden/>
    <w:unhideWhenUsed/>
    <w:qFormat/>
    <w:rsid w:val="001F1A39"/>
    <w:pPr>
      <w:keepNext/>
      <w:keepLines/>
      <w:spacing w:before="200" w:line="276" w:lineRule="auto"/>
      <w:ind w:left="1584" w:hanging="144"/>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135D22"/>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uiPriority w:val="10"/>
    <w:qFormat/>
    <w:rsid w:val="00CD349A"/>
    <w:pPr>
      <w:spacing w:before="480"/>
    </w:pPr>
    <w:rPr>
      <w:rFonts w:ascii="Arial" w:hAnsi="Arial" w:cs="Arial"/>
      <w:b/>
      <w:bCs/>
      <w:sz w:val="40"/>
      <w:szCs w:val="40"/>
    </w:rPr>
  </w:style>
  <w:style w:type="character" w:customStyle="1" w:styleId="TitleChar">
    <w:name w:val="Title Char"/>
    <w:basedOn w:val="DefaultParagraphFont"/>
    <w:link w:val="Title"/>
    <w:uiPriority w:val="10"/>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uiPriority w:val="99"/>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qFormat/>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qFormat/>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uiPriority w:val="99"/>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uiPriority w:val="99"/>
    <w:rsid w:val="00B8428D"/>
    <w:pPr>
      <w:spacing w:after="120"/>
      <w:ind w:left="1440" w:right="1440"/>
    </w:pPr>
  </w:style>
  <w:style w:type="paragraph" w:styleId="ListParagraph">
    <w:name w:val="List Paragraph"/>
    <w:basedOn w:val="Normal"/>
    <w:uiPriority w:val="34"/>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nhideWhenUsed/>
    <w:rsid w:val="000D3FCA"/>
    <w:rPr>
      <w:sz w:val="20"/>
      <w:szCs w:val="20"/>
    </w:rPr>
  </w:style>
  <w:style w:type="character" w:customStyle="1" w:styleId="CommentTextChar">
    <w:name w:val="Comment Text Char"/>
    <w:basedOn w:val="DefaultParagraphFont"/>
    <w:link w:val="CommentText"/>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uiPriority w:val="99"/>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uiPriority w:val="99"/>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uiPriority w:val="99"/>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uiPriority w:val="99"/>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styleId="Closing">
    <w:name w:val="Closing"/>
    <w:basedOn w:val="Normal"/>
    <w:link w:val="ClosingChar"/>
    <w:uiPriority w:val="99"/>
    <w:rsid w:val="009E5CBC"/>
    <w:pPr>
      <w:ind w:left="4252"/>
    </w:pPr>
  </w:style>
  <w:style w:type="character" w:customStyle="1" w:styleId="ClosingChar">
    <w:name w:val="Closing Char"/>
    <w:basedOn w:val="DefaultParagraphFont"/>
    <w:link w:val="Closing"/>
    <w:uiPriority w:val="99"/>
    <w:rsid w:val="009E5CBC"/>
    <w:rPr>
      <w:rFonts w:eastAsia="Times New Roman"/>
      <w:sz w:val="24"/>
      <w:szCs w:val="24"/>
      <w:lang w:eastAsia="en-AU"/>
    </w:rPr>
  </w:style>
  <w:style w:type="paragraph" w:styleId="FootnoteText">
    <w:name w:val="footnote text"/>
    <w:basedOn w:val="Normal"/>
    <w:link w:val="FootnoteTextChar"/>
    <w:uiPriority w:val="99"/>
    <w:unhideWhenUsed/>
    <w:qFormat/>
    <w:rsid w:val="00FD1DE5"/>
    <w:rPr>
      <w:rFonts w:ascii="Calibri" w:hAnsi="Calibri"/>
      <w:sz w:val="20"/>
      <w:szCs w:val="20"/>
      <w:lang w:eastAsia="en-US"/>
    </w:rPr>
  </w:style>
  <w:style w:type="character" w:customStyle="1" w:styleId="FootnoteTextChar">
    <w:name w:val="Footnote Text Char"/>
    <w:basedOn w:val="DefaultParagraphFont"/>
    <w:link w:val="FootnoteText"/>
    <w:uiPriority w:val="99"/>
    <w:rsid w:val="00FD1DE5"/>
    <w:rPr>
      <w:rFonts w:ascii="Calibri" w:eastAsia="Times New Roman" w:hAnsi="Calibri"/>
    </w:rPr>
  </w:style>
  <w:style w:type="character" w:styleId="FootnoteReference">
    <w:name w:val="footnote reference"/>
    <w:basedOn w:val="DefaultParagraphFont"/>
    <w:uiPriority w:val="99"/>
    <w:unhideWhenUsed/>
    <w:rsid w:val="00FD1DE5"/>
    <w:rPr>
      <w:rFonts w:cs="Times New Roman"/>
      <w:vertAlign w:val="superscript"/>
    </w:rPr>
  </w:style>
  <w:style w:type="character" w:customStyle="1" w:styleId="ssens">
    <w:name w:val="ssens"/>
    <w:basedOn w:val="DefaultParagraphFont"/>
    <w:rsid w:val="00FD1DE5"/>
  </w:style>
  <w:style w:type="character" w:customStyle="1" w:styleId="Heading6Char">
    <w:name w:val="Heading 6 Char"/>
    <w:basedOn w:val="DefaultParagraphFont"/>
    <w:link w:val="Heading6"/>
    <w:uiPriority w:val="9"/>
    <w:semiHidden/>
    <w:rsid w:val="001F1A39"/>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
    <w:semiHidden/>
    <w:rsid w:val="001F1A39"/>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semiHidden/>
    <w:rsid w:val="001F1A39"/>
    <w:rPr>
      <w:rFonts w:ascii="Cambria" w:eastAsia="Times New Roman" w:hAnsi="Cambria"/>
      <w:color w:val="404040"/>
    </w:rPr>
  </w:style>
  <w:style w:type="character" w:customStyle="1" w:styleId="Heading9Char">
    <w:name w:val="Heading 9 Char"/>
    <w:basedOn w:val="DefaultParagraphFont"/>
    <w:link w:val="Heading9"/>
    <w:uiPriority w:val="9"/>
    <w:semiHidden/>
    <w:rsid w:val="001F1A39"/>
    <w:rPr>
      <w:rFonts w:ascii="Cambria" w:eastAsia="Times New Roman" w:hAnsi="Cambria"/>
      <w:i/>
      <w:iCs/>
      <w:color w:val="404040"/>
    </w:rPr>
  </w:style>
  <w:style w:type="paragraph" w:customStyle="1" w:styleId="Bullet">
    <w:name w:val="Bullet"/>
    <w:aliases w:val="b,Body,bullet,bu,B,b Char Char Char Char Char Char Char Char,b Char Char Char,b Char Char Char Char Char Char,b Char Char,Body Char1 Char1,body,Body1"/>
    <w:basedOn w:val="Normal"/>
    <w:link w:val="BulletChar"/>
    <w:qFormat/>
    <w:rsid w:val="001F1A39"/>
    <w:pPr>
      <w:numPr>
        <w:numId w:val="2"/>
      </w:numPr>
      <w:spacing w:before="120" w:after="120" w:line="276" w:lineRule="auto"/>
    </w:pPr>
    <w:rPr>
      <w:rFonts w:ascii="Calibri" w:hAnsi="Calibri"/>
      <w:sz w:val="22"/>
      <w:szCs w:val="22"/>
      <w:lang w:eastAsia="en-US"/>
    </w:rPr>
  </w:style>
  <w:style w:type="character" w:customStyle="1" w:styleId="BulletChar">
    <w:name w:val="Bullet Char"/>
    <w:aliases w:val="b Char"/>
    <w:basedOn w:val="DefaultParagraphFont"/>
    <w:link w:val="Bullet"/>
    <w:locked/>
    <w:rsid w:val="001F1A39"/>
    <w:rPr>
      <w:rFonts w:ascii="Calibri" w:eastAsia="Times New Roman" w:hAnsi="Calibri"/>
      <w:sz w:val="22"/>
      <w:szCs w:val="22"/>
    </w:rPr>
  </w:style>
  <w:style w:type="paragraph" w:customStyle="1" w:styleId="Dash">
    <w:name w:val="Dash"/>
    <w:basedOn w:val="Normal"/>
    <w:link w:val="DashChar"/>
    <w:qFormat/>
    <w:rsid w:val="001F1A39"/>
    <w:pPr>
      <w:numPr>
        <w:ilvl w:val="1"/>
        <w:numId w:val="2"/>
      </w:numPr>
      <w:spacing w:before="120" w:after="120" w:line="276" w:lineRule="auto"/>
    </w:pPr>
    <w:rPr>
      <w:rFonts w:ascii="Calibri" w:hAnsi="Calibri"/>
      <w:sz w:val="22"/>
      <w:szCs w:val="22"/>
      <w:lang w:eastAsia="en-US"/>
    </w:rPr>
  </w:style>
  <w:style w:type="character" w:customStyle="1" w:styleId="DashChar">
    <w:name w:val="Dash Char"/>
    <w:basedOn w:val="DefaultParagraphFont"/>
    <w:link w:val="Dash"/>
    <w:locked/>
    <w:rsid w:val="001F1A39"/>
    <w:rPr>
      <w:rFonts w:ascii="Calibri" w:eastAsia="Times New Roman" w:hAnsi="Calibri"/>
      <w:sz w:val="22"/>
      <w:szCs w:val="22"/>
    </w:rPr>
  </w:style>
  <w:style w:type="paragraph" w:customStyle="1" w:styleId="DoubleDot">
    <w:name w:val="Double Dot"/>
    <w:basedOn w:val="Normal"/>
    <w:link w:val="DoubleDotChar"/>
    <w:rsid w:val="001F1A39"/>
    <w:pPr>
      <w:numPr>
        <w:ilvl w:val="2"/>
        <w:numId w:val="2"/>
      </w:numPr>
      <w:spacing w:before="120" w:after="120" w:line="276" w:lineRule="auto"/>
    </w:pPr>
    <w:rPr>
      <w:rFonts w:ascii="Calibri" w:hAnsi="Calibri"/>
      <w:sz w:val="22"/>
      <w:szCs w:val="22"/>
      <w:lang w:eastAsia="en-US"/>
    </w:rPr>
  </w:style>
  <w:style w:type="character" w:customStyle="1" w:styleId="DoubleDotChar">
    <w:name w:val="Double Dot Char"/>
    <w:basedOn w:val="DefaultParagraphFont"/>
    <w:link w:val="DoubleDot"/>
    <w:locked/>
    <w:rsid w:val="001F1A39"/>
    <w:rPr>
      <w:rFonts w:ascii="Calibri" w:eastAsia="Times New Roman" w:hAnsi="Calibri"/>
      <w:sz w:val="22"/>
      <w:szCs w:val="22"/>
    </w:rPr>
  </w:style>
  <w:style w:type="character" w:styleId="Emphasis">
    <w:name w:val="Emphasis"/>
    <w:basedOn w:val="DefaultParagraphFont"/>
    <w:uiPriority w:val="20"/>
    <w:qFormat/>
    <w:rsid w:val="001F1A39"/>
    <w:rPr>
      <w:rFonts w:cs="Times New Roman"/>
      <w:b/>
      <w:bCs/>
    </w:rPr>
  </w:style>
  <w:style w:type="paragraph" w:customStyle="1" w:styleId="OutlineNumbered1">
    <w:name w:val="Outline Numbered 1"/>
    <w:basedOn w:val="Normal"/>
    <w:link w:val="OutlineNumbered1Char"/>
    <w:rsid w:val="001F1A39"/>
    <w:pPr>
      <w:numPr>
        <w:numId w:val="3"/>
      </w:numPr>
      <w:spacing w:before="120" w:after="120" w:line="276" w:lineRule="auto"/>
    </w:pPr>
    <w:rPr>
      <w:rFonts w:ascii="Calibri" w:hAnsi="Calibri"/>
      <w:sz w:val="22"/>
      <w:szCs w:val="22"/>
      <w:lang w:eastAsia="en-US"/>
    </w:rPr>
  </w:style>
  <w:style w:type="character" w:customStyle="1" w:styleId="OutlineNumbered1Char">
    <w:name w:val="Outline Numbered 1 Char"/>
    <w:basedOn w:val="BulletChar"/>
    <w:link w:val="OutlineNumbered1"/>
    <w:locked/>
    <w:rsid w:val="001F1A39"/>
    <w:rPr>
      <w:rFonts w:ascii="Calibri" w:eastAsia="Times New Roman" w:hAnsi="Calibri"/>
      <w:sz w:val="22"/>
      <w:szCs w:val="22"/>
    </w:rPr>
  </w:style>
  <w:style w:type="paragraph" w:customStyle="1" w:styleId="OutlineNumbered2">
    <w:name w:val="Outline Numbered 2"/>
    <w:basedOn w:val="Normal"/>
    <w:rsid w:val="001F1A39"/>
    <w:pPr>
      <w:numPr>
        <w:ilvl w:val="1"/>
        <w:numId w:val="3"/>
      </w:numPr>
      <w:spacing w:before="120" w:after="120" w:line="276" w:lineRule="auto"/>
    </w:pPr>
    <w:rPr>
      <w:rFonts w:ascii="Calibri" w:hAnsi="Calibri"/>
      <w:sz w:val="22"/>
      <w:szCs w:val="22"/>
      <w:lang w:eastAsia="en-US"/>
    </w:rPr>
  </w:style>
  <w:style w:type="paragraph" w:customStyle="1" w:styleId="OutlineNumbered3">
    <w:name w:val="Outline Numbered 3"/>
    <w:basedOn w:val="Normal"/>
    <w:rsid w:val="001F1A39"/>
    <w:pPr>
      <w:numPr>
        <w:ilvl w:val="2"/>
        <w:numId w:val="3"/>
      </w:numPr>
      <w:spacing w:before="120" w:after="120" w:line="276" w:lineRule="auto"/>
    </w:pPr>
    <w:rPr>
      <w:rFonts w:ascii="Calibri" w:hAnsi="Calibri"/>
      <w:sz w:val="22"/>
      <w:szCs w:val="22"/>
      <w:lang w:eastAsia="en-US"/>
    </w:rPr>
  </w:style>
  <w:style w:type="paragraph" w:styleId="TOCHeading">
    <w:name w:val="TOC Heading"/>
    <w:basedOn w:val="Heading1"/>
    <w:next w:val="Normal"/>
    <w:uiPriority w:val="39"/>
    <w:unhideWhenUsed/>
    <w:qFormat/>
    <w:rsid w:val="001F1A39"/>
    <w:pPr>
      <w:spacing w:line="276" w:lineRule="auto"/>
      <w:outlineLvl w:val="9"/>
    </w:pPr>
    <w:rPr>
      <w:rFonts w:ascii="Cambria" w:eastAsia="Times New Roman" w:hAnsi="Cambria" w:cs="Times New Roman"/>
      <w:color w:val="365F91"/>
      <w:lang w:val="en-US" w:eastAsia="en-US"/>
    </w:rPr>
  </w:style>
  <w:style w:type="paragraph" w:styleId="TOC1">
    <w:name w:val="toc 1"/>
    <w:basedOn w:val="Normal"/>
    <w:next w:val="Normal"/>
    <w:autoRedefine/>
    <w:uiPriority w:val="39"/>
    <w:unhideWhenUsed/>
    <w:qFormat/>
    <w:rsid w:val="001F1A39"/>
    <w:pPr>
      <w:tabs>
        <w:tab w:val="right" w:leader="dot" w:pos="9016"/>
      </w:tabs>
      <w:spacing w:before="120" w:after="100" w:line="276" w:lineRule="auto"/>
    </w:pPr>
    <w:rPr>
      <w:rFonts w:ascii="Calibri" w:hAnsi="Calibri"/>
      <w:noProof/>
      <w:sz w:val="22"/>
      <w:szCs w:val="22"/>
      <w:lang w:eastAsia="en-US"/>
    </w:rPr>
  </w:style>
  <w:style w:type="paragraph" w:customStyle="1" w:styleId="CABNETParagraph">
    <w:name w:val="CABNET Paragraph"/>
    <w:basedOn w:val="Normal"/>
    <w:link w:val="CABNETParagraphChar"/>
    <w:qFormat/>
    <w:rsid w:val="001F1A39"/>
    <w:pPr>
      <w:spacing w:before="120" w:after="120"/>
    </w:pPr>
    <w:rPr>
      <w:rFonts w:ascii="Verdana" w:hAnsi="Verdana"/>
      <w:sz w:val="22"/>
      <w:szCs w:val="22"/>
      <w:lang w:eastAsia="en-US"/>
    </w:rPr>
  </w:style>
  <w:style w:type="character" w:customStyle="1" w:styleId="CABNETParagraphChar">
    <w:name w:val="CABNET Paragraph Char"/>
    <w:basedOn w:val="DefaultParagraphFont"/>
    <w:link w:val="CABNETParagraph"/>
    <w:locked/>
    <w:rsid w:val="001F1A39"/>
    <w:rPr>
      <w:rFonts w:ascii="Verdana" w:eastAsia="Times New Roman" w:hAnsi="Verdana"/>
      <w:sz w:val="22"/>
      <w:szCs w:val="22"/>
    </w:rPr>
  </w:style>
  <w:style w:type="character" w:styleId="Strong">
    <w:name w:val="Strong"/>
    <w:basedOn w:val="DefaultParagraphFont"/>
    <w:uiPriority w:val="22"/>
    <w:qFormat/>
    <w:rsid w:val="001F1A39"/>
    <w:rPr>
      <w:rFonts w:cs="Times New Roman"/>
      <w:b/>
      <w:bCs/>
    </w:rPr>
  </w:style>
  <w:style w:type="paragraph" w:customStyle="1" w:styleId="RegPara">
    <w:name w:val="RegPara"/>
    <w:basedOn w:val="Default"/>
    <w:next w:val="Default"/>
    <w:uiPriority w:val="99"/>
    <w:rsid w:val="001F1A39"/>
    <w:rPr>
      <w:rFonts w:ascii="Times New Roman" w:eastAsia="Times New Roman" w:hAnsi="Times New Roman" w:cs="Times New Roman"/>
      <w:color w:val="auto"/>
      <w:lang w:eastAsia="en-AU"/>
    </w:rPr>
  </w:style>
  <w:style w:type="character" w:styleId="FollowedHyperlink">
    <w:name w:val="FollowedHyperlink"/>
    <w:basedOn w:val="DefaultParagraphFont"/>
    <w:uiPriority w:val="99"/>
    <w:semiHidden/>
    <w:unhideWhenUsed/>
    <w:rsid w:val="001F1A39"/>
    <w:rPr>
      <w:rFonts w:cs="Times New Roman"/>
      <w:color w:val="800080"/>
      <w:u w:val="single"/>
    </w:rPr>
  </w:style>
  <w:style w:type="paragraph" w:customStyle="1" w:styleId="TableNormal1">
    <w:name w:val="Table Normal1"/>
    <w:basedOn w:val="Normal"/>
    <w:uiPriority w:val="99"/>
    <w:rsid w:val="001F1A39"/>
    <w:pPr>
      <w:spacing w:before="40" w:line="240" w:lineRule="exact"/>
    </w:pPr>
    <w:rPr>
      <w:rFonts w:ascii="Arial" w:hAnsi="Arial"/>
      <w:sz w:val="20"/>
      <w:lang w:eastAsia="en-US"/>
    </w:rPr>
  </w:style>
  <w:style w:type="character" w:customStyle="1" w:styleId="journalabstract1">
    <w:name w:val="journal_abstract1"/>
    <w:basedOn w:val="DefaultParagraphFont"/>
    <w:rsid w:val="001F1A39"/>
    <w:rPr>
      <w:rFonts w:ascii="Arial" w:hAnsi="Arial" w:cs="Arial"/>
      <w:sz w:val="18"/>
      <w:szCs w:val="18"/>
    </w:rPr>
  </w:style>
  <w:style w:type="paragraph" w:styleId="Caption">
    <w:name w:val="caption"/>
    <w:basedOn w:val="Normal"/>
    <w:next w:val="Normal"/>
    <w:uiPriority w:val="35"/>
    <w:unhideWhenUsed/>
    <w:qFormat/>
    <w:rsid w:val="001F1A39"/>
    <w:pPr>
      <w:spacing w:after="200"/>
    </w:pPr>
    <w:rPr>
      <w:rFonts w:ascii="Calibri" w:hAnsi="Calibri"/>
      <w:b/>
      <w:bCs/>
      <w:sz w:val="18"/>
      <w:szCs w:val="18"/>
      <w:lang w:eastAsia="en-US"/>
    </w:rPr>
  </w:style>
  <w:style w:type="numbering" w:customStyle="1" w:styleId="CABNETList">
    <w:name w:val="CABNET List"/>
    <w:rsid w:val="001F1A39"/>
    <w:pPr>
      <w:numPr>
        <w:numId w:val="4"/>
      </w:numPr>
    </w:pPr>
  </w:style>
  <w:style w:type="numbering" w:styleId="ArticleSection">
    <w:name w:val="Outline List 3"/>
    <w:basedOn w:val="NoList"/>
    <w:uiPriority w:val="99"/>
    <w:semiHidden/>
    <w:unhideWhenUsed/>
    <w:rsid w:val="001F1A39"/>
    <w:pPr>
      <w:numPr>
        <w:numId w:val="5"/>
      </w:numPr>
    </w:pPr>
  </w:style>
  <w:style w:type="paragraph" w:styleId="NormalWeb">
    <w:name w:val="Normal (Web)"/>
    <w:basedOn w:val="Normal"/>
    <w:uiPriority w:val="99"/>
    <w:unhideWhenUsed/>
    <w:rsid w:val="001F1A39"/>
    <w:pPr>
      <w:spacing w:before="100" w:beforeAutospacing="1" w:after="100" w:afterAutospacing="1"/>
    </w:pPr>
    <w:rPr>
      <w:lang w:val="en-NZ" w:eastAsia="en-NZ"/>
    </w:rPr>
  </w:style>
  <w:style w:type="paragraph" w:customStyle="1" w:styleId="subsection">
    <w:name w:val="subsection"/>
    <w:aliases w:val="ss"/>
    <w:basedOn w:val="Normal"/>
    <w:link w:val="subsectionChar"/>
    <w:rsid w:val="001F1A39"/>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1F1A39"/>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1F1A39"/>
    <w:pPr>
      <w:spacing w:before="40"/>
      <w:ind w:left="1134"/>
    </w:pPr>
    <w:rPr>
      <w:sz w:val="22"/>
      <w:szCs w:val="20"/>
    </w:rPr>
  </w:style>
  <w:style w:type="character" w:customStyle="1" w:styleId="subsectionChar">
    <w:name w:val="subsection Char"/>
    <w:aliases w:val="ss Char"/>
    <w:basedOn w:val="DefaultParagraphFont"/>
    <w:link w:val="subsection"/>
    <w:rsid w:val="001F1A39"/>
    <w:rPr>
      <w:rFonts w:eastAsia="Times New Roman"/>
      <w:sz w:val="22"/>
      <w:lang w:eastAsia="en-AU"/>
    </w:rPr>
  </w:style>
  <w:style w:type="character" w:customStyle="1" w:styleId="paragraphChar">
    <w:name w:val="paragraph Char"/>
    <w:aliases w:val="a Char"/>
    <w:basedOn w:val="DefaultParagraphFont"/>
    <w:link w:val="paragraph"/>
    <w:rsid w:val="001F1A39"/>
    <w:rPr>
      <w:rFonts w:eastAsia="Times New Roman"/>
      <w:sz w:val="22"/>
      <w:lang w:eastAsia="en-AU"/>
    </w:rPr>
  </w:style>
  <w:style w:type="paragraph" w:styleId="NoSpacing">
    <w:name w:val="No Spacing"/>
    <w:link w:val="NoSpacingChar"/>
    <w:uiPriority w:val="1"/>
    <w:qFormat/>
    <w:rsid w:val="001F1A39"/>
    <w:rPr>
      <w:rFonts w:ascii="Arial" w:eastAsiaTheme="minorEastAsia" w:hAnsi="Arial" w:cstheme="minorBidi"/>
      <w:bCs/>
      <w:color w:val="000000" w:themeColor="text1"/>
      <w:sz w:val="18"/>
      <w:szCs w:val="18"/>
    </w:rPr>
  </w:style>
  <w:style w:type="character" w:customStyle="1" w:styleId="NoSpacingChar">
    <w:name w:val="No Spacing Char"/>
    <w:basedOn w:val="DefaultParagraphFont"/>
    <w:link w:val="NoSpacing"/>
    <w:uiPriority w:val="1"/>
    <w:rsid w:val="001F1A39"/>
    <w:rPr>
      <w:rFonts w:ascii="Arial" w:eastAsiaTheme="minorEastAsia" w:hAnsi="Arial" w:cstheme="minorBidi"/>
      <w:bCs/>
      <w:color w:val="000000" w:themeColor="text1"/>
      <w:sz w:val="18"/>
      <w:szCs w:val="18"/>
    </w:rPr>
  </w:style>
  <w:style w:type="table" w:customStyle="1" w:styleId="EASSimpleTable">
    <w:name w:val="EAS Simple Table"/>
    <w:basedOn w:val="TableNormal"/>
    <w:uiPriority w:val="99"/>
    <w:qFormat/>
    <w:rsid w:val="001F1A39"/>
    <w:rPr>
      <w:rFonts w:ascii="Arial" w:hAnsi="Arial" w:cstheme="minorBidi"/>
      <w:bCs/>
      <w:color w:val="000000" w:themeColor="text1"/>
      <w:szCs w:val="18"/>
    </w:rPr>
    <w:tblPr>
      <w:tblInd w:w="0" w:type="dxa"/>
      <w:tblBorders>
        <w:bottom w:val="single" w:sz="4" w:space="0" w:color="000000" w:themeColor="text1"/>
      </w:tblBorders>
      <w:tblCellMar>
        <w:top w:w="0" w:type="dxa"/>
        <w:left w:w="108" w:type="dxa"/>
        <w:bottom w:w="0" w:type="dxa"/>
        <w:right w:w="108" w:type="dxa"/>
      </w:tblCellMar>
    </w:tblPr>
    <w:trPr>
      <w:hidden/>
    </w:trPr>
    <w:tblStylePr w:type="firstRow">
      <w:rPr>
        <w:b/>
      </w:rPr>
      <w:tblPr/>
      <w:trPr>
        <w:cantSplit/>
        <w:tblHeader/>
        <w:hidden/>
      </w:trPr>
      <w:tcPr>
        <w:tcBorders>
          <w:top w:val="single" w:sz="4" w:space="0" w:color="000000" w:themeColor="text1"/>
          <w:bottom w:val="single" w:sz="4" w:space="0" w:color="000000" w:themeColor="text1"/>
        </w:tcBorders>
        <w:shd w:val="clear" w:color="auto" w:fill="D9D9D9" w:themeFill="background1" w:themeFillShade="D9"/>
      </w:tcPr>
    </w:tblStylePr>
    <w:tblStylePr w:type="lastRow">
      <w:tblPr/>
      <w:trPr>
        <w:hidden/>
      </w:trPr>
      <w:tcPr>
        <w:tcBorders>
          <w:bottom w:val="single" w:sz="4" w:space="0" w:color="000000" w:themeColor="text1"/>
        </w:tcBorders>
      </w:tcPr>
    </w:tblStylePr>
  </w:style>
  <w:style w:type="table" w:customStyle="1" w:styleId="EASXYTable">
    <w:name w:val="EAS XY Table"/>
    <w:basedOn w:val="EASSimpleTable"/>
    <w:uiPriority w:val="99"/>
    <w:qFormat/>
    <w:rsid w:val="001F1A39"/>
    <w:tblPr>
      <w:tblInd w:w="0" w:type="dxa"/>
      <w:tblBorders>
        <w:bottom w:val="single" w:sz="4" w:space="0" w:color="000000" w:themeColor="text1"/>
      </w:tblBorders>
      <w:tblCellMar>
        <w:top w:w="0" w:type="dxa"/>
        <w:left w:w="108" w:type="dxa"/>
        <w:bottom w:w="0" w:type="dxa"/>
        <w:right w:w="108" w:type="dxa"/>
      </w:tblCellMar>
    </w:tblPr>
    <w:trPr>
      <w:hidden/>
    </w:trPr>
    <w:tblStylePr w:type="firstRow">
      <w:rPr>
        <w:b/>
      </w:rPr>
      <w:tblPr/>
      <w:trPr>
        <w:cantSplit/>
        <w:tblHeader/>
        <w:hidden/>
      </w:trPr>
      <w:tcPr>
        <w:tcBorders>
          <w:top w:val="single" w:sz="4" w:space="0" w:color="000000" w:themeColor="text1"/>
          <w:bottom w:val="single" w:sz="4" w:space="0" w:color="000000" w:themeColor="text1"/>
        </w:tcBorders>
        <w:shd w:val="clear" w:color="auto" w:fill="D9D9D9" w:themeFill="background1" w:themeFillShade="D9"/>
      </w:tcPr>
    </w:tblStylePr>
    <w:tblStylePr w:type="lastRow">
      <w:tblPr/>
      <w:trPr>
        <w:hidden/>
      </w:trPr>
      <w:tcPr>
        <w:tcBorders>
          <w:bottom w:val="single" w:sz="4" w:space="0" w:color="000000" w:themeColor="text1"/>
        </w:tcBorders>
      </w:tcPr>
    </w:tblStylePr>
    <w:tblStylePr w:type="firstCol">
      <w:rPr>
        <w:b/>
      </w:rPr>
      <w:tblPr/>
      <w:trPr>
        <w:hidden/>
      </w:trPr>
      <w:tcPr>
        <w:tcBorders>
          <w:right w:val="single" w:sz="4" w:space="0" w:color="000000" w:themeColor="text1"/>
        </w:tcBorders>
        <w:shd w:val="clear" w:color="auto" w:fill="D9D9D9" w:themeFill="background1" w:themeFillShade="D9"/>
      </w:tcPr>
    </w:tblStylePr>
    <w:tblStylePr w:type="nwCell">
      <w:tblPr/>
      <w:trPr>
        <w:hidden/>
      </w:trPr>
      <w:tcPr>
        <w:shd w:val="clear" w:color="auto" w:fill="D9D9D9" w:themeFill="background1" w:themeFillShade="D9"/>
      </w:tcPr>
    </w:tblStylePr>
  </w:style>
  <w:style w:type="paragraph" w:styleId="TableofFigures">
    <w:name w:val="table of figures"/>
    <w:basedOn w:val="Normal"/>
    <w:next w:val="Normal"/>
    <w:uiPriority w:val="99"/>
    <w:unhideWhenUsed/>
    <w:rsid w:val="001F1A39"/>
    <w:pPr>
      <w:tabs>
        <w:tab w:val="right" w:pos="9350"/>
      </w:tabs>
      <w:spacing w:before="120" w:line="360" w:lineRule="auto"/>
    </w:pPr>
    <w:rPr>
      <w:rFonts w:ascii="Calibri" w:hAnsi="Calibri"/>
      <w:sz w:val="22"/>
      <w:szCs w:val="22"/>
      <w:lang w:eastAsia="en-US"/>
    </w:rPr>
  </w:style>
  <w:style w:type="paragraph" w:customStyle="1" w:styleId="Footnote">
    <w:name w:val="Footnote"/>
    <w:basedOn w:val="Normal"/>
    <w:link w:val="FootnoteChar"/>
    <w:qFormat/>
    <w:rsid w:val="001F1A39"/>
    <w:pPr>
      <w:spacing w:before="120" w:after="240"/>
    </w:pPr>
    <w:rPr>
      <w:rFonts w:ascii="Calibri" w:hAnsi="Calibri"/>
      <w:sz w:val="16"/>
      <w:szCs w:val="20"/>
      <w:lang w:eastAsia="en-US"/>
    </w:rPr>
  </w:style>
  <w:style w:type="character" w:customStyle="1" w:styleId="FootnoteChar">
    <w:name w:val="Footnote Char"/>
    <w:basedOn w:val="DefaultParagraphFont"/>
    <w:link w:val="Footnote"/>
    <w:rsid w:val="001F1A39"/>
    <w:rPr>
      <w:rFonts w:ascii="Calibri" w:eastAsia="Times New Roman" w:hAnsi="Calibri"/>
      <w:sz w:val="16"/>
    </w:rPr>
  </w:style>
  <w:style w:type="paragraph" w:styleId="TOC6">
    <w:name w:val="toc 6"/>
    <w:basedOn w:val="Normal"/>
    <w:next w:val="Normal"/>
    <w:autoRedefine/>
    <w:uiPriority w:val="39"/>
    <w:unhideWhenUsed/>
    <w:rsid w:val="001F1A39"/>
    <w:pPr>
      <w:spacing w:before="120" w:line="276" w:lineRule="auto"/>
      <w:ind w:left="1200"/>
    </w:pPr>
    <w:rPr>
      <w:rFonts w:ascii="Calibri" w:hAnsi="Calibri"/>
      <w:sz w:val="22"/>
      <w:szCs w:val="20"/>
      <w:lang w:eastAsia="en-US"/>
    </w:rPr>
  </w:style>
  <w:style w:type="paragraph" w:styleId="TOC7">
    <w:name w:val="toc 7"/>
    <w:basedOn w:val="Normal"/>
    <w:next w:val="Normal"/>
    <w:autoRedefine/>
    <w:uiPriority w:val="39"/>
    <w:unhideWhenUsed/>
    <w:rsid w:val="001F1A39"/>
    <w:pPr>
      <w:spacing w:before="120" w:line="276" w:lineRule="auto"/>
      <w:ind w:left="1440"/>
    </w:pPr>
    <w:rPr>
      <w:rFonts w:ascii="Calibri" w:hAnsi="Calibri"/>
      <w:sz w:val="22"/>
      <w:szCs w:val="20"/>
      <w:lang w:eastAsia="en-US"/>
    </w:rPr>
  </w:style>
  <w:style w:type="paragraph" w:styleId="TOC8">
    <w:name w:val="toc 8"/>
    <w:basedOn w:val="Normal"/>
    <w:next w:val="Normal"/>
    <w:autoRedefine/>
    <w:uiPriority w:val="39"/>
    <w:unhideWhenUsed/>
    <w:rsid w:val="001F1A39"/>
    <w:pPr>
      <w:spacing w:before="120" w:line="276" w:lineRule="auto"/>
      <w:ind w:left="1680"/>
    </w:pPr>
    <w:rPr>
      <w:rFonts w:ascii="Calibri" w:hAnsi="Calibri"/>
      <w:sz w:val="22"/>
      <w:szCs w:val="20"/>
      <w:lang w:eastAsia="en-US"/>
    </w:rPr>
  </w:style>
  <w:style w:type="paragraph" w:styleId="TOC9">
    <w:name w:val="toc 9"/>
    <w:basedOn w:val="Normal"/>
    <w:next w:val="Normal"/>
    <w:autoRedefine/>
    <w:uiPriority w:val="39"/>
    <w:unhideWhenUsed/>
    <w:rsid w:val="001F1A39"/>
    <w:pPr>
      <w:spacing w:before="120" w:line="276" w:lineRule="auto"/>
      <w:ind w:left="1920"/>
    </w:pPr>
    <w:rPr>
      <w:rFonts w:ascii="Calibri" w:hAnsi="Calibri"/>
      <w:sz w:val="22"/>
      <w:szCs w:val="20"/>
      <w:lang w:eastAsia="en-US"/>
    </w:rPr>
  </w:style>
  <w:style w:type="character" w:styleId="EndnoteReference">
    <w:name w:val="endnote reference"/>
    <w:basedOn w:val="DefaultParagraphFont"/>
    <w:uiPriority w:val="99"/>
    <w:semiHidden/>
    <w:unhideWhenUsed/>
    <w:rsid w:val="001F1A39"/>
    <w:rPr>
      <w:vertAlign w:val="superscript"/>
    </w:rPr>
  </w:style>
  <w:style w:type="paragraph" w:styleId="EndnoteText">
    <w:name w:val="endnote text"/>
    <w:basedOn w:val="Normal"/>
    <w:link w:val="EndnoteTextChar"/>
    <w:uiPriority w:val="99"/>
    <w:semiHidden/>
    <w:unhideWhenUsed/>
    <w:rsid w:val="001F1A39"/>
    <w:pPr>
      <w:spacing w:before="120"/>
    </w:pPr>
    <w:rPr>
      <w:rFonts w:ascii="Calibri" w:hAnsi="Calibri"/>
      <w:sz w:val="22"/>
      <w:szCs w:val="20"/>
      <w:lang w:eastAsia="en-US"/>
    </w:rPr>
  </w:style>
  <w:style w:type="character" w:customStyle="1" w:styleId="EndnoteTextChar">
    <w:name w:val="Endnote Text Char"/>
    <w:basedOn w:val="DefaultParagraphFont"/>
    <w:link w:val="EndnoteText"/>
    <w:uiPriority w:val="99"/>
    <w:semiHidden/>
    <w:rsid w:val="001F1A39"/>
    <w:rPr>
      <w:rFonts w:ascii="Calibri" w:eastAsia="Times New Roman" w:hAnsi="Calibri"/>
      <w:sz w:val="22"/>
    </w:rPr>
  </w:style>
  <w:style w:type="paragraph" w:styleId="Subtitle">
    <w:name w:val="Subtitle"/>
    <w:next w:val="Normal"/>
    <w:link w:val="SubtitleChar"/>
    <w:uiPriority w:val="11"/>
    <w:qFormat/>
    <w:rsid w:val="001F1A39"/>
    <w:pPr>
      <w:spacing w:after="600"/>
    </w:pPr>
    <w:rPr>
      <w:rFonts w:asciiTheme="minorHAnsi" w:eastAsiaTheme="minorEastAsia" w:hAnsiTheme="minorHAnsi" w:cstheme="minorBidi"/>
      <w:smallCaps/>
      <w:color w:val="938953" w:themeColor="background2" w:themeShade="7F"/>
      <w:spacing w:val="5"/>
      <w:sz w:val="28"/>
      <w:szCs w:val="28"/>
      <w:lang w:val="en-US" w:bidi="en-US"/>
    </w:rPr>
  </w:style>
  <w:style w:type="character" w:customStyle="1" w:styleId="SubtitleChar">
    <w:name w:val="Subtitle Char"/>
    <w:basedOn w:val="DefaultParagraphFont"/>
    <w:link w:val="Subtitle"/>
    <w:uiPriority w:val="11"/>
    <w:rsid w:val="001F1A39"/>
    <w:rPr>
      <w:rFonts w:asciiTheme="minorHAnsi" w:eastAsiaTheme="minorEastAsia" w:hAnsiTheme="minorHAnsi" w:cstheme="minorBidi"/>
      <w:smallCaps/>
      <w:color w:val="938953" w:themeColor="background2" w:themeShade="7F"/>
      <w:spacing w:val="5"/>
      <w:sz w:val="28"/>
      <w:szCs w:val="28"/>
      <w:lang w:val="en-US" w:bidi="en-US"/>
    </w:rPr>
  </w:style>
  <w:style w:type="paragraph" w:styleId="DocumentMap">
    <w:name w:val="Document Map"/>
    <w:basedOn w:val="Normal"/>
    <w:link w:val="DocumentMapChar"/>
    <w:uiPriority w:val="99"/>
    <w:semiHidden/>
    <w:unhideWhenUsed/>
    <w:rsid w:val="001F1A39"/>
    <w:pPr>
      <w:spacing w:before="120"/>
    </w:pPr>
    <w:rPr>
      <w:rFonts w:ascii="Tahoma" w:hAnsi="Tahoma" w:cs="Tahoma"/>
      <w:sz w:val="16"/>
      <w:szCs w:val="16"/>
      <w:lang w:eastAsia="en-US"/>
    </w:rPr>
  </w:style>
  <w:style w:type="character" w:customStyle="1" w:styleId="DocumentMapChar">
    <w:name w:val="Document Map Char"/>
    <w:basedOn w:val="DefaultParagraphFont"/>
    <w:link w:val="DocumentMap"/>
    <w:uiPriority w:val="99"/>
    <w:semiHidden/>
    <w:rsid w:val="001F1A39"/>
    <w:rPr>
      <w:rFonts w:ascii="Tahoma" w:eastAsia="Times New Roman" w:hAnsi="Tahoma" w:cs="Tahoma"/>
      <w:sz w:val="16"/>
      <w:szCs w:val="16"/>
    </w:rPr>
  </w:style>
  <w:style w:type="character" w:styleId="PlaceholderText">
    <w:name w:val="Placeholder Text"/>
    <w:basedOn w:val="DefaultParagraphFont"/>
    <w:uiPriority w:val="99"/>
    <w:semiHidden/>
    <w:rsid w:val="001F1A39"/>
    <w:rPr>
      <w:color w:val="808080"/>
    </w:rPr>
  </w:style>
  <w:style w:type="paragraph" w:styleId="Quote">
    <w:name w:val="Quote"/>
    <w:basedOn w:val="Normal"/>
    <w:next w:val="Normal"/>
    <w:link w:val="QuoteChar"/>
    <w:uiPriority w:val="29"/>
    <w:qFormat/>
    <w:rsid w:val="001F1A39"/>
    <w:pPr>
      <w:spacing w:before="120" w:after="120" w:line="276" w:lineRule="auto"/>
    </w:pPr>
    <w:rPr>
      <w:rFonts w:ascii="Calibri" w:hAnsi="Calibri"/>
      <w:i/>
      <w:iCs/>
      <w:sz w:val="22"/>
      <w:szCs w:val="22"/>
      <w:lang w:eastAsia="en-US"/>
    </w:rPr>
  </w:style>
  <w:style w:type="character" w:customStyle="1" w:styleId="QuoteChar">
    <w:name w:val="Quote Char"/>
    <w:basedOn w:val="DefaultParagraphFont"/>
    <w:link w:val="Quote"/>
    <w:uiPriority w:val="29"/>
    <w:rsid w:val="001F1A39"/>
    <w:rPr>
      <w:rFonts w:ascii="Calibri" w:eastAsia="Times New Roman" w:hAnsi="Calibri"/>
      <w:i/>
      <w:iCs/>
      <w:sz w:val="22"/>
      <w:szCs w:val="22"/>
    </w:rPr>
  </w:style>
  <w:style w:type="paragraph" w:styleId="IntenseQuote">
    <w:name w:val="Intense Quote"/>
    <w:basedOn w:val="Normal"/>
    <w:next w:val="Normal"/>
    <w:link w:val="IntenseQuoteChar"/>
    <w:uiPriority w:val="30"/>
    <w:qFormat/>
    <w:rsid w:val="001F1A3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before="120" w:after="120" w:line="300" w:lineRule="auto"/>
      <w:ind w:left="2506" w:right="432"/>
    </w:pPr>
    <w:rPr>
      <w:rFonts w:asciiTheme="majorHAnsi" w:eastAsiaTheme="majorEastAsia" w:hAnsiTheme="majorHAnsi" w:cstheme="majorBidi"/>
      <w:smallCaps/>
      <w:color w:val="365F91" w:themeColor="accent1" w:themeShade="BF"/>
      <w:sz w:val="22"/>
      <w:szCs w:val="22"/>
      <w:lang w:eastAsia="en-US"/>
    </w:rPr>
  </w:style>
  <w:style w:type="character" w:customStyle="1" w:styleId="IntenseQuoteChar">
    <w:name w:val="Intense Quote Char"/>
    <w:basedOn w:val="DefaultParagraphFont"/>
    <w:link w:val="IntenseQuote"/>
    <w:uiPriority w:val="30"/>
    <w:rsid w:val="001F1A39"/>
    <w:rPr>
      <w:rFonts w:asciiTheme="majorHAnsi" w:eastAsiaTheme="majorEastAsia" w:hAnsiTheme="majorHAnsi" w:cstheme="majorBidi"/>
      <w:smallCaps/>
      <w:color w:val="365F91" w:themeColor="accent1" w:themeShade="BF"/>
      <w:sz w:val="22"/>
      <w:szCs w:val="22"/>
    </w:rPr>
  </w:style>
  <w:style w:type="character" w:styleId="SubtleEmphasis">
    <w:name w:val="Subtle Emphasis"/>
    <w:uiPriority w:val="19"/>
    <w:qFormat/>
    <w:rsid w:val="001F1A39"/>
    <w:rPr>
      <w:b/>
      <w:smallCaps/>
      <w:color w:val="auto"/>
    </w:rPr>
  </w:style>
  <w:style w:type="character" w:styleId="IntenseEmphasis">
    <w:name w:val="Intense Emphasis"/>
    <w:uiPriority w:val="21"/>
    <w:qFormat/>
    <w:rsid w:val="001F1A39"/>
    <w:rPr>
      <w:b/>
      <w:bCs/>
      <w:smallCaps/>
      <w:color w:val="4F81BD" w:themeColor="accent1"/>
      <w:spacing w:val="40"/>
    </w:rPr>
  </w:style>
  <w:style w:type="character" w:styleId="SubtleReference">
    <w:name w:val="Subtle Reference"/>
    <w:uiPriority w:val="31"/>
    <w:qFormat/>
    <w:rsid w:val="001F1A39"/>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1F1A39"/>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1F1A39"/>
    <w:rPr>
      <w:rFonts w:asciiTheme="majorHAnsi" w:eastAsiaTheme="majorEastAsia" w:hAnsiTheme="majorHAnsi" w:cstheme="majorBidi"/>
      <w:b/>
      <w:bCs/>
      <w:smallCaps/>
      <w:color w:val="17365D" w:themeColor="text2" w:themeShade="BF"/>
      <w:spacing w:val="10"/>
      <w:u w:val="single"/>
    </w:rPr>
  </w:style>
  <w:style w:type="paragraph" w:customStyle="1" w:styleId="bullets">
    <w:name w:val="bullets"/>
    <w:basedOn w:val="ListParagraph"/>
    <w:qFormat/>
    <w:rsid w:val="001F1A39"/>
    <w:pPr>
      <w:numPr>
        <w:numId w:val="6"/>
      </w:numPr>
      <w:spacing w:before="120" w:after="120"/>
    </w:pPr>
    <w:rPr>
      <w:rFonts w:ascii="Calibri" w:hAnsi="Calibri"/>
      <w:sz w:val="22"/>
    </w:rPr>
  </w:style>
  <w:style w:type="paragraph" w:customStyle="1" w:styleId="DecimalAligned">
    <w:name w:val="Decimal Aligned"/>
    <w:basedOn w:val="Normal"/>
    <w:uiPriority w:val="40"/>
    <w:qFormat/>
    <w:rsid w:val="001F1A39"/>
    <w:pPr>
      <w:tabs>
        <w:tab w:val="decimal" w:pos="360"/>
      </w:tabs>
      <w:spacing w:before="120" w:after="120" w:line="276" w:lineRule="auto"/>
    </w:pPr>
    <w:rPr>
      <w:rFonts w:ascii="Calibri" w:hAnsi="Calibri"/>
      <w:sz w:val="22"/>
      <w:szCs w:val="22"/>
      <w:lang w:eastAsia="en-US"/>
    </w:rPr>
  </w:style>
  <w:style w:type="table" w:customStyle="1" w:styleId="LightShading-Accent11">
    <w:name w:val="Light Shading - Accent 11"/>
    <w:basedOn w:val="TableNormal"/>
    <w:uiPriority w:val="60"/>
    <w:rsid w:val="001F1A39"/>
    <w:rPr>
      <w:rFonts w:asciiTheme="minorHAnsi" w:eastAsiaTheme="minorEastAsia" w:hAnsiTheme="minorHAnsi" w:cstheme="minorBidi"/>
      <w:color w:val="365F91" w:themeColor="accent1" w:themeShade="BF"/>
      <w:sz w:val="22"/>
      <w:szCs w:val="22"/>
      <w:lang w:val="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paragraph" w:customStyle="1" w:styleId="Status">
    <w:name w:val="Status"/>
    <w:basedOn w:val="Normal"/>
    <w:rsid w:val="001F1A39"/>
    <w:pPr>
      <w:spacing w:before="60" w:after="120" w:line="280" w:lineRule="atLeast"/>
    </w:pPr>
    <w:rPr>
      <w:rFonts w:ascii="Calibri" w:eastAsia="SimSun" w:hAnsi="Calibri"/>
      <w:sz w:val="22"/>
      <w:szCs w:val="20"/>
      <w:lang w:eastAsia="en-US"/>
    </w:rPr>
  </w:style>
  <w:style w:type="paragraph" w:customStyle="1" w:styleId="FigureCaption">
    <w:name w:val="Figure Caption"/>
    <w:basedOn w:val="Caption"/>
    <w:next w:val="Normal"/>
    <w:qFormat/>
    <w:rsid w:val="001F1A39"/>
    <w:pPr>
      <w:spacing w:before="120" w:after="120"/>
    </w:pPr>
    <w:rPr>
      <w:b w:val="0"/>
      <w:bCs w:val="0"/>
      <w:sz w:val="22"/>
      <w:szCs w:val="22"/>
    </w:rPr>
  </w:style>
  <w:style w:type="paragraph" w:customStyle="1" w:styleId="TableCaption">
    <w:name w:val="Table Caption"/>
    <w:basedOn w:val="Caption"/>
    <w:qFormat/>
    <w:rsid w:val="001F1A39"/>
    <w:pPr>
      <w:keepNext/>
      <w:spacing w:before="120" w:after="120"/>
    </w:pPr>
    <w:rPr>
      <w:b w:val="0"/>
      <w:bCs w:val="0"/>
      <w:sz w:val="22"/>
      <w:szCs w:val="22"/>
    </w:rPr>
  </w:style>
  <w:style w:type="paragraph" w:customStyle="1" w:styleId="Code">
    <w:name w:val="Code"/>
    <w:basedOn w:val="Normal"/>
    <w:qFormat/>
    <w:rsid w:val="001F1A3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contextualSpacing/>
    </w:pPr>
    <w:rPr>
      <w:rFonts w:ascii="Courier New" w:hAnsi="Courier New"/>
      <w:sz w:val="18"/>
      <w:szCs w:val="22"/>
      <w:lang w:val="en-NZ" w:eastAsia="en-NZ"/>
    </w:rPr>
  </w:style>
  <w:style w:type="paragraph" w:styleId="HTMLPreformatted">
    <w:name w:val="HTML Preformatted"/>
    <w:basedOn w:val="Normal"/>
    <w:link w:val="HTMLPreformattedChar"/>
    <w:uiPriority w:val="99"/>
    <w:semiHidden/>
    <w:unhideWhenUsed/>
    <w:rsid w:val="001F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NZ" w:eastAsia="en-NZ"/>
    </w:rPr>
  </w:style>
  <w:style w:type="character" w:customStyle="1" w:styleId="HTMLPreformattedChar">
    <w:name w:val="HTML Preformatted Char"/>
    <w:basedOn w:val="DefaultParagraphFont"/>
    <w:link w:val="HTMLPreformatted"/>
    <w:uiPriority w:val="99"/>
    <w:semiHidden/>
    <w:rsid w:val="001F1A39"/>
    <w:rPr>
      <w:rFonts w:ascii="Courier New" w:eastAsia="Times New Roman" w:hAnsi="Courier New" w:cs="Courier New"/>
      <w:lang w:val="en-NZ" w:eastAsia="en-NZ"/>
    </w:rPr>
  </w:style>
  <w:style w:type="table" w:customStyle="1" w:styleId="TableGrid1">
    <w:name w:val="Table Grid1"/>
    <w:basedOn w:val="TableNormal"/>
    <w:next w:val="TableGrid"/>
    <w:uiPriority w:val="59"/>
    <w:rsid w:val="00003E0B"/>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qFormat/>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F1A39"/>
    <w:pPr>
      <w:keepNext/>
      <w:keepLines/>
      <w:spacing w:before="200" w:line="276" w:lineRule="auto"/>
      <w:ind w:left="1152" w:hanging="432"/>
      <w:outlineLvl w:val="5"/>
    </w:pPr>
    <w:rPr>
      <w:rFonts w:ascii="Cambria" w:hAnsi="Cambria"/>
      <w:i/>
      <w:iCs/>
      <w:color w:val="243F60"/>
      <w:sz w:val="22"/>
      <w:szCs w:val="22"/>
      <w:lang w:eastAsia="en-US"/>
    </w:rPr>
  </w:style>
  <w:style w:type="paragraph" w:styleId="Heading7">
    <w:name w:val="heading 7"/>
    <w:basedOn w:val="Normal"/>
    <w:next w:val="Normal"/>
    <w:link w:val="Heading7Char"/>
    <w:uiPriority w:val="9"/>
    <w:semiHidden/>
    <w:unhideWhenUsed/>
    <w:qFormat/>
    <w:rsid w:val="001F1A39"/>
    <w:pPr>
      <w:keepNext/>
      <w:keepLines/>
      <w:spacing w:before="200" w:line="276" w:lineRule="auto"/>
      <w:ind w:left="1296" w:hanging="288"/>
      <w:outlineLvl w:val="6"/>
    </w:pPr>
    <w:rPr>
      <w:rFonts w:ascii="Cambria" w:hAnsi="Cambria"/>
      <w:i/>
      <w:iCs/>
      <w:color w:val="404040"/>
      <w:sz w:val="22"/>
      <w:szCs w:val="22"/>
      <w:lang w:eastAsia="en-US"/>
    </w:rPr>
  </w:style>
  <w:style w:type="paragraph" w:styleId="Heading8">
    <w:name w:val="heading 8"/>
    <w:basedOn w:val="Normal"/>
    <w:next w:val="Normal"/>
    <w:link w:val="Heading8Char"/>
    <w:uiPriority w:val="9"/>
    <w:semiHidden/>
    <w:unhideWhenUsed/>
    <w:qFormat/>
    <w:rsid w:val="001F1A39"/>
    <w:pPr>
      <w:keepNext/>
      <w:keepLines/>
      <w:spacing w:before="200" w:line="276" w:lineRule="auto"/>
      <w:ind w:left="1440" w:hanging="432"/>
      <w:outlineLvl w:val="7"/>
    </w:pPr>
    <w:rPr>
      <w:rFonts w:ascii="Cambria" w:hAnsi="Cambria"/>
      <w:color w:val="404040"/>
      <w:sz w:val="20"/>
      <w:szCs w:val="20"/>
      <w:lang w:eastAsia="en-US"/>
    </w:rPr>
  </w:style>
  <w:style w:type="paragraph" w:styleId="Heading9">
    <w:name w:val="heading 9"/>
    <w:basedOn w:val="Normal"/>
    <w:next w:val="Normal"/>
    <w:link w:val="Heading9Char"/>
    <w:uiPriority w:val="9"/>
    <w:semiHidden/>
    <w:unhideWhenUsed/>
    <w:qFormat/>
    <w:rsid w:val="001F1A39"/>
    <w:pPr>
      <w:keepNext/>
      <w:keepLines/>
      <w:spacing w:before="200" w:line="276" w:lineRule="auto"/>
      <w:ind w:left="1584" w:hanging="144"/>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135D22"/>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uiPriority w:val="99"/>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uiPriority w:val="10"/>
    <w:qFormat/>
    <w:rsid w:val="00CD349A"/>
    <w:pPr>
      <w:spacing w:before="480"/>
    </w:pPr>
    <w:rPr>
      <w:rFonts w:ascii="Arial" w:hAnsi="Arial" w:cs="Arial"/>
      <w:b/>
      <w:bCs/>
      <w:sz w:val="40"/>
      <w:szCs w:val="40"/>
    </w:rPr>
  </w:style>
  <w:style w:type="character" w:customStyle="1" w:styleId="TitleChar">
    <w:name w:val="Title Char"/>
    <w:basedOn w:val="DefaultParagraphFont"/>
    <w:link w:val="Title"/>
    <w:uiPriority w:val="10"/>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uiPriority w:val="99"/>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qFormat/>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qFormat/>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uiPriority w:val="99"/>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uiPriority w:val="99"/>
    <w:rsid w:val="00B8428D"/>
    <w:pPr>
      <w:spacing w:after="120"/>
      <w:ind w:left="1440" w:right="1440"/>
    </w:pPr>
  </w:style>
  <w:style w:type="paragraph" w:styleId="ListParagraph">
    <w:name w:val="List Paragraph"/>
    <w:basedOn w:val="Normal"/>
    <w:uiPriority w:val="34"/>
    <w:qFormat/>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0D3FCA"/>
    <w:pPr>
      <w:spacing w:before="80" w:line="260" w:lineRule="exact"/>
      <w:ind w:left="964"/>
      <w:jc w:val="both"/>
    </w:pPr>
  </w:style>
  <w:style w:type="character" w:styleId="CommentReference">
    <w:name w:val="annotation reference"/>
    <w:basedOn w:val="DefaultParagraphFont"/>
    <w:uiPriority w:val="99"/>
    <w:unhideWhenUsed/>
    <w:rsid w:val="000D3FCA"/>
    <w:rPr>
      <w:sz w:val="16"/>
      <w:szCs w:val="16"/>
    </w:rPr>
  </w:style>
  <w:style w:type="paragraph" w:styleId="CommentText">
    <w:name w:val="annotation text"/>
    <w:basedOn w:val="Normal"/>
    <w:link w:val="CommentTextChar"/>
    <w:unhideWhenUsed/>
    <w:rsid w:val="000D3FCA"/>
    <w:rPr>
      <w:sz w:val="20"/>
      <w:szCs w:val="20"/>
    </w:rPr>
  </w:style>
  <w:style w:type="character" w:customStyle="1" w:styleId="CommentTextChar">
    <w:name w:val="Comment Text Char"/>
    <w:basedOn w:val="DefaultParagraphFont"/>
    <w:link w:val="CommentText"/>
    <w:rsid w:val="000D3FCA"/>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0D3FCA"/>
    <w:rPr>
      <w:b/>
      <w:bCs/>
    </w:rPr>
  </w:style>
  <w:style w:type="character" w:customStyle="1" w:styleId="CommentSubjectChar">
    <w:name w:val="Comment Subject Char"/>
    <w:basedOn w:val="CommentTextChar"/>
    <w:link w:val="CommentSubject"/>
    <w:uiPriority w:val="99"/>
    <w:semiHidden/>
    <w:rsid w:val="000D3FCA"/>
    <w:rPr>
      <w:rFonts w:eastAsia="Times New Roman"/>
      <w:b/>
      <w:bCs/>
      <w:lang w:eastAsia="en-AU"/>
    </w:rPr>
  </w:style>
  <w:style w:type="paragraph" w:styleId="Revision">
    <w:name w:val="Revision"/>
    <w:hidden/>
    <w:uiPriority w:val="99"/>
    <w:semiHidden/>
    <w:rsid w:val="000D3FCA"/>
    <w:rPr>
      <w:rFonts w:eastAsia="Times New Roman"/>
      <w:sz w:val="24"/>
      <w:szCs w:val="24"/>
      <w:lang w:eastAsia="en-AU"/>
    </w:rPr>
  </w:style>
  <w:style w:type="paragraph" w:customStyle="1" w:styleId="Default">
    <w:name w:val="Default"/>
    <w:rsid w:val="000D3FCA"/>
    <w:pPr>
      <w:autoSpaceDE w:val="0"/>
      <w:autoSpaceDN w:val="0"/>
      <w:adjustRightInd w:val="0"/>
    </w:pPr>
    <w:rPr>
      <w:rFonts w:ascii="Calibri" w:hAnsi="Calibri" w:cs="Calibri"/>
      <w:color w:val="000000"/>
      <w:sz w:val="24"/>
      <w:szCs w:val="24"/>
    </w:rPr>
  </w:style>
  <w:style w:type="paragraph" w:customStyle="1" w:styleId="HSR">
    <w:name w:val="HSR"/>
    <w:aliases w:val="Subregulation Heading"/>
    <w:basedOn w:val="Normal"/>
    <w:next w:val="Normal"/>
    <w:rsid w:val="000D3FCA"/>
    <w:pPr>
      <w:keepNext/>
      <w:spacing w:before="300"/>
      <w:ind w:left="964"/>
    </w:pPr>
    <w:rPr>
      <w:rFonts w:ascii="Arial" w:hAnsi="Arial"/>
      <w:i/>
    </w:rPr>
  </w:style>
  <w:style w:type="paragraph" w:customStyle="1" w:styleId="R1">
    <w:name w:val="R1"/>
    <w:aliases w:val="1. or 1.(1)"/>
    <w:basedOn w:val="Normal"/>
    <w:next w:val="Normal"/>
    <w:uiPriority w:val="99"/>
    <w:rsid w:val="000D3FCA"/>
    <w:pPr>
      <w:keepLines/>
      <w:tabs>
        <w:tab w:val="right" w:pos="794"/>
      </w:tabs>
      <w:spacing w:before="120" w:line="260" w:lineRule="exact"/>
      <w:ind w:left="964" w:hanging="964"/>
      <w:jc w:val="both"/>
    </w:pPr>
  </w:style>
  <w:style w:type="paragraph" w:customStyle="1" w:styleId="R2">
    <w:name w:val="R2"/>
    <w:aliases w:val="(2)"/>
    <w:basedOn w:val="Normal"/>
    <w:rsid w:val="000D3FCA"/>
    <w:pPr>
      <w:keepLines/>
      <w:tabs>
        <w:tab w:val="right" w:pos="794"/>
      </w:tabs>
      <w:spacing w:before="180" w:line="260" w:lineRule="exact"/>
      <w:ind w:left="964" w:hanging="964"/>
      <w:jc w:val="both"/>
    </w:pPr>
  </w:style>
  <w:style w:type="paragraph" w:styleId="BodyText">
    <w:name w:val="Body Text"/>
    <w:basedOn w:val="Normal"/>
    <w:link w:val="BodyTextChar"/>
    <w:uiPriority w:val="99"/>
    <w:rsid w:val="000D3FCA"/>
    <w:pPr>
      <w:spacing w:before="120"/>
    </w:pPr>
    <w:rPr>
      <w:rFonts w:eastAsia="MS Mincho"/>
      <w:sz w:val="22"/>
      <w:szCs w:val="20"/>
      <w:lang w:val="en-US" w:eastAsia="en-US"/>
    </w:rPr>
  </w:style>
  <w:style w:type="character" w:customStyle="1" w:styleId="BodyTextChar">
    <w:name w:val="Body Text Char"/>
    <w:basedOn w:val="DefaultParagraphFont"/>
    <w:link w:val="BodyText"/>
    <w:uiPriority w:val="99"/>
    <w:rsid w:val="000D3FCA"/>
    <w:rPr>
      <w:rFonts w:eastAsia="MS Mincho"/>
      <w:sz w:val="22"/>
      <w:lang w:val="en-US"/>
    </w:rPr>
  </w:style>
  <w:style w:type="paragraph" w:customStyle="1" w:styleId="equation">
    <w:name w:val="equation"/>
    <w:basedOn w:val="Normal"/>
    <w:rsid w:val="000D3FCA"/>
    <w:pPr>
      <w:tabs>
        <w:tab w:val="left" w:pos="1134"/>
        <w:tab w:val="left" w:pos="1701"/>
        <w:tab w:val="center" w:pos="9072"/>
      </w:tabs>
    </w:pPr>
    <w:rPr>
      <w:rFonts w:eastAsia="MS Mincho"/>
      <w:sz w:val="22"/>
      <w:szCs w:val="22"/>
      <w:lang w:val="es-ES_tradnl" w:eastAsia="en-US"/>
    </w:rPr>
  </w:style>
  <w:style w:type="paragraph" w:customStyle="1" w:styleId="P1">
    <w:name w:val="P1"/>
    <w:aliases w:val="(a)"/>
    <w:basedOn w:val="Normal"/>
    <w:uiPriority w:val="99"/>
    <w:rsid w:val="000D3FCA"/>
    <w:pPr>
      <w:keepLines/>
      <w:tabs>
        <w:tab w:val="right" w:pos="1191"/>
      </w:tabs>
      <w:spacing w:before="60" w:line="260" w:lineRule="exact"/>
      <w:ind w:left="1418" w:hanging="1418"/>
      <w:jc w:val="both"/>
    </w:pPr>
  </w:style>
  <w:style w:type="table" w:styleId="TableGrid">
    <w:name w:val="Table Grid"/>
    <w:basedOn w:val="TableNormal"/>
    <w:uiPriority w:val="59"/>
    <w:rsid w:val="000D3FCA"/>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FirstIndent">
    <w:name w:val="Body Text First Indent"/>
    <w:basedOn w:val="BodyText"/>
    <w:link w:val="BodyTextFirstIndentChar"/>
    <w:uiPriority w:val="99"/>
    <w:semiHidden/>
    <w:unhideWhenUsed/>
    <w:rsid w:val="000D3FCA"/>
    <w:pPr>
      <w:spacing w:before="0"/>
      <w:ind w:firstLine="360"/>
    </w:pPr>
    <w:rPr>
      <w:rFonts w:eastAsia="Times New Roman"/>
      <w:sz w:val="24"/>
      <w:szCs w:val="24"/>
      <w:lang w:val="en-AU" w:eastAsia="en-AU"/>
    </w:rPr>
  </w:style>
  <w:style w:type="character" w:customStyle="1" w:styleId="BodyTextFirstIndentChar">
    <w:name w:val="Body Text First Indent Char"/>
    <w:basedOn w:val="BodyTextChar"/>
    <w:link w:val="BodyTextFirstIndent"/>
    <w:uiPriority w:val="99"/>
    <w:semiHidden/>
    <w:rsid w:val="000D3FCA"/>
    <w:rPr>
      <w:rFonts w:eastAsia="Times New Roman"/>
      <w:sz w:val="24"/>
      <w:szCs w:val="24"/>
      <w:lang w:val="en-US" w:eastAsia="en-AU"/>
    </w:rPr>
  </w:style>
  <w:style w:type="paragraph" w:customStyle="1" w:styleId="tabletext">
    <w:name w:val="tabletext"/>
    <w:basedOn w:val="Normal"/>
    <w:rsid w:val="000D3FCA"/>
    <w:pPr>
      <w:spacing w:before="100" w:beforeAutospacing="1" w:after="100" w:afterAutospacing="1"/>
    </w:pPr>
  </w:style>
  <w:style w:type="paragraph" w:styleId="Closing">
    <w:name w:val="Closing"/>
    <w:basedOn w:val="Normal"/>
    <w:link w:val="ClosingChar"/>
    <w:uiPriority w:val="99"/>
    <w:rsid w:val="009E5CBC"/>
    <w:pPr>
      <w:ind w:left="4252"/>
    </w:pPr>
  </w:style>
  <w:style w:type="character" w:customStyle="1" w:styleId="ClosingChar">
    <w:name w:val="Closing Char"/>
    <w:basedOn w:val="DefaultParagraphFont"/>
    <w:link w:val="Closing"/>
    <w:uiPriority w:val="99"/>
    <w:rsid w:val="009E5CBC"/>
    <w:rPr>
      <w:rFonts w:eastAsia="Times New Roman"/>
      <w:sz w:val="24"/>
      <w:szCs w:val="24"/>
      <w:lang w:eastAsia="en-AU"/>
    </w:rPr>
  </w:style>
  <w:style w:type="paragraph" w:styleId="FootnoteText">
    <w:name w:val="footnote text"/>
    <w:basedOn w:val="Normal"/>
    <w:link w:val="FootnoteTextChar"/>
    <w:uiPriority w:val="99"/>
    <w:unhideWhenUsed/>
    <w:qFormat/>
    <w:rsid w:val="00FD1DE5"/>
    <w:rPr>
      <w:rFonts w:ascii="Calibri" w:hAnsi="Calibri"/>
      <w:sz w:val="20"/>
      <w:szCs w:val="20"/>
      <w:lang w:eastAsia="en-US"/>
    </w:rPr>
  </w:style>
  <w:style w:type="character" w:customStyle="1" w:styleId="FootnoteTextChar">
    <w:name w:val="Footnote Text Char"/>
    <w:basedOn w:val="DefaultParagraphFont"/>
    <w:link w:val="FootnoteText"/>
    <w:uiPriority w:val="99"/>
    <w:rsid w:val="00FD1DE5"/>
    <w:rPr>
      <w:rFonts w:ascii="Calibri" w:eastAsia="Times New Roman" w:hAnsi="Calibri"/>
    </w:rPr>
  </w:style>
  <w:style w:type="character" w:styleId="FootnoteReference">
    <w:name w:val="footnote reference"/>
    <w:basedOn w:val="DefaultParagraphFont"/>
    <w:uiPriority w:val="99"/>
    <w:unhideWhenUsed/>
    <w:rsid w:val="00FD1DE5"/>
    <w:rPr>
      <w:rFonts w:cs="Times New Roman"/>
      <w:vertAlign w:val="superscript"/>
    </w:rPr>
  </w:style>
  <w:style w:type="character" w:customStyle="1" w:styleId="ssens">
    <w:name w:val="ssens"/>
    <w:basedOn w:val="DefaultParagraphFont"/>
    <w:rsid w:val="00FD1DE5"/>
  </w:style>
  <w:style w:type="character" w:customStyle="1" w:styleId="Heading6Char">
    <w:name w:val="Heading 6 Char"/>
    <w:basedOn w:val="DefaultParagraphFont"/>
    <w:link w:val="Heading6"/>
    <w:uiPriority w:val="9"/>
    <w:semiHidden/>
    <w:rsid w:val="001F1A39"/>
    <w:rPr>
      <w:rFonts w:ascii="Cambria" w:eastAsia="Times New Roman" w:hAnsi="Cambria"/>
      <w:i/>
      <w:iCs/>
      <w:color w:val="243F60"/>
      <w:sz w:val="22"/>
      <w:szCs w:val="22"/>
    </w:rPr>
  </w:style>
  <w:style w:type="character" w:customStyle="1" w:styleId="Heading7Char">
    <w:name w:val="Heading 7 Char"/>
    <w:basedOn w:val="DefaultParagraphFont"/>
    <w:link w:val="Heading7"/>
    <w:uiPriority w:val="9"/>
    <w:semiHidden/>
    <w:rsid w:val="001F1A39"/>
    <w:rPr>
      <w:rFonts w:ascii="Cambria" w:eastAsia="Times New Roman" w:hAnsi="Cambria"/>
      <w:i/>
      <w:iCs/>
      <w:color w:val="404040"/>
      <w:sz w:val="22"/>
      <w:szCs w:val="22"/>
    </w:rPr>
  </w:style>
  <w:style w:type="character" w:customStyle="1" w:styleId="Heading8Char">
    <w:name w:val="Heading 8 Char"/>
    <w:basedOn w:val="DefaultParagraphFont"/>
    <w:link w:val="Heading8"/>
    <w:uiPriority w:val="9"/>
    <w:semiHidden/>
    <w:rsid w:val="001F1A39"/>
    <w:rPr>
      <w:rFonts w:ascii="Cambria" w:eastAsia="Times New Roman" w:hAnsi="Cambria"/>
      <w:color w:val="404040"/>
    </w:rPr>
  </w:style>
  <w:style w:type="character" w:customStyle="1" w:styleId="Heading9Char">
    <w:name w:val="Heading 9 Char"/>
    <w:basedOn w:val="DefaultParagraphFont"/>
    <w:link w:val="Heading9"/>
    <w:uiPriority w:val="9"/>
    <w:semiHidden/>
    <w:rsid w:val="001F1A39"/>
    <w:rPr>
      <w:rFonts w:ascii="Cambria" w:eastAsia="Times New Roman" w:hAnsi="Cambria"/>
      <w:i/>
      <w:iCs/>
      <w:color w:val="404040"/>
    </w:rPr>
  </w:style>
  <w:style w:type="paragraph" w:customStyle="1" w:styleId="Bullet">
    <w:name w:val="Bullet"/>
    <w:aliases w:val="b,Body,bullet,bu,B,b Char Char Char Char Char Char Char Char,b Char Char Char,b Char Char Char Char Char Char,b Char Char,Body Char1 Char1,body,Body1"/>
    <w:basedOn w:val="Normal"/>
    <w:link w:val="BulletChar"/>
    <w:qFormat/>
    <w:rsid w:val="001F1A39"/>
    <w:pPr>
      <w:numPr>
        <w:numId w:val="2"/>
      </w:numPr>
      <w:spacing w:before="120" w:after="120" w:line="276" w:lineRule="auto"/>
    </w:pPr>
    <w:rPr>
      <w:rFonts w:ascii="Calibri" w:hAnsi="Calibri"/>
      <w:sz w:val="22"/>
      <w:szCs w:val="22"/>
      <w:lang w:eastAsia="en-US"/>
    </w:rPr>
  </w:style>
  <w:style w:type="character" w:customStyle="1" w:styleId="BulletChar">
    <w:name w:val="Bullet Char"/>
    <w:aliases w:val="b Char"/>
    <w:basedOn w:val="DefaultParagraphFont"/>
    <w:link w:val="Bullet"/>
    <w:locked/>
    <w:rsid w:val="001F1A39"/>
    <w:rPr>
      <w:rFonts w:ascii="Calibri" w:eastAsia="Times New Roman" w:hAnsi="Calibri"/>
      <w:sz w:val="22"/>
      <w:szCs w:val="22"/>
    </w:rPr>
  </w:style>
  <w:style w:type="paragraph" w:customStyle="1" w:styleId="Dash">
    <w:name w:val="Dash"/>
    <w:basedOn w:val="Normal"/>
    <w:link w:val="DashChar"/>
    <w:qFormat/>
    <w:rsid w:val="001F1A39"/>
    <w:pPr>
      <w:numPr>
        <w:ilvl w:val="1"/>
        <w:numId w:val="2"/>
      </w:numPr>
      <w:spacing w:before="120" w:after="120" w:line="276" w:lineRule="auto"/>
    </w:pPr>
    <w:rPr>
      <w:rFonts w:ascii="Calibri" w:hAnsi="Calibri"/>
      <w:sz w:val="22"/>
      <w:szCs w:val="22"/>
      <w:lang w:eastAsia="en-US"/>
    </w:rPr>
  </w:style>
  <w:style w:type="character" w:customStyle="1" w:styleId="DashChar">
    <w:name w:val="Dash Char"/>
    <w:basedOn w:val="DefaultParagraphFont"/>
    <w:link w:val="Dash"/>
    <w:locked/>
    <w:rsid w:val="001F1A39"/>
    <w:rPr>
      <w:rFonts w:ascii="Calibri" w:eastAsia="Times New Roman" w:hAnsi="Calibri"/>
      <w:sz w:val="22"/>
      <w:szCs w:val="22"/>
    </w:rPr>
  </w:style>
  <w:style w:type="paragraph" w:customStyle="1" w:styleId="DoubleDot">
    <w:name w:val="Double Dot"/>
    <w:basedOn w:val="Normal"/>
    <w:link w:val="DoubleDotChar"/>
    <w:rsid w:val="001F1A39"/>
    <w:pPr>
      <w:numPr>
        <w:ilvl w:val="2"/>
        <w:numId w:val="2"/>
      </w:numPr>
      <w:spacing w:before="120" w:after="120" w:line="276" w:lineRule="auto"/>
    </w:pPr>
    <w:rPr>
      <w:rFonts w:ascii="Calibri" w:hAnsi="Calibri"/>
      <w:sz w:val="22"/>
      <w:szCs w:val="22"/>
      <w:lang w:eastAsia="en-US"/>
    </w:rPr>
  </w:style>
  <w:style w:type="character" w:customStyle="1" w:styleId="DoubleDotChar">
    <w:name w:val="Double Dot Char"/>
    <w:basedOn w:val="DefaultParagraphFont"/>
    <w:link w:val="DoubleDot"/>
    <w:locked/>
    <w:rsid w:val="001F1A39"/>
    <w:rPr>
      <w:rFonts w:ascii="Calibri" w:eastAsia="Times New Roman" w:hAnsi="Calibri"/>
      <w:sz w:val="22"/>
      <w:szCs w:val="22"/>
    </w:rPr>
  </w:style>
  <w:style w:type="character" w:styleId="Emphasis">
    <w:name w:val="Emphasis"/>
    <w:basedOn w:val="DefaultParagraphFont"/>
    <w:uiPriority w:val="20"/>
    <w:qFormat/>
    <w:rsid w:val="001F1A39"/>
    <w:rPr>
      <w:rFonts w:cs="Times New Roman"/>
      <w:b/>
      <w:bCs/>
    </w:rPr>
  </w:style>
  <w:style w:type="paragraph" w:customStyle="1" w:styleId="OutlineNumbered1">
    <w:name w:val="Outline Numbered 1"/>
    <w:basedOn w:val="Normal"/>
    <w:link w:val="OutlineNumbered1Char"/>
    <w:rsid w:val="001F1A39"/>
    <w:pPr>
      <w:numPr>
        <w:numId w:val="3"/>
      </w:numPr>
      <w:spacing w:before="120" w:after="120" w:line="276" w:lineRule="auto"/>
    </w:pPr>
    <w:rPr>
      <w:rFonts w:ascii="Calibri" w:hAnsi="Calibri"/>
      <w:sz w:val="22"/>
      <w:szCs w:val="22"/>
      <w:lang w:eastAsia="en-US"/>
    </w:rPr>
  </w:style>
  <w:style w:type="character" w:customStyle="1" w:styleId="OutlineNumbered1Char">
    <w:name w:val="Outline Numbered 1 Char"/>
    <w:basedOn w:val="BulletChar"/>
    <w:link w:val="OutlineNumbered1"/>
    <w:locked/>
    <w:rsid w:val="001F1A39"/>
    <w:rPr>
      <w:rFonts w:ascii="Calibri" w:eastAsia="Times New Roman" w:hAnsi="Calibri"/>
      <w:sz w:val="22"/>
      <w:szCs w:val="22"/>
    </w:rPr>
  </w:style>
  <w:style w:type="paragraph" w:customStyle="1" w:styleId="OutlineNumbered2">
    <w:name w:val="Outline Numbered 2"/>
    <w:basedOn w:val="Normal"/>
    <w:rsid w:val="001F1A39"/>
    <w:pPr>
      <w:numPr>
        <w:ilvl w:val="1"/>
        <w:numId w:val="3"/>
      </w:numPr>
      <w:spacing w:before="120" w:after="120" w:line="276" w:lineRule="auto"/>
    </w:pPr>
    <w:rPr>
      <w:rFonts w:ascii="Calibri" w:hAnsi="Calibri"/>
      <w:sz w:val="22"/>
      <w:szCs w:val="22"/>
      <w:lang w:eastAsia="en-US"/>
    </w:rPr>
  </w:style>
  <w:style w:type="paragraph" w:customStyle="1" w:styleId="OutlineNumbered3">
    <w:name w:val="Outline Numbered 3"/>
    <w:basedOn w:val="Normal"/>
    <w:rsid w:val="001F1A39"/>
    <w:pPr>
      <w:numPr>
        <w:ilvl w:val="2"/>
        <w:numId w:val="3"/>
      </w:numPr>
      <w:spacing w:before="120" w:after="120" w:line="276" w:lineRule="auto"/>
    </w:pPr>
    <w:rPr>
      <w:rFonts w:ascii="Calibri" w:hAnsi="Calibri"/>
      <w:sz w:val="22"/>
      <w:szCs w:val="22"/>
      <w:lang w:eastAsia="en-US"/>
    </w:rPr>
  </w:style>
  <w:style w:type="paragraph" w:styleId="TOCHeading">
    <w:name w:val="TOC Heading"/>
    <w:basedOn w:val="Heading1"/>
    <w:next w:val="Normal"/>
    <w:uiPriority w:val="39"/>
    <w:unhideWhenUsed/>
    <w:qFormat/>
    <w:rsid w:val="001F1A39"/>
    <w:pPr>
      <w:spacing w:line="276" w:lineRule="auto"/>
      <w:outlineLvl w:val="9"/>
    </w:pPr>
    <w:rPr>
      <w:rFonts w:ascii="Cambria" w:eastAsia="Times New Roman" w:hAnsi="Cambria" w:cs="Times New Roman"/>
      <w:color w:val="365F91"/>
      <w:lang w:val="en-US" w:eastAsia="en-US"/>
    </w:rPr>
  </w:style>
  <w:style w:type="paragraph" w:styleId="TOC1">
    <w:name w:val="toc 1"/>
    <w:basedOn w:val="Normal"/>
    <w:next w:val="Normal"/>
    <w:autoRedefine/>
    <w:uiPriority w:val="39"/>
    <w:unhideWhenUsed/>
    <w:qFormat/>
    <w:rsid w:val="001F1A39"/>
    <w:pPr>
      <w:tabs>
        <w:tab w:val="right" w:leader="dot" w:pos="9016"/>
      </w:tabs>
      <w:spacing w:before="120" w:after="100" w:line="276" w:lineRule="auto"/>
    </w:pPr>
    <w:rPr>
      <w:rFonts w:ascii="Calibri" w:hAnsi="Calibri"/>
      <w:noProof/>
      <w:sz w:val="22"/>
      <w:szCs w:val="22"/>
      <w:lang w:eastAsia="en-US"/>
    </w:rPr>
  </w:style>
  <w:style w:type="paragraph" w:customStyle="1" w:styleId="CABNETParagraph">
    <w:name w:val="CABNET Paragraph"/>
    <w:basedOn w:val="Normal"/>
    <w:link w:val="CABNETParagraphChar"/>
    <w:qFormat/>
    <w:rsid w:val="001F1A39"/>
    <w:pPr>
      <w:spacing w:before="120" w:after="120"/>
    </w:pPr>
    <w:rPr>
      <w:rFonts w:ascii="Verdana" w:hAnsi="Verdana"/>
      <w:sz w:val="22"/>
      <w:szCs w:val="22"/>
      <w:lang w:eastAsia="en-US"/>
    </w:rPr>
  </w:style>
  <w:style w:type="character" w:customStyle="1" w:styleId="CABNETParagraphChar">
    <w:name w:val="CABNET Paragraph Char"/>
    <w:basedOn w:val="DefaultParagraphFont"/>
    <w:link w:val="CABNETParagraph"/>
    <w:locked/>
    <w:rsid w:val="001F1A39"/>
    <w:rPr>
      <w:rFonts w:ascii="Verdana" w:eastAsia="Times New Roman" w:hAnsi="Verdana"/>
      <w:sz w:val="22"/>
      <w:szCs w:val="22"/>
    </w:rPr>
  </w:style>
  <w:style w:type="character" w:styleId="Strong">
    <w:name w:val="Strong"/>
    <w:basedOn w:val="DefaultParagraphFont"/>
    <w:uiPriority w:val="22"/>
    <w:qFormat/>
    <w:rsid w:val="001F1A39"/>
    <w:rPr>
      <w:rFonts w:cs="Times New Roman"/>
      <w:b/>
      <w:bCs/>
    </w:rPr>
  </w:style>
  <w:style w:type="paragraph" w:customStyle="1" w:styleId="RegPara">
    <w:name w:val="RegPara"/>
    <w:basedOn w:val="Default"/>
    <w:next w:val="Default"/>
    <w:uiPriority w:val="99"/>
    <w:rsid w:val="001F1A39"/>
    <w:rPr>
      <w:rFonts w:ascii="Times New Roman" w:eastAsia="Times New Roman" w:hAnsi="Times New Roman" w:cs="Times New Roman"/>
      <w:color w:val="auto"/>
      <w:lang w:eastAsia="en-AU"/>
    </w:rPr>
  </w:style>
  <w:style w:type="character" w:styleId="FollowedHyperlink">
    <w:name w:val="FollowedHyperlink"/>
    <w:basedOn w:val="DefaultParagraphFont"/>
    <w:uiPriority w:val="99"/>
    <w:semiHidden/>
    <w:unhideWhenUsed/>
    <w:rsid w:val="001F1A39"/>
    <w:rPr>
      <w:rFonts w:cs="Times New Roman"/>
      <w:color w:val="800080"/>
      <w:u w:val="single"/>
    </w:rPr>
  </w:style>
  <w:style w:type="paragraph" w:customStyle="1" w:styleId="TableNormal1">
    <w:name w:val="Table Normal1"/>
    <w:basedOn w:val="Normal"/>
    <w:uiPriority w:val="99"/>
    <w:rsid w:val="001F1A39"/>
    <w:pPr>
      <w:spacing w:before="40" w:line="240" w:lineRule="exact"/>
    </w:pPr>
    <w:rPr>
      <w:rFonts w:ascii="Arial" w:hAnsi="Arial"/>
      <w:sz w:val="20"/>
      <w:lang w:eastAsia="en-US"/>
    </w:rPr>
  </w:style>
  <w:style w:type="character" w:customStyle="1" w:styleId="journalabstract1">
    <w:name w:val="journal_abstract1"/>
    <w:basedOn w:val="DefaultParagraphFont"/>
    <w:rsid w:val="001F1A39"/>
    <w:rPr>
      <w:rFonts w:ascii="Arial" w:hAnsi="Arial" w:cs="Arial"/>
      <w:sz w:val="18"/>
      <w:szCs w:val="18"/>
    </w:rPr>
  </w:style>
  <w:style w:type="paragraph" w:styleId="Caption">
    <w:name w:val="caption"/>
    <w:basedOn w:val="Normal"/>
    <w:next w:val="Normal"/>
    <w:uiPriority w:val="35"/>
    <w:unhideWhenUsed/>
    <w:qFormat/>
    <w:rsid w:val="001F1A39"/>
    <w:pPr>
      <w:spacing w:after="200"/>
    </w:pPr>
    <w:rPr>
      <w:rFonts w:ascii="Calibri" w:hAnsi="Calibri"/>
      <w:b/>
      <w:bCs/>
      <w:sz w:val="18"/>
      <w:szCs w:val="18"/>
      <w:lang w:eastAsia="en-US"/>
    </w:rPr>
  </w:style>
  <w:style w:type="numbering" w:customStyle="1" w:styleId="CABNETList">
    <w:name w:val="CABNET List"/>
    <w:rsid w:val="001F1A39"/>
    <w:pPr>
      <w:numPr>
        <w:numId w:val="4"/>
      </w:numPr>
    </w:pPr>
  </w:style>
  <w:style w:type="numbering" w:styleId="ArticleSection">
    <w:name w:val="Outline List 3"/>
    <w:basedOn w:val="NoList"/>
    <w:uiPriority w:val="99"/>
    <w:semiHidden/>
    <w:unhideWhenUsed/>
    <w:rsid w:val="001F1A39"/>
    <w:pPr>
      <w:numPr>
        <w:numId w:val="5"/>
      </w:numPr>
    </w:pPr>
  </w:style>
  <w:style w:type="paragraph" w:styleId="NormalWeb">
    <w:name w:val="Normal (Web)"/>
    <w:basedOn w:val="Normal"/>
    <w:uiPriority w:val="99"/>
    <w:unhideWhenUsed/>
    <w:rsid w:val="001F1A39"/>
    <w:pPr>
      <w:spacing w:before="100" w:beforeAutospacing="1" w:after="100" w:afterAutospacing="1"/>
    </w:pPr>
    <w:rPr>
      <w:lang w:val="en-NZ" w:eastAsia="en-NZ"/>
    </w:rPr>
  </w:style>
  <w:style w:type="paragraph" w:customStyle="1" w:styleId="subsection">
    <w:name w:val="subsection"/>
    <w:aliases w:val="ss"/>
    <w:basedOn w:val="Normal"/>
    <w:link w:val="subsectionChar"/>
    <w:rsid w:val="001F1A39"/>
    <w:pPr>
      <w:tabs>
        <w:tab w:val="right" w:pos="1021"/>
      </w:tabs>
      <w:spacing w:before="180"/>
      <w:ind w:left="1134" w:hanging="1134"/>
    </w:pPr>
    <w:rPr>
      <w:sz w:val="22"/>
      <w:szCs w:val="20"/>
    </w:rPr>
  </w:style>
  <w:style w:type="paragraph" w:customStyle="1" w:styleId="paragraph">
    <w:name w:val="paragraph"/>
    <w:aliases w:val="a"/>
    <w:basedOn w:val="Normal"/>
    <w:link w:val="paragraphChar"/>
    <w:rsid w:val="001F1A39"/>
    <w:pPr>
      <w:tabs>
        <w:tab w:val="right" w:pos="1531"/>
      </w:tabs>
      <w:spacing w:before="40"/>
      <w:ind w:left="1644" w:hanging="1644"/>
    </w:pPr>
    <w:rPr>
      <w:sz w:val="22"/>
      <w:szCs w:val="20"/>
    </w:rPr>
  </w:style>
  <w:style w:type="paragraph" w:customStyle="1" w:styleId="subsection2">
    <w:name w:val="subsection2"/>
    <w:aliases w:val="ss2"/>
    <w:basedOn w:val="Normal"/>
    <w:next w:val="subsection"/>
    <w:rsid w:val="001F1A39"/>
    <w:pPr>
      <w:spacing w:before="40"/>
      <w:ind w:left="1134"/>
    </w:pPr>
    <w:rPr>
      <w:sz w:val="22"/>
      <w:szCs w:val="20"/>
    </w:rPr>
  </w:style>
  <w:style w:type="character" w:customStyle="1" w:styleId="subsectionChar">
    <w:name w:val="subsection Char"/>
    <w:aliases w:val="ss Char"/>
    <w:basedOn w:val="DefaultParagraphFont"/>
    <w:link w:val="subsection"/>
    <w:rsid w:val="001F1A39"/>
    <w:rPr>
      <w:rFonts w:eastAsia="Times New Roman"/>
      <w:sz w:val="22"/>
      <w:lang w:eastAsia="en-AU"/>
    </w:rPr>
  </w:style>
  <w:style w:type="character" w:customStyle="1" w:styleId="paragraphChar">
    <w:name w:val="paragraph Char"/>
    <w:aliases w:val="a Char"/>
    <w:basedOn w:val="DefaultParagraphFont"/>
    <w:link w:val="paragraph"/>
    <w:rsid w:val="001F1A39"/>
    <w:rPr>
      <w:rFonts w:eastAsia="Times New Roman"/>
      <w:sz w:val="22"/>
      <w:lang w:eastAsia="en-AU"/>
    </w:rPr>
  </w:style>
  <w:style w:type="paragraph" w:styleId="NoSpacing">
    <w:name w:val="No Spacing"/>
    <w:link w:val="NoSpacingChar"/>
    <w:uiPriority w:val="1"/>
    <w:qFormat/>
    <w:rsid w:val="001F1A39"/>
    <w:rPr>
      <w:rFonts w:ascii="Arial" w:eastAsiaTheme="minorEastAsia" w:hAnsi="Arial" w:cstheme="minorBidi"/>
      <w:bCs/>
      <w:color w:val="000000" w:themeColor="text1"/>
      <w:sz w:val="18"/>
      <w:szCs w:val="18"/>
    </w:rPr>
  </w:style>
  <w:style w:type="character" w:customStyle="1" w:styleId="NoSpacingChar">
    <w:name w:val="No Spacing Char"/>
    <w:basedOn w:val="DefaultParagraphFont"/>
    <w:link w:val="NoSpacing"/>
    <w:uiPriority w:val="1"/>
    <w:rsid w:val="001F1A39"/>
    <w:rPr>
      <w:rFonts w:ascii="Arial" w:eastAsiaTheme="minorEastAsia" w:hAnsi="Arial" w:cstheme="minorBidi"/>
      <w:bCs/>
      <w:color w:val="000000" w:themeColor="text1"/>
      <w:sz w:val="18"/>
      <w:szCs w:val="18"/>
    </w:rPr>
  </w:style>
  <w:style w:type="table" w:customStyle="1" w:styleId="EASSimpleTable">
    <w:name w:val="EAS Simple Table"/>
    <w:basedOn w:val="TableNormal"/>
    <w:uiPriority w:val="99"/>
    <w:qFormat/>
    <w:rsid w:val="001F1A39"/>
    <w:rPr>
      <w:rFonts w:ascii="Arial" w:hAnsi="Arial" w:cstheme="minorBidi"/>
      <w:bCs/>
      <w:color w:val="000000" w:themeColor="text1"/>
      <w:szCs w:val="18"/>
    </w:rPr>
    <w:tblPr>
      <w:tblInd w:w="0" w:type="dxa"/>
      <w:tblBorders>
        <w:bottom w:val="single" w:sz="4" w:space="0" w:color="000000" w:themeColor="text1"/>
      </w:tblBorders>
      <w:tblCellMar>
        <w:top w:w="0" w:type="dxa"/>
        <w:left w:w="108" w:type="dxa"/>
        <w:bottom w:w="0" w:type="dxa"/>
        <w:right w:w="108" w:type="dxa"/>
      </w:tblCellMar>
    </w:tblPr>
    <w:trPr>
      <w:hidden/>
    </w:trPr>
    <w:tblStylePr w:type="firstRow">
      <w:rPr>
        <w:b/>
      </w:rPr>
      <w:tblPr/>
      <w:trPr>
        <w:cantSplit/>
        <w:tblHeader/>
        <w:hidden/>
      </w:trPr>
      <w:tcPr>
        <w:tcBorders>
          <w:top w:val="single" w:sz="4" w:space="0" w:color="000000" w:themeColor="text1"/>
          <w:bottom w:val="single" w:sz="4" w:space="0" w:color="000000" w:themeColor="text1"/>
        </w:tcBorders>
        <w:shd w:val="clear" w:color="auto" w:fill="D9D9D9" w:themeFill="background1" w:themeFillShade="D9"/>
      </w:tcPr>
    </w:tblStylePr>
    <w:tblStylePr w:type="lastRow">
      <w:tblPr/>
      <w:trPr>
        <w:hidden/>
      </w:trPr>
      <w:tcPr>
        <w:tcBorders>
          <w:bottom w:val="single" w:sz="4" w:space="0" w:color="000000" w:themeColor="text1"/>
        </w:tcBorders>
      </w:tcPr>
    </w:tblStylePr>
  </w:style>
  <w:style w:type="table" w:customStyle="1" w:styleId="EASXYTable">
    <w:name w:val="EAS XY Table"/>
    <w:basedOn w:val="EASSimpleTable"/>
    <w:uiPriority w:val="99"/>
    <w:qFormat/>
    <w:rsid w:val="001F1A39"/>
    <w:tblPr>
      <w:tblInd w:w="0" w:type="dxa"/>
      <w:tblBorders>
        <w:bottom w:val="single" w:sz="4" w:space="0" w:color="000000" w:themeColor="text1"/>
      </w:tblBorders>
      <w:tblCellMar>
        <w:top w:w="0" w:type="dxa"/>
        <w:left w:w="108" w:type="dxa"/>
        <w:bottom w:w="0" w:type="dxa"/>
        <w:right w:w="108" w:type="dxa"/>
      </w:tblCellMar>
    </w:tblPr>
    <w:trPr>
      <w:hidden/>
    </w:trPr>
    <w:tblStylePr w:type="firstRow">
      <w:rPr>
        <w:b/>
      </w:rPr>
      <w:tblPr/>
      <w:trPr>
        <w:cantSplit/>
        <w:tblHeader/>
        <w:hidden/>
      </w:trPr>
      <w:tcPr>
        <w:tcBorders>
          <w:top w:val="single" w:sz="4" w:space="0" w:color="000000" w:themeColor="text1"/>
          <w:bottom w:val="single" w:sz="4" w:space="0" w:color="000000" w:themeColor="text1"/>
        </w:tcBorders>
        <w:shd w:val="clear" w:color="auto" w:fill="D9D9D9" w:themeFill="background1" w:themeFillShade="D9"/>
      </w:tcPr>
    </w:tblStylePr>
    <w:tblStylePr w:type="lastRow">
      <w:tblPr/>
      <w:trPr>
        <w:hidden/>
      </w:trPr>
      <w:tcPr>
        <w:tcBorders>
          <w:bottom w:val="single" w:sz="4" w:space="0" w:color="000000" w:themeColor="text1"/>
        </w:tcBorders>
      </w:tcPr>
    </w:tblStylePr>
    <w:tblStylePr w:type="firstCol">
      <w:rPr>
        <w:b/>
      </w:rPr>
      <w:tblPr/>
      <w:trPr>
        <w:hidden/>
      </w:trPr>
      <w:tcPr>
        <w:tcBorders>
          <w:right w:val="single" w:sz="4" w:space="0" w:color="000000" w:themeColor="text1"/>
        </w:tcBorders>
        <w:shd w:val="clear" w:color="auto" w:fill="D9D9D9" w:themeFill="background1" w:themeFillShade="D9"/>
      </w:tcPr>
    </w:tblStylePr>
    <w:tblStylePr w:type="nwCell">
      <w:tblPr/>
      <w:trPr>
        <w:hidden/>
      </w:trPr>
      <w:tcPr>
        <w:shd w:val="clear" w:color="auto" w:fill="D9D9D9" w:themeFill="background1" w:themeFillShade="D9"/>
      </w:tcPr>
    </w:tblStylePr>
  </w:style>
  <w:style w:type="paragraph" w:styleId="TableofFigures">
    <w:name w:val="table of figures"/>
    <w:basedOn w:val="Normal"/>
    <w:next w:val="Normal"/>
    <w:uiPriority w:val="99"/>
    <w:unhideWhenUsed/>
    <w:rsid w:val="001F1A39"/>
    <w:pPr>
      <w:tabs>
        <w:tab w:val="right" w:pos="9350"/>
      </w:tabs>
      <w:spacing w:before="120" w:line="360" w:lineRule="auto"/>
    </w:pPr>
    <w:rPr>
      <w:rFonts w:ascii="Calibri" w:hAnsi="Calibri"/>
      <w:sz w:val="22"/>
      <w:szCs w:val="22"/>
      <w:lang w:eastAsia="en-US"/>
    </w:rPr>
  </w:style>
  <w:style w:type="paragraph" w:customStyle="1" w:styleId="Footnote">
    <w:name w:val="Footnote"/>
    <w:basedOn w:val="Normal"/>
    <w:link w:val="FootnoteChar"/>
    <w:qFormat/>
    <w:rsid w:val="001F1A39"/>
    <w:pPr>
      <w:spacing w:before="120" w:after="240"/>
    </w:pPr>
    <w:rPr>
      <w:rFonts w:ascii="Calibri" w:hAnsi="Calibri"/>
      <w:sz w:val="16"/>
      <w:szCs w:val="20"/>
      <w:lang w:eastAsia="en-US"/>
    </w:rPr>
  </w:style>
  <w:style w:type="character" w:customStyle="1" w:styleId="FootnoteChar">
    <w:name w:val="Footnote Char"/>
    <w:basedOn w:val="DefaultParagraphFont"/>
    <w:link w:val="Footnote"/>
    <w:rsid w:val="001F1A39"/>
    <w:rPr>
      <w:rFonts w:ascii="Calibri" w:eastAsia="Times New Roman" w:hAnsi="Calibri"/>
      <w:sz w:val="16"/>
    </w:rPr>
  </w:style>
  <w:style w:type="paragraph" w:styleId="TOC6">
    <w:name w:val="toc 6"/>
    <w:basedOn w:val="Normal"/>
    <w:next w:val="Normal"/>
    <w:autoRedefine/>
    <w:uiPriority w:val="39"/>
    <w:unhideWhenUsed/>
    <w:rsid w:val="001F1A39"/>
    <w:pPr>
      <w:spacing w:before="120" w:line="276" w:lineRule="auto"/>
      <w:ind w:left="1200"/>
    </w:pPr>
    <w:rPr>
      <w:rFonts w:ascii="Calibri" w:hAnsi="Calibri"/>
      <w:sz w:val="22"/>
      <w:szCs w:val="20"/>
      <w:lang w:eastAsia="en-US"/>
    </w:rPr>
  </w:style>
  <w:style w:type="paragraph" w:styleId="TOC7">
    <w:name w:val="toc 7"/>
    <w:basedOn w:val="Normal"/>
    <w:next w:val="Normal"/>
    <w:autoRedefine/>
    <w:uiPriority w:val="39"/>
    <w:unhideWhenUsed/>
    <w:rsid w:val="001F1A39"/>
    <w:pPr>
      <w:spacing w:before="120" w:line="276" w:lineRule="auto"/>
      <w:ind w:left="1440"/>
    </w:pPr>
    <w:rPr>
      <w:rFonts w:ascii="Calibri" w:hAnsi="Calibri"/>
      <w:sz w:val="22"/>
      <w:szCs w:val="20"/>
      <w:lang w:eastAsia="en-US"/>
    </w:rPr>
  </w:style>
  <w:style w:type="paragraph" w:styleId="TOC8">
    <w:name w:val="toc 8"/>
    <w:basedOn w:val="Normal"/>
    <w:next w:val="Normal"/>
    <w:autoRedefine/>
    <w:uiPriority w:val="39"/>
    <w:unhideWhenUsed/>
    <w:rsid w:val="001F1A39"/>
    <w:pPr>
      <w:spacing w:before="120" w:line="276" w:lineRule="auto"/>
      <w:ind w:left="1680"/>
    </w:pPr>
    <w:rPr>
      <w:rFonts w:ascii="Calibri" w:hAnsi="Calibri"/>
      <w:sz w:val="22"/>
      <w:szCs w:val="20"/>
      <w:lang w:eastAsia="en-US"/>
    </w:rPr>
  </w:style>
  <w:style w:type="paragraph" w:styleId="TOC9">
    <w:name w:val="toc 9"/>
    <w:basedOn w:val="Normal"/>
    <w:next w:val="Normal"/>
    <w:autoRedefine/>
    <w:uiPriority w:val="39"/>
    <w:unhideWhenUsed/>
    <w:rsid w:val="001F1A39"/>
    <w:pPr>
      <w:spacing w:before="120" w:line="276" w:lineRule="auto"/>
      <w:ind w:left="1920"/>
    </w:pPr>
    <w:rPr>
      <w:rFonts w:ascii="Calibri" w:hAnsi="Calibri"/>
      <w:sz w:val="22"/>
      <w:szCs w:val="20"/>
      <w:lang w:eastAsia="en-US"/>
    </w:rPr>
  </w:style>
  <w:style w:type="character" w:styleId="EndnoteReference">
    <w:name w:val="endnote reference"/>
    <w:basedOn w:val="DefaultParagraphFont"/>
    <w:uiPriority w:val="99"/>
    <w:semiHidden/>
    <w:unhideWhenUsed/>
    <w:rsid w:val="001F1A39"/>
    <w:rPr>
      <w:vertAlign w:val="superscript"/>
    </w:rPr>
  </w:style>
  <w:style w:type="paragraph" w:styleId="EndnoteText">
    <w:name w:val="endnote text"/>
    <w:basedOn w:val="Normal"/>
    <w:link w:val="EndnoteTextChar"/>
    <w:uiPriority w:val="99"/>
    <w:semiHidden/>
    <w:unhideWhenUsed/>
    <w:rsid w:val="001F1A39"/>
    <w:pPr>
      <w:spacing w:before="120"/>
    </w:pPr>
    <w:rPr>
      <w:rFonts w:ascii="Calibri" w:hAnsi="Calibri"/>
      <w:sz w:val="22"/>
      <w:szCs w:val="20"/>
      <w:lang w:eastAsia="en-US"/>
    </w:rPr>
  </w:style>
  <w:style w:type="character" w:customStyle="1" w:styleId="EndnoteTextChar">
    <w:name w:val="Endnote Text Char"/>
    <w:basedOn w:val="DefaultParagraphFont"/>
    <w:link w:val="EndnoteText"/>
    <w:uiPriority w:val="99"/>
    <w:semiHidden/>
    <w:rsid w:val="001F1A39"/>
    <w:rPr>
      <w:rFonts w:ascii="Calibri" w:eastAsia="Times New Roman" w:hAnsi="Calibri"/>
      <w:sz w:val="22"/>
    </w:rPr>
  </w:style>
  <w:style w:type="paragraph" w:styleId="Subtitle">
    <w:name w:val="Subtitle"/>
    <w:next w:val="Normal"/>
    <w:link w:val="SubtitleChar"/>
    <w:uiPriority w:val="11"/>
    <w:qFormat/>
    <w:rsid w:val="001F1A39"/>
    <w:pPr>
      <w:spacing w:after="600"/>
    </w:pPr>
    <w:rPr>
      <w:rFonts w:asciiTheme="minorHAnsi" w:eastAsiaTheme="minorEastAsia" w:hAnsiTheme="minorHAnsi" w:cstheme="minorBidi"/>
      <w:smallCaps/>
      <w:color w:val="938953" w:themeColor="background2" w:themeShade="7F"/>
      <w:spacing w:val="5"/>
      <w:sz w:val="28"/>
      <w:szCs w:val="28"/>
      <w:lang w:val="en-US" w:bidi="en-US"/>
    </w:rPr>
  </w:style>
  <w:style w:type="character" w:customStyle="1" w:styleId="SubtitleChar">
    <w:name w:val="Subtitle Char"/>
    <w:basedOn w:val="DefaultParagraphFont"/>
    <w:link w:val="Subtitle"/>
    <w:uiPriority w:val="11"/>
    <w:rsid w:val="001F1A39"/>
    <w:rPr>
      <w:rFonts w:asciiTheme="minorHAnsi" w:eastAsiaTheme="minorEastAsia" w:hAnsiTheme="minorHAnsi" w:cstheme="minorBidi"/>
      <w:smallCaps/>
      <w:color w:val="938953" w:themeColor="background2" w:themeShade="7F"/>
      <w:spacing w:val="5"/>
      <w:sz w:val="28"/>
      <w:szCs w:val="28"/>
      <w:lang w:val="en-US" w:bidi="en-US"/>
    </w:rPr>
  </w:style>
  <w:style w:type="paragraph" w:styleId="DocumentMap">
    <w:name w:val="Document Map"/>
    <w:basedOn w:val="Normal"/>
    <w:link w:val="DocumentMapChar"/>
    <w:uiPriority w:val="99"/>
    <w:semiHidden/>
    <w:unhideWhenUsed/>
    <w:rsid w:val="001F1A39"/>
    <w:pPr>
      <w:spacing w:before="120"/>
    </w:pPr>
    <w:rPr>
      <w:rFonts w:ascii="Tahoma" w:hAnsi="Tahoma" w:cs="Tahoma"/>
      <w:sz w:val="16"/>
      <w:szCs w:val="16"/>
      <w:lang w:eastAsia="en-US"/>
    </w:rPr>
  </w:style>
  <w:style w:type="character" w:customStyle="1" w:styleId="DocumentMapChar">
    <w:name w:val="Document Map Char"/>
    <w:basedOn w:val="DefaultParagraphFont"/>
    <w:link w:val="DocumentMap"/>
    <w:uiPriority w:val="99"/>
    <w:semiHidden/>
    <w:rsid w:val="001F1A39"/>
    <w:rPr>
      <w:rFonts w:ascii="Tahoma" w:eastAsia="Times New Roman" w:hAnsi="Tahoma" w:cs="Tahoma"/>
      <w:sz w:val="16"/>
      <w:szCs w:val="16"/>
    </w:rPr>
  </w:style>
  <w:style w:type="character" w:styleId="PlaceholderText">
    <w:name w:val="Placeholder Text"/>
    <w:basedOn w:val="DefaultParagraphFont"/>
    <w:uiPriority w:val="99"/>
    <w:semiHidden/>
    <w:rsid w:val="001F1A39"/>
    <w:rPr>
      <w:color w:val="808080"/>
    </w:rPr>
  </w:style>
  <w:style w:type="paragraph" w:styleId="Quote">
    <w:name w:val="Quote"/>
    <w:basedOn w:val="Normal"/>
    <w:next w:val="Normal"/>
    <w:link w:val="QuoteChar"/>
    <w:uiPriority w:val="29"/>
    <w:qFormat/>
    <w:rsid w:val="001F1A39"/>
    <w:pPr>
      <w:spacing w:before="120" w:after="120" w:line="276" w:lineRule="auto"/>
    </w:pPr>
    <w:rPr>
      <w:rFonts w:ascii="Calibri" w:hAnsi="Calibri"/>
      <w:i/>
      <w:iCs/>
      <w:sz w:val="22"/>
      <w:szCs w:val="22"/>
      <w:lang w:eastAsia="en-US"/>
    </w:rPr>
  </w:style>
  <w:style w:type="character" w:customStyle="1" w:styleId="QuoteChar">
    <w:name w:val="Quote Char"/>
    <w:basedOn w:val="DefaultParagraphFont"/>
    <w:link w:val="Quote"/>
    <w:uiPriority w:val="29"/>
    <w:rsid w:val="001F1A39"/>
    <w:rPr>
      <w:rFonts w:ascii="Calibri" w:eastAsia="Times New Roman" w:hAnsi="Calibri"/>
      <w:i/>
      <w:iCs/>
      <w:sz w:val="22"/>
      <w:szCs w:val="22"/>
    </w:rPr>
  </w:style>
  <w:style w:type="paragraph" w:styleId="IntenseQuote">
    <w:name w:val="Intense Quote"/>
    <w:basedOn w:val="Normal"/>
    <w:next w:val="Normal"/>
    <w:link w:val="IntenseQuoteChar"/>
    <w:uiPriority w:val="30"/>
    <w:qFormat/>
    <w:rsid w:val="001F1A3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before="120" w:after="120" w:line="300" w:lineRule="auto"/>
      <w:ind w:left="2506" w:right="432"/>
    </w:pPr>
    <w:rPr>
      <w:rFonts w:asciiTheme="majorHAnsi" w:eastAsiaTheme="majorEastAsia" w:hAnsiTheme="majorHAnsi" w:cstheme="majorBidi"/>
      <w:smallCaps/>
      <w:color w:val="365F91" w:themeColor="accent1" w:themeShade="BF"/>
      <w:sz w:val="22"/>
      <w:szCs w:val="22"/>
      <w:lang w:eastAsia="en-US"/>
    </w:rPr>
  </w:style>
  <w:style w:type="character" w:customStyle="1" w:styleId="IntenseQuoteChar">
    <w:name w:val="Intense Quote Char"/>
    <w:basedOn w:val="DefaultParagraphFont"/>
    <w:link w:val="IntenseQuote"/>
    <w:uiPriority w:val="30"/>
    <w:rsid w:val="001F1A39"/>
    <w:rPr>
      <w:rFonts w:asciiTheme="majorHAnsi" w:eastAsiaTheme="majorEastAsia" w:hAnsiTheme="majorHAnsi" w:cstheme="majorBidi"/>
      <w:smallCaps/>
      <w:color w:val="365F91" w:themeColor="accent1" w:themeShade="BF"/>
      <w:sz w:val="22"/>
      <w:szCs w:val="22"/>
    </w:rPr>
  </w:style>
  <w:style w:type="character" w:styleId="SubtleEmphasis">
    <w:name w:val="Subtle Emphasis"/>
    <w:uiPriority w:val="19"/>
    <w:qFormat/>
    <w:rsid w:val="001F1A39"/>
    <w:rPr>
      <w:b/>
      <w:smallCaps/>
      <w:color w:val="auto"/>
    </w:rPr>
  </w:style>
  <w:style w:type="character" w:styleId="IntenseEmphasis">
    <w:name w:val="Intense Emphasis"/>
    <w:uiPriority w:val="21"/>
    <w:qFormat/>
    <w:rsid w:val="001F1A39"/>
    <w:rPr>
      <w:b/>
      <w:bCs/>
      <w:smallCaps/>
      <w:color w:val="4F81BD" w:themeColor="accent1"/>
      <w:spacing w:val="40"/>
    </w:rPr>
  </w:style>
  <w:style w:type="character" w:styleId="SubtleReference">
    <w:name w:val="Subtle Reference"/>
    <w:uiPriority w:val="31"/>
    <w:qFormat/>
    <w:rsid w:val="001F1A39"/>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1F1A39"/>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1F1A39"/>
    <w:rPr>
      <w:rFonts w:asciiTheme="majorHAnsi" w:eastAsiaTheme="majorEastAsia" w:hAnsiTheme="majorHAnsi" w:cstheme="majorBidi"/>
      <w:b/>
      <w:bCs/>
      <w:smallCaps/>
      <w:color w:val="17365D" w:themeColor="text2" w:themeShade="BF"/>
      <w:spacing w:val="10"/>
      <w:u w:val="single"/>
    </w:rPr>
  </w:style>
  <w:style w:type="paragraph" w:customStyle="1" w:styleId="bullets">
    <w:name w:val="bullets"/>
    <w:basedOn w:val="ListParagraph"/>
    <w:qFormat/>
    <w:rsid w:val="001F1A39"/>
    <w:pPr>
      <w:numPr>
        <w:numId w:val="6"/>
      </w:numPr>
      <w:spacing w:before="120" w:after="120"/>
    </w:pPr>
    <w:rPr>
      <w:rFonts w:ascii="Calibri" w:hAnsi="Calibri"/>
      <w:sz w:val="22"/>
    </w:rPr>
  </w:style>
  <w:style w:type="paragraph" w:customStyle="1" w:styleId="DecimalAligned">
    <w:name w:val="Decimal Aligned"/>
    <w:basedOn w:val="Normal"/>
    <w:uiPriority w:val="40"/>
    <w:qFormat/>
    <w:rsid w:val="001F1A39"/>
    <w:pPr>
      <w:tabs>
        <w:tab w:val="decimal" w:pos="360"/>
      </w:tabs>
      <w:spacing w:before="120" w:after="120" w:line="276" w:lineRule="auto"/>
    </w:pPr>
    <w:rPr>
      <w:rFonts w:ascii="Calibri" w:hAnsi="Calibri"/>
      <w:sz w:val="22"/>
      <w:szCs w:val="22"/>
      <w:lang w:eastAsia="en-US"/>
    </w:rPr>
  </w:style>
  <w:style w:type="table" w:customStyle="1" w:styleId="LightShading-Accent11">
    <w:name w:val="Light Shading - Accent 11"/>
    <w:basedOn w:val="TableNormal"/>
    <w:uiPriority w:val="60"/>
    <w:rsid w:val="001F1A39"/>
    <w:rPr>
      <w:rFonts w:asciiTheme="minorHAnsi" w:eastAsiaTheme="minorEastAsia" w:hAnsiTheme="minorHAnsi" w:cstheme="minorBidi"/>
      <w:color w:val="365F91" w:themeColor="accent1" w:themeShade="BF"/>
      <w:sz w:val="22"/>
      <w:szCs w:val="22"/>
      <w:lang w:val="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rPr>
        <w:hidden/>
      </w:t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hemeFill="accent1" w:themeFillTint="3F"/>
      </w:tcPr>
    </w:tblStylePr>
    <w:tblStylePr w:type="band1Horz">
      <w:tblPr/>
      <w:trPr>
        <w:hidden/>
      </w:trPr>
      <w:tcPr>
        <w:tcBorders>
          <w:left w:val="nil"/>
          <w:right w:val="nil"/>
          <w:insideH w:val="nil"/>
          <w:insideV w:val="nil"/>
        </w:tcBorders>
        <w:shd w:val="clear" w:color="auto" w:fill="D3DFEE" w:themeFill="accent1" w:themeFillTint="3F"/>
      </w:tcPr>
    </w:tblStylePr>
  </w:style>
  <w:style w:type="paragraph" w:customStyle="1" w:styleId="Status">
    <w:name w:val="Status"/>
    <w:basedOn w:val="Normal"/>
    <w:rsid w:val="001F1A39"/>
    <w:pPr>
      <w:spacing w:before="60" w:after="120" w:line="280" w:lineRule="atLeast"/>
    </w:pPr>
    <w:rPr>
      <w:rFonts w:ascii="Calibri" w:eastAsia="SimSun" w:hAnsi="Calibri"/>
      <w:sz w:val="22"/>
      <w:szCs w:val="20"/>
      <w:lang w:eastAsia="en-US"/>
    </w:rPr>
  </w:style>
  <w:style w:type="paragraph" w:customStyle="1" w:styleId="FigureCaption">
    <w:name w:val="Figure Caption"/>
    <w:basedOn w:val="Caption"/>
    <w:next w:val="Normal"/>
    <w:qFormat/>
    <w:rsid w:val="001F1A39"/>
    <w:pPr>
      <w:spacing w:before="120" w:after="120"/>
    </w:pPr>
    <w:rPr>
      <w:b w:val="0"/>
      <w:bCs w:val="0"/>
      <w:sz w:val="22"/>
      <w:szCs w:val="22"/>
    </w:rPr>
  </w:style>
  <w:style w:type="paragraph" w:customStyle="1" w:styleId="TableCaption">
    <w:name w:val="Table Caption"/>
    <w:basedOn w:val="Caption"/>
    <w:qFormat/>
    <w:rsid w:val="001F1A39"/>
    <w:pPr>
      <w:keepNext/>
      <w:spacing w:before="120" w:after="120"/>
    </w:pPr>
    <w:rPr>
      <w:b w:val="0"/>
      <w:bCs w:val="0"/>
      <w:sz w:val="22"/>
      <w:szCs w:val="22"/>
    </w:rPr>
  </w:style>
  <w:style w:type="paragraph" w:customStyle="1" w:styleId="Code">
    <w:name w:val="Code"/>
    <w:basedOn w:val="Normal"/>
    <w:qFormat/>
    <w:rsid w:val="001F1A3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contextualSpacing/>
    </w:pPr>
    <w:rPr>
      <w:rFonts w:ascii="Courier New" w:hAnsi="Courier New"/>
      <w:sz w:val="18"/>
      <w:szCs w:val="22"/>
      <w:lang w:val="en-NZ" w:eastAsia="en-NZ"/>
    </w:rPr>
  </w:style>
  <w:style w:type="paragraph" w:styleId="HTMLPreformatted">
    <w:name w:val="HTML Preformatted"/>
    <w:basedOn w:val="Normal"/>
    <w:link w:val="HTMLPreformattedChar"/>
    <w:uiPriority w:val="99"/>
    <w:semiHidden/>
    <w:unhideWhenUsed/>
    <w:rsid w:val="001F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NZ" w:eastAsia="en-NZ"/>
    </w:rPr>
  </w:style>
  <w:style w:type="character" w:customStyle="1" w:styleId="HTMLPreformattedChar">
    <w:name w:val="HTML Preformatted Char"/>
    <w:basedOn w:val="DefaultParagraphFont"/>
    <w:link w:val="HTMLPreformatted"/>
    <w:uiPriority w:val="99"/>
    <w:semiHidden/>
    <w:rsid w:val="001F1A39"/>
    <w:rPr>
      <w:rFonts w:ascii="Courier New" w:eastAsia="Times New Roman" w:hAnsi="Courier New" w:cs="Courier New"/>
      <w:lang w:val="en-NZ" w:eastAsia="en-NZ"/>
    </w:rPr>
  </w:style>
  <w:style w:type="table" w:customStyle="1" w:styleId="TableGrid1">
    <w:name w:val="Table Grid1"/>
    <w:basedOn w:val="TableNormal"/>
    <w:next w:val="TableGrid"/>
    <w:uiPriority w:val="59"/>
    <w:rsid w:val="00003E0B"/>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8065">
      <w:bodyDiv w:val="1"/>
      <w:marLeft w:val="0"/>
      <w:marRight w:val="0"/>
      <w:marTop w:val="0"/>
      <w:marBottom w:val="0"/>
      <w:divBdr>
        <w:top w:val="none" w:sz="0" w:space="0" w:color="auto"/>
        <w:left w:val="none" w:sz="0" w:space="0" w:color="auto"/>
        <w:bottom w:val="none" w:sz="0" w:space="0" w:color="auto"/>
        <w:right w:val="none" w:sz="0" w:space="0" w:color="auto"/>
      </w:divBdr>
    </w:div>
    <w:div w:id="116724668">
      <w:bodyDiv w:val="1"/>
      <w:marLeft w:val="0"/>
      <w:marRight w:val="0"/>
      <w:marTop w:val="0"/>
      <w:marBottom w:val="0"/>
      <w:divBdr>
        <w:top w:val="none" w:sz="0" w:space="0" w:color="auto"/>
        <w:left w:val="none" w:sz="0" w:space="0" w:color="auto"/>
        <w:bottom w:val="none" w:sz="0" w:space="0" w:color="auto"/>
        <w:right w:val="none" w:sz="0" w:space="0" w:color="auto"/>
      </w:divBdr>
    </w:div>
    <w:div w:id="514656726">
      <w:bodyDiv w:val="1"/>
      <w:marLeft w:val="0"/>
      <w:marRight w:val="0"/>
      <w:marTop w:val="0"/>
      <w:marBottom w:val="0"/>
      <w:divBdr>
        <w:top w:val="none" w:sz="0" w:space="0" w:color="auto"/>
        <w:left w:val="none" w:sz="0" w:space="0" w:color="auto"/>
        <w:bottom w:val="none" w:sz="0" w:space="0" w:color="auto"/>
        <w:right w:val="none" w:sz="0" w:space="0" w:color="auto"/>
      </w:divBdr>
    </w:div>
    <w:div w:id="533231367">
      <w:bodyDiv w:val="1"/>
      <w:marLeft w:val="0"/>
      <w:marRight w:val="0"/>
      <w:marTop w:val="0"/>
      <w:marBottom w:val="0"/>
      <w:divBdr>
        <w:top w:val="none" w:sz="0" w:space="0" w:color="auto"/>
        <w:left w:val="none" w:sz="0" w:space="0" w:color="auto"/>
        <w:bottom w:val="none" w:sz="0" w:space="0" w:color="auto"/>
        <w:right w:val="none" w:sz="0" w:space="0" w:color="auto"/>
      </w:divBdr>
    </w:div>
    <w:div w:id="619266140">
      <w:bodyDiv w:val="1"/>
      <w:marLeft w:val="30"/>
      <w:marRight w:val="30"/>
      <w:marTop w:val="0"/>
      <w:marBottom w:val="0"/>
      <w:divBdr>
        <w:top w:val="none" w:sz="0" w:space="0" w:color="auto"/>
        <w:left w:val="none" w:sz="0" w:space="0" w:color="auto"/>
        <w:bottom w:val="none" w:sz="0" w:space="0" w:color="auto"/>
        <w:right w:val="none" w:sz="0" w:space="0" w:color="auto"/>
      </w:divBdr>
      <w:divsChild>
        <w:div w:id="160319474">
          <w:marLeft w:val="0"/>
          <w:marRight w:val="0"/>
          <w:marTop w:val="0"/>
          <w:marBottom w:val="0"/>
          <w:divBdr>
            <w:top w:val="none" w:sz="0" w:space="0" w:color="auto"/>
            <w:left w:val="none" w:sz="0" w:space="0" w:color="auto"/>
            <w:bottom w:val="none" w:sz="0" w:space="0" w:color="auto"/>
            <w:right w:val="none" w:sz="0" w:space="0" w:color="auto"/>
          </w:divBdr>
          <w:divsChild>
            <w:div w:id="480006867">
              <w:marLeft w:val="0"/>
              <w:marRight w:val="0"/>
              <w:marTop w:val="0"/>
              <w:marBottom w:val="0"/>
              <w:divBdr>
                <w:top w:val="none" w:sz="0" w:space="0" w:color="auto"/>
                <w:left w:val="none" w:sz="0" w:space="0" w:color="auto"/>
                <w:bottom w:val="none" w:sz="0" w:space="0" w:color="auto"/>
                <w:right w:val="none" w:sz="0" w:space="0" w:color="auto"/>
              </w:divBdr>
              <w:divsChild>
                <w:div w:id="1131941136">
                  <w:marLeft w:val="180"/>
                  <w:marRight w:val="0"/>
                  <w:marTop w:val="0"/>
                  <w:marBottom w:val="0"/>
                  <w:divBdr>
                    <w:top w:val="none" w:sz="0" w:space="0" w:color="auto"/>
                    <w:left w:val="none" w:sz="0" w:space="0" w:color="auto"/>
                    <w:bottom w:val="none" w:sz="0" w:space="0" w:color="auto"/>
                    <w:right w:val="none" w:sz="0" w:space="0" w:color="auto"/>
                  </w:divBdr>
                  <w:divsChild>
                    <w:div w:id="10168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060860">
      <w:bodyDiv w:val="1"/>
      <w:marLeft w:val="0"/>
      <w:marRight w:val="0"/>
      <w:marTop w:val="0"/>
      <w:marBottom w:val="0"/>
      <w:divBdr>
        <w:top w:val="none" w:sz="0" w:space="0" w:color="auto"/>
        <w:left w:val="none" w:sz="0" w:space="0" w:color="auto"/>
        <w:bottom w:val="none" w:sz="0" w:space="0" w:color="auto"/>
        <w:right w:val="none" w:sz="0" w:space="0" w:color="auto"/>
      </w:divBdr>
    </w:div>
    <w:div w:id="889993705">
      <w:bodyDiv w:val="1"/>
      <w:marLeft w:val="0"/>
      <w:marRight w:val="0"/>
      <w:marTop w:val="0"/>
      <w:marBottom w:val="0"/>
      <w:divBdr>
        <w:top w:val="none" w:sz="0" w:space="0" w:color="auto"/>
        <w:left w:val="none" w:sz="0" w:space="0" w:color="auto"/>
        <w:bottom w:val="none" w:sz="0" w:space="0" w:color="auto"/>
        <w:right w:val="none" w:sz="0" w:space="0" w:color="auto"/>
      </w:divBdr>
    </w:div>
    <w:div w:id="91366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10F6-364C-4A1E-B3D4-5E65CD6E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8B1B5DEF</Template>
  <TotalTime>12</TotalTime>
  <Pages>20</Pages>
  <Words>4206</Words>
  <Characters>23977</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28127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James</dc:creator>
  <cp:lastModifiedBy>Kim Begbie</cp:lastModifiedBy>
  <cp:revision>2</cp:revision>
  <cp:lastPrinted>2013-07-30T03:04:00Z</cp:lastPrinted>
  <dcterms:created xsi:type="dcterms:W3CDTF">2013-08-06T05:50:00Z</dcterms:created>
  <dcterms:modified xsi:type="dcterms:W3CDTF">2013-08-06T05:50:00Z</dcterms:modified>
</cp:coreProperties>
</file>