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9C3943">
      <w:pPr>
        <w:pStyle w:val="Heading1"/>
        <w:keepNext w:val="0"/>
        <w:tabs>
          <w:tab w:val="clear" w:pos="835"/>
          <w:tab w:val="clear" w:pos="1706"/>
          <w:tab w:val="clear" w:pos="2562"/>
          <w:tab w:val="clear" w:pos="3433"/>
          <w:tab w:val="clear" w:pos="4304"/>
          <w:tab w:val="clear" w:pos="5115"/>
          <w:tab w:val="clear" w:pos="5985"/>
          <w:tab w:val="clear" w:pos="6905"/>
          <w:tab w:val="clear" w:pos="7731"/>
          <w:tab w:val="clear" w:pos="8602"/>
        </w:tabs>
        <w:spacing w:before="0" w:after="240"/>
        <w:jc w:val="center"/>
        <w:rPr>
          <w:u w:val="single"/>
        </w:rPr>
      </w:pPr>
      <w:r>
        <w:rPr>
          <w:u w:val="single"/>
        </w:rPr>
        <w:t>EXPLANATORY STATEMENT</w:t>
      </w:r>
    </w:p>
    <w:p w:rsidR="0035519E" w:rsidRDefault="0035519E" w:rsidP="009C3943">
      <w:pPr>
        <w:pStyle w:val="Heading1"/>
        <w:keepNext w:val="0"/>
        <w:tabs>
          <w:tab w:val="clear" w:pos="835"/>
          <w:tab w:val="clear" w:pos="1706"/>
          <w:tab w:val="clear" w:pos="2562"/>
          <w:tab w:val="clear" w:pos="3433"/>
          <w:tab w:val="clear" w:pos="4304"/>
          <w:tab w:val="clear" w:pos="5115"/>
          <w:tab w:val="clear" w:pos="5985"/>
          <w:tab w:val="clear" w:pos="6905"/>
          <w:tab w:val="clear" w:pos="7731"/>
          <w:tab w:val="clear" w:pos="8602"/>
        </w:tabs>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Finance and Deregulation</w:t>
      </w:r>
    </w:p>
    <w:p w:rsidR="0035519E" w:rsidRDefault="0035519E" w:rsidP="009C3943">
      <w:pPr>
        <w:pStyle w:val="Heading4"/>
        <w:keepNext w:val="0"/>
        <w:spacing w:before="120" w:after="120"/>
      </w:pPr>
      <w:r>
        <w:t xml:space="preserve">Superannuation Act </w:t>
      </w:r>
      <w:r w:rsidR="00A86E4A">
        <w:t>1990</w:t>
      </w:r>
    </w:p>
    <w:p w:rsidR="00D02EE7" w:rsidRDefault="00D02EE7" w:rsidP="009C3943">
      <w:pPr>
        <w:pStyle w:val="BodyText2"/>
        <w:spacing w:before="120" w:after="120"/>
      </w:pPr>
      <w:r>
        <w:t>Thirty-</w:t>
      </w:r>
      <w:r w:rsidR="00F7269D">
        <w:t>eighth</w:t>
      </w:r>
      <w:r>
        <w:t xml:space="preserve"> Amending Deed to the Trust Deed to establish an occupational superannuation scheme for Australian Government employees and certain other persons pursuant to section 5 of the Superannuation Act 1990 (1990 Act).</w:t>
      </w:r>
    </w:p>
    <w:p w:rsidR="00D02EE7" w:rsidRDefault="00D02EE7" w:rsidP="009C3943">
      <w:pPr>
        <w:widowControl w:val="0"/>
        <w:spacing w:before="120" w:after="120"/>
        <w:rPr>
          <w:snapToGrid w:val="0"/>
          <w:color w:val="000000"/>
        </w:rPr>
      </w:pPr>
      <w:r>
        <w:rPr>
          <w:snapToGrid w:val="0"/>
          <w:color w:val="000000"/>
        </w:rPr>
        <w:t>An occupational superannuation scheme to provide benefits for certain of the Commonwealth’s employees and for certain other people was established by Trust Deed dated 21 June 1990, under section 4 of the 1990 Act. The occupational superannuation scheme is called the Public Sector Superannuation Scheme (PSS).</w:t>
      </w:r>
    </w:p>
    <w:p w:rsidR="00D02EE7" w:rsidRDefault="00D02EE7" w:rsidP="009C3943">
      <w:pPr>
        <w:widowControl w:val="0"/>
        <w:spacing w:before="120" w:after="120"/>
      </w:pPr>
      <w:r>
        <w:t>Section 5 of the 1990 Act provides that the Minister may amend the Trust Deed by signed instrument, subject to obtaining the consent of the Commonwealth S</w:t>
      </w:r>
      <w:r w:rsidR="00EF67B8">
        <w:t>uperannuation Corporation (CSC)</w:t>
      </w:r>
      <w:r>
        <w:t xml:space="preserve"> to the amendment, where necessary, as required under subsection 5(1A) of that Act. CSC is the trustee for the PSS.</w:t>
      </w:r>
    </w:p>
    <w:p w:rsidR="0035519E" w:rsidRPr="00D02EE7" w:rsidRDefault="00D02EE7" w:rsidP="009C3943">
      <w:pPr>
        <w:pStyle w:val="NumberList"/>
        <w:keepLines w:val="0"/>
        <w:tabs>
          <w:tab w:val="clear" w:pos="1701"/>
          <w:tab w:val="clear" w:pos="3433"/>
          <w:tab w:val="clear" w:pos="4304"/>
          <w:tab w:val="clear" w:pos="5115"/>
          <w:tab w:val="clear" w:pos="5985"/>
          <w:tab w:val="clear" w:pos="6905"/>
          <w:tab w:val="clear" w:pos="7731"/>
          <w:tab w:val="clear" w:pos="8602"/>
        </w:tabs>
        <w:spacing w:before="120" w:after="120"/>
        <w:rPr>
          <w:b/>
          <w:bCs/>
        </w:rPr>
      </w:pPr>
      <w:r w:rsidRPr="00D02EE7">
        <w:rPr>
          <w:b/>
          <w:bCs/>
        </w:rPr>
        <w:t>Thirty-</w:t>
      </w:r>
      <w:r w:rsidR="00F7269D">
        <w:rPr>
          <w:b/>
          <w:bCs/>
        </w:rPr>
        <w:t>eighth</w:t>
      </w:r>
      <w:r w:rsidR="0035519E" w:rsidRPr="00D02EE7">
        <w:rPr>
          <w:b/>
          <w:bCs/>
        </w:rPr>
        <w:t xml:space="preserve"> Amending Deed</w:t>
      </w:r>
    </w:p>
    <w:p w:rsidR="00D02EE7" w:rsidRPr="00C60935" w:rsidRDefault="00D02EE7" w:rsidP="009C3943">
      <w:pPr>
        <w:widowControl w:val="0"/>
        <w:spacing w:before="120" w:after="120"/>
      </w:pPr>
      <w:r w:rsidRPr="00D02EE7">
        <w:t>The Minister for Finance and Deregulation</w:t>
      </w:r>
      <w:r w:rsidRPr="00C60935">
        <w:t xml:space="preserve"> amended the Rules for the PSS set out in the Schedule to the Trust Deed by signed instrument. That instrument is called the </w:t>
      </w:r>
      <w:r>
        <w:t>Thirty-</w:t>
      </w:r>
      <w:r w:rsidR="00F7269D">
        <w:t>eighth</w:t>
      </w:r>
      <w:r w:rsidRPr="00C60935">
        <w:t xml:space="preserve"> Amending Deed in this statement.</w:t>
      </w:r>
    </w:p>
    <w:p w:rsidR="00206C04" w:rsidRDefault="00D02EE7" w:rsidP="00EF67B8">
      <w:pPr>
        <w:widowControl w:val="0"/>
        <w:spacing w:before="120" w:after="120"/>
      </w:pPr>
      <w:r w:rsidRPr="00150645">
        <w:t xml:space="preserve">The </w:t>
      </w:r>
      <w:r w:rsidR="00EF67B8">
        <w:t xml:space="preserve">purpose of the </w:t>
      </w:r>
      <w:r>
        <w:t>Thirty-</w:t>
      </w:r>
      <w:r w:rsidR="00F7269D">
        <w:t>eighth</w:t>
      </w:r>
      <w:r w:rsidRPr="00150645">
        <w:t xml:space="preserve"> Amending Deed </w:t>
      </w:r>
      <w:r w:rsidR="00EF67B8">
        <w:t xml:space="preserve">is to amend the </w:t>
      </w:r>
      <w:r>
        <w:t xml:space="preserve">Trust Deed </w:t>
      </w:r>
      <w:r w:rsidR="009C3943">
        <w:t>to</w:t>
      </w:r>
      <w:r w:rsidR="00206C04">
        <w:t>:</w:t>
      </w:r>
    </w:p>
    <w:p w:rsidR="00583B14" w:rsidRDefault="00F7269D" w:rsidP="00206C04">
      <w:pPr>
        <w:widowControl w:val="0"/>
        <w:numPr>
          <w:ilvl w:val="0"/>
          <w:numId w:val="44"/>
        </w:numPr>
        <w:spacing w:before="120" w:after="120"/>
      </w:pPr>
      <w:r>
        <w:t xml:space="preserve">update the method of indexing increases </w:t>
      </w:r>
      <w:r w:rsidR="0086522A">
        <w:t xml:space="preserve">to </w:t>
      </w:r>
      <w:r>
        <w:t>the maximum benefit</w:t>
      </w:r>
      <w:r w:rsidR="00583B14">
        <w:t>s</w:t>
      </w:r>
      <w:r>
        <w:t xml:space="preserve"> </w:t>
      </w:r>
      <w:r w:rsidR="0086522A">
        <w:t>tables</w:t>
      </w:r>
      <w:r w:rsidR="00583B14">
        <w:t xml:space="preserve"> in response to the change in frequency of the Average Weekly Earnings survey by the Australian Bureau of Statistics, from a quarterly survey to a biannual survey</w:t>
      </w:r>
      <w:r w:rsidR="00206C04">
        <w:t>; and</w:t>
      </w:r>
    </w:p>
    <w:p w:rsidR="00206C04" w:rsidRDefault="00206C04" w:rsidP="00206C04">
      <w:pPr>
        <w:widowControl w:val="0"/>
        <w:numPr>
          <w:ilvl w:val="0"/>
          <w:numId w:val="44"/>
        </w:numPr>
        <w:spacing w:before="120" w:after="120"/>
      </w:pPr>
      <w:r>
        <w:t xml:space="preserve">make consequential changes to allow a person to be paid a lump sum amount from the PSS to pay their liability for any assessed Division 293 of the </w:t>
      </w:r>
      <w:r w:rsidRPr="00206C04">
        <w:rPr>
          <w:i/>
        </w:rPr>
        <w:t>Income Tax Assessment Act 1997</w:t>
      </w:r>
      <w:r>
        <w:t xml:space="preserve"> tax (Division 293 tax) and for their PSS benefit to be reduced </w:t>
      </w:r>
      <w:r w:rsidR="001C0DE2">
        <w:t>accordingly</w:t>
      </w:r>
      <w:r>
        <w:t xml:space="preserve">.  </w:t>
      </w:r>
    </w:p>
    <w:p w:rsidR="00D02EE7" w:rsidRPr="00ED4807" w:rsidRDefault="00D02EE7" w:rsidP="009C3943">
      <w:pPr>
        <w:widowControl w:val="0"/>
        <w:spacing w:before="120" w:after="120"/>
      </w:pPr>
      <w:r>
        <w:t>Backgro</w:t>
      </w:r>
      <w:r w:rsidRPr="006225EF">
        <w:t xml:space="preserve">und information on the changes </w:t>
      </w:r>
      <w:r w:rsidRPr="00C22723">
        <w:t xml:space="preserve">and the details of the </w:t>
      </w:r>
      <w:r>
        <w:t>Thirty-</w:t>
      </w:r>
      <w:r w:rsidR="00F7269D">
        <w:t>eighth</w:t>
      </w:r>
      <w:r w:rsidRPr="00C22723">
        <w:t xml:space="preserve"> Amending Deed are set out in </w:t>
      </w:r>
      <w:r w:rsidRPr="00C22723">
        <w:rPr>
          <w:u w:val="single"/>
        </w:rPr>
        <w:t>Attachment</w:t>
      </w:r>
      <w:r>
        <w:rPr>
          <w:u w:val="single"/>
        </w:rPr>
        <w:t xml:space="preserve"> A</w:t>
      </w:r>
      <w:r w:rsidRPr="00C22723">
        <w:t>.</w:t>
      </w:r>
    </w:p>
    <w:p w:rsidR="0035519E" w:rsidRPr="00D02EE7" w:rsidRDefault="00935201" w:rsidP="009C3943">
      <w:pPr>
        <w:pStyle w:val="NumberList"/>
        <w:keepLines w:val="0"/>
        <w:tabs>
          <w:tab w:val="clear" w:pos="1701"/>
          <w:tab w:val="clear" w:pos="3433"/>
          <w:tab w:val="clear" w:pos="4304"/>
          <w:tab w:val="clear" w:pos="5115"/>
          <w:tab w:val="clear" w:pos="5985"/>
          <w:tab w:val="clear" w:pos="6905"/>
          <w:tab w:val="clear" w:pos="7731"/>
          <w:tab w:val="clear" w:pos="8602"/>
        </w:tabs>
        <w:spacing w:before="120" w:after="120"/>
        <w:rPr>
          <w:b/>
          <w:bCs/>
        </w:rPr>
      </w:pPr>
      <w:r w:rsidRPr="00D02EE7">
        <w:rPr>
          <w:b/>
          <w:bCs/>
        </w:rPr>
        <w:t>CSC</w:t>
      </w:r>
      <w:r w:rsidR="00B23D17" w:rsidRPr="00D02EE7">
        <w:rPr>
          <w:b/>
          <w:bCs/>
        </w:rPr>
        <w:t xml:space="preserve"> Approval</w:t>
      </w:r>
    </w:p>
    <w:p w:rsidR="00B23D17" w:rsidRDefault="00D02EE7" w:rsidP="009C3943">
      <w:pPr>
        <w:spacing w:before="120" w:after="120"/>
      </w:pPr>
      <w:r w:rsidRPr="00D02EE7">
        <w:t>Although subsection 5(1) of the 1990 Act allows the Minister to amend the PSS Trust Deed, subsection 5(1A) of the 1990 Act requires CSC to consent to the amendments in most circumstances.</w:t>
      </w:r>
      <w:r w:rsidR="002078BF">
        <w:t xml:space="preserve"> </w:t>
      </w:r>
      <w:r w:rsidR="0086522A">
        <w:t>However, CSC consent was not required for the amendments in the Thirty-eighth Amending Deed, as they fall under s</w:t>
      </w:r>
      <w:r w:rsidR="00960658">
        <w:t xml:space="preserve">ub-paragraph </w:t>
      </w:r>
      <w:r w:rsidR="0086522A">
        <w:t>5(1A)(b)(i) of the 1990 Act.</w:t>
      </w:r>
    </w:p>
    <w:p w:rsidR="0035519E" w:rsidRPr="00D02EE7" w:rsidRDefault="0035519E" w:rsidP="004B13ED">
      <w:pPr>
        <w:pStyle w:val="NumberList"/>
        <w:keepNext/>
        <w:tabs>
          <w:tab w:val="clear" w:pos="1701"/>
          <w:tab w:val="clear" w:pos="3433"/>
          <w:tab w:val="clear" w:pos="4304"/>
          <w:tab w:val="clear" w:pos="5115"/>
          <w:tab w:val="clear" w:pos="5985"/>
          <w:tab w:val="clear" w:pos="6905"/>
          <w:tab w:val="clear" w:pos="7731"/>
          <w:tab w:val="clear" w:pos="8602"/>
        </w:tabs>
        <w:spacing w:before="120" w:after="120"/>
        <w:rPr>
          <w:b/>
          <w:bCs/>
          <w:i/>
        </w:rPr>
      </w:pPr>
      <w:r w:rsidRPr="00D02EE7">
        <w:rPr>
          <w:b/>
          <w:bCs/>
          <w:i/>
        </w:rPr>
        <w:t>Legislative Instruments Act 2003</w:t>
      </w:r>
    </w:p>
    <w:p w:rsidR="00AD56CC" w:rsidRPr="00920DBC" w:rsidRDefault="00D02EE7" w:rsidP="004B13ED">
      <w:pPr>
        <w:keepLines/>
        <w:widowControl w:val="0"/>
        <w:spacing w:after="120"/>
        <w:rPr>
          <w:highlight w:val="yellow"/>
        </w:rPr>
      </w:pPr>
      <w:r w:rsidRPr="009813C3">
        <w:t xml:space="preserve">The </w:t>
      </w:r>
      <w:r>
        <w:t>Thirty-</w:t>
      </w:r>
      <w:r w:rsidR="00F7269D">
        <w:t>eighth</w:t>
      </w:r>
      <w:r>
        <w:t xml:space="preserve"> </w:t>
      </w:r>
      <w:r w:rsidRPr="009813C3">
        <w:t xml:space="preserve">Amending Deed is a legislative instrument for the purposes of the </w:t>
      </w:r>
      <w:r w:rsidRPr="009813C3">
        <w:rPr>
          <w:i/>
          <w:iCs/>
        </w:rPr>
        <w:t>Legislative Instruments Act 2003</w:t>
      </w:r>
      <w:r>
        <w:t xml:space="preserve"> (LIA).</w:t>
      </w:r>
      <w:r w:rsidRPr="009813C3">
        <w:t xml:space="preserve"> Although section 44 of the LIA exempts superannuation instruments from disallowance, the </w:t>
      </w:r>
      <w:r>
        <w:t>Thirty-</w:t>
      </w:r>
      <w:r w:rsidR="00F7269D">
        <w:t>eighth</w:t>
      </w:r>
      <w:r>
        <w:t xml:space="preserve"> </w:t>
      </w:r>
      <w:r w:rsidRPr="009813C3">
        <w:t>Amending Deed is subject to disallowance in accordance with section 45 of the 1990 Act.</w:t>
      </w:r>
      <w:r>
        <w:t xml:space="preserve"> </w:t>
      </w:r>
    </w:p>
    <w:p w:rsidR="004B13ED" w:rsidRPr="0088116A" w:rsidRDefault="004B13ED" w:rsidP="004B13ED">
      <w:pPr>
        <w:keepNext/>
        <w:spacing w:before="120" w:after="120"/>
        <w:rPr>
          <w:b/>
        </w:rPr>
      </w:pPr>
      <w:r w:rsidRPr="0088116A">
        <w:rPr>
          <w:b/>
        </w:rPr>
        <w:lastRenderedPageBreak/>
        <w:t>Consultation</w:t>
      </w:r>
    </w:p>
    <w:p w:rsidR="004B13ED" w:rsidRDefault="004B13ED" w:rsidP="004B13ED">
      <w:pPr>
        <w:pStyle w:val="NumberList"/>
        <w:keepLines w:val="0"/>
        <w:tabs>
          <w:tab w:val="clear" w:pos="1701"/>
          <w:tab w:val="clear" w:pos="3433"/>
          <w:tab w:val="clear" w:pos="4304"/>
          <w:tab w:val="clear" w:pos="5115"/>
          <w:tab w:val="clear" w:pos="5985"/>
          <w:tab w:val="clear" w:pos="6905"/>
          <w:tab w:val="clear" w:pos="7731"/>
          <w:tab w:val="clear" w:pos="8602"/>
        </w:tabs>
        <w:spacing w:before="120" w:after="120"/>
        <w:rPr>
          <w:b/>
          <w:bCs/>
          <w:i/>
        </w:rPr>
      </w:pPr>
      <w:r>
        <w:t xml:space="preserve">Section 17 of the LIA specifies that rule-makers should consult before making legislative instruments. </w:t>
      </w:r>
      <w:r w:rsidR="00583B14">
        <w:t xml:space="preserve">CSC and </w:t>
      </w:r>
      <w:r w:rsidRPr="00D02EE7">
        <w:t xml:space="preserve">ComSuper have been consulted on the amendments contained in the </w:t>
      </w:r>
      <w:r>
        <w:t>Thirty</w:t>
      </w:r>
      <w:r>
        <w:noBreakHyphen/>
      </w:r>
      <w:r w:rsidR="00F7269D">
        <w:t>eighth</w:t>
      </w:r>
      <w:r w:rsidRPr="00D02EE7">
        <w:t xml:space="preserve"> Amending Deed.</w:t>
      </w:r>
    </w:p>
    <w:p w:rsidR="0035519E" w:rsidRPr="00D02EE7" w:rsidRDefault="0035519E" w:rsidP="009C3943">
      <w:pPr>
        <w:pStyle w:val="NumberList"/>
        <w:keepNext/>
        <w:keepLines w:val="0"/>
        <w:tabs>
          <w:tab w:val="clear" w:pos="1701"/>
          <w:tab w:val="clear" w:pos="3433"/>
          <w:tab w:val="clear" w:pos="4304"/>
          <w:tab w:val="clear" w:pos="5115"/>
          <w:tab w:val="clear" w:pos="5985"/>
          <w:tab w:val="clear" w:pos="6905"/>
          <w:tab w:val="clear" w:pos="7731"/>
          <w:tab w:val="clear" w:pos="8602"/>
        </w:tabs>
        <w:spacing w:before="120" w:after="120"/>
        <w:rPr>
          <w:b/>
          <w:bCs/>
        </w:rPr>
      </w:pPr>
      <w:r w:rsidRPr="00D02EE7">
        <w:rPr>
          <w:b/>
          <w:bCs/>
        </w:rPr>
        <w:t>Commencement</w:t>
      </w:r>
    </w:p>
    <w:p w:rsidR="009C3943" w:rsidRDefault="00D02EE7" w:rsidP="009C3943">
      <w:pPr>
        <w:spacing w:before="120" w:after="120"/>
      </w:pPr>
      <w:r>
        <w:t>T</w:t>
      </w:r>
      <w:r w:rsidRPr="00247070">
        <w:t xml:space="preserve">he amendments in the </w:t>
      </w:r>
      <w:r>
        <w:t>Thirty-</w:t>
      </w:r>
      <w:r w:rsidR="00F7269D">
        <w:t>eighth</w:t>
      </w:r>
      <w:r>
        <w:t xml:space="preserve"> Amending </w:t>
      </w:r>
      <w:r w:rsidRPr="00247070">
        <w:t xml:space="preserve">Deed come into effect </w:t>
      </w:r>
      <w:r>
        <w:t>on the day after registration on the Federal Register of Legislative Instruments</w:t>
      </w:r>
      <w:r w:rsidR="00583B14">
        <w:t>.</w:t>
      </w:r>
    </w:p>
    <w:p w:rsidR="00E836F6" w:rsidRPr="00D02EE7" w:rsidRDefault="00E836F6" w:rsidP="009C3943">
      <w:pPr>
        <w:spacing w:before="120" w:after="120"/>
        <w:rPr>
          <w:b/>
        </w:rPr>
      </w:pPr>
      <w:r w:rsidRPr="00D02EE7">
        <w:rPr>
          <w:b/>
        </w:rPr>
        <w:t>Statement of Compatibility with Human Rights</w:t>
      </w:r>
    </w:p>
    <w:p w:rsidR="009A117B" w:rsidRPr="00D02EE7" w:rsidRDefault="009A117B" w:rsidP="009C3943">
      <w:pPr>
        <w:spacing w:before="120" w:after="120"/>
      </w:pPr>
      <w:r w:rsidRPr="00D02EE7">
        <w:t xml:space="preserve">A Statement of Compatibility with Human Rights is at </w:t>
      </w:r>
      <w:r w:rsidRPr="00D02EE7">
        <w:rPr>
          <w:u w:val="single"/>
        </w:rPr>
        <w:t>Attachment B</w:t>
      </w:r>
      <w:r w:rsidRPr="00D02EE7">
        <w:t>.</w:t>
      </w:r>
    </w:p>
    <w:p w:rsidR="0035519E" w:rsidRPr="00334E2B" w:rsidRDefault="003E6991" w:rsidP="00A36CB0">
      <w:pPr>
        <w:spacing w:after="120"/>
        <w:jc w:val="right"/>
      </w:pPr>
      <w:r w:rsidRPr="00920DBC">
        <w:rPr>
          <w:b/>
          <w:bCs/>
          <w:highlight w:val="yellow"/>
        </w:rPr>
        <w:br w:type="page"/>
      </w:r>
      <w:r w:rsidR="0035519E" w:rsidRPr="00334E2B">
        <w:rPr>
          <w:b/>
          <w:bCs/>
        </w:rPr>
        <w:lastRenderedPageBreak/>
        <w:t>ATTACHMENT</w:t>
      </w:r>
      <w:r w:rsidR="009A117B" w:rsidRPr="00334E2B">
        <w:rPr>
          <w:b/>
          <w:bCs/>
        </w:rPr>
        <w:t xml:space="preserve"> A</w:t>
      </w:r>
    </w:p>
    <w:p w:rsidR="0035519E" w:rsidRPr="00334E2B" w:rsidRDefault="00A65030" w:rsidP="009C3943">
      <w:pPr>
        <w:pStyle w:val="NumberList"/>
        <w:tabs>
          <w:tab w:val="clear" w:pos="567"/>
          <w:tab w:val="clear" w:pos="1134"/>
          <w:tab w:val="clear" w:pos="1701"/>
          <w:tab w:val="clear" w:pos="2268"/>
          <w:tab w:val="clear" w:pos="3433"/>
          <w:tab w:val="clear" w:pos="4304"/>
          <w:tab w:val="clear" w:pos="5115"/>
          <w:tab w:val="clear" w:pos="5985"/>
          <w:tab w:val="clear" w:pos="6905"/>
          <w:tab w:val="clear" w:pos="7731"/>
          <w:tab w:val="clear" w:pos="8602"/>
        </w:tabs>
        <w:spacing w:before="120" w:after="120"/>
        <w:rPr>
          <w:b/>
          <w:bCs/>
        </w:rPr>
      </w:pPr>
      <w:r w:rsidRPr="00334E2B">
        <w:rPr>
          <w:b/>
          <w:bCs/>
        </w:rPr>
        <w:t xml:space="preserve">BACKGROUND TO AND </w:t>
      </w:r>
      <w:r w:rsidR="0035519E" w:rsidRPr="00334E2B">
        <w:rPr>
          <w:b/>
          <w:bCs/>
        </w:rPr>
        <w:t xml:space="preserve">DETAILS OF THE </w:t>
      </w:r>
      <w:r w:rsidR="00334E2B" w:rsidRPr="00334E2B">
        <w:rPr>
          <w:b/>
          <w:bCs/>
        </w:rPr>
        <w:t>THIRTY-</w:t>
      </w:r>
      <w:r w:rsidR="00F7269D">
        <w:rPr>
          <w:b/>
          <w:bCs/>
        </w:rPr>
        <w:t>EIGHTH</w:t>
      </w:r>
      <w:r w:rsidR="0035519E" w:rsidRPr="00334E2B">
        <w:rPr>
          <w:b/>
          <w:bCs/>
        </w:rPr>
        <w:t xml:space="preserve"> AMENDING DEED</w:t>
      </w:r>
    </w:p>
    <w:p w:rsidR="0035519E" w:rsidRPr="00334E2B" w:rsidRDefault="0035519E" w:rsidP="009C3943">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s>
        <w:spacing w:before="120" w:after="120"/>
        <w:rPr>
          <w:b/>
          <w:bCs/>
          <w:u w:val="single"/>
        </w:rPr>
      </w:pPr>
      <w:r w:rsidRPr="00334E2B">
        <w:rPr>
          <w:b/>
          <w:bCs/>
          <w:u w:val="single"/>
        </w:rPr>
        <w:t>Commencement</w:t>
      </w:r>
    </w:p>
    <w:p w:rsidR="00334E2B" w:rsidRDefault="0035519E" w:rsidP="00583B14">
      <w:pPr>
        <w:spacing w:before="120" w:after="120"/>
      </w:pPr>
      <w:r w:rsidRPr="00334E2B">
        <w:rPr>
          <w:b/>
        </w:rPr>
        <w:t>Clause 1</w:t>
      </w:r>
      <w:r w:rsidRPr="00334E2B">
        <w:t xml:space="preserve"> </w:t>
      </w:r>
      <w:r w:rsidR="006873BC" w:rsidRPr="00334E2B">
        <w:t xml:space="preserve">specifies the commencement date for the amendments to the </w:t>
      </w:r>
      <w:r w:rsidR="00935201" w:rsidRPr="00334E2B">
        <w:t>Rules</w:t>
      </w:r>
      <w:r w:rsidR="00FD574A" w:rsidRPr="00334E2B">
        <w:t xml:space="preserve"> made by the Amending Deed</w:t>
      </w:r>
      <w:r w:rsidR="00AC0AF2" w:rsidRPr="00334E2B">
        <w:t xml:space="preserve"> to be</w:t>
      </w:r>
      <w:r w:rsidR="00E35CBA" w:rsidRPr="00334E2B">
        <w:t xml:space="preserve"> </w:t>
      </w:r>
      <w:r w:rsidR="00FB5C54" w:rsidRPr="00334E2B">
        <w:t xml:space="preserve">the day after registration on the Federal Register of Legislative </w:t>
      </w:r>
      <w:r w:rsidR="00A74087">
        <w:t>Instruments</w:t>
      </w:r>
      <w:r w:rsidR="00583B14">
        <w:t>.</w:t>
      </w:r>
    </w:p>
    <w:p w:rsidR="0035519E" w:rsidRPr="00A74087" w:rsidRDefault="000574EC" w:rsidP="009C3943">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s>
        <w:spacing w:before="120" w:after="120"/>
        <w:rPr>
          <w:b/>
          <w:bCs/>
          <w:u w:val="single"/>
        </w:rPr>
      </w:pPr>
      <w:r w:rsidRPr="00A74087">
        <w:rPr>
          <w:b/>
          <w:bCs/>
          <w:u w:val="single"/>
        </w:rPr>
        <w:t>Interpretation</w:t>
      </w:r>
    </w:p>
    <w:p w:rsidR="00B23358" w:rsidRPr="00A74087" w:rsidRDefault="0035519E" w:rsidP="009C3943">
      <w:pPr>
        <w:widowControl w:val="0"/>
        <w:numPr>
          <w:ilvl w:val="0"/>
          <w:numId w:val="33"/>
        </w:numPr>
        <w:tabs>
          <w:tab w:val="left" w:pos="835"/>
          <w:tab w:val="left" w:pos="2562"/>
        </w:tabs>
        <w:spacing w:before="120" w:after="120"/>
        <w:ind w:left="0" w:firstLine="0"/>
      </w:pPr>
      <w:r w:rsidRPr="00A74087">
        <w:rPr>
          <w:b/>
        </w:rPr>
        <w:t>Clause 2</w:t>
      </w:r>
      <w:r w:rsidRPr="00A74087">
        <w:t xml:space="preserve"> indicates that, unless a contrary intention appears, a word or phrase in the Amending Deed has the same meaning that it has in the Trust Deed</w:t>
      </w:r>
      <w:r w:rsidR="00AC0AF2" w:rsidRPr="00A74087">
        <w:t xml:space="preserve"> and the Rules</w:t>
      </w:r>
      <w:r w:rsidR="004B1BD7" w:rsidRPr="00A74087">
        <w:t>.</w:t>
      </w:r>
    </w:p>
    <w:p w:rsidR="0035519E" w:rsidRPr="00A74087" w:rsidRDefault="00543A3F" w:rsidP="009C3943">
      <w:pPr>
        <w:widowControl w:val="0"/>
        <w:tabs>
          <w:tab w:val="left" w:pos="835"/>
          <w:tab w:val="left" w:pos="2562"/>
        </w:tabs>
        <w:spacing w:before="120" w:after="120"/>
        <w:rPr>
          <w:b/>
          <w:u w:val="single"/>
        </w:rPr>
      </w:pPr>
      <w:r>
        <w:rPr>
          <w:b/>
          <w:u w:val="single"/>
        </w:rPr>
        <w:t>Maximum benefits determinations</w:t>
      </w:r>
    </w:p>
    <w:p w:rsidR="00543A3F" w:rsidRDefault="00543A3F" w:rsidP="009C3943">
      <w:pPr>
        <w:widowControl w:val="0"/>
        <w:numPr>
          <w:ilvl w:val="0"/>
          <w:numId w:val="33"/>
        </w:numPr>
        <w:tabs>
          <w:tab w:val="left" w:pos="835"/>
          <w:tab w:val="left" w:pos="2562"/>
        </w:tabs>
        <w:spacing w:before="120" w:after="120"/>
        <w:ind w:left="0" w:firstLine="0"/>
      </w:pPr>
      <w:r>
        <w:t xml:space="preserve">Divisions 6 and 7 of Part 5 of the Trust Deed contain tables setting out the maximum benefits that a member may accrue in the PSS. Rules 5.6.5 and 5.7.7 allow for the figures in these tables to be updated in accordance with movements in Average Weekly Ordinary Time Earnings </w:t>
      </w:r>
      <w:r w:rsidR="00B7258E">
        <w:t xml:space="preserve">(AWOTE) </w:t>
      </w:r>
      <w:r>
        <w:t>in Australia. The indexation of increases had referenced the March-to-March movement in Average Weekly Ordinary Time Earnings in Australia, and allowed the March quarter figures published by the Australian Bureau of Statistics (ABS) to be used.</w:t>
      </w:r>
    </w:p>
    <w:p w:rsidR="00583B14" w:rsidRPr="00543A3F" w:rsidRDefault="00B93FD4" w:rsidP="009C3943">
      <w:pPr>
        <w:widowControl w:val="0"/>
        <w:numPr>
          <w:ilvl w:val="0"/>
          <w:numId w:val="33"/>
        </w:numPr>
        <w:tabs>
          <w:tab w:val="left" w:pos="835"/>
          <w:tab w:val="left" w:pos="2562"/>
        </w:tabs>
        <w:spacing w:before="120" w:after="120"/>
        <w:ind w:left="0" w:firstLine="0"/>
        <w:rPr>
          <w:b/>
        </w:rPr>
      </w:pPr>
      <w:r>
        <w:t>T</w:t>
      </w:r>
      <w:r w:rsidR="00543A3F">
        <w:t xml:space="preserve">he ABS </w:t>
      </w:r>
      <w:r>
        <w:t xml:space="preserve">has </w:t>
      </w:r>
      <w:r w:rsidR="00543A3F">
        <w:t xml:space="preserve">reduced the frequency of the Average Weekly Earnings survey from quarterly to biannually. </w:t>
      </w:r>
      <w:r w:rsidR="00583B14" w:rsidRPr="00150645">
        <w:t xml:space="preserve">The </w:t>
      </w:r>
      <w:r w:rsidR="00583B14">
        <w:t xml:space="preserve">purpose of </w:t>
      </w:r>
      <w:r w:rsidR="00E049A3">
        <w:t xml:space="preserve">clauses 3 and 4 of </w:t>
      </w:r>
      <w:r w:rsidR="00583B14">
        <w:t xml:space="preserve">the </w:t>
      </w:r>
      <w:r w:rsidR="00583B14" w:rsidRPr="00150645">
        <w:t xml:space="preserve">Amending Deed </w:t>
      </w:r>
      <w:r w:rsidR="00583B14">
        <w:t>is to update the method of indexing increases to the maximum benefit tables</w:t>
      </w:r>
      <w:r w:rsidR="00543A3F">
        <w:t xml:space="preserve"> as a consequence of the change in the frequency of the Average Weekly Earnings survey conducted and published by the ABS.</w:t>
      </w:r>
    </w:p>
    <w:p w:rsidR="000F608A" w:rsidRPr="000D2441" w:rsidRDefault="000F608A" w:rsidP="009C3943">
      <w:pPr>
        <w:widowControl w:val="0"/>
        <w:numPr>
          <w:ilvl w:val="0"/>
          <w:numId w:val="33"/>
        </w:numPr>
        <w:tabs>
          <w:tab w:val="left" w:pos="835"/>
          <w:tab w:val="left" w:pos="2562"/>
        </w:tabs>
        <w:spacing w:before="120" w:after="120"/>
        <w:ind w:left="0" w:firstLine="0"/>
        <w:rPr>
          <w:b/>
        </w:rPr>
      </w:pPr>
      <w:r w:rsidRPr="00A74087">
        <w:rPr>
          <w:b/>
        </w:rPr>
        <w:t>Clause 3</w:t>
      </w:r>
      <w:r w:rsidRPr="00A74087">
        <w:t xml:space="preserve"> </w:t>
      </w:r>
      <w:r w:rsidR="00243B73">
        <w:t xml:space="preserve">provides </w:t>
      </w:r>
      <w:r w:rsidRPr="00A74087">
        <w:t>that the amendments made by clause 4 apply in relation to</w:t>
      </w:r>
      <w:r w:rsidR="00543A3F">
        <w:t xml:space="preserve"> determinations made under Rule 5.6.5 and Rule 5.7.7 that apply f</w:t>
      </w:r>
      <w:r w:rsidR="00960658">
        <w:t>or</w:t>
      </w:r>
      <w:r w:rsidR="00543A3F">
        <w:t xml:space="preserve"> the 201</w:t>
      </w:r>
      <w:r w:rsidR="00E049A3">
        <w:t>4</w:t>
      </w:r>
      <w:r w:rsidR="00543A3F">
        <w:t>-1</w:t>
      </w:r>
      <w:r w:rsidR="00E049A3">
        <w:t>5</w:t>
      </w:r>
      <w:r w:rsidR="00543A3F">
        <w:t xml:space="preserve"> financial year </w:t>
      </w:r>
      <w:r w:rsidR="00960658">
        <w:t>and later financial years</w:t>
      </w:r>
      <w:r w:rsidR="00543A3F">
        <w:t>.</w:t>
      </w:r>
    </w:p>
    <w:p w:rsidR="00543A3F" w:rsidRPr="00B7258E" w:rsidRDefault="00543A3F" w:rsidP="009C3943">
      <w:pPr>
        <w:widowControl w:val="0"/>
        <w:numPr>
          <w:ilvl w:val="0"/>
          <w:numId w:val="33"/>
        </w:numPr>
        <w:tabs>
          <w:tab w:val="left" w:pos="835"/>
          <w:tab w:val="left" w:pos="2562"/>
        </w:tabs>
        <w:spacing w:before="120" w:after="120"/>
        <w:ind w:left="0" w:firstLine="0"/>
        <w:rPr>
          <w:b/>
        </w:rPr>
      </w:pPr>
      <w:r>
        <w:rPr>
          <w:b/>
        </w:rPr>
        <w:t>Subclauses 4.1 and 4.3</w:t>
      </w:r>
      <w:r>
        <w:t xml:space="preserve"> amend Rules 5.6.5 and 5.7.7 to replace paragraph (a) of each rule to </w:t>
      </w:r>
      <w:r w:rsidR="00B7258E">
        <w:t>remove the existing methodology of calculating the indexation factor to be applied for determinations of maximum benefits. The new paragraph (a) of each rule refers to an indexation factor calculated under new Rule 5.6.5A</w:t>
      </w:r>
      <w:r w:rsidR="00B01223">
        <w:t xml:space="preserve"> or 5.6.5B, whichever is applicable</w:t>
      </w:r>
      <w:r w:rsidR="00B7258E">
        <w:t>.</w:t>
      </w:r>
    </w:p>
    <w:p w:rsidR="00B01223" w:rsidRPr="00B01223" w:rsidRDefault="00B7258E" w:rsidP="009C3943">
      <w:pPr>
        <w:widowControl w:val="0"/>
        <w:numPr>
          <w:ilvl w:val="0"/>
          <w:numId w:val="33"/>
        </w:numPr>
        <w:tabs>
          <w:tab w:val="left" w:pos="835"/>
          <w:tab w:val="left" w:pos="2562"/>
        </w:tabs>
        <w:spacing w:before="120" w:after="120"/>
        <w:ind w:left="0" w:firstLine="0"/>
        <w:rPr>
          <w:b/>
        </w:rPr>
      </w:pPr>
      <w:r>
        <w:rPr>
          <w:b/>
        </w:rPr>
        <w:t>Subclause 4.2</w:t>
      </w:r>
      <w:r>
        <w:t xml:space="preserve"> inserts new Rule</w:t>
      </w:r>
      <w:r w:rsidR="00B01223">
        <w:t>s</w:t>
      </w:r>
      <w:r>
        <w:t xml:space="preserve"> 5.6.5A </w:t>
      </w:r>
      <w:r w:rsidR="00B01223">
        <w:t xml:space="preserve">and 5.6.5B </w:t>
      </w:r>
      <w:r>
        <w:t>to set out the indexation factor that applies for the purposes of Rules 5.6.5 and 5.7.7.</w:t>
      </w:r>
      <w:r w:rsidR="00B01223">
        <w:t xml:space="preserve"> New Rule 5.6.5A is used for determinations applying to the 2008-09 financial year and each later financial year ending on or before 30 June 2014. The Rule maintains the previous methodology of calculating the indexation factor for determinations that have already been made. </w:t>
      </w:r>
    </w:p>
    <w:p w:rsidR="00B7258E" w:rsidRPr="00B7258E" w:rsidRDefault="00B01223" w:rsidP="009C3943">
      <w:pPr>
        <w:widowControl w:val="0"/>
        <w:numPr>
          <w:ilvl w:val="0"/>
          <w:numId w:val="33"/>
        </w:numPr>
        <w:tabs>
          <w:tab w:val="left" w:pos="835"/>
          <w:tab w:val="left" w:pos="2562"/>
        </w:tabs>
        <w:spacing w:before="120" w:after="120"/>
        <w:ind w:left="0" w:firstLine="0"/>
        <w:rPr>
          <w:b/>
        </w:rPr>
      </w:pPr>
      <w:r>
        <w:t xml:space="preserve">New Rule 5.6.5B is used for determinations applying to the 2014-15 financial year and each later financial year. </w:t>
      </w:r>
      <w:r w:rsidR="00B7258E">
        <w:t xml:space="preserve">The indexation factor is the greater of 1, or the number calculated by new AWOTE divided by old AWOTE. This ensures that the maximum benefits amounts are not reduced </w:t>
      </w:r>
      <w:r w:rsidR="00960658">
        <w:t>if</w:t>
      </w:r>
      <w:r w:rsidR="00B7258E">
        <w:t xml:space="preserve"> AWOTE </w:t>
      </w:r>
      <w:r w:rsidR="00960658">
        <w:t xml:space="preserve">was to </w:t>
      </w:r>
      <w:r w:rsidR="00B7258E">
        <w:t xml:space="preserve">decrease over </w:t>
      </w:r>
      <w:r w:rsidR="00960658">
        <w:t>a</w:t>
      </w:r>
      <w:r w:rsidR="00B7258E">
        <w:t xml:space="preserve"> relevant period.</w:t>
      </w:r>
    </w:p>
    <w:p w:rsidR="00B7258E" w:rsidRPr="001B0B67" w:rsidRDefault="00B7258E" w:rsidP="009C3943">
      <w:pPr>
        <w:widowControl w:val="0"/>
        <w:numPr>
          <w:ilvl w:val="0"/>
          <w:numId w:val="33"/>
        </w:numPr>
        <w:tabs>
          <w:tab w:val="left" w:pos="835"/>
          <w:tab w:val="left" w:pos="2562"/>
        </w:tabs>
        <w:spacing w:before="120" w:after="120"/>
        <w:ind w:left="0" w:firstLine="0"/>
        <w:rPr>
          <w:b/>
        </w:rPr>
      </w:pPr>
      <w:r>
        <w:t xml:space="preserve">New AWOTE is the last AWOTE figure published by the ABS before 1 May of the financial year immediately preceding the financial year that the determination applies to. For example, for the determination made to apply for the 2014-15 financial year, the figure last published before 1 May of 2014 </w:t>
      </w:r>
      <w:r w:rsidR="00960658">
        <w:t>would be</w:t>
      </w:r>
      <w:r>
        <w:t xml:space="preserve"> used.</w:t>
      </w:r>
    </w:p>
    <w:p w:rsidR="001B0B67" w:rsidRPr="001B0B67" w:rsidRDefault="001B0B67" w:rsidP="009C3943">
      <w:pPr>
        <w:widowControl w:val="0"/>
        <w:numPr>
          <w:ilvl w:val="0"/>
          <w:numId w:val="33"/>
        </w:numPr>
        <w:tabs>
          <w:tab w:val="left" w:pos="835"/>
          <w:tab w:val="left" w:pos="2562"/>
        </w:tabs>
        <w:spacing w:before="120" w:after="120"/>
        <w:ind w:left="0" w:firstLine="0"/>
        <w:rPr>
          <w:b/>
        </w:rPr>
      </w:pPr>
      <w:r>
        <w:lastRenderedPageBreak/>
        <w:t xml:space="preserve">The old AWOTE is </w:t>
      </w:r>
      <w:r w:rsidR="00960658">
        <w:t xml:space="preserve">the </w:t>
      </w:r>
      <w:r>
        <w:t>corresponding AWOTE figure published one year prior to New AWOTE. For example, if new AWOTE corresponded to February 2014, old AWOTE would be the figure corresponding to February 2013. That is, an annual percentage increase in AWOTE is applied to the maximum benefits amounts.</w:t>
      </w:r>
    </w:p>
    <w:p w:rsidR="00140722" w:rsidRPr="00661814" w:rsidRDefault="001B0B67" w:rsidP="001B0B67">
      <w:pPr>
        <w:widowControl w:val="0"/>
        <w:numPr>
          <w:ilvl w:val="0"/>
          <w:numId w:val="33"/>
        </w:numPr>
        <w:tabs>
          <w:tab w:val="left" w:pos="835"/>
          <w:tab w:val="left" w:pos="2562"/>
        </w:tabs>
        <w:spacing w:before="120" w:after="120"/>
        <w:ind w:left="0" w:firstLine="0"/>
        <w:rPr>
          <w:b/>
        </w:rPr>
      </w:pPr>
      <w:r>
        <w:t>New Rule 5.6.5</w:t>
      </w:r>
      <w:r w:rsidR="00960658">
        <w:t>B</w:t>
      </w:r>
      <w:r>
        <w:t xml:space="preserve"> also allows for the retrospective substitution of previously published AWOTE figures by the ABS, and potential changes to the AWOTE reference base.</w:t>
      </w:r>
    </w:p>
    <w:p w:rsidR="00661814" w:rsidRDefault="00661814" w:rsidP="00661814">
      <w:pPr>
        <w:widowControl w:val="0"/>
        <w:tabs>
          <w:tab w:val="left" w:pos="835"/>
          <w:tab w:val="left" w:pos="2562"/>
        </w:tabs>
        <w:spacing w:before="120" w:after="120"/>
      </w:pPr>
      <w:r>
        <w:rPr>
          <w:b/>
          <w:u w:val="single"/>
        </w:rPr>
        <w:t>Sustainable Superannuation Concessions</w:t>
      </w:r>
    </w:p>
    <w:p w:rsidR="00470BCA" w:rsidRPr="00470BCA" w:rsidRDefault="00470BCA" w:rsidP="00470BCA">
      <w:pPr>
        <w:widowControl w:val="0"/>
        <w:numPr>
          <w:ilvl w:val="0"/>
          <w:numId w:val="33"/>
        </w:numPr>
        <w:tabs>
          <w:tab w:val="left" w:pos="835"/>
          <w:tab w:val="left" w:pos="2562"/>
        </w:tabs>
        <w:spacing w:before="120" w:after="120"/>
        <w:ind w:left="0" w:firstLine="0"/>
      </w:pPr>
      <w:r w:rsidRPr="00960658">
        <w:t>Schedule 3</w:t>
      </w:r>
      <w:r w:rsidRPr="00470BCA">
        <w:t xml:space="preserve"> to the </w:t>
      </w:r>
      <w:r w:rsidRPr="0064044F">
        <w:rPr>
          <w:i/>
        </w:rPr>
        <w:t>Tax and Superannuation Laws Amendment (Increased Concessional Contributions Cap and Other Measures) Act 2013</w:t>
      </w:r>
      <w:r w:rsidRPr="00470BCA">
        <w:t xml:space="preserve"> amend</w:t>
      </w:r>
      <w:r w:rsidR="00960658">
        <w:t xml:space="preserve">ed a number of Acts including the </w:t>
      </w:r>
      <w:r w:rsidRPr="00A3498E">
        <w:rPr>
          <w:i/>
        </w:rPr>
        <w:t>Taxation Administration Act 1953</w:t>
      </w:r>
      <w:r w:rsidRPr="00470BCA">
        <w:t xml:space="preserve"> </w:t>
      </w:r>
      <w:r w:rsidR="00A3498E">
        <w:t xml:space="preserve">(TAA 1953) </w:t>
      </w:r>
      <w:r w:rsidR="00960658">
        <w:t xml:space="preserve">and the </w:t>
      </w:r>
      <w:r w:rsidR="00960658" w:rsidRPr="00EE5885">
        <w:rPr>
          <w:i/>
        </w:rPr>
        <w:t>Income Tax Assessment Act 1997</w:t>
      </w:r>
      <w:r w:rsidR="00960658">
        <w:t xml:space="preserve"> (ITAA 97) </w:t>
      </w:r>
      <w:r w:rsidRPr="00470BCA">
        <w:t xml:space="preserve">to reduce the tax concession </w:t>
      </w:r>
      <w:r w:rsidR="00960658">
        <w:t>that individuals with incomes above $300,000 receive on their concessionally</w:t>
      </w:r>
      <w:r w:rsidRPr="00470BCA">
        <w:t xml:space="preserve"> taxed superannuation contributions </w:t>
      </w:r>
      <w:r w:rsidR="00960658">
        <w:t xml:space="preserve">from 30 </w:t>
      </w:r>
      <w:r w:rsidRPr="00470BCA">
        <w:t>per cent</w:t>
      </w:r>
      <w:r w:rsidR="00960658">
        <w:t xml:space="preserve"> to 15 per cent (Division 293 tax)</w:t>
      </w:r>
      <w:r w:rsidRPr="00470BCA">
        <w:t xml:space="preserve">. </w:t>
      </w:r>
    </w:p>
    <w:p w:rsidR="00960658" w:rsidRDefault="005A422D" w:rsidP="00470BCA">
      <w:pPr>
        <w:widowControl w:val="0"/>
        <w:numPr>
          <w:ilvl w:val="0"/>
          <w:numId w:val="33"/>
        </w:numPr>
        <w:tabs>
          <w:tab w:val="left" w:pos="835"/>
          <w:tab w:val="left" w:pos="2562"/>
        </w:tabs>
        <w:spacing w:before="120" w:after="120"/>
        <w:ind w:left="0" w:firstLine="0"/>
      </w:pPr>
      <w:r>
        <w:t>The A</w:t>
      </w:r>
      <w:r w:rsidR="00470BCA" w:rsidRPr="00470BCA">
        <w:t>m</w:t>
      </w:r>
      <w:r>
        <w:t>ending D</w:t>
      </w:r>
      <w:r w:rsidR="00470BCA" w:rsidRPr="00470BCA">
        <w:t xml:space="preserve">eed makes consequential amendments to </w:t>
      </w:r>
      <w:r w:rsidR="00960658">
        <w:t xml:space="preserve">PSS Rules to allow a PSS member to be paid a lump sum from the </w:t>
      </w:r>
      <w:r w:rsidR="00A3498E">
        <w:t>PSS</w:t>
      </w:r>
      <w:r w:rsidR="00470BCA" w:rsidRPr="00470BCA">
        <w:t xml:space="preserve"> </w:t>
      </w:r>
      <w:r w:rsidR="00960658">
        <w:t>to meet their Division 293 tax and have their PSS benefit reduced accordingly.</w:t>
      </w:r>
    </w:p>
    <w:p w:rsidR="00A05369" w:rsidRPr="00A05369" w:rsidRDefault="00A05369" w:rsidP="00E574E2">
      <w:pPr>
        <w:widowControl w:val="0"/>
        <w:numPr>
          <w:ilvl w:val="0"/>
          <w:numId w:val="33"/>
        </w:numPr>
        <w:tabs>
          <w:tab w:val="left" w:pos="835"/>
          <w:tab w:val="left" w:pos="2562"/>
        </w:tabs>
        <w:spacing w:before="120" w:after="120"/>
        <w:ind w:left="0" w:firstLine="0"/>
        <w:rPr>
          <w:b/>
        </w:rPr>
      </w:pPr>
      <w:r w:rsidRPr="00A05369">
        <w:rPr>
          <w:b/>
        </w:rPr>
        <w:t xml:space="preserve">Clause 5 </w:t>
      </w:r>
      <w:r w:rsidR="00163210">
        <w:t>provides that the amendments made by clause 6 and 7 applying to release authorities received by CSC on or after the commencement of the Amending Deed.</w:t>
      </w:r>
    </w:p>
    <w:p w:rsidR="0071515E" w:rsidRDefault="0071515E" w:rsidP="00E574E2">
      <w:pPr>
        <w:widowControl w:val="0"/>
        <w:numPr>
          <w:ilvl w:val="0"/>
          <w:numId w:val="33"/>
        </w:numPr>
        <w:tabs>
          <w:tab w:val="left" w:pos="835"/>
          <w:tab w:val="left" w:pos="2562"/>
        </w:tabs>
        <w:spacing w:before="120" w:after="120"/>
        <w:ind w:left="0" w:firstLine="0"/>
      </w:pPr>
      <w:r>
        <w:rPr>
          <w:b/>
        </w:rPr>
        <w:t>Subc</w:t>
      </w:r>
      <w:r w:rsidR="00A90B3D" w:rsidRPr="0071515E">
        <w:rPr>
          <w:b/>
        </w:rPr>
        <w:t>lause 6.</w:t>
      </w:r>
      <w:r w:rsidR="008E4C9A">
        <w:rPr>
          <w:b/>
        </w:rPr>
        <w:t>1</w:t>
      </w:r>
      <w:r w:rsidR="00A90B3D" w:rsidRPr="00A90B3D">
        <w:t xml:space="preserve"> amend</w:t>
      </w:r>
      <w:r w:rsidR="00A90B3D">
        <w:t>s</w:t>
      </w:r>
      <w:r w:rsidR="00A90B3D" w:rsidRPr="00A90B3D">
        <w:t xml:space="preserve"> the definition of release authority contained in Rule 1.2.1 of the </w:t>
      </w:r>
      <w:r w:rsidR="00B93FD4">
        <w:t>T</w:t>
      </w:r>
      <w:r w:rsidR="00A90B3D" w:rsidRPr="00A90B3D">
        <w:t xml:space="preserve">rust </w:t>
      </w:r>
      <w:r w:rsidR="00B93FD4">
        <w:t>D</w:t>
      </w:r>
      <w:r w:rsidR="00A90B3D" w:rsidRPr="00A90B3D">
        <w:t>eed</w:t>
      </w:r>
      <w:r w:rsidR="007545C8">
        <w:t xml:space="preserve">.  The definition is amended to </w:t>
      </w:r>
      <w:r w:rsidR="00A90B3D" w:rsidRPr="00A90B3D">
        <w:t>include a release authority issued by the Commissioner of Taxation under item 1 and 2 of the table in subsection 135-10(1) of Schedule</w:t>
      </w:r>
      <w:r w:rsidR="00B93FD4">
        <w:t> </w:t>
      </w:r>
      <w:r w:rsidR="00A90B3D" w:rsidRPr="00A90B3D">
        <w:t>1 to the TAA 1953</w:t>
      </w:r>
      <w:r w:rsidR="00DF5027">
        <w:t xml:space="preserve"> for the purposes of </w:t>
      </w:r>
      <w:r w:rsidR="002A6752">
        <w:t xml:space="preserve">the </w:t>
      </w:r>
      <w:r w:rsidR="00DF5027">
        <w:t xml:space="preserve">Rules </w:t>
      </w:r>
      <w:r w:rsidR="002A6752">
        <w:t>except for the purposes of Part 17</w:t>
      </w:r>
      <w:r w:rsidR="00DF5027">
        <w:t>.</w:t>
      </w:r>
      <w:r w:rsidR="002A6752">
        <w:t xml:space="preserve">  For the purposes of Part 17, the definition is also amended to include </w:t>
      </w:r>
      <w:r w:rsidR="00A74BA0">
        <w:t>a release authority issued under item 3 of the table in subsection 135-10(1) of Schedule 1 to the TAA 1953.</w:t>
      </w:r>
    </w:p>
    <w:p w:rsidR="00A90B3D" w:rsidRPr="009A797C" w:rsidRDefault="0071515E" w:rsidP="00E574E2">
      <w:pPr>
        <w:widowControl w:val="0"/>
        <w:numPr>
          <w:ilvl w:val="0"/>
          <w:numId w:val="33"/>
        </w:numPr>
        <w:tabs>
          <w:tab w:val="left" w:pos="835"/>
          <w:tab w:val="left" w:pos="2562"/>
        </w:tabs>
        <w:spacing w:before="120" w:after="120"/>
        <w:ind w:left="0" w:firstLine="0"/>
      </w:pPr>
      <w:r w:rsidRPr="0071515E">
        <w:rPr>
          <w:b/>
        </w:rPr>
        <w:t xml:space="preserve">Subclause </w:t>
      </w:r>
      <w:r w:rsidR="00A90B3D" w:rsidRPr="0071515E">
        <w:rPr>
          <w:b/>
        </w:rPr>
        <w:t>7.1</w:t>
      </w:r>
      <w:r w:rsidR="00A90B3D">
        <w:t xml:space="preserve"> </w:t>
      </w:r>
      <w:r w:rsidR="00252C97">
        <w:t>inserts a new Part</w:t>
      </w:r>
      <w:r w:rsidR="00A90B3D">
        <w:t xml:space="preserve"> </w:t>
      </w:r>
      <w:r w:rsidR="00163210">
        <w:t>17</w:t>
      </w:r>
      <w:r w:rsidR="00A90B3D">
        <w:t xml:space="preserve"> immediately after Part 16 to set out the </w:t>
      </w:r>
      <w:r w:rsidR="00252C97">
        <w:t>conditions</w:t>
      </w:r>
      <w:r w:rsidR="00A90B3D">
        <w:t xml:space="preserve"> for the release of benefits to meet a deferred tax liability incurred under </w:t>
      </w:r>
      <w:r>
        <w:t>Division </w:t>
      </w:r>
      <w:r w:rsidR="00A90B3D" w:rsidRPr="009A797C">
        <w:t xml:space="preserve">293 of the </w:t>
      </w:r>
      <w:r w:rsidR="00E574E2" w:rsidRPr="009A797C">
        <w:rPr>
          <w:i/>
          <w:iCs/>
        </w:rPr>
        <w:t xml:space="preserve">Income Tax Assessment Act </w:t>
      </w:r>
      <w:r w:rsidR="00676029" w:rsidRPr="009A797C">
        <w:rPr>
          <w:i/>
          <w:iCs/>
        </w:rPr>
        <w:t>1997</w:t>
      </w:r>
      <w:r w:rsidR="00676029" w:rsidRPr="009A797C">
        <w:rPr>
          <w:iCs/>
        </w:rPr>
        <w:t xml:space="preserve"> and the subsequent reduction of a person’s benefit</w:t>
      </w:r>
      <w:r w:rsidR="00A018BD" w:rsidRPr="009A797C">
        <w:rPr>
          <w:iCs/>
        </w:rPr>
        <w:t xml:space="preserve"> to take account of the release authority lump sum</w:t>
      </w:r>
      <w:r w:rsidR="00E574E2" w:rsidRPr="009A797C">
        <w:rPr>
          <w:iCs/>
        </w:rPr>
        <w:t>.</w:t>
      </w:r>
    </w:p>
    <w:p w:rsidR="00647AE2" w:rsidRPr="00647AE2" w:rsidRDefault="00F615C8" w:rsidP="00647AE2">
      <w:pPr>
        <w:widowControl w:val="0"/>
        <w:numPr>
          <w:ilvl w:val="0"/>
          <w:numId w:val="33"/>
        </w:numPr>
        <w:tabs>
          <w:tab w:val="left" w:pos="835"/>
          <w:tab w:val="left" w:pos="2562"/>
        </w:tabs>
        <w:spacing w:before="120" w:after="120"/>
        <w:ind w:left="0" w:firstLine="0"/>
      </w:pPr>
      <w:r w:rsidRPr="00F615C8">
        <w:t>New</w:t>
      </w:r>
      <w:r w:rsidR="009A797C" w:rsidRPr="00F615C8">
        <w:t xml:space="preserve"> R</w:t>
      </w:r>
      <w:r w:rsidR="009A797C">
        <w:t xml:space="preserve">ule 17.1.1 </w:t>
      </w:r>
      <w:r w:rsidR="00647AE2" w:rsidRPr="00647AE2">
        <w:t>allow</w:t>
      </w:r>
      <w:r w:rsidR="00163210">
        <w:t>s</w:t>
      </w:r>
      <w:r w:rsidR="00647AE2" w:rsidRPr="00647AE2">
        <w:t xml:space="preserve"> a release authority lump sum to be paid by CSC if a person presents a release authority issued under item 3 of the table in subsection 135-10(1) in Schedule 1 to the </w:t>
      </w:r>
      <w:r w:rsidR="00647AE2" w:rsidRPr="00F14961">
        <w:t>TAA 1953</w:t>
      </w:r>
      <w:r w:rsidR="00252C97">
        <w:t xml:space="preserve"> a</w:t>
      </w:r>
      <w:r w:rsidR="00647AE2" w:rsidRPr="00647AE2">
        <w:t>nd, at the time they provide a release authority to CSC, the person</w:t>
      </w:r>
      <w:r w:rsidR="00647AE2">
        <w:t xml:space="preserve"> </w:t>
      </w:r>
      <w:r w:rsidR="00647AE2" w:rsidRPr="00647AE2">
        <w:t>gives a written notice to CSC specifying which of their benefits is to be reduced to take account of the release aut</w:t>
      </w:r>
      <w:r w:rsidR="007034A0">
        <w:t>hority lump sum.</w:t>
      </w:r>
    </w:p>
    <w:p w:rsidR="00647AE2" w:rsidRDefault="007A3613" w:rsidP="00647AE2">
      <w:pPr>
        <w:widowControl w:val="0"/>
        <w:numPr>
          <w:ilvl w:val="0"/>
          <w:numId w:val="33"/>
        </w:numPr>
        <w:tabs>
          <w:tab w:val="left" w:pos="835"/>
          <w:tab w:val="left" w:pos="2562"/>
        </w:tabs>
        <w:spacing w:before="120" w:after="120"/>
        <w:ind w:left="0" w:firstLine="0"/>
      </w:pPr>
      <w:r>
        <w:t>I</w:t>
      </w:r>
      <w:r w:rsidR="00647AE2" w:rsidRPr="00647AE2">
        <w:t xml:space="preserve">n order to allow CSC to pay a release authority lump sum amount, </w:t>
      </w:r>
      <w:r w:rsidR="00942394">
        <w:t>new R</w:t>
      </w:r>
      <w:r w:rsidR="00F615C8">
        <w:t>ules 17.1.2 and 17.1.3 provides</w:t>
      </w:r>
      <w:r w:rsidR="00942394">
        <w:t xml:space="preserve"> that </w:t>
      </w:r>
      <w:r w:rsidR="00647AE2" w:rsidRPr="00647AE2">
        <w:t>the member must specify which of their benefits is to be reduced to reflect the release amount. This benefit can be either a lump sum to which the person is entitled to be paid, or about to become entitled to be paid, or a pension that the person is entitled to be paid, or has started to be paid. While the person may specify more than one benefit to be reduc</w:t>
      </w:r>
      <w:r w:rsidR="00942394">
        <w:t xml:space="preserve">ed to cover the release amount, </w:t>
      </w:r>
      <w:r w:rsidR="00647AE2" w:rsidRPr="00647AE2">
        <w:t xml:space="preserve">all of one benefit must </w:t>
      </w:r>
      <w:r w:rsidR="00E14FF9">
        <w:t xml:space="preserve">first </w:t>
      </w:r>
      <w:r w:rsidR="00647AE2" w:rsidRPr="00647AE2">
        <w:t>be reduced to zero before the next benefit can be reduced</w:t>
      </w:r>
      <w:r w:rsidR="007034A0">
        <w:t xml:space="preserve">. </w:t>
      </w:r>
    </w:p>
    <w:p w:rsidR="003D2926" w:rsidRPr="00647AE2" w:rsidRDefault="00942394" w:rsidP="003D2926">
      <w:pPr>
        <w:widowControl w:val="0"/>
        <w:numPr>
          <w:ilvl w:val="0"/>
          <w:numId w:val="33"/>
        </w:numPr>
        <w:tabs>
          <w:tab w:val="left" w:pos="835"/>
          <w:tab w:val="left" w:pos="2562"/>
        </w:tabs>
        <w:spacing w:before="120" w:after="240"/>
        <w:ind w:left="0" w:firstLine="0"/>
      </w:pPr>
      <w:r>
        <w:t xml:space="preserve">New Rules 17.1.4 and 17.1.5 </w:t>
      </w:r>
      <w:r w:rsidR="007A3613">
        <w:t>s</w:t>
      </w:r>
      <w:r w:rsidR="001B5C73">
        <w:t>pecify</w:t>
      </w:r>
      <w:r w:rsidR="00647AE2" w:rsidRPr="00647AE2">
        <w:t xml:space="preserve"> that the amount of a release authority lump sum must not have the effect of reducing the person’s benefit(s) specified in the election below zero, after first taking into account a person’s surcharge deduction amount, then any early </w:t>
      </w:r>
      <w:r w:rsidR="00163210">
        <w:lastRenderedPageBreak/>
        <w:t>reduction</w:t>
      </w:r>
      <w:r w:rsidR="00647AE2" w:rsidRPr="00647AE2">
        <w:t xml:space="preserve"> under </w:t>
      </w:r>
      <w:r w:rsidR="007A3613">
        <w:t>Rule 12.4.5</w:t>
      </w:r>
      <w:r w:rsidR="00163210">
        <w:t xml:space="preserve"> related to an early release of benefits</w:t>
      </w:r>
      <w:r w:rsidR="00647AE2" w:rsidRPr="00647AE2">
        <w:t xml:space="preserve">, and then any family law reductions. </w:t>
      </w:r>
      <w:r w:rsidR="003D2926">
        <w:t xml:space="preserve">This is in addition to the </w:t>
      </w:r>
      <w:r w:rsidR="008F7C75">
        <w:t>release amount provisions contained</w:t>
      </w:r>
      <w:r w:rsidR="003D2926">
        <w:t xml:space="preserve"> </w:t>
      </w:r>
      <w:r w:rsidR="003D2926" w:rsidRPr="00647AE2">
        <w:t xml:space="preserve">in </w:t>
      </w:r>
      <w:r w:rsidR="00490E74">
        <w:t>subsection 135–</w:t>
      </w:r>
      <w:r w:rsidR="007A3613">
        <w:t xml:space="preserve">85 </w:t>
      </w:r>
      <w:r w:rsidR="007A3613" w:rsidRPr="007A3613">
        <w:t xml:space="preserve">of </w:t>
      </w:r>
      <w:r w:rsidR="003D2926" w:rsidRPr="007A3613">
        <w:t xml:space="preserve">Schedule </w:t>
      </w:r>
      <w:r w:rsidR="00676029">
        <w:t>1</w:t>
      </w:r>
      <w:r w:rsidR="003D2926" w:rsidRPr="007A3613">
        <w:t xml:space="preserve"> to</w:t>
      </w:r>
      <w:r w:rsidR="003D2926">
        <w:t xml:space="preserve"> the </w:t>
      </w:r>
      <w:r w:rsidR="00676029">
        <w:t>TAA 1953</w:t>
      </w:r>
      <w:r w:rsidR="0071515E">
        <w:t>.</w:t>
      </w:r>
      <w:r w:rsidR="003D2926" w:rsidRPr="00647AE2">
        <w:t xml:space="preserve"> </w:t>
      </w:r>
    </w:p>
    <w:p w:rsidR="008C4DBB" w:rsidRPr="008C4DBB" w:rsidRDefault="003D1022" w:rsidP="008C4DBB">
      <w:pPr>
        <w:pStyle w:val="Default"/>
        <w:numPr>
          <w:ilvl w:val="0"/>
          <w:numId w:val="33"/>
        </w:numPr>
        <w:spacing w:before="120" w:after="120"/>
        <w:ind w:left="0" w:firstLine="0"/>
        <w:rPr>
          <w:color w:val="auto"/>
          <w:lang w:eastAsia="en-US"/>
        </w:rPr>
      </w:pPr>
      <w:r>
        <w:rPr>
          <w:color w:val="auto"/>
          <w:lang w:eastAsia="en-US"/>
        </w:rPr>
        <w:t>New Rule 17.1.</w:t>
      </w:r>
      <w:r w:rsidR="00180EFB">
        <w:rPr>
          <w:color w:val="auto"/>
          <w:lang w:eastAsia="en-US"/>
        </w:rPr>
        <w:t>6 provides that where a member</w:t>
      </w:r>
      <w:r w:rsidR="008C4DBB">
        <w:rPr>
          <w:color w:val="auto"/>
          <w:lang w:eastAsia="en-US"/>
        </w:rPr>
        <w:t xml:space="preserve"> elects to receive a release authority lump sum from a lump sum PSS benefit, the PSS benefit is to be reduced by the release authority lump sum amount.</w:t>
      </w:r>
    </w:p>
    <w:p w:rsidR="00647AE2" w:rsidRPr="006C213F" w:rsidRDefault="003D1022" w:rsidP="00482AAF">
      <w:pPr>
        <w:pStyle w:val="Default"/>
        <w:numPr>
          <w:ilvl w:val="0"/>
          <w:numId w:val="33"/>
        </w:numPr>
        <w:spacing w:before="120" w:after="120"/>
        <w:ind w:left="0" w:firstLine="0"/>
        <w:rPr>
          <w:color w:val="auto"/>
          <w:lang w:eastAsia="en-US"/>
        </w:rPr>
      </w:pPr>
      <w:r>
        <w:rPr>
          <w:color w:val="auto"/>
          <w:lang w:eastAsia="en-US"/>
        </w:rPr>
        <w:t>New Rule 17.1.7 provides that i</w:t>
      </w:r>
      <w:r w:rsidR="00647AE2" w:rsidRPr="00647AE2">
        <w:rPr>
          <w:color w:val="auto"/>
          <w:lang w:eastAsia="en-US"/>
        </w:rPr>
        <w:t>f a person specifies that their pension is to be reduced, the person’s annual rate of pension prior to the reduction (‘pre-reduction annual rate of pension’) is to be reduced by the following formula</w:t>
      </w:r>
      <w:r w:rsidR="003D2926">
        <w:rPr>
          <w:color w:val="auto"/>
          <w:lang w:eastAsia="en-US"/>
        </w:rPr>
        <w:t>:</w:t>
      </w:r>
    </w:p>
    <w:p w:rsidR="00490E74" w:rsidRDefault="006C213F" w:rsidP="00482AAF">
      <w:pPr>
        <w:pStyle w:val="Default"/>
      </w:pPr>
      <w:r w:rsidRPr="00C87969">
        <w:tab/>
      </w:r>
      <w:bookmarkStart w:id="0" w:name="BKCheck15B_5"/>
      <w:bookmarkEnd w:id="0"/>
      <w:r w:rsidRPr="006C213F">
        <w:rPr>
          <w:sz w:val="28"/>
          <w:szCs w:val="28"/>
        </w:rPr>
        <w:object w:dxaOrig="48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5pt;height:42.05pt" o:ole="">
            <v:imagedata r:id="rId8" o:title=""/>
          </v:shape>
          <o:OLEObject Type="Embed" ProgID="Equation.DSMT4" ShapeID="_x0000_i1025" DrawAspect="Content" ObjectID="_1435752872" r:id="rId9"/>
        </w:object>
      </w:r>
    </w:p>
    <w:p w:rsidR="006C213F" w:rsidRPr="00647AE2" w:rsidRDefault="006C213F" w:rsidP="00482AAF">
      <w:pPr>
        <w:pStyle w:val="Default"/>
        <w:rPr>
          <w:color w:val="auto"/>
          <w:lang w:eastAsia="en-US"/>
        </w:rPr>
      </w:pPr>
    </w:p>
    <w:p w:rsidR="00647AE2" w:rsidRDefault="00647AE2" w:rsidP="00482AAF">
      <w:pPr>
        <w:pStyle w:val="Default"/>
        <w:numPr>
          <w:ilvl w:val="0"/>
          <w:numId w:val="33"/>
        </w:numPr>
        <w:spacing w:after="263"/>
        <w:ind w:left="0" w:firstLine="0"/>
        <w:rPr>
          <w:color w:val="auto"/>
          <w:lang w:eastAsia="en-US"/>
        </w:rPr>
      </w:pPr>
      <w:r w:rsidRPr="00647AE2">
        <w:rPr>
          <w:color w:val="auto"/>
          <w:lang w:eastAsia="en-US"/>
        </w:rPr>
        <w:t>For the purposes of the formula, the ‘pre-reduction rate</w:t>
      </w:r>
      <w:r w:rsidR="006C213F">
        <w:rPr>
          <w:color w:val="auto"/>
          <w:lang w:eastAsia="en-US"/>
        </w:rPr>
        <w:t>’</w:t>
      </w:r>
      <w:r w:rsidRPr="00647AE2">
        <w:rPr>
          <w:color w:val="auto"/>
          <w:lang w:eastAsia="en-US"/>
        </w:rPr>
        <w:t xml:space="preserve"> of pension will be the actual rate of pension o</w:t>
      </w:r>
      <w:r w:rsidR="00FD4D0C">
        <w:rPr>
          <w:color w:val="auto"/>
          <w:lang w:eastAsia="en-US"/>
        </w:rPr>
        <w:t xml:space="preserve">therwise payable to the person, </w:t>
      </w:r>
      <w:r w:rsidRPr="00647AE2">
        <w:rPr>
          <w:color w:val="auto"/>
          <w:lang w:eastAsia="en-US"/>
        </w:rPr>
        <w:t xml:space="preserve">noting that this includes any other provision in </w:t>
      </w:r>
      <w:r w:rsidRPr="00676029">
        <w:rPr>
          <w:color w:val="auto"/>
          <w:lang w:eastAsia="en-US"/>
        </w:rPr>
        <w:t xml:space="preserve">the </w:t>
      </w:r>
      <w:r w:rsidR="00FD4D0C" w:rsidRPr="00676029">
        <w:rPr>
          <w:i/>
          <w:color w:val="auto"/>
          <w:lang w:eastAsia="en-US"/>
        </w:rPr>
        <w:t>Superannuation Act 1990</w:t>
      </w:r>
      <w:r w:rsidR="00FD4D0C" w:rsidRPr="00676029">
        <w:rPr>
          <w:color w:val="auto"/>
          <w:lang w:eastAsia="en-US"/>
        </w:rPr>
        <w:t xml:space="preserve"> or </w:t>
      </w:r>
      <w:r w:rsidR="00490E74">
        <w:rPr>
          <w:color w:val="auto"/>
          <w:lang w:eastAsia="en-US"/>
        </w:rPr>
        <w:t xml:space="preserve">the </w:t>
      </w:r>
      <w:r w:rsidR="00FD4D0C" w:rsidRPr="00676029">
        <w:rPr>
          <w:color w:val="auto"/>
          <w:lang w:eastAsia="en-US"/>
        </w:rPr>
        <w:t>Trust Deed</w:t>
      </w:r>
      <w:r w:rsidR="00FD4D0C">
        <w:rPr>
          <w:color w:val="auto"/>
          <w:lang w:eastAsia="en-US"/>
        </w:rPr>
        <w:t xml:space="preserve"> </w:t>
      </w:r>
      <w:r w:rsidRPr="00647AE2">
        <w:rPr>
          <w:color w:val="auto"/>
          <w:lang w:eastAsia="en-US"/>
        </w:rPr>
        <w:t>t</w:t>
      </w:r>
      <w:r w:rsidR="00FD4D0C">
        <w:rPr>
          <w:color w:val="auto"/>
          <w:lang w:eastAsia="en-US"/>
        </w:rPr>
        <w:t>hat affects the rate of pension</w:t>
      </w:r>
      <w:r w:rsidRPr="00647AE2">
        <w:rPr>
          <w:color w:val="auto"/>
          <w:lang w:eastAsia="en-US"/>
        </w:rPr>
        <w:t xml:space="preserve">. </w:t>
      </w:r>
    </w:p>
    <w:p w:rsidR="006C380E" w:rsidRDefault="001628FC" w:rsidP="00482AAF">
      <w:pPr>
        <w:pStyle w:val="Default"/>
        <w:numPr>
          <w:ilvl w:val="0"/>
          <w:numId w:val="33"/>
        </w:numPr>
        <w:spacing w:after="263"/>
        <w:ind w:left="0" w:firstLine="0"/>
        <w:rPr>
          <w:color w:val="auto"/>
          <w:lang w:eastAsia="en-US"/>
        </w:rPr>
      </w:pPr>
      <w:r>
        <w:rPr>
          <w:color w:val="auto"/>
          <w:lang w:eastAsia="en-US"/>
        </w:rPr>
        <w:t xml:space="preserve">New </w:t>
      </w:r>
      <w:r w:rsidR="006C380E">
        <w:rPr>
          <w:color w:val="auto"/>
          <w:lang w:eastAsia="en-US"/>
        </w:rPr>
        <w:t xml:space="preserve">Rule 17.1.8 provides that CSC may </w:t>
      </w:r>
      <w:r w:rsidR="00BD115D">
        <w:rPr>
          <w:color w:val="auto"/>
          <w:lang w:eastAsia="en-US"/>
        </w:rPr>
        <w:t xml:space="preserve">by legislative instrument </w:t>
      </w:r>
      <w:r w:rsidR="006C380E">
        <w:rPr>
          <w:color w:val="auto"/>
          <w:lang w:eastAsia="en-US"/>
        </w:rPr>
        <w:t>determine conversion factor</w:t>
      </w:r>
      <w:r w:rsidR="00163210">
        <w:rPr>
          <w:color w:val="auto"/>
          <w:lang w:eastAsia="en-US"/>
        </w:rPr>
        <w:t xml:space="preserve">s or the method for working out conversion factors </w:t>
      </w:r>
      <w:r w:rsidR="006C380E">
        <w:rPr>
          <w:color w:val="auto"/>
          <w:lang w:eastAsia="en-US"/>
        </w:rPr>
        <w:t xml:space="preserve">for the purpose of new Rule 17.1.7.  </w:t>
      </w:r>
    </w:p>
    <w:p w:rsidR="00647AE2" w:rsidRPr="005C6666" w:rsidRDefault="001628FC" w:rsidP="005C6666">
      <w:pPr>
        <w:pStyle w:val="Default"/>
        <w:numPr>
          <w:ilvl w:val="0"/>
          <w:numId w:val="33"/>
        </w:numPr>
        <w:spacing w:after="263"/>
        <w:ind w:left="0" w:firstLine="0"/>
        <w:rPr>
          <w:color w:val="auto"/>
          <w:lang w:eastAsia="en-US"/>
        </w:rPr>
      </w:pPr>
      <w:r>
        <w:rPr>
          <w:color w:val="auto"/>
          <w:lang w:eastAsia="en-US"/>
        </w:rPr>
        <w:t>New Rule 17.1.9 provides that if the pension to be reduced has not started to be paid, then the pension is to be reduced from the first pension pay day.   If the pension has started to be paid, then the pension is to be reduced from the first pension pay day that occurs 14 days after the relea</w:t>
      </w:r>
      <w:r w:rsidR="005C6666">
        <w:rPr>
          <w:color w:val="auto"/>
          <w:lang w:eastAsia="en-US"/>
        </w:rPr>
        <w:t>se authority is provided to CSC</w:t>
      </w:r>
      <w:r w:rsidR="00302B45">
        <w:rPr>
          <w:color w:val="auto"/>
          <w:lang w:eastAsia="en-US"/>
        </w:rPr>
        <w:t>.</w:t>
      </w:r>
    </w:p>
    <w:p w:rsidR="003B128F" w:rsidRPr="00140722" w:rsidRDefault="003B128F" w:rsidP="00410026">
      <w:pPr>
        <w:widowControl w:val="0"/>
        <w:tabs>
          <w:tab w:val="left" w:pos="835"/>
          <w:tab w:val="left" w:pos="2562"/>
        </w:tabs>
        <w:spacing w:before="120" w:after="120"/>
        <w:jc w:val="right"/>
        <w:rPr>
          <w:b/>
        </w:rPr>
      </w:pPr>
      <w:r>
        <w:br w:type="page"/>
      </w:r>
      <w:r w:rsidR="00D5482C" w:rsidRPr="00140722">
        <w:rPr>
          <w:b/>
          <w:bCs/>
        </w:rPr>
        <w:lastRenderedPageBreak/>
        <w:t>ATTACHMENT B</w:t>
      </w:r>
    </w:p>
    <w:p w:rsidR="00B67A97" w:rsidRPr="00C36CD4" w:rsidRDefault="001F2774"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w:pict>
          <v:rect id="_x0000_s1028" style="position:absolute;margin-left:-13.35pt;margin-top:16.25pt;width:481.8pt;height:542.25pt;z-index:251657728" strokeweight="6pt">
            <v:stroke linestyle="thickBetweenThin"/>
            <v:textbox style="mso-next-textbox:#_x0000_s1028" inset="5mm,,5mm">
              <w:txbxContent>
                <w:p w:rsidR="00206C04" w:rsidRPr="00E4135E" w:rsidRDefault="00206C04" w:rsidP="003B128F">
                  <w:pPr>
                    <w:spacing w:before="120" w:after="120"/>
                    <w:jc w:val="center"/>
                    <w:rPr>
                      <w:b/>
                      <w:sz w:val="28"/>
                      <w:szCs w:val="28"/>
                    </w:rPr>
                  </w:pPr>
                  <w:r w:rsidRPr="00E4135E">
                    <w:rPr>
                      <w:b/>
                      <w:sz w:val="28"/>
                      <w:szCs w:val="28"/>
                    </w:rPr>
                    <w:t>Statement of Compatibility with Human Rights</w:t>
                  </w:r>
                </w:p>
                <w:p w:rsidR="00206C04" w:rsidRPr="00E4135E" w:rsidRDefault="00206C04" w:rsidP="003B128F">
                  <w:pPr>
                    <w:spacing w:before="120" w:after="120"/>
                    <w:jc w:val="center"/>
                  </w:pPr>
                  <w:r w:rsidRPr="00E4135E">
                    <w:rPr>
                      <w:i/>
                    </w:rPr>
                    <w:t>Prepared in accordance with Part 3 of the Human Rights (Parliamentary Scrutiny) Act 2011</w:t>
                  </w:r>
                </w:p>
                <w:p w:rsidR="00206C04" w:rsidRPr="00E4135E" w:rsidRDefault="00206C04" w:rsidP="003B128F">
                  <w:pPr>
                    <w:spacing w:before="120" w:after="120"/>
                    <w:jc w:val="center"/>
                  </w:pPr>
                </w:p>
                <w:p w:rsidR="00206C04" w:rsidRPr="00E4135E" w:rsidRDefault="00206C04" w:rsidP="003B128F">
                  <w:pPr>
                    <w:spacing w:before="120" w:after="120"/>
                    <w:jc w:val="center"/>
                    <w:rPr>
                      <w:b/>
                    </w:rPr>
                  </w:pPr>
                  <w:r>
                    <w:rPr>
                      <w:b/>
                    </w:rPr>
                    <w:t>Public Sector Superannuation Scheme – Thirty-eighth Amending Deed</w:t>
                  </w:r>
                  <w:r w:rsidRPr="00E4135E">
                    <w:rPr>
                      <w:b/>
                    </w:rPr>
                    <w:t xml:space="preserve"> </w:t>
                  </w:r>
                </w:p>
                <w:p w:rsidR="00206C04" w:rsidRPr="00E4135E" w:rsidRDefault="00206C04"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206C04" w:rsidRPr="00E4135E" w:rsidRDefault="00206C04" w:rsidP="003B128F">
                  <w:pPr>
                    <w:spacing w:before="120" w:after="120"/>
                    <w:jc w:val="center"/>
                  </w:pPr>
                </w:p>
                <w:p w:rsidR="00206C04" w:rsidRPr="00E4135E" w:rsidRDefault="00206C04" w:rsidP="003B128F">
                  <w:pPr>
                    <w:spacing w:before="120" w:after="120"/>
                    <w:jc w:val="both"/>
                    <w:rPr>
                      <w:b/>
                    </w:rPr>
                  </w:pPr>
                  <w:r w:rsidRPr="00E4135E">
                    <w:rPr>
                      <w:b/>
                    </w:rPr>
                    <w:t>Overview of the Legislative Instrument</w:t>
                  </w:r>
                </w:p>
                <w:p w:rsidR="00BD115D" w:rsidRDefault="00206C04" w:rsidP="00583B14">
                  <w:pPr>
                    <w:widowControl w:val="0"/>
                    <w:spacing w:before="120" w:after="120"/>
                  </w:pPr>
                  <w:r w:rsidRPr="00150645">
                    <w:t xml:space="preserve">The </w:t>
                  </w:r>
                  <w:r>
                    <w:t>purpose of the Thirty-eighth</w:t>
                  </w:r>
                  <w:r w:rsidRPr="00150645">
                    <w:t xml:space="preserve"> Amending Deed </w:t>
                  </w:r>
                  <w:r>
                    <w:t>is to amend the Trust Deed to</w:t>
                  </w:r>
                  <w:r w:rsidR="00BD115D">
                    <w:t>:</w:t>
                  </w:r>
                </w:p>
                <w:p w:rsidR="00206C04" w:rsidRDefault="00206C04" w:rsidP="00BD115D">
                  <w:pPr>
                    <w:widowControl w:val="0"/>
                    <w:numPr>
                      <w:ilvl w:val="0"/>
                      <w:numId w:val="45"/>
                    </w:numPr>
                    <w:spacing w:before="120" w:after="120"/>
                  </w:pPr>
                  <w:r>
                    <w:t>update the method of indexing increases to the maximum benefits tables in response to the change in frequency of the Average Weekly Earnings survey by the Australian Bureau of Statistics, from a quarterly survey to a biannual survey</w:t>
                  </w:r>
                  <w:r w:rsidR="00BD115D">
                    <w:t>; and</w:t>
                  </w:r>
                </w:p>
                <w:p w:rsidR="00206C04" w:rsidRPr="00E4135E" w:rsidRDefault="00BD115D" w:rsidP="00BD115D">
                  <w:pPr>
                    <w:widowControl w:val="0"/>
                    <w:numPr>
                      <w:ilvl w:val="0"/>
                      <w:numId w:val="45"/>
                    </w:numPr>
                    <w:spacing w:before="120" w:after="120"/>
                  </w:pPr>
                  <w:r>
                    <w:t xml:space="preserve">make consequential changes to allow a person to be paid a lump sum amount from the PSS to pay their liability for any assessed Division 293 of the </w:t>
                  </w:r>
                  <w:r w:rsidRPr="00BD115D">
                    <w:t>Income Tax Assessment Act 1997</w:t>
                  </w:r>
                  <w:r>
                    <w:t xml:space="preserve"> tax (Division 293 tax) and for their PSS benefit to be reduced accordingly.</w:t>
                  </w:r>
                </w:p>
                <w:p w:rsidR="00206C04" w:rsidRPr="00E4135E" w:rsidRDefault="00206C04" w:rsidP="003B128F">
                  <w:pPr>
                    <w:spacing w:before="120" w:after="120"/>
                    <w:rPr>
                      <w:b/>
                    </w:rPr>
                  </w:pPr>
                  <w:r>
                    <w:rPr>
                      <w:b/>
                    </w:rPr>
                    <w:t>Human Rights I</w:t>
                  </w:r>
                  <w:r w:rsidRPr="00E4135E">
                    <w:rPr>
                      <w:b/>
                    </w:rPr>
                    <w:t>mplications</w:t>
                  </w:r>
                </w:p>
                <w:p w:rsidR="00206C04" w:rsidRPr="00E4135E" w:rsidRDefault="00206C04" w:rsidP="003B128F">
                  <w:pPr>
                    <w:spacing w:before="120" w:after="120"/>
                  </w:pPr>
                  <w:r w:rsidRPr="00E4135E">
                    <w:t>This Legislative Instrument does not engage any of the applicable rights or freedoms.</w:t>
                  </w:r>
                </w:p>
                <w:p w:rsidR="00206C04" w:rsidRPr="00E4135E" w:rsidRDefault="00206C04" w:rsidP="003B128F">
                  <w:pPr>
                    <w:spacing w:before="120" w:after="120"/>
                  </w:pPr>
                </w:p>
                <w:p w:rsidR="00206C04" w:rsidRPr="00E4135E" w:rsidRDefault="00206C04" w:rsidP="003B128F">
                  <w:pPr>
                    <w:spacing w:before="120" w:after="120"/>
                    <w:rPr>
                      <w:b/>
                    </w:rPr>
                  </w:pPr>
                  <w:r w:rsidRPr="00E4135E">
                    <w:rPr>
                      <w:b/>
                    </w:rPr>
                    <w:t>Conclusion</w:t>
                  </w:r>
                </w:p>
                <w:p w:rsidR="00206C04" w:rsidRPr="00E4135E" w:rsidRDefault="00206C04" w:rsidP="003B128F">
                  <w:pPr>
                    <w:spacing w:before="120" w:after="120"/>
                  </w:pPr>
                  <w:r w:rsidRPr="00E4135E">
                    <w:t>This Legislative Instrument is compatible with human rights as it does not raise any human rights issues.</w:t>
                  </w:r>
                </w:p>
                <w:p w:rsidR="00206C04" w:rsidRPr="00E4135E" w:rsidRDefault="00206C04" w:rsidP="003B128F">
                  <w:pPr>
                    <w:spacing w:before="120" w:after="120"/>
                    <w:jc w:val="center"/>
                  </w:pPr>
                </w:p>
                <w:p w:rsidR="00206C04" w:rsidRPr="00E4135E" w:rsidRDefault="00206C04" w:rsidP="00706D01">
                  <w:pPr>
                    <w:spacing w:after="120"/>
                    <w:jc w:val="center"/>
                  </w:pPr>
                  <w:r>
                    <w:rPr>
                      <w:b/>
                    </w:rPr>
                    <w:t>Senator the Hon Penny Wong, Minister for Finance and Deregulation</w:t>
                  </w:r>
                </w:p>
              </w:txbxContent>
            </v:textbox>
          </v:rect>
        </w:pict>
      </w:r>
    </w:p>
    <w:sectPr w:rsidR="00B67A97" w:rsidRPr="00C36CD4" w:rsidSect="00DE1C7B">
      <w:headerReference w:type="even" r:id="rId10"/>
      <w:headerReference w:type="default" r:id="rId11"/>
      <w:footerReference w:type="even" r:id="rId12"/>
      <w:footerReference w:type="default" r:id="rId13"/>
      <w:headerReference w:type="first" r:id="rId14"/>
      <w:footerReference w:type="first" r:id="rId15"/>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C04" w:rsidRDefault="00206C04">
      <w:r>
        <w:separator/>
      </w:r>
    </w:p>
  </w:endnote>
  <w:endnote w:type="continuationSeparator" w:id="0">
    <w:p w:rsidR="00206C04" w:rsidRDefault="00206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04" w:rsidRDefault="00206C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04" w:rsidRDefault="00206C04">
    <w:pPr>
      <w:pStyle w:val="Header"/>
      <w:jc w:val="center"/>
      <w:rPr>
        <w:b/>
        <w:bCs/>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04" w:rsidRDefault="00206C04">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C04" w:rsidRDefault="00206C04">
      <w:r>
        <w:separator/>
      </w:r>
    </w:p>
  </w:footnote>
  <w:footnote w:type="continuationSeparator" w:id="0">
    <w:p w:rsidR="00206C04" w:rsidRDefault="00206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04" w:rsidRDefault="00206C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04" w:rsidRDefault="001F2774">
    <w:pPr>
      <w:pStyle w:val="Header"/>
      <w:framePr w:wrap="auto" w:vAnchor="text" w:hAnchor="margin" w:xAlign="center" w:y="1"/>
      <w:rPr>
        <w:rStyle w:val="PageNumber"/>
      </w:rPr>
    </w:pPr>
    <w:r>
      <w:rPr>
        <w:rStyle w:val="PageNumber"/>
      </w:rPr>
      <w:fldChar w:fldCharType="begin"/>
    </w:r>
    <w:r w:rsidR="00206C04">
      <w:rPr>
        <w:rStyle w:val="PageNumber"/>
      </w:rPr>
      <w:instrText xml:space="preserve">PAGE  </w:instrText>
    </w:r>
    <w:r>
      <w:rPr>
        <w:rStyle w:val="PageNumber"/>
      </w:rPr>
      <w:fldChar w:fldCharType="separate"/>
    </w:r>
    <w:r w:rsidR="00E2217C">
      <w:rPr>
        <w:rStyle w:val="PageNumber"/>
        <w:noProof/>
      </w:rPr>
      <w:t>6</w:t>
    </w:r>
    <w:r>
      <w:rPr>
        <w:rStyle w:val="PageNumber"/>
      </w:rPr>
      <w:fldChar w:fldCharType="end"/>
    </w:r>
  </w:p>
  <w:p w:rsidR="00206C04" w:rsidRDefault="00206C04">
    <w:pPr>
      <w:pStyle w:val="Header"/>
      <w:jc w:val="center"/>
      <w:rPr>
        <w:snapToGrid w:val="0"/>
        <w:color w:val="000000"/>
      </w:rPr>
    </w:pPr>
  </w:p>
  <w:p w:rsidR="00206C04" w:rsidRDefault="00206C04">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04" w:rsidRDefault="00206C04">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4C76CC0"/>
    <w:multiLevelType w:val="hybridMultilevel"/>
    <w:tmpl w:val="9F34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3">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6">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73A2ED5"/>
    <w:multiLevelType w:val="hybridMultilevel"/>
    <w:tmpl w:val="24229808"/>
    <w:lvl w:ilvl="0" w:tplc="035C6200">
      <w:start w:val="2"/>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DDB240A"/>
    <w:multiLevelType w:val="hybridMultilevel"/>
    <w:tmpl w:val="9AF42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20">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D5E2587"/>
    <w:multiLevelType w:val="hybridMultilevel"/>
    <w:tmpl w:val="F0882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9">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7">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9">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2">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E1A7E1A"/>
    <w:multiLevelType w:val="hybridMultilevel"/>
    <w:tmpl w:val="B2E824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20"/>
  </w:num>
  <w:num w:numId="4">
    <w:abstractNumId w:val="8"/>
  </w:num>
  <w:num w:numId="5">
    <w:abstractNumId w:val="0"/>
  </w:num>
  <w:num w:numId="6">
    <w:abstractNumId w:val="17"/>
  </w:num>
  <w:num w:numId="7">
    <w:abstractNumId w:val="34"/>
  </w:num>
  <w:num w:numId="8">
    <w:abstractNumId w:val="4"/>
  </w:num>
  <w:num w:numId="9">
    <w:abstractNumId w:val="13"/>
  </w:num>
  <w:num w:numId="10">
    <w:abstractNumId w:val="40"/>
  </w:num>
  <w:num w:numId="11">
    <w:abstractNumId w:val="15"/>
  </w:num>
  <w:num w:numId="12">
    <w:abstractNumId w:val="6"/>
  </w:num>
  <w:num w:numId="13">
    <w:abstractNumId w:val="39"/>
  </w:num>
  <w:num w:numId="14">
    <w:abstractNumId w:val="9"/>
  </w:num>
  <w:num w:numId="15">
    <w:abstractNumId w:val="18"/>
  </w:num>
  <w:num w:numId="16">
    <w:abstractNumId w:val="41"/>
  </w:num>
  <w:num w:numId="17">
    <w:abstractNumId w:val="33"/>
  </w:num>
  <w:num w:numId="18">
    <w:abstractNumId w:val="28"/>
  </w:num>
  <w:num w:numId="19">
    <w:abstractNumId w:val="27"/>
  </w:num>
  <w:num w:numId="20">
    <w:abstractNumId w:val="24"/>
  </w:num>
  <w:num w:numId="21">
    <w:abstractNumId w:val="31"/>
  </w:num>
  <w:num w:numId="22">
    <w:abstractNumId w:val="19"/>
  </w:num>
  <w:num w:numId="23">
    <w:abstractNumId w:val="38"/>
  </w:num>
  <w:num w:numId="24">
    <w:abstractNumId w:val="42"/>
  </w:num>
  <w:num w:numId="25">
    <w:abstractNumId w:val="25"/>
  </w:num>
  <w:num w:numId="26">
    <w:abstractNumId w:val="22"/>
  </w:num>
  <w:num w:numId="27">
    <w:abstractNumId w:val="32"/>
  </w:num>
  <w:num w:numId="28">
    <w:abstractNumId w:val="30"/>
  </w:num>
  <w:num w:numId="29">
    <w:abstractNumId w:val="11"/>
  </w:num>
  <w:num w:numId="30">
    <w:abstractNumId w:val="7"/>
  </w:num>
  <w:num w:numId="31">
    <w:abstractNumId w:val="36"/>
  </w:num>
  <w:num w:numId="32">
    <w:abstractNumId w:val="29"/>
  </w:num>
  <w:num w:numId="33">
    <w:abstractNumId w:val="10"/>
  </w:num>
  <w:num w:numId="34">
    <w:abstractNumId w:val="3"/>
  </w:num>
  <w:num w:numId="35">
    <w:abstractNumId w:val="14"/>
  </w:num>
  <w:num w:numId="36">
    <w:abstractNumId w:val="26"/>
  </w:num>
  <w:num w:numId="37">
    <w:abstractNumId w:val="43"/>
  </w:num>
  <w:num w:numId="38">
    <w:abstractNumId w:val="21"/>
  </w:num>
  <w:num w:numId="39">
    <w:abstractNumId w:val="12"/>
  </w:num>
  <w:num w:numId="40">
    <w:abstractNumId w:val="16"/>
  </w:num>
  <w:num w:numId="41">
    <w:abstractNumId w:val="1"/>
  </w:num>
  <w:num w:numId="42">
    <w:abstractNumId w:val="23"/>
  </w:num>
  <w:num w:numId="43">
    <w:abstractNumId w:val="44"/>
  </w:num>
  <w:num w:numId="44">
    <w:abstractNumId w:val="37"/>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157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686"/>
    <w:rsid w:val="00000EB8"/>
    <w:rsid w:val="000023AA"/>
    <w:rsid w:val="00007450"/>
    <w:rsid w:val="00007DE3"/>
    <w:rsid w:val="000102F4"/>
    <w:rsid w:val="00010469"/>
    <w:rsid w:val="00011688"/>
    <w:rsid w:val="00012EF6"/>
    <w:rsid w:val="00015FF0"/>
    <w:rsid w:val="00016926"/>
    <w:rsid w:val="0001696F"/>
    <w:rsid w:val="00016CC1"/>
    <w:rsid w:val="0002193D"/>
    <w:rsid w:val="00021A23"/>
    <w:rsid w:val="00022EFE"/>
    <w:rsid w:val="000248A8"/>
    <w:rsid w:val="00030286"/>
    <w:rsid w:val="00032E40"/>
    <w:rsid w:val="000340CE"/>
    <w:rsid w:val="00034832"/>
    <w:rsid w:val="00034E9D"/>
    <w:rsid w:val="0004065B"/>
    <w:rsid w:val="000406E2"/>
    <w:rsid w:val="00042603"/>
    <w:rsid w:val="00042F07"/>
    <w:rsid w:val="000503E3"/>
    <w:rsid w:val="000511AE"/>
    <w:rsid w:val="000516EF"/>
    <w:rsid w:val="000521DC"/>
    <w:rsid w:val="000559D4"/>
    <w:rsid w:val="000574EC"/>
    <w:rsid w:val="00057ABE"/>
    <w:rsid w:val="00060228"/>
    <w:rsid w:val="00062485"/>
    <w:rsid w:val="00065EE7"/>
    <w:rsid w:val="00067AB8"/>
    <w:rsid w:val="0007017D"/>
    <w:rsid w:val="00071414"/>
    <w:rsid w:val="00072257"/>
    <w:rsid w:val="000749FF"/>
    <w:rsid w:val="000800E4"/>
    <w:rsid w:val="0008614B"/>
    <w:rsid w:val="00086796"/>
    <w:rsid w:val="00087916"/>
    <w:rsid w:val="000916BC"/>
    <w:rsid w:val="0009275B"/>
    <w:rsid w:val="000933B8"/>
    <w:rsid w:val="000961BA"/>
    <w:rsid w:val="00097489"/>
    <w:rsid w:val="000A4A26"/>
    <w:rsid w:val="000A727B"/>
    <w:rsid w:val="000B2675"/>
    <w:rsid w:val="000B513E"/>
    <w:rsid w:val="000C3BB3"/>
    <w:rsid w:val="000D2441"/>
    <w:rsid w:val="000D393E"/>
    <w:rsid w:val="000D65FD"/>
    <w:rsid w:val="000E76E9"/>
    <w:rsid w:val="000F0A6A"/>
    <w:rsid w:val="000F27CD"/>
    <w:rsid w:val="000F608A"/>
    <w:rsid w:val="000F7719"/>
    <w:rsid w:val="0010037C"/>
    <w:rsid w:val="00112BA2"/>
    <w:rsid w:val="00112BE9"/>
    <w:rsid w:val="00113519"/>
    <w:rsid w:val="00115BD2"/>
    <w:rsid w:val="00120281"/>
    <w:rsid w:val="00124A34"/>
    <w:rsid w:val="00125B8F"/>
    <w:rsid w:val="00127A05"/>
    <w:rsid w:val="00127B25"/>
    <w:rsid w:val="00132D32"/>
    <w:rsid w:val="00132EEB"/>
    <w:rsid w:val="00135E76"/>
    <w:rsid w:val="00140631"/>
    <w:rsid w:val="00140722"/>
    <w:rsid w:val="00143862"/>
    <w:rsid w:val="00143AE7"/>
    <w:rsid w:val="001451A5"/>
    <w:rsid w:val="00147159"/>
    <w:rsid w:val="00150645"/>
    <w:rsid w:val="001531B0"/>
    <w:rsid w:val="001542B9"/>
    <w:rsid w:val="0015527C"/>
    <w:rsid w:val="00156B97"/>
    <w:rsid w:val="00157048"/>
    <w:rsid w:val="001628FC"/>
    <w:rsid w:val="00163210"/>
    <w:rsid w:val="00164BBF"/>
    <w:rsid w:val="00166CB1"/>
    <w:rsid w:val="00167C28"/>
    <w:rsid w:val="001720F0"/>
    <w:rsid w:val="001733AE"/>
    <w:rsid w:val="00173677"/>
    <w:rsid w:val="001766D3"/>
    <w:rsid w:val="00177AE5"/>
    <w:rsid w:val="00180EFB"/>
    <w:rsid w:val="0018138A"/>
    <w:rsid w:val="001865AE"/>
    <w:rsid w:val="0019024D"/>
    <w:rsid w:val="001952EE"/>
    <w:rsid w:val="00195BB3"/>
    <w:rsid w:val="0019674E"/>
    <w:rsid w:val="00197F32"/>
    <w:rsid w:val="001A2093"/>
    <w:rsid w:val="001A244C"/>
    <w:rsid w:val="001A43EB"/>
    <w:rsid w:val="001A63D4"/>
    <w:rsid w:val="001B0B67"/>
    <w:rsid w:val="001B1095"/>
    <w:rsid w:val="001B1445"/>
    <w:rsid w:val="001B1D9D"/>
    <w:rsid w:val="001B1E7E"/>
    <w:rsid w:val="001B3540"/>
    <w:rsid w:val="001B4B6A"/>
    <w:rsid w:val="001B5C73"/>
    <w:rsid w:val="001C0DE2"/>
    <w:rsid w:val="001C1084"/>
    <w:rsid w:val="001C1094"/>
    <w:rsid w:val="001C1E84"/>
    <w:rsid w:val="001C6EC1"/>
    <w:rsid w:val="001D2380"/>
    <w:rsid w:val="001D36DF"/>
    <w:rsid w:val="001D54AD"/>
    <w:rsid w:val="001D798A"/>
    <w:rsid w:val="001D7A58"/>
    <w:rsid w:val="001D7EDE"/>
    <w:rsid w:val="001D7F89"/>
    <w:rsid w:val="001E052F"/>
    <w:rsid w:val="001E2576"/>
    <w:rsid w:val="001E3167"/>
    <w:rsid w:val="001E3687"/>
    <w:rsid w:val="001E7ED8"/>
    <w:rsid w:val="001F05C2"/>
    <w:rsid w:val="001F2774"/>
    <w:rsid w:val="001F5FC6"/>
    <w:rsid w:val="001F7D94"/>
    <w:rsid w:val="00200728"/>
    <w:rsid w:val="00202266"/>
    <w:rsid w:val="002052C1"/>
    <w:rsid w:val="00206C04"/>
    <w:rsid w:val="002078BF"/>
    <w:rsid w:val="00207925"/>
    <w:rsid w:val="0021018A"/>
    <w:rsid w:val="00211F6C"/>
    <w:rsid w:val="002126AC"/>
    <w:rsid w:val="00212961"/>
    <w:rsid w:val="0021339D"/>
    <w:rsid w:val="00220D28"/>
    <w:rsid w:val="00221077"/>
    <w:rsid w:val="0022453B"/>
    <w:rsid w:val="0022532B"/>
    <w:rsid w:val="002268D0"/>
    <w:rsid w:val="00232BF3"/>
    <w:rsid w:val="00234F98"/>
    <w:rsid w:val="002360DD"/>
    <w:rsid w:val="002360EB"/>
    <w:rsid w:val="00236791"/>
    <w:rsid w:val="00237F88"/>
    <w:rsid w:val="00240281"/>
    <w:rsid w:val="00240A7F"/>
    <w:rsid w:val="002429D1"/>
    <w:rsid w:val="00243B73"/>
    <w:rsid w:val="0024605B"/>
    <w:rsid w:val="00247070"/>
    <w:rsid w:val="002502A7"/>
    <w:rsid w:val="00252C97"/>
    <w:rsid w:val="00254271"/>
    <w:rsid w:val="00257AB2"/>
    <w:rsid w:val="0026122B"/>
    <w:rsid w:val="002614C3"/>
    <w:rsid w:val="002621E1"/>
    <w:rsid w:val="0026378E"/>
    <w:rsid w:val="00264B43"/>
    <w:rsid w:val="002706C8"/>
    <w:rsid w:val="002715EB"/>
    <w:rsid w:val="00272514"/>
    <w:rsid w:val="002751CA"/>
    <w:rsid w:val="00275EBD"/>
    <w:rsid w:val="00280C2A"/>
    <w:rsid w:val="00281100"/>
    <w:rsid w:val="002811D3"/>
    <w:rsid w:val="00285BF1"/>
    <w:rsid w:val="00287B31"/>
    <w:rsid w:val="0029263A"/>
    <w:rsid w:val="00294101"/>
    <w:rsid w:val="00294FA1"/>
    <w:rsid w:val="00297957"/>
    <w:rsid w:val="002A4D29"/>
    <w:rsid w:val="002A5319"/>
    <w:rsid w:val="002A5957"/>
    <w:rsid w:val="002A6752"/>
    <w:rsid w:val="002B40A6"/>
    <w:rsid w:val="002B796D"/>
    <w:rsid w:val="002C0064"/>
    <w:rsid w:val="002C418E"/>
    <w:rsid w:val="002C5A9C"/>
    <w:rsid w:val="002D19E2"/>
    <w:rsid w:val="002D257A"/>
    <w:rsid w:val="002D3271"/>
    <w:rsid w:val="002D420B"/>
    <w:rsid w:val="002D6C85"/>
    <w:rsid w:val="002D745C"/>
    <w:rsid w:val="002E143A"/>
    <w:rsid w:val="002E361D"/>
    <w:rsid w:val="002E500B"/>
    <w:rsid w:val="002E52E1"/>
    <w:rsid w:val="002E5AA3"/>
    <w:rsid w:val="002E7EE5"/>
    <w:rsid w:val="002F014D"/>
    <w:rsid w:val="002F220A"/>
    <w:rsid w:val="002F22E9"/>
    <w:rsid w:val="002F3999"/>
    <w:rsid w:val="002F467A"/>
    <w:rsid w:val="002F53FC"/>
    <w:rsid w:val="002F5C49"/>
    <w:rsid w:val="002F6DE4"/>
    <w:rsid w:val="00301120"/>
    <w:rsid w:val="0030239D"/>
    <w:rsid w:val="00302B45"/>
    <w:rsid w:val="00303ECE"/>
    <w:rsid w:val="00304BB5"/>
    <w:rsid w:val="00306B7F"/>
    <w:rsid w:val="003073C7"/>
    <w:rsid w:val="003079B1"/>
    <w:rsid w:val="00315757"/>
    <w:rsid w:val="003217A9"/>
    <w:rsid w:val="00325495"/>
    <w:rsid w:val="003261A3"/>
    <w:rsid w:val="00330831"/>
    <w:rsid w:val="00330C64"/>
    <w:rsid w:val="00334B80"/>
    <w:rsid w:val="00334E2B"/>
    <w:rsid w:val="00334E4E"/>
    <w:rsid w:val="0033645E"/>
    <w:rsid w:val="00336468"/>
    <w:rsid w:val="00340CA7"/>
    <w:rsid w:val="00341BD1"/>
    <w:rsid w:val="00343FDA"/>
    <w:rsid w:val="00345072"/>
    <w:rsid w:val="003478B4"/>
    <w:rsid w:val="0035202D"/>
    <w:rsid w:val="00352ABF"/>
    <w:rsid w:val="00352B66"/>
    <w:rsid w:val="0035519E"/>
    <w:rsid w:val="00355499"/>
    <w:rsid w:val="0035673A"/>
    <w:rsid w:val="003620D4"/>
    <w:rsid w:val="003626F5"/>
    <w:rsid w:val="0036504C"/>
    <w:rsid w:val="00365198"/>
    <w:rsid w:val="003723DE"/>
    <w:rsid w:val="00374C16"/>
    <w:rsid w:val="00377BA3"/>
    <w:rsid w:val="003805C0"/>
    <w:rsid w:val="00380FE7"/>
    <w:rsid w:val="0038297F"/>
    <w:rsid w:val="0038442F"/>
    <w:rsid w:val="003855E5"/>
    <w:rsid w:val="003868EB"/>
    <w:rsid w:val="00387637"/>
    <w:rsid w:val="00391034"/>
    <w:rsid w:val="003A5283"/>
    <w:rsid w:val="003B0431"/>
    <w:rsid w:val="003B128F"/>
    <w:rsid w:val="003B1426"/>
    <w:rsid w:val="003B1959"/>
    <w:rsid w:val="003B283E"/>
    <w:rsid w:val="003B44E4"/>
    <w:rsid w:val="003B47C7"/>
    <w:rsid w:val="003B4ABA"/>
    <w:rsid w:val="003B50B2"/>
    <w:rsid w:val="003B5E34"/>
    <w:rsid w:val="003B5F03"/>
    <w:rsid w:val="003C0048"/>
    <w:rsid w:val="003C0879"/>
    <w:rsid w:val="003C385C"/>
    <w:rsid w:val="003C52C9"/>
    <w:rsid w:val="003C626F"/>
    <w:rsid w:val="003D00A3"/>
    <w:rsid w:val="003D1022"/>
    <w:rsid w:val="003D2752"/>
    <w:rsid w:val="003D2926"/>
    <w:rsid w:val="003D2AD0"/>
    <w:rsid w:val="003D463D"/>
    <w:rsid w:val="003D7BD9"/>
    <w:rsid w:val="003D7FFA"/>
    <w:rsid w:val="003E017D"/>
    <w:rsid w:val="003E4007"/>
    <w:rsid w:val="003E48E9"/>
    <w:rsid w:val="003E682D"/>
    <w:rsid w:val="003E6991"/>
    <w:rsid w:val="003F0D3C"/>
    <w:rsid w:val="003F4657"/>
    <w:rsid w:val="003F4F0A"/>
    <w:rsid w:val="003F7870"/>
    <w:rsid w:val="004009B0"/>
    <w:rsid w:val="00401A1D"/>
    <w:rsid w:val="004022AE"/>
    <w:rsid w:val="00403799"/>
    <w:rsid w:val="004065E1"/>
    <w:rsid w:val="00406EFD"/>
    <w:rsid w:val="00407228"/>
    <w:rsid w:val="00407A95"/>
    <w:rsid w:val="00410026"/>
    <w:rsid w:val="00411749"/>
    <w:rsid w:val="00411849"/>
    <w:rsid w:val="00411F98"/>
    <w:rsid w:val="00415CFD"/>
    <w:rsid w:val="00416103"/>
    <w:rsid w:val="00417641"/>
    <w:rsid w:val="0042044C"/>
    <w:rsid w:val="00422F0C"/>
    <w:rsid w:val="004233EA"/>
    <w:rsid w:val="004247B9"/>
    <w:rsid w:val="0042496B"/>
    <w:rsid w:val="004312B9"/>
    <w:rsid w:val="00434976"/>
    <w:rsid w:val="004355E6"/>
    <w:rsid w:val="00442684"/>
    <w:rsid w:val="00443427"/>
    <w:rsid w:val="00443713"/>
    <w:rsid w:val="00444F5D"/>
    <w:rsid w:val="00447631"/>
    <w:rsid w:val="00450343"/>
    <w:rsid w:val="00450479"/>
    <w:rsid w:val="00451A90"/>
    <w:rsid w:val="0045427A"/>
    <w:rsid w:val="00456911"/>
    <w:rsid w:val="00456BCE"/>
    <w:rsid w:val="00464B33"/>
    <w:rsid w:val="00464FD3"/>
    <w:rsid w:val="00465B1B"/>
    <w:rsid w:val="004664E3"/>
    <w:rsid w:val="0047028B"/>
    <w:rsid w:val="00470BCA"/>
    <w:rsid w:val="00472381"/>
    <w:rsid w:val="00472AFE"/>
    <w:rsid w:val="00472E4F"/>
    <w:rsid w:val="00472FA7"/>
    <w:rsid w:val="004762F9"/>
    <w:rsid w:val="00480128"/>
    <w:rsid w:val="00480967"/>
    <w:rsid w:val="00482AAF"/>
    <w:rsid w:val="00483CAE"/>
    <w:rsid w:val="00490E74"/>
    <w:rsid w:val="0049182F"/>
    <w:rsid w:val="00493AD7"/>
    <w:rsid w:val="0049512C"/>
    <w:rsid w:val="00497C9E"/>
    <w:rsid w:val="004B13ED"/>
    <w:rsid w:val="004B1BD7"/>
    <w:rsid w:val="004B30E4"/>
    <w:rsid w:val="004B320B"/>
    <w:rsid w:val="004B3932"/>
    <w:rsid w:val="004B5AF6"/>
    <w:rsid w:val="004B5FA2"/>
    <w:rsid w:val="004B7ADD"/>
    <w:rsid w:val="004B7B19"/>
    <w:rsid w:val="004C0BC5"/>
    <w:rsid w:val="004C17FE"/>
    <w:rsid w:val="004C49B8"/>
    <w:rsid w:val="004D0B1A"/>
    <w:rsid w:val="004D2FE1"/>
    <w:rsid w:val="004D329E"/>
    <w:rsid w:val="004D40BE"/>
    <w:rsid w:val="004D5D29"/>
    <w:rsid w:val="004E3965"/>
    <w:rsid w:val="004E401A"/>
    <w:rsid w:val="004E4255"/>
    <w:rsid w:val="004E7B29"/>
    <w:rsid w:val="004F409F"/>
    <w:rsid w:val="0050057F"/>
    <w:rsid w:val="0050059F"/>
    <w:rsid w:val="005026DF"/>
    <w:rsid w:val="005050A2"/>
    <w:rsid w:val="005103B3"/>
    <w:rsid w:val="0051239A"/>
    <w:rsid w:val="00513B21"/>
    <w:rsid w:val="00514006"/>
    <w:rsid w:val="00515A73"/>
    <w:rsid w:val="00516B50"/>
    <w:rsid w:val="00523E7B"/>
    <w:rsid w:val="00524E08"/>
    <w:rsid w:val="00526EA4"/>
    <w:rsid w:val="00527122"/>
    <w:rsid w:val="00530D54"/>
    <w:rsid w:val="00531C09"/>
    <w:rsid w:val="0053331F"/>
    <w:rsid w:val="00533594"/>
    <w:rsid w:val="005346A2"/>
    <w:rsid w:val="0054009C"/>
    <w:rsid w:val="005430F0"/>
    <w:rsid w:val="00543A3F"/>
    <w:rsid w:val="005542FC"/>
    <w:rsid w:val="00560A0F"/>
    <w:rsid w:val="00560B40"/>
    <w:rsid w:val="0056101C"/>
    <w:rsid w:val="00565E44"/>
    <w:rsid w:val="0056726C"/>
    <w:rsid w:val="0057254F"/>
    <w:rsid w:val="00572670"/>
    <w:rsid w:val="0057327F"/>
    <w:rsid w:val="0057390D"/>
    <w:rsid w:val="005779E0"/>
    <w:rsid w:val="0058139F"/>
    <w:rsid w:val="00583B14"/>
    <w:rsid w:val="00585224"/>
    <w:rsid w:val="005866A4"/>
    <w:rsid w:val="005871E7"/>
    <w:rsid w:val="00587F79"/>
    <w:rsid w:val="00592CDD"/>
    <w:rsid w:val="0059412E"/>
    <w:rsid w:val="00594BA4"/>
    <w:rsid w:val="00595E1C"/>
    <w:rsid w:val="00596D55"/>
    <w:rsid w:val="005A0320"/>
    <w:rsid w:val="005A2F1A"/>
    <w:rsid w:val="005A3778"/>
    <w:rsid w:val="005A422D"/>
    <w:rsid w:val="005A4627"/>
    <w:rsid w:val="005A5C4F"/>
    <w:rsid w:val="005B1D59"/>
    <w:rsid w:val="005B2660"/>
    <w:rsid w:val="005B571E"/>
    <w:rsid w:val="005B5839"/>
    <w:rsid w:val="005C4969"/>
    <w:rsid w:val="005C4FEF"/>
    <w:rsid w:val="005C60DA"/>
    <w:rsid w:val="005C65DF"/>
    <w:rsid w:val="005C6666"/>
    <w:rsid w:val="005C69A0"/>
    <w:rsid w:val="005D2F87"/>
    <w:rsid w:val="005D48A1"/>
    <w:rsid w:val="005D56F5"/>
    <w:rsid w:val="005D66B6"/>
    <w:rsid w:val="005D69B2"/>
    <w:rsid w:val="005E1493"/>
    <w:rsid w:val="005E2199"/>
    <w:rsid w:val="005E41F6"/>
    <w:rsid w:val="005E495A"/>
    <w:rsid w:val="005E6518"/>
    <w:rsid w:val="005F022D"/>
    <w:rsid w:val="005F1923"/>
    <w:rsid w:val="005F28C5"/>
    <w:rsid w:val="005F2CF0"/>
    <w:rsid w:val="005F2DBF"/>
    <w:rsid w:val="005F6AAF"/>
    <w:rsid w:val="00600C2E"/>
    <w:rsid w:val="00603CEF"/>
    <w:rsid w:val="006049C3"/>
    <w:rsid w:val="00606A75"/>
    <w:rsid w:val="006100C2"/>
    <w:rsid w:val="006107F2"/>
    <w:rsid w:val="00612391"/>
    <w:rsid w:val="00613E18"/>
    <w:rsid w:val="00614669"/>
    <w:rsid w:val="0061650F"/>
    <w:rsid w:val="006225EF"/>
    <w:rsid w:val="00626A39"/>
    <w:rsid w:val="006332F5"/>
    <w:rsid w:val="00633418"/>
    <w:rsid w:val="00633D42"/>
    <w:rsid w:val="0063440F"/>
    <w:rsid w:val="0063524F"/>
    <w:rsid w:val="0063556C"/>
    <w:rsid w:val="0063727F"/>
    <w:rsid w:val="0064044F"/>
    <w:rsid w:val="0064108D"/>
    <w:rsid w:val="00641767"/>
    <w:rsid w:val="00645DFD"/>
    <w:rsid w:val="00647071"/>
    <w:rsid w:val="00647AE2"/>
    <w:rsid w:val="00650F72"/>
    <w:rsid w:val="00651381"/>
    <w:rsid w:val="00651944"/>
    <w:rsid w:val="006526A5"/>
    <w:rsid w:val="0065480E"/>
    <w:rsid w:val="00655D31"/>
    <w:rsid w:val="006569BD"/>
    <w:rsid w:val="0066039F"/>
    <w:rsid w:val="00661814"/>
    <w:rsid w:val="00661A86"/>
    <w:rsid w:val="00661DEF"/>
    <w:rsid w:val="0066328C"/>
    <w:rsid w:val="00663579"/>
    <w:rsid w:val="00666BE2"/>
    <w:rsid w:val="00667C09"/>
    <w:rsid w:val="00672B22"/>
    <w:rsid w:val="006741CD"/>
    <w:rsid w:val="00676029"/>
    <w:rsid w:val="006774B5"/>
    <w:rsid w:val="0067763C"/>
    <w:rsid w:val="0068101A"/>
    <w:rsid w:val="00681358"/>
    <w:rsid w:val="00683F29"/>
    <w:rsid w:val="006846C8"/>
    <w:rsid w:val="00687176"/>
    <w:rsid w:val="006873BC"/>
    <w:rsid w:val="006903E1"/>
    <w:rsid w:val="006912C5"/>
    <w:rsid w:val="0069212D"/>
    <w:rsid w:val="006932E3"/>
    <w:rsid w:val="006A207D"/>
    <w:rsid w:val="006A2944"/>
    <w:rsid w:val="006A3FA9"/>
    <w:rsid w:val="006B1379"/>
    <w:rsid w:val="006B5501"/>
    <w:rsid w:val="006C037F"/>
    <w:rsid w:val="006C213F"/>
    <w:rsid w:val="006C25E6"/>
    <w:rsid w:val="006C2EAE"/>
    <w:rsid w:val="006C380E"/>
    <w:rsid w:val="006C56CD"/>
    <w:rsid w:val="006D2EE9"/>
    <w:rsid w:val="006D3154"/>
    <w:rsid w:val="006D4279"/>
    <w:rsid w:val="006D4386"/>
    <w:rsid w:val="006D60AE"/>
    <w:rsid w:val="006D7DFD"/>
    <w:rsid w:val="006E1CC1"/>
    <w:rsid w:val="006E1F87"/>
    <w:rsid w:val="006E3AF4"/>
    <w:rsid w:val="006E6E64"/>
    <w:rsid w:val="006F0290"/>
    <w:rsid w:val="006F2B73"/>
    <w:rsid w:val="006F4AF7"/>
    <w:rsid w:val="006F7559"/>
    <w:rsid w:val="00701C38"/>
    <w:rsid w:val="00702586"/>
    <w:rsid w:val="007034A0"/>
    <w:rsid w:val="0070689D"/>
    <w:rsid w:val="00706D01"/>
    <w:rsid w:val="00712D4F"/>
    <w:rsid w:val="0071515E"/>
    <w:rsid w:val="00715971"/>
    <w:rsid w:val="00716623"/>
    <w:rsid w:val="007177C7"/>
    <w:rsid w:val="00717AE9"/>
    <w:rsid w:val="00720718"/>
    <w:rsid w:val="00720ACA"/>
    <w:rsid w:val="007216A2"/>
    <w:rsid w:val="00723695"/>
    <w:rsid w:val="007275E5"/>
    <w:rsid w:val="00733CF2"/>
    <w:rsid w:val="00736927"/>
    <w:rsid w:val="0074261E"/>
    <w:rsid w:val="0074435A"/>
    <w:rsid w:val="007450CB"/>
    <w:rsid w:val="007459E5"/>
    <w:rsid w:val="007464C8"/>
    <w:rsid w:val="007467C1"/>
    <w:rsid w:val="00747CEF"/>
    <w:rsid w:val="007529D8"/>
    <w:rsid w:val="007545C8"/>
    <w:rsid w:val="00754F0B"/>
    <w:rsid w:val="007575CF"/>
    <w:rsid w:val="00765527"/>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04D9"/>
    <w:rsid w:val="00790B9B"/>
    <w:rsid w:val="00791687"/>
    <w:rsid w:val="0079197B"/>
    <w:rsid w:val="00791E69"/>
    <w:rsid w:val="00793520"/>
    <w:rsid w:val="00793896"/>
    <w:rsid w:val="00794F0D"/>
    <w:rsid w:val="00795D4E"/>
    <w:rsid w:val="00796515"/>
    <w:rsid w:val="007A22F1"/>
    <w:rsid w:val="007A2F0E"/>
    <w:rsid w:val="007A3613"/>
    <w:rsid w:val="007A5680"/>
    <w:rsid w:val="007A6A57"/>
    <w:rsid w:val="007A6ED6"/>
    <w:rsid w:val="007A73F9"/>
    <w:rsid w:val="007A76B3"/>
    <w:rsid w:val="007A78BC"/>
    <w:rsid w:val="007B2CD0"/>
    <w:rsid w:val="007B4806"/>
    <w:rsid w:val="007B485C"/>
    <w:rsid w:val="007B5350"/>
    <w:rsid w:val="007C0D07"/>
    <w:rsid w:val="007C0DE0"/>
    <w:rsid w:val="007C0E4A"/>
    <w:rsid w:val="007C1256"/>
    <w:rsid w:val="007C2598"/>
    <w:rsid w:val="007D6A44"/>
    <w:rsid w:val="007D6D27"/>
    <w:rsid w:val="007D73DB"/>
    <w:rsid w:val="007E02FB"/>
    <w:rsid w:val="007E094C"/>
    <w:rsid w:val="007E0E56"/>
    <w:rsid w:val="007E2794"/>
    <w:rsid w:val="007E2D36"/>
    <w:rsid w:val="007E4551"/>
    <w:rsid w:val="007E4D89"/>
    <w:rsid w:val="007E5F7E"/>
    <w:rsid w:val="007E7320"/>
    <w:rsid w:val="007F6B9D"/>
    <w:rsid w:val="0080593C"/>
    <w:rsid w:val="008067BD"/>
    <w:rsid w:val="00807F8D"/>
    <w:rsid w:val="0081045F"/>
    <w:rsid w:val="00810474"/>
    <w:rsid w:val="00813844"/>
    <w:rsid w:val="0081549B"/>
    <w:rsid w:val="00815A9E"/>
    <w:rsid w:val="0082033C"/>
    <w:rsid w:val="00826ADA"/>
    <w:rsid w:val="00830D24"/>
    <w:rsid w:val="00831F06"/>
    <w:rsid w:val="0083386D"/>
    <w:rsid w:val="0083478E"/>
    <w:rsid w:val="008363D9"/>
    <w:rsid w:val="0083681F"/>
    <w:rsid w:val="008377E5"/>
    <w:rsid w:val="00840592"/>
    <w:rsid w:val="0084061F"/>
    <w:rsid w:val="00841A77"/>
    <w:rsid w:val="00841B1B"/>
    <w:rsid w:val="00842062"/>
    <w:rsid w:val="0084472F"/>
    <w:rsid w:val="008519FF"/>
    <w:rsid w:val="00852C9E"/>
    <w:rsid w:val="008558D4"/>
    <w:rsid w:val="00857AF2"/>
    <w:rsid w:val="00860080"/>
    <w:rsid w:val="0086015E"/>
    <w:rsid w:val="00860407"/>
    <w:rsid w:val="00862B77"/>
    <w:rsid w:val="00863637"/>
    <w:rsid w:val="00863A7E"/>
    <w:rsid w:val="00864392"/>
    <w:rsid w:val="00864BF9"/>
    <w:rsid w:val="0086522A"/>
    <w:rsid w:val="008653AC"/>
    <w:rsid w:val="008660EA"/>
    <w:rsid w:val="00866BB4"/>
    <w:rsid w:val="00867682"/>
    <w:rsid w:val="00867DDE"/>
    <w:rsid w:val="008717A3"/>
    <w:rsid w:val="008739A8"/>
    <w:rsid w:val="00873D28"/>
    <w:rsid w:val="00874EC4"/>
    <w:rsid w:val="0087563B"/>
    <w:rsid w:val="00880763"/>
    <w:rsid w:val="0088107E"/>
    <w:rsid w:val="0088116A"/>
    <w:rsid w:val="00882F45"/>
    <w:rsid w:val="00883752"/>
    <w:rsid w:val="008847C3"/>
    <w:rsid w:val="00885012"/>
    <w:rsid w:val="008874C4"/>
    <w:rsid w:val="00887918"/>
    <w:rsid w:val="00887FD9"/>
    <w:rsid w:val="008918E4"/>
    <w:rsid w:val="00893749"/>
    <w:rsid w:val="00893A4A"/>
    <w:rsid w:val="00893B57"/>
    <w:rsid w:val="00896B63"/>
    <w:rsid w:val="008A1718"/>
    <w:rsid w:val="008A3EC8"/>
    <w:rsid w:val="008A4658"/>
    <w:rsid w:val="008A566D"/>
    <w:rsid w:val="008A76D6"/>
    <w:rsid w:val="008B051A"/>
    <w:rsid w:val="008B3B0C"/>
    <w:rsid w:val="008B4173"/>
    <w:rsid w:val="008B57E1"/>
    <w:rsid w:val="008B66D7"/>
    <w:rsid w:val="008B707C"/>
    <w:rsid w:val="008B7791"/>
    <w:rsid w:val="008C11DD"/>
    <w:rsid w:val="008C4375"/>
    <w:rsid w:val="008C4DBB"/>
    <w:rsid w:val="008C5557"/>
    <w:rsid w:val="008C6DBE"/>
    <w:rsid w:val="008C7170"/>
    <w:rsid w:val="008D1295"/>
    <w:rsid w:val="008D6011"/>
    <w:rsid w:val="008D6111"/>
    <w:rsid w:val="008D6A02"/>
    <w:rsid w:val="008D7528"/>
    <w:rsid w:val="008E1E60"/>
    <w:rsid w:val="008E32CD"/>
    <w:rsid w:val="008E4C9A"/>
    <w:rsid w:val="008E502F"/>
    <w:rsid w:val="008F1E76"/>
    <w:rsid w:val="008F1FFC"/>
    <w:rsid w:val="008F2765"/>
    <w:rsid w:val="008F4539"/>
    <w:rsid w:val="008F5BE0"/>
    <w:rsid w:val="008F751C"/>
    <w:rsid w:val="008F7C75"/>
    <w:rsid w:val="009002F5"/>
    <w:rsid w:val="00900374"/>
    <w:rsid w:val="00900D5A"/>
    <w:rsid w:val="00901A24"/>
    <w:rsid w:val="009035CB"/>
    <w:rsid w:val="00906C7A"/>
    <w:rsid w:val="00907839"/>
    <w:rsid w:val="00912477"/>
    <w:rsid w:val="0091302D"/>
    <w:rsid w:val="00914077"/>
    <w:rsid w:val="00920DBC"/>
    <w:rsid w:val="009215F7"/>
    <w:rsid w:val="009242E1"/>
    <w:rsid w:val="0092593E"/>
    <w:rsid w:val="009306E8"/>
    <w:rsid w:val="00931BCA"/>
    <w:rsid w:val="0093205D"/>
    <w:rsid w:val="009325D7"/>
    <w:rsid w:val="00935201"/>
    <w:rsid w:val="0093601B"/>
    <w:rsid w:val="00936C96"/>
    <w:rsid w:val="0094140F"/>
    <w:rsid w:val="00941B53"/>
    <w:rsid w:val="00942394"/>
    <w:rsid w:val="009423D5"/>
    <w:rsid w:val="00943559"/>
    <w:rsid w:val="00944A64"/>
    <w:rsid w:val="0094554F"/>
    <w:rsid w:val="00946BCF"/>
    <w:rsid w:val="00946E2F"/>
    <w:rsid w:val="00947843"/>
    <w:rsid w:val="00951BF0"/>
    <w:rsid w:val="00951FB9"/>
    <w:rsid w:val="00952EEC"/>
    <w:rsid w:val="00953BED"/>
    <w:rsid w:val="00954C84"/>
    <w:rsid w:val="00955577"/>
    <w:rsid w:val="00955821"/>
    <w:rsid w:val="00957A90"/>
    <w:rsid w:val="00960658"/>
    <w:rsid w:val="00960A2E"/>
    <w:rsid w:val="00960C5A"/>
    <w:rsid w:val="00961031"/>
    <w:rsid w:val="009614EE"/>
    <w:rsid w:val="009620D2"/>
    <w:rsid w:val="00963121"/>
    <w:rsid w:val="0096376F"/>
    <w:rsid w:val="00964B27"/>
    <w:rsid w:val="00965D2F"/>
    <w:rsid w:val="00966681"/>
    <w:rsid w:val="00972552"/>
    <w:rsid w:val="00974B7C"/>
    <w:rsid w:val="00975FE9"/>
    <w:rsid w:val="00976348"/>
    <w:rsid w:val="00977B3B"/>
    <w:rsid w:val="009813C3"/>
    <w:rsid w:val="00981D56"/>
    <w:rsid w:val="00983C9A"/>
    <w:rsid w:val="0098506D"/>
    <w:rsid w:val="0098518C"/>
    <w:rsid w:val="00985CD5"/>
    <w:rsid w:val="0098683F"/>
    <w:rsid w:val="00990F71"/>
    <w:rsid w:val="00992BED"/>
    <w:rsid w:val="009955B9"/>
    <w:rsid w:val="00995F37"/>
    <w:rsid w:val="00997AEB"/>
    <w:rsid w:val="00997C17"/>
    <w:rsid w:val="009A05A1"/>
    <w:rsid w:val="009A117B"/>
    <w:rsid w:val="009A1AF8"/>
    <w:rsid w:val="009A34A1"/>
    <w:rsid w:val="009A3D55"/>
    <w:rsid w:val="009A42E0"/>
    <w:rsid w:val="009A44B2"/>
    <w:rsid w:val="009A537F"/>
    <w:rsid w:val="009A797C"/>
    <w:rsid w:val="009B0FD9"/>
    <w:rsid w:val="009B46F2"/>
    <w:rsid w:val="009B4C23"/>
    <w:rsid w:val="009B4F85"/>
    <w:rsid w:val="009B5DA6"/>
    <w:rsid w:val="009C1000"/>
    <w:rsid w:val="009C2940"/>
    <w:rsid w:val="009C3943"/>
    <w:rsid w:val="009C5E9F"/>
    <w:rsid w:val="009C6F4E"/>
    <w:rsid w:val="009C7540"/>
    <w:rsid w:val="009D4237"/>
    <w:rsid w:val="009E151A"/>
    <w:rsid w:val="009E1F43"/>
    <w:rsid w:val="009E27F2"/>
    <w:rsid w:val="009E37A2"/>
    <w:rsid w:val="009E4EB6"/>
    <w:rsid w:val="009E62DB"/>
    <w:rsid w:val="009F3180"/>
    <w:rsid w:val="009F3E78"/>
    <w:rsid w:val="009F403B"/>
    <w:rsid w:val="009F416E"/>
    <w:rsid w:val="009F59BD"/>
    <w:rsid w:val="009F6AAD"/>
    <w:rsid w:val="009F7307"/>
    <w:rsid w:val="009F787E"/>
    <w:rsid w:val="00A018BD"/>
    <w:rsid w:val="00A0367B"/>
    <w:rsid w:val="00A03C6D"/>
    <w:rsid w:val="00A0466A"/>
    <w:rsid w:val="00A04929"/>
    <w:rsid w:val="00A05369"/>
    <w:rsid w:val="00A07023"/>
    <w:rsid w:val="00A17385"/>
    <w:rsid w:val="00A201CA"/>
    <w:rsid w:val="00A21FF2"/>
    <w:rsid w:val="00A2266C"/>
    <w:rsid w:val="00A248B6"/>
    <w:rsid w:val="00A252AE"/>
    <w:rsid w:val="00A301D9"/>
    <w:rsid w:val="00A31261"/>
    <w:rsid w:val="00A3498E"/>
    <w:rsid w:val="00A34F7B"/>
    <w:rsid w:val="00A35D64"/>
    <w:rsid w:val="00A36CB0"/>
    <w:rsid w:val="00A37C3F"/>
    <w:rsid w:val="00A42C52"/>
    <w:rsid w:val="00A459B1"/>
    <w:rsid w:val="00A46144"/>
    <w:rsid w:val="00A46958"/>
    <w:rsid w:val="00A46D5C"/>
    <w:rsid w:val="00A476E8"/>
    <w:rsid w:val="00A47B9D"/>
    <w:rsid w:val="00A5204D"/>
    <w:rsid w:val="00A53335"/>
    <w:rsid w:val="00A533B7"/>
    <w:rsid w:val="00A53D5F"/>
    <w:rsid w:val="00A65030"/>
    <w:rsid w:val="00A6732E"/>
    <w:rsid w:val="00A67BFF"/>
    <w:rsid w:val="00A7090B"/>
    <w:rsid w:val="00A7222D"/>
    <w:rsid w:val="00A7246C"/>
    <w:rsid w:val="00A72CAF"/>
    <w:rsid w:val="00A73A6B"/>
    <w:rsid w:val="00A74087"/>
    <w:rsid w:val="00A747B2"/>
    <w:rsid w:val="00A74AD3"/>
    <w:rsid w:val="00A74BA0"/>
    <w:rsid w:val="00A76376"/>
    <w:rsid w:val="00A82355"/>
    <w:rsid w:val="00A85317"/>
    <w:rsid w:val="00A860DF"/>
    <w:rsid w:val="00A8645D"/>
    <w:rsid w:val="00A86E4A"/>
    <w:rsid w:val="00A90049"/>
    <w:rsid w:val="00A90B3D"/>
    <w:rsid w:val="00A914EE"/>
    <w:rsid w:val="00A9288D"/>
    <w:rsid w:val="00A96212"/>
    <w:rsid w:val="00A96BDF"/>
    <w:rsid w:val="00AA22D1"/>
    <w:rsid w:val="00AA2351"/>
    <w:rsid w:val="00AA2666"/>
    <w:rsid w:val="00AA282A"/>
    <w:rsid w:val="00AB1286"/>
    <w:rsid w:val="00AB23CB"/>
    <w:rsid w:val="00AB24A2"/>
    <w:rsid w:val="00AB3B9F"/>
    <w:rsid w:val="00AB68ED"/>
    <w:rsid w:val="00AC068C"/>
    <w:rsid w:val="00AC0AF2"/>
    <w:rsid w:val="00AC6112"/>
    <w:rsid w:val="00AC618B"/>
    <w:rsid w:val="00AD43DB"/>
    <w:rsid w:val="00AD4967"/>
    <w:rsid w:val="00AD56CC"/>
    <w:rsid w:val="00AD6594"/>
    <w:rsid w:val="00AD7B0B"/>
    <w:rsid w:val="00AE18BE"/>
    <w:rsid w:val="00AE1EF7"/>
    <w:rsid w:val="00AE3016"/>
    <w:rsid w:val="00AE6D52"/>
    <w:rsid w:val="00AF2CD7"/>
    <w:rsid w:val="00AF4CD8"/>
    <w:rsid w:val="00AF53ED"/>
    <w:rsid w:val="00AF63FB"/>
    <w:rsid w:val="00B01223"/>
    <w:rsid w:val="00B01937"/>
    <w:rsid w:val="00B02B6B"/>
    <w:rsid w:val="00B04C4E"/>
    <w:rsid w:val="00B04F8D"/>
    <w:rsid w:val="00B05768"/>
    <w:rsid w:val="00B062D6"/>
    <w:rsid w:val="00B0705B"/>
    <w:rsid w:val="00B07CA0"/>
    <w:rsid w:val="00B10519"/>
    <w:rsid w:val="00B10D34"/>
    <w:rsid w:val="00B175B3"/>
    <w:rsid w:val="00B21D4C"/>
    <w:rsid w:val="00B23358"/>
    <w:rsid w:val="00B23D17"/>
    <w:rsid w:val="00B23D2F"/>
    <w:rsid w:val="00B23EEE"/>
    <w:rsid w:val="00B25B1E"/>
    <w:rsid w:val="00B27619"/>
    <w:rsid w:val="00B32733"/>
    <w:rsid w:val="00B330F9"/>
    <w:rsid w:val="00B3464F"/>
    <w:rsid w:val="00B34D33"/>
    <w:rsid w:val="00B35A1B"/>
    <w:rsid w:val="00B36B65"/>
    <w:rsid w:val="00B36DB1"/>
    <w:rsid w:val="00B36E51"/>
    <w:rsid w:val="00B432C9"/>
    <w:rsid w:val="00B43FE9"/>
    <w:rsid w:val="00B448EA"/>
    <w:rsid w:val="00B45FB7"/>
    <w:rsid w:val="00B47BF6"/>
    <w:rsid w:val="00B506A7"/>
    <w:rsid w:val="00B51078"/>
    <w:rsid w:val="00B549A8"/>
    <w:rsid w:val="00B54C21"/>
    <w:rsid w:val="00B67A97"/>
    <w:rsid w:val="00B72508"/>
    <w:rsid w:val="00B7258E"/>
    <w:rsid w:val="00B73315"/>
    <w:rsid w:val="00B74DB9"/>
    <w:rsid w:val="00B7628B"/>
    <w:rsid w:val="00B77C79"/>
    <w:rsid w:val="00B842CD"/>
    <w:rsid w:val="00B849EA"/>
    <w:rsid w:val="00B8523A"/>
    <w:rsid w:val="00B85D7A"/>
    <w:rsid w:val="00B869E2"/>
    <w:rsid w:val="00B93FD4"/>
    <w:rsid w:val="00B94669"/>
    <w:rsid w:val="00B946B3"/>
    <w:rsid w:val="00B94DC2"/>
    <w:rsid w:val="00B95A3A"/>
    <w:rsid w:val="00B96B7F"/>
    <w:rsid w:val="00BA455C"/>
    <w:rsid w:val="00BA495D"/>
    <w:rsid w:val="00BA4ADC"/>
    <w:rsid w:val="00BA50F8"/>
    <w:rsid w:val="00BA5B17"/>
    <w:rsid w:val="00BB1210"/>
    <w:rsid w:val="00BB1865"/>
    <w:rsid w:val="00BB40A6"/>
    <w:rsid w:val="00BB472E"/>
    <w:rsid w:val="00BB6289"/>
    <w:rsid w:val="00BB6596"/>
    <w:rsid w:val="00BB69D3"/>
    <w:rsid w:val="00BB6A5B"/>
    <w:rsid w:val="00BB79A9"/>
    <w:rsid w:val="00BC0568"/>
    <w:rsid w:val="00BC20F0"/>
    <w:rsid w:val="00BC387B"/>
    <w:rsid w:val="00BC49B3"/>
    <w:rsid w:val="00BC607C"/>
    <w:rsid w:val="00BD0065"/>
    <w:rsid w:val="00BD115D"/>
    <w:rsid w:val="00BD18EF"/>
    <w:rsid w:val="00BD3D79"/>
    <w:rsid w:val="00BD4904"/>
    <w:rsid w:val="00BD59D0"/>
    <w:rsid w:val="00BD68DD"/>
    <w:rsid w:val="00BD7233"/>
    <w:rsid w:val="00BD742C"/>
    <w:rsid w:val="00BE2F35"/>
    <w:rsid w:val="00BE3436"/>
    <w:rsid w:val="00BE3573"/>
    <w:rsid w:val="00BE3DA7"/>
    <w:rsid w:val="00BE3E80"/>
    <w:rsid w:val="00BF0E32"/>
    <w:rsid w:val="00BF0F2C"/>
    <w:rsid w:val="00BF2616"/>
    <w:rsid w:val="00BF3632"/>
    <w:rsid w:val="00BF3E8C"/>
    <w:rsid w:val="00BF43B0"/>
    <w:rsid w:val="00BF5F6C"/>
    <w:rsid w:val="00C00927"/>
    <w:rsid w:val="00C00B69"/>
    <w:rsid w:val="00C01ADD"/>
    <w:rsid w:val="00C05E32"/>
    <w:rsid w:val="00C0735C"/>
    <w:rsid w:val="00C116E8"/>
    <w:rsid w:val="00C13E48"/>
    <w:rsid w:val="00C14EBA"/>
    <w:rsid w:val="00C15D91"/>
    <w:rsid w:val="00C1760F"/>
    <w:rsid w:val="00C17A2F"/>
    <w:rsid w:val="00C2025E"/>
    <w:rsid w:val="00C22723"/>
    <w:rsid w:val="00C23EBD"/>
    <w:rsid w:val="00C25B29"/>
    <w:rsid w:val="00C25F24"/>
    <w:rsid w:val="00C2674D"/>
    <w:rsid w:val="00C32308"/>
    <w:rsid w:val="00C32B55"/>
    <w:rsid w:val="00C36A00"/>
    <w:rsid w:val="00C36CD4"/>
    <w:rsid w:val="00C370CB"/>
    <w:rsid w:val="00C377A2"/>
    <w:rsid w:val="00C4134F"/>
    <w:rsid w:val="00C4239B"/>
    <w:rsid w:val="00C46259"/>
    <w:rsid w:val="00C475E4"/>
    <w:rsid w:val="00C47BA3"/>
    <w:rsid w:val="00C50AF4"/>
    <w:rsid w:val="00C53FD4"/>
    <w:rsid w:val="00C55CBA"/>
    <w:rsid w:val="00C57008"/>
    <w:rsid w:val="00C574DE"/>
    <w:rsid w:val="00C60935"/>
    <w:rsid w:val="00C61E8D"/>
    <w:rsid w:val="00C63367"/>
    <w:rsid w:val="00C634F6"/>
    <w:rsid w:val="00C63E0C"/>
    <w:rsid w:val="00C640AC"/>
    <w:rsid w:val="00C64307"/>
    <w:rsid w:val="00C678D4"/>
    <w:rsid w:val="00C710F8"/>
    <w:rsid w:val="00C812BE"/>
    <w:rsid w:val="00C8384A"/>
    <w:rsid w:val="00C84197"/>
    <w:rsid w:val="00C852C3"/>
    <w:rsid w:val="00C872B0"/>
    <w:rsid w:val="00C92797"/>
    <w:rsid w:val="00C92C1D"/>
    <w:rsid w:val="00CA1BE9"/>
    <w:rsid w:val="00CA2A32"/>
    <w:rsid w:val="00CA331F"/>
    <w:rsid w:val="00CA39A0"/>
    <w:rsid w:val="00CA49B7"/>
    <w:rsid w:val="00CB0DC0"/>
    <w:rsid w:val="00CB2367"/>
    <w:rsid w:val="00CB7CB1"/>
    <w:rsid w:val="00CC1008"/>
    <w:rsid w:val="00CC18D5"/>
    <w:rsid w:val="00CC3A76"/>
    <w:rsid w:val="00CC6285"/>
    <w:rsid w:val="00CD113B"/>
    <w:rsid w:val="00CD1BC3"/>
    <w:rsid w:val="00CD2665"/>
    <w:rsid w:val="00CD2981"/>
    <w:rsid w:val="00CD5C8E"/>
    <w:rsid w:val="00CD6345"/>
    <w:rsid w:val="00CD6988"/>
    <w:rsid w:val="00CE13BC"/>
    <w:rsid w:val="00CE62A9"/>
    <w:rsid w:val="00CF1762"/>
    <w:rsid w:val="00CF1765"/>
    <w:rsid w:val="00CF240C"/>
    <w:rsid w:val="00CF2C96"/>
    <w:rsid w:val="00CF456D"/>
    <w:rsid w:val="00CF6A08"/>
    <w:rsid w:val="00CF7CE2"/>
    <w:rsid w:val="00D024C0"/>
    <w:rsid w:val="00D02EE7"/>
    <w:rsid w:val="00D0674D"/>
    <w:rsid w:val="00D07B16"/>
    <w:rsid w:val="00D07FFE"/>
    <w:rsid w:val="00D103BA"/>
    <w:rsid w:val="00D171B0"/>
    <w:rsid w:val="00D1774D"/>
    <w:rsid w:val="00D211B8"/>
    <w:rsid w:val="00D21E6D"/>
    <w:rsid w:val="00D23693"/>
    <w:rsid w:val="00D24F78"/>
    <w:rsid w:val="00D26431"/>
    <w:rsid w:val="00D27084"/>
    <w:rsid w:val="00D30AB5"/>
    <w:rsid w:val="00D30F34"/>
    <w:rsid w:val="00D3148F"/>
    <w:rsid w:val="00D3342C"/>
    <w:rsid w:val="00D34DCC"/>
    <w:rsid w:val="00D352E4"/>
    <w:rsid w:val="00D405F3"/>
    <w:rsid w:val="00D411A1"/>
    <w:rsid w:val="00D41265"/>
    <w:rsid w:val="00D43B2D"/>
    <w:rsid w:val="00D4485C"/>
    <w:rsid w:val="00D50644"/>
    <w:rsid w:val="00D508A3"/>
    <w:rsid w:val="00D516BA"/>
    <w:rsid w:val="00D51FC8"/>
    <w:rsid w:val="00D5482C"/>
    <w:rsid w:val="00D54D33"/>
    <w:rsid w:val="00D5519A"/>
    <w:rsid w:val="00D560FE"/>
    <w:rsid w:val="00D56464"/>
    <w:rsid w:val="00D5673C"/>
    <w:rsid w:val="00D63CB3"/>
    <w:rsid w:val="00D641BB"/>
    <w:rsid w:val="00D64B41"/>
    <w:rsid w:val="00D65590"/>
    <w:rsid w:val="00D65861"/>
    <w:rsid w:val="00D67178"/>
    <w:rsid w:val="00D679E5"/>
    <w:rsid w:val="00D67A75"/>
    <w:rsid w:val="00D67F1E"/>
    <w:rsid w:val="00D67FA2"/>
    <w:rsid w:val="00D7490D"/>
    <w:rsid w:val="00D7654C"/>
    <w:rsid w:val="00D806CB"/>
    <w:rsid w:val="00D85115"/>
    <w:rsid w:val="00D86898"/>
    <w:rsid w:val="00D939D5"/>
    <w:rsid w:val="00D94F48"/>
    <w:rsid w:val="00D96237"/>
    <w:rsid w:val="00DA11AD"/>
    <w:rsid w:val="00DA524D"/>
    <w:rsid w:val="00DA6765"/>
    <w:rsid w:val="00DB078E"/>
    <w:rsid w:val="00DB5E8C"/>
    <w:rsid w:val="00DB7127"/>
    <w:rsid w:val="00DC0206"/>
    <w:rsid w:val="00DC02A5"/>
    <w:rsid w:val="00DC26A6"/>
    <w:rsid w:val="00DC27A2"/>
    <w:rsid w:val="00DC42A5"/>
    <w:rsid w:val="00DC5A3E"/>
    <w:rsid w:val="00DC607C"/>
    <w:rsid w:val="00DC7495"/>
    <w:rsid w:val="00DC7A33"/>
    <w:rsid w:val="00DD1338"/>
    <w:rsid w:val="00DD18CF"/>
    <w:rsid w:val="00DD52FE"/>
    <w:rsid w:val="00DD6062"/>
    <w:rsid w:val="00DD7E05"/>
    <w:rsid w:val="00DE053F"/>
    <w:rsid w:val="00DE1C7B"/>
    <w:rsid w:val="00DE598A"/>
    <w:rsid w:val="00DE5A5F"/>
    <w:rsid w:val="00DF167B"/>
    <w:rsid w:val="00DF2DAF"/>
    <w:rsid w:val="00DF351A"/>
    <w:rsid w:val="00DF3C7E"/>
    <w:rsid w:val="00DF4448"/>
    <w:rsid w:val="00DF5027"/>
    <w:rsid w:val="00DF778E"/>
    <w:rsid w:val="00E0405D"/>
    <w:rsid w:val="00E0473B"/>
    <w:rsid w:val="00E049A3"/>
    <w:rsid w:val="00E06461"/>
    <w:rsid w:val="00E14FF9"/>
    <w:rsid w:val="00E15F09"/>
    <w:rsid w:val="00E2217C"/>
    <w:rsid w:val="00E234E3"/>
    <w:rsid w:val="00E2646E"/>
    <w:rsid w:val="00E26EF0"/>
    <w:rsid w:val="00E27F63"/>
    <w:rsid w:val="00E322E2"/>
    <w:rsid w:val="00E32978"/>
    <w:rsid w:val="00E32C6D"/>
    <w:rsid w:val="00E33956"/>
    <w:rsid w:val="00E33C9F"/>
    <w:rsid w:val="00E33FC7"/>
    <w:rsid w:val="00E35CBA"/>
    <w:rsid w:val="00E402DD"/>
    <w:rsid w:val="00E40C99"/>
    <w:rsid w:val="00E46B47"/>
    <w:rsid w:val="00E47F44"/>
    <w:rsid w:val="00E53CD5"/>
    <w:rsid w:val="00E54269"/>
    <w:rsid w:val="00E55BEA"/>
    <w:rsid w:val="00E55D78"/>
    <w:rsid w:val="00E56268"/>
    <w:rsid w:val="00E5678E"/>
    <w:rsid w:val="00E574E2"/>
    <w:rsid w:val="00E57702"/>
    <w:rsid w:val="00E63698"/>
    <w:rsid w:val="00E641BB"/>
    <w:rsid w:val="00E64264"/>
    <w:rsid w:val="00E65B90"/>
    <w:rsid w:val="00E66048"/>
    <w:rsid w:val="00E66253"/>
    <w:rsid w:val="00E668CF"/>
    <w:rsid w:val="00E7079A"/>
    <w:rsid w:val="00E712AE"/>
    <w:rsid w:val="00E72EB6"/>
    <w:rsid w:val="00E75E16"/>
    <w:rsid w:val="00E77765"/>
    <w:rsid w:val="00E77D67"/>
    <w:rsid w:val="00E836F6"/>
    <w:rsid w:val="00E84C81"/>
    <w:rsid w:val="00E87FA2"/>
    <w:rsid w:val="00E90C21"/>
    <w:rsid w:val="00E90EC3"/>
    <w:rsid w:val="00E9562D"/>
    <w:rsid w:val="00E95684"/>
    <w:rsid w:val="00E97712"/>
    <w:rsid w:val="00EA2FA2"/>
    <w:rsid w:val="00EA435B"/>
    <w:rsid w:val="00EA645E"/>
    <w:rsid w:val="00EA6DDA"/>
    <w:rsid w:val="00EB054A"/>
    <w:rsid w:val="00EB0F0B"/>
    <w:rsid w:val="00EB383A"/>
    <w:rsid w:val="00EB47D2"/>
    <w:rsid w:val="00EB777F"/>
    <w:rsid w:val="00EC169D"/>
    <w:rsid w:val="00EC6E50"/>
    <w:rsid w:val="00EC6FFB"/>
    <w:rsid w:val="00ED2BE0"/>
    <w:rsid w:val="00ED4807"/>
    <w:rsid w:val="00ED4A27"/>
    <w:rsid w:val="00ED5C72"/>
    <w:rsid w:val="00ED7BC7"/>
    <w:rsid w:val="00EE3DD8"/>
    <w:rsid w:val="00EE447D"/>
    <w:rsid w:val="00EE4A0A"/>
    <w:rsid w:val="00EE5885"/>
    <w:rsid w:val="00EE62AF"/>
    <w:rsid w:val="00EF06B8"/>
    <w:rsid w:val="00EF43B5"/>
    <w:rsid w:val="00EF46B8"/>
    <w:rsid w:val="00EF48C3"/>
    <w:rsid w:val="00EF4E2F"/>
    <w:rsid w:val="00EF5E1E"/>
    <w:rsid w:val="00EF6577"/>
    <w:rsid w:val="00EF67B8"/>
    <w:rsid w:val="00F028A6"/>
    <w:rsid w:val="00F0297C"/>
    <w:rsid w:val="00F02E72"/>
    <w:rsid w:val="00F03EB4"/>
    <w:rsid w:val="00F04008"/>
    <w:rsid w:val="00F05E9B"/>
    <w:rsid w:val="00F07118"/>
    <w:rsid w:val="00F102D9"/>
    <w:rsid w:val="00F1111C"/>
    <w:rsid w:val="00F11D18"/>
    <w:rsid w:val="00F14961"/>
    <w:rsid w:val="00F14E3E"/>
    <w:rsid w:val="00F15F33"/>
    <w:rsid w:val="00F162F5"/>
    <w:rsid w:val="00F17D39"/>
    <w:rsid w:val="00F20ADD"/>
    <w:rsid w:val="00F23070"/>
    <w:rsid w:val="00F24D77"/>
    <w:rsid w:val="00F257A6"/>
    <w:rsid w:val="00F33CBD"/>
    <w:rsid w:val="00F35161"/>
    <w:rsid w:val="00F361C2"/>
    <w:rsid w:val="00F36B1A"/>
    <w:rsid w:val="00F37927"/>
    <w:rsid w:val="00F43B14"/>
    <w:rsid w:val="00F6067E"/>
    <w:rsid w:val="00F615C8"/>
    <w:rsid w:val="00F6477C"/>
    <w:rsid w:val="00F649FA"/>
    <w:rsid w:val="00F656D1"/>
    <w:rsid w:val="00F65A0F"/>
    <w:rsid w:val="00F66D94"/>
    <w:rsid w:val="00F70270"/>
    <w:rsid w:val="00F7269D"/>
    <w:rsid w:val="00F73485"/>
    <w:rsid w:val="00F75C74"/>
    <w:rsid w:val="00F76FE5"/>
    <w:rsid w:val="00F77878"/>
    <w:rsid w:val="00F80E49"/>
    <w:rsid w:val="00F8155B"/>
    <w:rsid w:val="00F81702"/>
    <w:rsid w:val="00F81F16"/>
    <w:rsid w:val="00F8280E"/>
    <w:rsid w:val="00F82DFA"/>
    <w:rsid w:val="00F849BE"/>
    <w:rsid w:val="00F85621"/>
    <w:rsid w:val="00F85D4F"/>
    <w:rsid w:val="00F905C6"/>
    <w:rsid w:val="00F920BD"/>
    <w:rsid w:val="00F95BBE"/>
    <w:rsid w:val="00F9732B"/>
    <w:rsid w:val="00FA1E07"/>
    <w:rsid w:val="00FA1F3F"/>
    <w:rsid w:val="00FA23A6"/>
    <w:rsid w:val="00FA3AA6"/>
    <w:rsid w:val="00FA6BB4"/>
    <w:rsid w:val="00FB0BD2"/>
    <w:rsid w:val="00FB282F"/>
    <w:rsid w:val="00FB4641"/>
    <w:rsid w:val="00FB50DC"/>
    <w:rsid w:val="00FB5C54"/>
    <w:rsid w:val="00FB64E1"/>
    <w:rsid w:val="00FB691A"/>
    <w:rsid w:val="00FC353B"/>
    <w:rsid w:val="00FC3A50"/>
    <w:rsid w:val="00FC5D04"/>
    <w:rsid w:val="00FC62A7"/>
    <w:rsid w:val="00FC72A3"/>
    <w:rsid w:val="00FC74F6"/>
    <w:rsid w:val="00FC755C"/>
    <w:rsid w:val="00FD142F"/>
    <w:rsid w:val="00FD1C88"/>
    <w:rsid w:val="00FD4D0C"/>
    <w:rsid w:val="00FD574A"/>
    <w:rsid w:val="00FD65FE"/>
    <w:rsid w:val="00FD6A66"/>
    <w:rsid w:val="00FE091E"/>
    <w:rsid w:val="00FE463F"/>
    <w:rsid w:val="00FE73DA"/>
    <w:rsid w:val="00FF035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1">
    <w:name w:val="EmailStyle35"/>
    <w:aliases w:val="EmailStyle35"/>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647AE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4ED84-AF24-4433-88E6-86939D65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2013-07-18T23:07:00Z</dcterms:created>
  <dcterms:modified xsi:type="dcterms:W3CDTF">2013-07-19T05:28:00Z</dcterms:modified>
</cp:coreProperties>
</file>