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1A" w:rsidRPr="001E1131" w:rsidRDefault="00667B1A" w:rsidP="00667B1A">
      <w:pPr>
        <w:tabs>
          <w:tab w:val="left" w:pos="7230"/>
        </w:tabs>
        <w:jc w:val="center"/>
        <w:rPr>
          <w:b/>
          <w:sz w:val="28"/>
          <w:szCs w:val="28"/>
        </w:rPr>
      </w:pPr>
      <w:r w:rsidRPr="001E1131">
        <w:rPr>
          <w:b/>
          <w:sz w:val="28"/>
          <w:szCs w:val="28"/>
        </w:rPr>
        <w:t>EXPLANATORY STATEMENT</w:t>
      </w:r>
    </w:p>
    <w:p w:rsidR="00667B1A" w:rsidRDefault="00667B1A" w:rsidP="00667B1A">
      <w:pPr>
        <w:spacing w:before="120" w:after="120"/>
        <w:jc w:val="center"/>
      </w:pPr>
    </w:p>
    <w:p w:rsidR="00667B1A" w:rsidRPr="00BB6FAB" w:rsidRDefault="00667B1A" w:rsidP="00667B1A">
      <w:pPr>
        <w:spacing w:before="120" w:after="120"/>
        <w:jc w:val="center"/>
        <w:rPr>
          <w:b/>
        </w:rPr>
      </w:pPr>
      <w:r w:rsidRPr="00BB6FAB">
        <w:rPr>
          <w:b/>
        </w:rPr>
        <w:t>Prepared by the Australian Competition and Consumer Commission</w:t>
      </w:r>
      <w:r w:rsidRPr="00BB6FAB" w:rsidDel="002020F0">
        <w:rPr>
          <w:b/>
        </w:rPr>
        <w:t xml:space="preserve"> </w:t>
      </w:r>
    </w:p>
    <w:p w:rsidR="00667B1A" w:rsidRPr="001A06CC" w:rsidRDefault="00667B1A" w:rsidP="00667B1A">
      <w:pPr>
        <w:spacing w:before="120" w:after="120"/>
        <w:jc w:val="center"/>
        <w:rPr>
          <w:b/>
        </w:rPr>
      </w:pPr>
    </w:p>
    <w:p w:rsidR="00667B1A" w:rsidRDefault="00667B1A" w:rsidP="00667B1A">
      <w:pPr>
        <w:jc w:val="center"/>
        <w:rPr>
          <w:b/>
          <w:i/>
        </w:rPr>
      </w:pPr>
      <w:r>
        <w:rPr>
          <w:b/>
          <w:i/>
        </w:rPr>
        <w:t>A</w:t>
      </w:r>
      <w:r w:rsidRPr="00A9651E">
        <w:rPr>
          <w:b/>
          <w:i/>
        </w:rPr>
        <w:t xml:space="preserve"> Code of Access to Telecommunications Transmission Towers, Sites of Towers and Underground </w:t>
      </w:r>
      <w:r>
        <w:rPr>
          <w:b/>
          <w:i/>
        </w:rPr>
        <w:t>Facilities Variation 2013</w:t>
      </w:r>
    </w:p>
    <w:p w:rsidR="00667B1A" w:rsidRDefault="00667B1A" w:rsidP="00667B1A">
      <w:pPr>
        <w:jc w:val="center"/>
        <w:rPr>
          <w:b/>
          <w:i/>
        </w:rPr>
      </w:pPr>
    </w:p>
    <w:p w:rsidR="00667B1A" w:rsidRDefault="00667B1A" w:rsidP="00667B1A">
      <w:pPr>
        <w:jc w:val="center"/>
        <w:rPr>
          <w:b/>
          <w:i/>
        </w:rPr>
      </w:pPr>
      <w:r>
        <w:rPr>
          <w:b/>
          <w:i/>
        </w:rPr>
        <w:t>Telecommunications Act 1997</w:t>
      </w:r>
    </w:p>
    <w:p w:rsidR="00667B1A" w:rsidRPr="00A9651E" w:rsidRDefault="00667B1A" w:rsidP="00667B1A">
      <w:pPr>
        <w:jc w:val="center"/>
        <w:rPr>
          <w:b/>
          <w:i/>
        </w:rPr>
      </w:pPr>
    </w:p>
    <w:p w:rsidR="00667B1A" w:rsidRPr="00A9651E" w:rsidRDefault="00667B1A" w:rsidP="00667B1A">
      <w:pPr>
        <w:jc w:val="center"/>
      </w:pPr>
    </w:p>
    <w:p w:rsidR="00667B1A" w:rsidRPr="001E1131" w:rsidRDefault="00667B1A" w:rsidP="00667B1A">
      <w:pPr>
        <w:pStyle w:val="Heading2"/>
        <w:numPr>
          <w:ilvl w:val="0"/>
          <w:numId w:val="0"/>
        </w:numPr>
        <w:spacing w:before="0" w:after="120"/>
        <w:rPr>
          <w:rFonts w:ascii="Times New Roman" w:hAnsi="Times New Roman" w:cs="Times New Roman"/>
          <w:color w:val="auto"/>
          <w:sz w:val="24"/>
          <w:szCs w:val="24"/>
        </w:rPr>
      </w:pPr>
      <w:r w:rsidRPr="001E1131">
        <w:rPr>
          <w:rFonts w:ascii="Times New Roman" w:hAnsi="Times New Roman" w:cs="Times New Roman"/>
          <w:color w:val="auto"/>
          <w:sz w:val="24"/>
          <w:szCs w:val="24"/>
        </w:rPr>
        <w:t>Name of the instrument</w:t>
      </w:r>
    </w:p>
    <w:p w:rsidR="00667B1A" w:rsidRDefault="00667B1A" w:rsidP="00667B1A">
      <w:r w:rsidRPr="00522449">
        <w:rPr>
          <w:i/>
        </w:rPr>
        <w:t>A</w:t>
      </w:r>
      <w:r w:rsidRPr="00134E28">
        <w:rPr>
          <w:i/>
        </w:rPr>
        <w:t xml:space="preserve"> Code of Access to Telecommunications Transmission Towers, Sites of Towers and Underground </w:t>
      </w:r>
      <w:r>
        <w:rPr>
          <w:i/>
        </w:rPr>
        <w:t>Facilities Variation 2013</w:t>
      </w:r>
      <w:r>
        <w:t>.</w:t>
      </w:r>
    </w:p>
    <w:p w:rsidR="00667B1A" w:rsidRDefault="00667B1A" w:rsidP="00667B1A">
      <w:pPr>
        <w:rPr>
          <w:b/>
        </w:rPr>
      </w:pPr>
    </w:p>
    <w:p w:rsidR="00667B1A" w:rsidRDefault="00667B1A" w:rsidP="00667B1A">
      <w:pPr>
        <w:pStyle w:val="Heading2"/>
        <w:numPr>
          <w:ilvl w:val="0"/>
          <w:numId w:val="0"/>
        </w:numPr>
        <w:spacing w:before="0" w:after="120"/>
        <w:rPr>
          <w:rFonts w:ascii="Times New Roman" w:hAnsi="Times New Roman" w:cs="Times New Roman"/>
          <w:color w:val="auto"/>
          <w:sz w:val="24"/>
          <w:szCs w:val="24"/>
        </w:rPr>
      </w:pPr>
      <w:r w:rsidRPr="001E1131">
        <w:rPr>
          <w:rFonts w:ascii="Times New Roman" w:hAnsi="Times New Roman" w:cs="Times New Roman"/>
          <w:color w:val="auto"/>
          <w:sz w:val="24"/>
          <w:szCs w:val="24"/>
        </w:rPr>
        <w:t>Authority</w:t>
      </w:r>
    </w:p>
    <w:p w:rsidR="00667B1A" w:rsidRDefault="00667B1A" w:rsidP="00667B1A">
      <w:pPr>
        <w:rPr>
          <w:rFonts w:cs="Arial"/>
          <w:bCs/>
        </w:rPr>
      </w:pPr>
      <w:r w:rsidRPr="00134E28">
        <w:rPr>
          <w:i/>
        </w:rPr>
        <w:t>A Code of Access to Telecommunications Transmission Towers, Sites of Towers and Underground Facilit</w:t>
      </w:r>
      <w:r>
        <w:rPr>
          <w:i/>
        </w:rPr>
        <w:t>i</w:t>
      </w:r>
      <w:r w:rsidRPr="00134E28">
        <w:rPr>
          <w:i/>
        </w:rPr>
        <w:t>es</w:t>
      </w:r>
      <w:r>
        <w:t xml:space="preserve"> </w:t>
      </w:r>
      <w:r>
        <w:rPr>
          <w:i/>
        </w:rPr>
        <w:t>Variation 2013</w:t>
      </w:r>
      <w:r w:rsidRPr="002020F0">
        <w:rPr>
          <w:rFonts w:cs="Arial"/>
          <w:bCs/>
        </w:rPr>
        <w:t xml:space="preserve"> </w:t>
      </w:r>
      <w:r>
        <w:rPr>
          <w:rFonts w:cs="Arial"/>
          <w:bCs/>
        </w:rPr>
        <w:t xml:space="preserve">is made by the Australian Competition and Consumer Commission (ACCC) under clause 37 of Part 5 of Schedule 1 to the </w:t>
      </w:r>
      <w:r w:rsidRPr="006C45A9">
        <w:rPr>
          <w:rFonts w:cs="Arial"/>
          <w:bCs/>
          <w:i/>
        </w:rPr>
        <w:t>Telecommunications Act 1997</w:t>
      </w:r>
      <w:r>
        <w:rPr>
          <w:rFonts w:cs="Arial"/>
          <w:bCs/>
          <w:i/>
        </w:rPr>
        <w:t>.</w:t>
      </w:r>
    </w:p>
    <w:p w:rsidR="00667B1A" w:rsidRPr="00134E28" w:rsidRDefault="00667B1A" w:rsidP="00667B1A"/>
    <w:p w:rsidR="00667B1A" w:rsidRPr="001E1131" w:rsidRDefault="00667B1A" w:rsidP="00667B1A">
      <w:pPr>
        <w:pStyle w:val="Heading2"/>
        <w:numPr>
          <w:ilvl w:val="0"/>
          <w:numId w:val="0"/>
        </w:numPr>
        <w:spacing w:before="0" w:after="120"/>
        <w:rPr>
          <w:rFonts w:ascii="Times New Roman" w:hAnsi="Times New Roman" w:cs="Times New Roman"/>
          <w:color w:val="auto"/>
          <w:sz w:val="24"/>
          <w:szCs w:val="24"/>
        </w:rPr>
      </w:pPr>
      <w:r w:rsidRPr="001E1131">
        <w:rPr>
          <w:rFonts w:ascii="Times New Roman" w:hAnsi="Times New Roman" w:cs="Times New Roman"/>
          <w:color w:val="auto"/>
          <w:sz w:val="24"/>
          <w:szCs w:val="24"/>
        </w:rPr>
        <w:t>Purpose</w:t>
      </w:r>
      <w:r>
        <w:rPr>
          <w:rFonts w:ascii="Times New Roman" w:hAnsi="Times New Roman" w:cs="Times New Roman"/>
          <w:color w:val="auto"/>
          <w:sz w:val="24"/>
          <w:szCs w:val="24"/>
        </w:rPr>
        <w:t xml:space="preserve"> </w:t>
      </w:r>
    </w:p>
    <w:p w:rsidR="00667B1A" w:rsidRDefault="00667B1A" w:rsidP="00667B1A">
      <w:r>
        <w:t xml:space="preserve">On 7 October 1999 the ACCC made </w:t>
      </w:r>
      <w:r>
        <w:rPr>
          <w:i/>
        </w:rPr>
        <w:t>A Code of Access to Telecommunications Transmission Towers, Sites of Towers and Underground Facilities</w:t>
      </w:r>
      <w:r>
        <w:t xml:space="preserve"> (the Code).</w:t>
      </w:r>
      <w:r>
        <w:rPr>
          <w:b/>
        </w:rPr>
        <w:t xml:space="preserve"> </w:t>
      </w:r>
      <w:r>
        <w:t>The Code provides a default set of non-price terms of access to</w:t>
      </w:r>
      <w:r w:rsidRPr="002020F0">
        <w:t xml:space="preserve"> </w:t>
      </w:r>
      <w:r>
        <w:t xml:space="preserve">telecommunications transmission sites and towers and underground facilities that are designed to hold lines (the eligible facilities), and includes both mandatory and non-mandatory conditions of access. </w:t>
      </w:r>
    </w:p>
    <w:p w:rsidR="00667B1A" w:rsidRDefault="00667B1A" w:rsidP="00667B1A">
      <w:pPr>
        <w:rPr>
          <w:rFonts w:cs="Arial"/>
          <w:bCs/>
        </w:rPr>
      </w:pPr>
    </w:p>
    <w:p w:rsidR="00667B1A" w:rsidRDefault="00667B1A" w:rsidP="00667B1A">
      <w:pPr>
        <w:spacing w:after="120"/>
      </w:pPr>
      <w:r>
        <w:t>The purpose of this instrument is to vary the Code to:</w:t>
      </w:r>
    </w:p>
    <w:p w:rsidR="00667B1A" w:rsidRPr="00356750" w:rsidRDefault="00667B1A" w:rsidP="00667B1A">
      <w:pPr>
        <w:pStyle w:val="ListParagraph"/>
        <w:numPr>
          <w:ilvl w:val="0"/>
          <w:numId w:val="14"/>
        </w:numPr>
        <w:spacing w:after="120"/>
        <w:ind w:left="714" w:hanging="357"/>
        <w:rPr>
          <w:rFonts w:ascii="Times New Roman" w:hAnsi="Times New Roman"/>
        </w:rPr>
      </w:pPr>
      <w:r>
        <w:rPr>
          <w:rFonts w:ascii="Times New Roman" w:hAnsi="Times New Roman"/>
        </w:rPr>
        <w:t>r</w:t>
      </w:r>
      <w:r w:rsidRPr="00356750">
        <w:rPr>
          <w:rFonts w:ascii="Times New Roman" w:hAnsi="Times New Roman"/>
        </w:rPr>
        <w:t>emove obsolete references</w:t>
      </w:r>
    </w:p>
    <w:p w:rsidR="00667B1A" w:rsidRDefault="00667B1A" w:rsidP="00667B1A">
      <w:pPr>
        <w:pStyle w:val="ListParagraph"/>
        <w:numPr>
          <w:ilvl w:val="0"/>
          <w:numId w:val="14"/>
        </w:numPr>
        <w:spacing w:after="120"/>
        <w:ind w:left="714" w:hanging="357"/>
        <w:rPr>
          <w:rFonts w:ascii="Times New Roman" w:hAnsi="Times New Roman"/>
        </w:rPr>
      </w:pPr>
      <w:r>
        <w:rPr>
          <w:rFonts w:ascii="Times New Roman" w:hAnsi="Times New Roman"/>
        </w:rPr>
        <w:t>a</w:t>
      </w:r>
      <w:r w:rsidRPr="00356750">
        <w:rPr>
          <w:rFonts w:ascii="Times New Roman" w:hAnsi="Times New Roman"/>
        </w:rPr>
        <w:t>ccount for</w:t>
      </w:r>
      <w:r>
        <w:rPr>
          <w:rFonts w:ascii="Times New Roman" w:hAnsi="Times New Roman"/>
        </w:rPr>
        <w:t xml:space="preserve"> recent changes in legislation</w:t>
      </w:r>
    </w:p>
    <w:p w:rsidR="00667B1A" w:rsidRDefault="00667B1A" w:rsidP="00667B1A">
      <w:pPr>
        <w:pStyle w:val="ListParagraph"/>
        <w:numPr>
          <w:ilvl w:val="0"/>
          <w:numId w:val="14"/>
        </w:numPr>
        <w:spacing w:after="120"/>
        <w:ind w:left="714" w:hanging="357"/>
        <w:rPr>
          <w:rFonts w:ascii="Times New Roman" w:hAnsi="Times New Roman"/>
        </w:rPr>
      </w:pPr>
      <w:r>
        <w:rPr>
          <w:rFonts w:ascii="Times New Roman" w:hAnsi="Times New Roman"/>
        </w:rPr>
        <w:t>make timeframes for accessing the eligible facilities a mandatory provision of the Code, and</w:t>
      </w:r>
    </w:p>
    <w:p w:rsidR="00667B1A" w:rsidRDefault="00667B1A" w:rsidP="00667B1A">
      <w:pPr>
        <w:pStyle w:val="ListParagraph"/>
        <w:numPr>
          <w:ilvl w:val="0"/>
          <w:numId w:val="14"/>
        </w:numPr>
        <w:ind w:left="714" w:hanging="357"/>
        <w:rPr>
          <w:rFonts w:ascii="Times New Roman" w:hAnsi="Times New Roman"/>
        </w:rPr>
      </w:pPr>
      <w:proofErr w:type="gramStart"/>
      <w:r>
        <w:rPr>
          <w:rFonts w:ascii="Times New Roman" w:hAnsi="Times New Roman"/>
        </w:rPr>
        <w:t>make</w:t>
      </w:r>
      <w:proofErr w:type="gramEnd"/>
      <w:r>
        <w:rPr>
          <w:rFonts w:ascii="Times New Roman" w:hAnsi="Times New Roman"/>
        </w:rPr>
        <w:t xml:space="preserve"> minor typographical changes. </w:t>
      </w:r>
    </w:p>
    <w:p w:rsidR="00667B1A" w:rsidRDefault="00667B1A" w:rsidP="00667B1A">
      <w:pPr>
        <w:spacing w:after="120"/>
        <w:rPr>
          <w:b/>
        </w:rPr>
      </w:pPr>
    </w:p>
    <w:p w:rsidR="00667B1A" w:rsidRDefault="00667B1A" w:rsidP="00667B1A">
      <w:pPr>
        <w:spacing w:after="120"/>
        <w:rPr>
          <w:b/>
        </w:rPr>
      </w:pPr>
      <w:r w:rsidRPr="002020F0">
        <w:rPr>
          <w:b/>
        </w:rPr>
        <w:t>Operation</w:t>
      </w:r>
    </w:p>
    <w:p w:rsidR="00667B1A" w:rsidRDefault="00667B1A" w:rsidP="00667B1A">
      <w:pPr>
        <w:spacing w:after="120"/>
        <w:rPr>
          <w:b/>
        </w:rPr>
      </w:pPr>
      <w:r w:rsidRPr="002020F0">
        <w:t xml:space="preserve">The </w:t>
      </w:r>
      <w:r>
        <w:t>C</w:t>
      </w:r>
      <w:r w:rsidRPr="002020F0">
        <w:t xml:space="preserve">ode </w:t>
      </w:r>
      <w:r>
        <w:t xml:space="preserve">applies to telecommunications carriers that own or operate the eligible facilities. Under Schedule 1 to the </w:t>
      </w:r>
      <w:r w:rsidRPr="00F33C10">
        <w:rPr>
          <w:i/>
        </w:rPr>
        <w:t>Telecommunications Act 1997</w:t>
      </w:r>
      <w:r>
        <w:t xml:space="preserve"> (Telecommunications Act), carriers must provide other carriers with access to the eligible facilities. The Code imposes on carriers mandatory and non-mandatory conditions of access to those facilities. The Code is varied to, among other </w:t>
      </w:r>
      <w:proofErr w:type="gramStart"/>
      <w:r>
        <w:t>things,</w:t>
      </w:r>
      <w:proofErr w:type="gramEnd"/>
      <w:r>
        <w:t xml:space="preserve"> impose a mandatory obligation on carriers to comply with timeframes for providing access to eligible facilities to other carriers. </w:t>
      </w:r>
    </w:p>
    <w:p w:rsidR="00667B1A" w:rsidRPr="002020F0" w:rsidRDefault="00667B1A" w:rsidP="00667B1A">
      <w:pPr>
        <w:pStyle w:val="Heading1"/>
        <w:numPr>
          <w:ilvl w:val="0"/>
          <w:numId w:val="0"/>
        </w:numPr>
        <w:spacing w:before="0" w:after="120"/>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Section 61 of the Telecommunications Act provides that a carrier licence is subject to the conditions specified in Schedule 1.  Therefore compliance with the mandatory provisions of the Code is a standard carrier licence condition under the Telecommunications Act.</w:t>
      </w:r>
    </w:p>
    <w:p w:rsidR="00667B1A" w:rsidRDefault="00667B1A" w:rsidP="00667B1A">
      <w:r>
        <w:t xml:space="preserve"> The date of commencement is the day after </w:t>
      </w:r>
      <w:r w:rsidRPr="00522449">
        <w:rPr>
          <w:i/>
        </w:rPr>
        <w:t>A</w:t>
      </w:r>
      <w:r w:rsidRPr="00134E28">
        <w:rPr>
          <w:i/>
        </w:rPr>
        <w:t xml:space="preserve"> Code of Access to Telecommunications Transmission Towers, Sites of Towers and Underground </w:t>
      </w:r>
      <w:r>
        <w:rPr>
          <w:i/>
        </w:rPr>
        <w:t>Facilities Variation 2013</w:t>
      </w:r>
      <w:r>
        <w:t xml:space="preserve"> is registered.</w:t>
      </w:r>
    </w:p>
    <w:p w:rsidR="00667B1A" w:rsidRDefault="00667B1A" w:rsidP="00667B1A">
      <w:pPr>
        <w:pStyle w:val="Heading1"/>
        <w:numPr>
          <w:ilvl w:val="0"/>
          <w:numId w:val="0"/>
        </w:numPr>
        <w:spacing w:before="0" w:after="120"/>
        <w:rPr>
          <w:rFonts w:ascii="Times New Roman" w:hAnsi="Times New Roman" w:cs="Times New Roman"/>
          <w:color w:val="auto"/>
          <w:sz w:val="24"/>
          <w:szCs w:val="24"/>
        </w:rPr>
      </w:pPr>
    </w:p>
    <w:p w:rsidR="00667B1A" w:rsidRPr="00BB6FAB" w:rsidRDefault="00667B1A" w:rsidP="00667B1A">
      <w:pPr>
        <w:pStyle w:val="Heading1"/>
        <w:numPr>
          <w:ilvl w:val="0"/>
          <w:numId w:val="0"/>
        </w:numPr>
        <w:spacing w:before="0" w:after="120"/>
      </w:pPr>
      <w:r w:rsidRPr="00BB6FAB">
        <w:rPr>
          <w:rFonts w:ascii="Times New Roman" w:hAnsi="Times New Roman" w:cs="Times New Roman"/>
          <w:color w:val="auto"/>
          <w:sz w:val="24"/>
          <w:szCs w:val="24"/>
        </w:rPr>
        <w:t>Consultation</w:t>
      </w:r>
    </w:p>
    <w:p w:rsidR="00667B1A" w:rsidRDefault="00667B1A" w:rsidP="00667B1A">
      <w:r>
        <w:t xml:space="preserve">Section 17 of the </w:t>
      </w:r>
      <w:r w:rsidRPr="00F33C10">
        <w:rPr>
          <w:i/>
        </w:rPr>
        <w:t>Legislative Instruments Act 2003</w:t>
      </w:r>
      <w:r>
        <w:t xml:space="preserve"> (LIA) requires the ACCC to be satisfied that any consultation it considers to be appropriate and reasonably practicable to undertake has been undertaken before making a legislative instrument.</w:t>
      </w:r>
    </w:p>
    <w:p w:rsidR="00667B1A" w:rsidRDefault="00667B1A" w:rsidP="00667B1A"/>
    <w:p w:rsidR="00667B1A" w:rsidRDefault="00667B1A" w:rsidP="00667B1A">
      <w:r>
        <w:t xml:space="preserve">A discussion paper to examine the Code was published on 4 July 2012. The discussion paper sought submissions on a number of issues, including the ongoing relevance of the Code and whether any changes to the Code were necessary. </w:t>
      </w:r>
      <w:r w:rsidRPr="003B44DE">
        <w:t>The discussion paper was published on the ACCC’s website.</w:t>
      </w:r>
      <w:r>
        <w:t xml:space="preserve"> </w:t>
      </w:r>
    </w:p>
    <w:p w:rsidR="00667B1A" w:rsidRDefault="00667B1A" w:rsidP="00667B1A"/>
    <w:p w:rsidR="00667B1A" w:rsidRDefault="00667B1A" w:rsidP="00667B1A">
      <w:r>
        <w:t xml:space="preserve">The ACCC received eight submissions in response to the discussion paper. Broadly, submitters agreed that the Code should be maintained but varied to take account of obsolete references and changes to legislation.                                                                           </w:t>
      </w:r>
    </w:p>
    <w:p w:rsidR="00667B1A" w:rsidRDefault="00667B1A" w:rsidP="00667B1A"/>
    <w:p w:rsidR="00667B1A" w:rsidRDefault="00667B1A" w:rsidP="00667B1A">
      <w:r>
        <w:t xml:space="preserve">In May 2013, the ACCC published its draft decision to vary the Code, having considered the issues raised by submitters in response to the discussion paper. The draft decision was published on the ACCC’s website and carriers, carriage service providers and other industry stakeholders likely to be affected by the decision to vary the Code were given the opportunity to make comments on the proposed amendments. </w:t>
      </w:r>
    </w:p>
    <w:p w:rsidR="00667B1A" w:rsidRDefault="00667B1A" w:rsidP="00667B1A"/>
    <w:p w:rsidR="00667B1A" w:rsidRDefault="00667B1A" w:rsidP="00667B1A">
      <w:r>
        <w:t xml:space="preserve">The ACCC received four submissions in response to the draft decision. The submitters endorsed the majority of the changes proposed to the Code in the draft decision, including changes to update the Code to remove obsolete references and make sure the Code aligned with legislative changes since the Code was made in 1999. </w:t>
      </w:r>
    </w:p>
    <w:p w:rsidR="00667B1A" w:rsidRDefault="00667B1A" w:rsidP="00667B1A"/>
    <w:p w:rsidR="00667B1A" w:rsidRDefault="00667B1A" w:rsidP="00667B1A">
      <w:r>
        <w:t>Two submitters raised concerns about one proposed variation to the Code to align the Code with the Structural Separation Undertaking given by Telstra to the ACCC on 23 February 2012. Having considered those submissions, the ACCC decided not to vary that provision of the Code, as proposed in the draft decision.</w:t>
      </w:r>
    </w:p>
    <w:p w:rsidR="00667B1A" w:rsidRDefault="00667B1A" w:rsidP="00667B1A"/>
    <w:p w:rsidR="00667B1A" w:rsidRDefault="00667B1A" w:rsidP="00667B1A">
      <w:r w:rsidDel="00903960">
        <w:t>The ACCC is satisfied that the consultation undertaken</w:t>
      </w:r>
      <w:r>
        <w:t xml:space="preserve"> was appropriate in the circumstances and</w:t>
      </w:r>
      <w:r w:rsidDel="00903960">
        <w:t xml:space="preserve"> met the requirements of section 17 of the</w:t>
      </w:r>
      <w:r>
        <w:t xml:space="preserve"> LIA</w:t>
      </w:r>
      <w:r w:rsidDel="00903960">
        <w:t>.</w:t>
      </w:r>
    </w:p>
    <w:p w:rsidR="00667B1A" w:rsidRDefault="00667B1A" w:rsidP="00667B1A"/>
    <w:p w:rsidR="00667B1A" w:rsidRDefault="00667B1A" w:rsidP="00667B1A">
      <w:pPr>
        <w:spacing w:after="200" w:line="276" w:lineRule="auto"/>
      </w:pPr>
      <w:r>
        <w:t>Details of the accompanying instrument are set out in Attachment 1.</w:t>
      </w:r>
    </w:p>
    <w:p w:rsidR="00667B1A" w:rsidRDefault="00667B1A" w:rsidP="00667B1A">
      <w:pPr>
        <w:spacing w:after="120"/>
        <w:rPr>
          <w:b/>
        </w:rPr>
      </w:pPr>
    </w:p>
    <w:p w:rsidR="00667B1A" w:rsidRDefault="00667B1A" w:rsidP="00667B1A">
      <w:pPr>
        <w:spacing w:after="120"/>
        <w:rPr>
          <w:b/>
        </w:rPr>
      </w:pPr>
    </w:p>
    <w:p w:rsidR="00667B1A" w:rsidRDefault="00667B1A" w:rsidP="00667B1A">
      <w:pPr>
        <w:spacing w:after="120"/>
        <w:rPr>
          <w:b/>
        </w:rPr>
      </w:pPr>
      <w:r>
        <w:rPr>
          <w:b/>
        </w:rPr>
        <w:lastRenderedPageBreak/>
        <w:t>Statement of compatibility with human rights</w:t>
      </w:r>
    </w:p>
    <w:p w:rsidR="00667B1A" w:rsidRDefault="00667B1A" w:rsidP="00667B1A">
      <w:r>
        <w:t xml:space="preserve">Subsection 9(1) of the </w:t>
      </w:r>
      <w:r>
        <w:rPr>
          <w:i/>
        </w:rPr>
        <w:t>Human Rights (Parliamentary Scrutiny) Act 2011</w:t>
      </w:r>
      <w:r>
        <w:t xml:space="preserve"> requires a rule maker in relation to a legislative instrument to which section 42 (disallowance) of the </w:t>
      </w:r>
      <w:r w:rsidRPr="00F33C10">
        <w:rPr>
          <w:i/>
        </w:rPr>
        <w:t>Legislative Instruments Act 2003</w:t>
      </w:r>
      <w:r>
        <w:t xml:space="preserve"> applies to cause a statement of compatibility to be prepared in respect of that legislative instrument.  This statement is at Attachment 2.</w:t>
      </w:r>
    </w:p>
    <w:p w:rsidR="00667B1A" w:rsidRDefault="00667B1A" w:rsidP="00667B1A"/>
    <w:p w:rsidR="00667B1A" w:rsidRDefault="00667B1A" w:rsidP="00667B1A">
      <w:pPr>
        <w:spacing w:after="120"/>
        <w:rPr>
          <w:b/>
        </w:rPr>
      </w:pPr>
      <w:r w:rsidRPr="00CA29E5">
        <w:rPr>
          <w:b/>
        </w:rPr>
        <w:t>Regulation Impact</w:t>
      </w:r>
    </w:p>
    <w:p w:rsidR="00667B1A" w:rsidRPr="00FF6A7C" w:rsidRDefault="00667B1A" w:rsidP="00667B1A">
      <w:pPr>
        <w:rPr>
          <w:color w:val="000000"/>
          <w:sz w:val="20"/>
        </w:rPr>
      </w:pPr>
      <w:r w:rsidRPr="00E46D0C">
        <w:t xml:space="preserve">A regulatory impact analysis assessment has </w:t>
      </w:r>
      <w:r>
        <w:t xml:space="preserve">also </w:t>
      </w:r>
      <w:r w:rsidRPr="00E46D0C">
        <w:t>been carried out and based on this assessment</w:t>
      </w:r>
      <w:r>
        <w:t>,</w:t>
      </w:r>
      <w:r w:rsidRPr="00E46D0C">
        <w:t xml:space="preserve"> the Office of Best Practice regulation (OBPR) has determined that the </w:t>
      </w:r>
      <w:r>
        <w:t>amendments will have minor impacts on business and the not-for-profit sector</w:t>
      </w:r>
      <w:r w:rsidRPr="00E46D0C">
        <w:t xml:space="preserve"> </w:t>
      </w:r>
      <w:r>
        <w:t>and that no further analysis (in the form of a Regulation Impact Statement) is required</w:t>
      </w:r>
      <w:r w:rsidRPr="00E46D0C">
        <w:t xml:space="preserve"> – OBPR reference number </w:t>
      </w:r>
      <w:r>
        <w:t>15289</w:t>
      </w:r>
      <w:r w:rsidRPr="00E46D0C">
        <w:t>.</w:t>
      </w:r>
      <w:r w:rsidRPr="004718CF">
        <w:rPr>
          <w:color w:val="000000"/>
          <w:sz w:val="20"/>
        </w:rPr>
        <w:t xml:space="preserve"> </w:t>
      </w:r>
      <w:r>
        <w:br w:type="page"/>
      </w:r>
    </w:p>
    <w:p w:rsidR="00667B1A" w:rsidRPr="007D08B5" w:rsidRDefault="00667B1A" w:rsidP="00667B1A">
      <w:pPr>
        <w:spacing w:after="120"/>
      </w:pPr>
      <w:r>
        <w:lastRenderedPageBreak/>
        <w:tab/>
      </w:r>
      <w:r>
        <w:tab/>
      </w:r>
      <w:r>
        <w:tab/>
      </w:r>
      <w:r>
        <w:tab/>
      </w:r>
      <w:r>
        <w:tab/>
      </w:r>
      <w:r>
        <w:tab/>
      </w:r>
      <w:r>
        <w:tab/>
      </w:r>
      <w:r>
        <w:tab/>
      </w:r>
      <w:r w:rsidRPr="007D08B5">
        <w:t>ATTACHMENT 1</w:t>
      </w:r>
    </w:p>
    <w:p w:rsidR="00667B1A" w:rsidRDefault="00667B1A" w:rsidP="00667B1A">
      <w:pPr>
        <w:spacing w:after="120"/>
      </w:pPr>
    </w:p>
    <w:p w:rsidR="00667B1A" w:rsidRDefault="00667B1A" w:rsidP="00667B1A">
      <w:pPr>
        <w:spacing w:after="120"/>
        <w:rPr>
          <w:b/>
        </w:rPr>
      </w:pPr>
      <w:r w:rsidRPr="00AB0D3F">
        <w:rPr>
          <w:b/>
        </w:rPr>
        <w:t>NOTES ON SECTIONS</w:t>
      </w:r>
    </w:p>
    <w:p w:rsidR="00667B1A" w:rsidRDefault="00667B1A" w:rsidP="00667B1A">
      <w:pPr>
        <w:spacing w:after="120"/>
        <w:rPr>
          <w:b/>
        </w:rPr>
      </w:pPr>
      <w:r>
        <w:rPr>
          <w:b/>
        </w:rPr>
        <w:t>Section 1 – Name of instrument</w:t>
      </w:r>
    </w:p>
    <w:p w:rsidR="00667B1A" w:rsidRPr="00CE5A87" w:rsidRDefault="00667B1A" w:rsidP="00667B1A">
      <w:pPr>
        <w:spacing w:after="120"/>
      </w:pPr>
      <w:r w:rsidRPr="00CE5A87">
        <w:t>Section 1 provides the name of th</w:t>
      </w:r>
      <w:r>
        <w:t>e</w:t>
      </w:r>
      <w:r w:rsidRPr="00CE5A87">
        <w:t xml:space="preserve"> instrument is the </w:t>
      </w:r>
      <w:r w:rsidRPr="00CE5A87">
        <w:rPr>
          <w:i/>
        </w:rPr>
        <w:t>Code of Access to Telecommunications Transmission Towers, Sites of Towers and Underground Facilities Variation 2013</w:t>
      </w:r>
      <w:r>
        <w:rPr>
          <w:i/>
        </w:rPr>
        <w:t>.</w:t>
      </w:r>
    </w:p>
    <w:p w:rsidR="00667B1A" w:rsidRPr="00CE5A87" w:rsidRDefault="00667B1A" w:rsidP="00667B1A">
      <w:pPr>
        <w:rPr>
          <w:b/>
        </w:rPr>
      </w:pPr>
      <w:r w:rsidRPr="00CE5A87">
        <w:rPr>
          <w:b/>
        </w:rPr>
        <w:t>Section 2 – Commencement</w:t>
      </w:r>
    </w:p>
    <w:p w:rsidR="00667B1A" w:rsidRDefault="00667B1A" w:rsidP="00667B1A">
      <w:r>
        <w:t xml:space="preserve">Section 2 provides that the varied code commences on the day after it is registered on the Federal Register of Legislative Instruments. </w:t>
      </w:r>
    </w:p>
    <w:p w:rsidR="00667B1A" w:rsidRDefault="00667B1A" w:rsidP="00667B1A"/>
    <w:p w:rsidR="00667B1A" w:rsidRPr="00CE5A87" w:rsidRDefault="00667B1A" w:rsidP="00667B1A">
      <w:pPr>
        <w:rPr>
          <w:b/>
        </w:rPr>
      </w:pPr>
      <w:r w:rsidRPr="00CE5A87">
        <w:rPr>
          <w:b/>
        </w:rPr>
        <w:t>Section 3 – Authority</w:t>
      </w:r>
    </w:p>
    <w:p w:rsidR="00667B1A" w:rsidRDefault="00667B1A" w:rsidP="00667B1A">
      <w:r>
        <w:t>Section 3 provides that the Code is made under subclause 37(1) of Part 5 of Schedule 1 to the Telecommunications Act 1997 (</w:t>
      </w:r>
      <w:proofErr w:type="spellStart"/>
      <w:r>
        <w:t>Cth</w:t>
      </w:r>
      <w:proofErr w:type="spellEnd"/>
      <w:r>
        <w:t>).</w:t>
      </w:r>
    </w:p>
    <w:p w:rsidR="00667B1A" w:rsidRDefault="00667B1A" w:rsidP="00667B1A"/>
    <w:p w:rsidR="00667B1A" w:rsidRPr="00CE5A87" w:rsidRDefault="00667B1A" w:rsidP="00667B1A">
      <w:pPr>
        <w:rPr>
          <w:b/>
        </w:rPr>
      </w:pPr>
      <w:r w:rsidRPr="00CE5A87">
        <w:rPr>
          <w:b/>
        </w:rPr>
        <w:t>Section 4 – Schedule 1 – Variations</w:t>
      </w:r>
    </w:p>
    <w:p w:rsidR="00667B1A" w:rsidRDefault="00667B1A" w:rsidP="00667B1A"/>
    <w:p w:rsidR="00667B1A" w:rsidRPr="00CE5A87" w:rsidRDefault="00667B1A" w:rsidP="00667B1A">
      <w:pPr>
        <w:rPr>
          <w:u w:val="single"/>
        </w:rPr>
      </w:pPr>
      <w:r w:rsidRPr="00CE5A87">
        <w:rPr>
          <w:u w:val="single"/>
        </w:rPr>
        <w:t>Item 1</w:t>
      </w:r>
    </w:p>
    <w:p w:rsidR="00667B1A" w:rsidRDefault="00667B1A" w:rsidP="00667B1A">
      <w:proofErr w:type="gramStart"/>
      <w:r>
        <w:t>Updates the date in the title of the instrument.</w:t>
      </w:r>
      <w:proofErr w:type="gramEnd"/>
    </w:p>
    <w:p w:rsidR="00667B1A" w:rsidRDefault="00667B1A" w:rsidP="00667B1A"/>
    <w:p w:rsidR="00667B1A" w:rsidRPr="00F33C10" w:rsidRDefault="00667B1A" w:rsidP="00667B1A">
      <w:pPr>
        <w:rPr>
          <w:u w:val="single"/>
        </w:rPr>
      </w:pPr>
      <w:r w:rsidRPr="00F33C10">
        <w:rPr>
          <w:u w:val="single"/>
        </w:rPr>
        <w:t>Item 2</w:t>
      </w:r>
    </w:p>
    <w:p w:rsidR="00667B1A" w:rsidRPr="00AB0D3F" w:rsidRDefault="00667B1A" w:rsidP="00667B1A">
      <w:pPr>
        <w:rPr>
          <w:sz w:val="22"/>
          <w:szCs w:val="22"/>
        </w:rPr>
      </w:pPr>
      <w:r w:rsidRPr="00CE5A87">
        <w:t xml:space="preserve">Section 1.2.1 </w:t>
      </w:r>
      <w:r w:rsidRPr="00AB0D3F">
        <w:t xml:space="preserve">has been </w:t>
      </w:r>
      <w:r>
        <w:t xml:space="preserve">varied </w:t>
      </w:r>
      <w:r w:rsidRPr="00AB0D3F">
        <w:t xml:space="preserve">to ensure the Code does not apply to the extent that it imposes an obligation on Telstra that has the effect of preventing Telstra from complying with an undertaking </w:t>
      </w:r>
      <w:r w:rsidRPr="00AB0D3F">
        <w:rPr>
          <w:sz w:val="22"/>
          <w:szCs w:val="22"/>
        </w:rPr>
        <w:t>in force under section 577A, 577C or 577E of the Telecommunications Act. It also specifies that for the purposes of this Code, an NBN corporation is not taken to be the operator or controller of an Eligible Facility if:</w:t>
      </w:r>
    </w:p>
    <w:p w:rsidR="00667B1A" w:rsidRPr="00AB0D3F" w:rsidRDefault="00667B1A" w:rsidP="00667B1A">
      <w:pPr>
        <w:spacing w:before="120"/>
        <w:ind w:left="1134" w:right="804" w:hanging="425"/>
        <w:rPr>
          <w:sz w:val="22"/>
          <w:szCs w:val="22"/>
        </w:rPr>
      </w:pPr>
      <w:r w:rsidRPr="00AB0D3F">
        <w:rPr>
          <w:sz w:val="22"/>
          <w:szCs w:val="22"/>
        </w:rPr>
        <w:t xml:space="preserve">(1)  </w:t>
      </w:r>
      <w:proofErr w:type="gramStart"/>
      <w:r w:rsidRPr="00AB0D3F">
        <w:rPr>
          <w:sz w:val="22"/>
          <w:szCs w:val="22"/>
        </w:rPr>
        <w:t>there</w:t>
      </w:r>
      <w:proofErr w:type="gramEnd"/>
      <w:r w:rsidRPr="00AB0D3F">
        <w:rPr>
          <w:sz w:val="22"/>
          <w:szCs w:val="22"/>
        </w:rPr>
        <w:t xml:space="preserve"> is an agreement in force between Telstra and an NBN corporation, </w:t>
      </w:r>
    </w:p>
    <w:p w:rsidR="00667B1A" w:rsidRPr="00AB0D3F" w:rsidRDefault="00667B1A" w:rsidP="00667B1A">
      <w:pPr>
        <w:spacing w:before="120"/>
        <w:ind w:left="1134" w:right="804" w:hanging="425"/>
        <w:rPr>
          <w:sz w:val="22"/>
          <w:szCs w:val="22"/>
        </w:rPr>
      </w:pPr>
      <w:r w:rsidRPr="00AB0D3F">
        <w:rPr>
          <w:sz w:val="22"/>
          <w:szCs w:val="22"/>
        </w:rPr>
        <w:t xml:space="preserve">(2)   </w:t>
      </w:r>
      <w:proofErr w:type="gramStart"/>
      <w:r w:rsidRPr="00AB0D3F">
        <w:rPr>
          <w:sz w:val="22"/>
          <w:szCs w:val="22"/>
        </w:rPr>
        <w:t>the</w:t>
      </w:r>
      <w:proofErr w:type="gramEnd"/>
      <w:r w:rsidRPr="00AB0D3F">
        <w:rPr>
          <w:sz w:val="22"/>
          <w:szCs w:val="22"/>
        </w:rPr>
        <w:t xml:space="preserve"> agreement relates to an NBN corporation’s access to an Eligible Facility owned or operated by Telstra, and </w:t>
      </w:r>
    </w:p>
    <w:p w:rsidR="00667B1A" w:rsidRDefault="00667B1A" w:rsidP="00667B1A">
      <w:pPr>
        <w:spacing w:before="120"/>
        <w:ind w:left="1134" w:right="804" w:hanging="425"/>
        <w:rPr>
          <w:sz w:val="22"/>
          <w:szCs w:val="22"/>
        </w:rPr>
      </w:pPr>
      <w:r w:rsidRPr="00AB0D3F">
        <w:rPr>
          <w:sz w:val="22"/>
          <w:szCs w:val="22"/>
        </w:rPr>
        <w:t xml:space="preserve">(3)   </w:t>
      </w:r>
      <w:proofErr w:type="gramStart"/>
      <w:r w:rsidRPr="00AB0D3F">
        <w:rPr>
          <w:sz w:val="22"/>
          <w:szCs w:val="22"/>
        </w:rPr>
        <w:t>apart</w:t>
      </w:r>
      <w:proofErr w:type="gramEnd"/>
      <w:r w:rsidRPr="00AB0D3F">
        <w:rPr>
          <w:sz w:val="22"/>
          <w:szCs w:val="22"/>
        </w:rPr>
        <w:t xml:space="preserve"> from this provision, the agreement would result in the NBN corporation being the operator or controller of the Eligible Facility</w:t>
      </w:r>
      <w:r w:rsidRPr="005267A8">
        <w:rPr>
          <w:sz w:val="22"/>
          <w:szCs w:val="22"/>
        </w:rPr>
        <w:t xml:space="preserve"> </w:t>
      </w:r>
    </w:p>
    <w:p w:rsidR="00667B1A" w:rsidRDefault="00667B1A" w:rsidP="00667B1A">
      <w:pPr>
        <w:rPr>
          <w:u w:val="single"/>
        </w:rPr>
      </w:pPr>
    </w:p>
    <w:p w:rsidR="00667B1A" w:rsidRPr="00E2114C" w:rsidRDefault="00667B1A" w:rsidP="00667B1A">
      <w:pPr>
        <w:rPr>
          <w:u w:val="single"/>
        </w:rPr>
      </w:pPr>
      <w:r w:rsidRPr="00E2114C">
        <w:rPr>
          <w:u w:val="single"/>
        </w:rPr>
        <w:t>Items 3 and 4</w:t>
      </w:r>
    </w:p>
    <w:p w:rsidR="00667B1A" w:rsidRDefault="00667B1A" w:rsidP="00667B1A">
      <w:r>
        <w:t>Amend the notes to section 1.2.1 to include references to legislation.</w:t>
      </w:r>
    </w:p>
    <w:p w:rsidR="00667B1A" w:rsidRDefault="00667B1A" w:rsidP="00667B1A">
      <w:pPr>
        <w:rPr>
          <w:u w:val="single"/>
        </w:rPr>
      </w:pPr>
    </w:p>
    <w:p w:rsidR="00667B1A" w:rsidRPr="00E2114C" w:rsidRDefault="00667B1A" w:rsidP="00667B1A">
      <w:pPr>
        <w:rPr>
          <w:u w:val="single"/>
        </w:rPr>
      </w:pPr>
      <w:r w:rsidRPr="00E2114C">
        <w:rPr>
          <w:u w:val="single"/>
        </w:rPr>
        <w:t>Item 5</w:t>
      </w:r>
    </w:p>
    <w:p w:rsidR="00667B1A" w:rsidRDefault="00667B1A" w:rsidP="00667B1A">
      <w:r w:rsidRPr="00AB0D3F">
        <w:t>Section 1.2.3 has been repealed and an identical provision has now been inserted in Part 2 of the Code, to make timeframes a mandatory condition of the Code.</w:t>
      </w:r>
    </w:p>
    <w:p w:rsidR="00667B1A" w:rsidRDefault="00667B1A" w:rsidP="00667B1A"/>
    <w:p w:rsidR="00667B1A" w:rsidRDefault="00667B1A" w:rsidP="00667B1A">
      <w:pPr>
        <w:rPr>
          <w:u w:val="single"/>
        </w:rPr>
      </w:pPr>
      <w:r w:rsidRPr="00E2114C">
        <w:rPr>
          <w:u w:val="single"/>
        </w:rPr>
        <w:t>Item</w:t>
      </w:r>
      <w:r>
        <w:rPr>
          <w:u w:val="single"/>
        </w:rPr>
        <w:t>s</w:t>
      </w:r>
      <w:r w:rsidRPr="00E2114C">
        <w:rPr>
          <w:u w:val="single"/>
        </w:rPr>
        <w:t xml:space="preserve"> 6 </w:t>
      </w:r>
      <w:r>
        <w:rPr>
          <w:u w:val="single"/>
        </w:rPr>
        <w:t xml:space="preserve">and </w:t>
      </w:r>
      <w:r w:rsidRPr="00E2114C">
        <w:rPr>
          <w:u w:val="single"/>
        </w:rPr>
        <w:t xml:space="preserve">7 </w:t>
      </w:r>
    </w:p>
    <w:p w:rsidR="00667B1A" w:rsidRPr="00AB0D3F" w:rsidRDefault="00667B1A" w:rsidP="00667B1A">
      <w:r>
        <w:t xml:space="preserve">Replace references </w:t>
      </w:r>
      <w:r w:rsidRPr="00AB0D3F">
        <w:t xml:space="preserve">to Australian Communication Authority (ACA) </w:t>
      </w:r>
      <w:r>
        <w:t xml:space="preserve">with </w:t>
      </w:r>
      <w:r w:rsidRPr="00AB0D3F">
        <w:t>Australian Communications and Media Authority (ACMA) in paragraphs</w:t>
      </w:r>
      <w:r>
        <w:t xml:space="preserve"> </w:t>
      </w:r>
      <w:r w:rsidRPr="00AB0D3F">
        <w:t>2.1(3</w:t>
      </w:r>
      <w:proofErr w:type="gramStart"/>
      <w:r w:rsidRPr="00AB0D3F">
        <w:t>)(</w:t>
      </w:r>
      <w:proofErr w:type="gramEnd"/>
      <w:r w:rsidRPr="00AB0D3F">
        <w:t>a), 2.1(4)(g)</w:t>
      </w:r>
    </w:p>
    <w:p w:rsidR="00667B1A" w:rsidRDefault="00667B1A" w:rsidP="00667B1A">
      <w:pPr>
        <w:spacing w:before="120"/>
        <w:ind w:right="804"/>
        <w:rPr>
          <w:u w:val="single"/>
        </w:rPr>
      </w:pPr>
    </w:p>
    <w:p w:rsidR="00667B1A" w:rsidRDefault="00667B1A" w:rsidP="00667B1A">
      <w:pPr>
        <w:spacing w:before="120"/>
        <w:ind w:right="804"/>
        <w:rPr>
          <w:u w:val="single"/>
        </w:rPr>
      </w:pPr>
    </w:p>
    <w:p w:rsidR="00667B1A" w:rsidRDefault="00667B1A" w:rsidP="00667B1A">
      <w:pPr>
        <w:spacing w:before="120"/>
        <w:ind w:right="804"/>
        <w:rPr>
          <w:u w:val="single"/>
        </w:rPr>
      </w:pPr>
    </w:p>
    <w:p w:rsidR="00667B1A" w:rsidRDefault="00667B1A" w:rsidP="00667B1A">
      <w:pPr>
        <w:spacing w:before="120"/>
        <w:ind w:right="804"/>
        <w:rPr>
          <w:u w:val="single"/>
        </w:rPr>
      </w:pPr>
      <w:r w:rsidRPr="00E2114C">
        <w:rPr>
          <w:u w:val="single"/>
        </w:rPr>
        <w:lastRenderedPageBreak/>
        <w:t>Item</w:t>
      </w:r>
      <w:r>
        <w:rPr>
          <w:u w:val="single"/>
        </w:rPr>
        <w:t>s</w:t>
      </w:r>
      <w:r w:rsidRPr="00E2114C">
        <w:rPr>
          <w:u w:val="single"/>
        </w:rPr>
        <w:t xml:space="preserve"> 8</w:t>
      </w:r>
      <w:r>
        <w:rPr>
          <w:u w:val="single"/>
        </w:rPr>
        <w:t xml:space="preserve"> and 9</w:t>
      </w:r>
    </w:p>
    <w:p w:rsidR="00667B1A" w:rsidRDefault="00667B1A" w:rsidP="00667B1A">
      <w:pPr>
        <w:spacing w:before="120"/>
        <w:ind w:right="804"/>
      </w:pPr>
      <w:r>
        <w:t>Vary subsection</w:t>
      </w:r>
      <w:r w:rsidRPr="007308F7">
        <w:t xml:space="preserve"> 2.4(1)</w:t>
      </w:r>
      <w:r>
        <w:t xml:space="preserve"> to remove all references to the TAF and the TAF Code which is no longer operational, therefore the words ‘inter party dispute resolution’ and the notes to this section have been removed.</w:t>
      </w:r>
    </w:p>
    <w:p w:rsidR="00667B1A" w:rsidRPr="00DB1F6B" w:rsidRDefault="00667B1A" w:rsidP="00667B1A">
      <w:pPr>
        <w:ind w:left="425"/>
      </w:pPr>
    </w:p>
    <w:p w:rsidR="00667B1A" w:rsidRPr="00E2114C" w:rsidRDefault="00667B1A" w:rsidP="00667B1A">
      <w:pPr>
        <w:rPr>
          <w:u w:val="single"/>
        </w:rPr>
      </w:pPr>
      <w:r w:rsidRPr="00E2114C">
        <w:rPr>
          <w:u w:val="single"/>
        </w:rPr>
        <w:t xml:space="preserve">Item </w:t>
      </w:r>
      <w:r>
        <w:rPr>
          <w:u w:val="single"/>
        </w:rPr>
        <w:t>10</w:t>
      </w:r>
    </w:p>
    <w:p w:rsidR="00667B1A" w:rsidRDefault="00667B1A" w:rsidP="00667B1A">
      <w:r>
        <w:t>Replaces obsolete references to ACA with ACMA in subsection 2.4(5) of the Code.</w:t>
      </w:r>
    </w:p>
    <w:p w:rsidR="00667B1A" w:rsidRDefault="00667B1A" w:rsidP="00667B1A">
      <w:pPr>
        <w:rPr>
          <w:u w:val="single"/>
        </w:rPr>
      </w:pPr>
    </w:p>
    <w:p w:rsidR="00667B1A" w:rsidRPr="00E2114C" w:rsidRDefault="00667B1A" w:rsidP="00667B1A">
      <w:pPr>
        <w:rPr>
          <w:sz w:val="22"/>
          <w:szCs w:val="22"/>
          <w:u w:val="single"/>
        </w:rPr>
      </w:pPr>
      <w:r w:rsidRPr="00E2114C">
        <w:rPr>
          <w:u w:val="single"/>
        </w:rPr>
        <w:t>Item 11</w:t>
      </w:r>
    </w:p>
    <w:p w:rsidR="00667B1A" w:rsidRPr="00AB0D3F" w:rsidRDefault="00667B1A" w:rsidP="00667B1A">
      <w:r>
        <w:t>Inserts s</w:t>
      </w:r>
      <w:r w:rsidRPr="00AB0D3F">
        <w:t xml:space="preserve">ection 2.6 to make timeframes for the provision of access to the eligible facilities a mandatory condition of the Code.  It replicates the (now repealed) timeframes provision at section 1.2.3 of the Code. </w:t>
      </w:r>
    </w:p>
    <w:p w:rsidR="00667B1A" w:rsidRDefault="00667B1A" w:rsidP="00667B1A"/>
    <w:p w:rsidR="00667B1A" w:rsidRPr="00E2114C" w:rsidRDefault="00667B1A" w:rsidP="00667B1A">
      <w:pPr>
        <w:rPr>
          <w:u w:val="single"/>
        </w:rPr>
      </w:pPr>
      <w:r w:rsidRPr="00E2114C">
        <w:rPr>
          <w:u w:val="single"/>
        </w:rPr>
        <w:t>Item 12</w:t>
      </w:r>
    </w:p>
    <w:p w:rsidR="00667B1A" w:rsidRDefault="00667B1A" w:rsidP="00667B1A">
      <w:r>
        <w:t>Inserts an abbreviation ‘MRW’ for the term ‘Make Ready Work’ at subsection</w:t>
      </w:r>
      <w:r w:rsidRPr="008A2C79">
        <w:t xml:space="preserve"> 4.4(1)</w:t>
      </w:r>
      <w:r>
        <w:t>, clarifying the use of this term elsewhere in the Code.</w:t>
      </w:r>
    </w:p>
    <w:p w:rsidR="00667B1A" w:rsidRDefault="00667B1A" w:rsidP="00667B1A"/>
    <w:p w:rsidR="00667B1A" w:rsidRPr="00E2114C" w:rsidRDefault="00667B1A" w:rsidP="00667B1A">
      <w:pPr>
        <w:rPr>
          <w:sz w:val="22"/>
          <w:szCs w:val="22"/>
          <w:u w:val="single"/>
        </w:rPr>
      </w:pPr>
      <w:r w:rsidRPr="00E2114C">
        <w:rPr>
          <w:u w:val="single"/>
        </w:rPr>
        <w:t>Item</w:t>
      </w:r>
      <w:r>
        <w:rPr>
          <w:u w:val="single"/>
        </w:rPr>
        <w:t>s</w:t>
      </w:r>
      <w:r w:rsidRPr="00E2114C">
        <w:rPr>
          <w:u w:val="single"/>
        </w:rPr>
        <w:t xml:space="preserve"> 13 and 14</w:t>
      </w:r>
    </w:p>
    <w:p w:rsidR="00667B1A" w:rsidRPr="00F33C10" w:rsidRDefault="00667B1A" w:rsidP="00667B1A">
      <w:pPr>
        <w:pStyle w:val="ListParagraph"/>
        <w:spacing w:before="120"/>
        <w:ind w:left="0"/>
        <w:rPr>
          <w:rFonts w:ascii="Times New Roman" w:hAnsi="Times New Roman"/>
          <w:szCs w:val="24"/>
          <w:lang w:val="en-AU"/>
        </w:rPr>
      </w:pPr>
      <w:r w:rsidRPr="00F33C10">
        <w:rPr>
          <w:rFonts w:ascii="Times New Roman" w:hAnsi="Times New Roman"/>
          <w:szCs w:val="24"/>
          <w:lang w:val="en-AU"/>
        </w:rPr>
        <w:t>Correct typographical errors at subsections 4.5(7) and 5.6(3).</w:t>
      </w:r>
    </w:p>
    <w:p w:rsidR="00667B1A" w:rsidRDefault="00667B1A" w:rsidP="00667B1A"/>
    <w:p w:rsidR="00667B1A" w:rsidRPr="00E2114C" w:rsidRDefault="00667B1A" w:rsidP="00667B1A">
      <w:pPr>
        <w:rPr>
          <w:u w:val="single"/>
        </w:rPr>
      </w:pPr>
      <w:r w:rsidRPr="00E2114C">
        <w:rPr>
          <w:u w:val="single"/>
        </w:rPr>
        <w:t>Item 15</w:t>
      </w:r>
    </w:p>
    <w:p w:rsidR="00667B1A" w:rsidRDefault="00667B1A" w:rsidP="00667B1A">
      <w:r>
        <w:t xml:space="preserve">Varies paragraph </w:t>
      </w:r>
      <w:r w:rsidRPr="007A3BD9">
        <w:t>5.8</w:t>
      </w:r>
      <w:r>
        <w:t>(4</w:t>
      </w:r>
      <w:proofErr w:type="gramStart"/>
      <w:r>
        <w:t>)</w:t>
      </w:r>
      <w:r w:rsidRPr="007A3BD9">
        <w:t>(</w:t>
      </w:r>
      <w:proofErr w:type="gramEnd"/>
      <w:r w:rsidRPr="007A3BD9">
        <w:t>g)</w:t>
      </w:r>
      <w:r>
        <w:t xml:space="preserve"> of the Code to remove obsolete references to legislation and to reflect legislative changes. The variation updates references to relevant provisions in subsection 40(1) of the </w:t>
      </w:r>
      <w:r w:rsidRPr="00E2114C">
        <w:rPr>
          <w:i/>
        </w:rPr>
        <w:t>Bankruptcy Act 1966</w:t>
      </w:r>
      <w:r>
        <w:t xml:space="preserve"> in Chapter 5 of the Code.</w:t>
      </w:r>
    </w:p>
    <w:p w:rsidR="00667B1A" w:rsidRDefault="00667B1A" w:rsidP="00667B1A">
      <w:pPr>
        <w:rPr>
          <w:u w:val="single"/>
        </w:rPr>
      </w:pPr>
    </w:p>
    <w:p w:rsidR="00667B1A" w:rsidRPr="00E2114C" w:rsidRDefault="00667B1A" w:rsidP="00667B1A">
      <w:pPr>
        <w:rPr>
          <w:u w:val="single"/>
        </w:rPr>
      </w:pPr>
      <w:r w:rsidRPr="00E2114C">
        <w:rPr>
          <w:u w:val="single"/>
        </w:rPr>
        <w:t>Item 16</w:t>
      </w:r>
    </w:p>
    <w:p w:rsidR="00667B1A" w:rsidRDefault="00667B1A" w:rsidP="00667B1A">
      <w:r>
        <w:t xml:space="preserve">Corrects a typographical errors at paragraph </w:t>
      </w:r>
      <w:r w:rsidRPr="00E92166">
        <w:t>5.8(4</w:t>
      </w:r>
      <w:proofErr w:type="gramStart"/>
      <w:r w:rsidRPr="00E92166">
        <w:t>)(</w:t>
      </w:r>
      <w:proofErr w:type="gramEnd"/>
      <w:r w:rsidRPr="00E92166">
        <w:t>o)</w:t>
      </w:r>
      <w:r>
        <w:t>.</w:t>
      </w:r>
    </w:p>
    <w:p w:rsidR="00667B1A" w:rsidRDefault="00667B1A" w:rsidP="00667B1A"/>
    <w:p w:rsidR="00667B1A" w:rsidRPr="00B2320E" w:rsidRDefault="00667B1A" w:rsidP="00667B1A">
      <w:r w:rsidRPr="00E2114C">
        <w:rPr>
          <w:u w:val="single"/>
        </w:rPr>
        <w:t>Items 17, 19, 21, 23, 24, 25, 26, 30, and 32</w:t>
      </w:r>
      <w:r w:rsidRPr="00E2114C" w:rsidDel="001E410E">
        <w:rPr>
          <w:b/>
          <w:sz w:val="22"/>
          <w:szCs w:val="22"/>
          <w:u w:val="single"/>
        </w:rPr>
        <w:t xml:space="preserve"> </w:t>
      </w:r>
    </w:p>
    <w:p w:rsidR="00667B1A" w:rsidRPr="00AA21B2" w:rsidRDefault="00667B1A" w:rsidP="00667B1A">
      <w:pPr>
        <w:rPr>
          <w:sz w:val="22"/>
          <w:szCs w:val="22"/>
        </w:rPr>
      </w:pPr>
      <w:r>
        <w:t>Insert the following definitions to Section 6.1</w:t>
      </w:r>
      <w:r w:rsidRPr="00D470C8">
        <w:t xml:space="preserve"> (Glossary and Interpretation)</w:t>
      </w:r>
      <w:r>
        <w:t xml:space="preserve"> for clarification</w:t>
      </w:r>
      <w:r w:rsidRPr="00D470C8">
        <w:t>:</w:t>
      </w:r>
    </w:p>
    <w:p w:rsidR="00667B1A" w:rsidRDefault="00667B1A" w:rsidP="00667B1A">
      <w:pPr>
        <w:autoSpaceDE w:val="0"/>
        <w:autoSpaceDN w:val="0"/>
        <w:adjustRightInd w:val="0"/>
        <w:spacing w:before="120"/>
        <w:ind w:left="709" w:right="687"/>
        <w:rPr>
          <w:b/>
          <w:sz w:val="22"/>
          <w:szCs w:val="22"/>
        </w:rPr>
      </w:pPr>
      <w:r w:rsidRPr="0034210B">
        <w:rPr>
          <w:b/>
          <w:sz w:val="22"/>
          <w:szCs w:val="22"/>
        </w:rPr>
        <w:t xml:space="preserve">ACMA </w:t>
      </w:r>
      <w:r w:rsidRPr="00AB0D3F">
        <w:rPr>
          <w:sz w:val="22"/>
          <w:szCs w:val="22"/>
        </w:rPr>
        <w:t>refers to the Australian Communications and Media Authority.</w:t>
      </w:r>
    </w:p>
    <w:p w:rsidR="00667B1A" w:rsidRPr="00AA21B2" w:rsidRDefault="00667B1A" w:rsidP="00667B1A">
      <w:pPr>
        <w:autoSpaceDE w:val="0"/>
        <w:autoSpaceDN w:val="0"/>
        <w:adjustRightInd w:val="0"/>
        <w:spacing w:before="120"/>
        <w:ind w:left="709" w:right="687"/>
        <w:rPr>
          <w:sz w:val="22"/>
          <w:szCs w:val="22"/>
        </w:rPr>
      </w:pPr>
      <w:r w:rsidRPr="00AA21B2">
        <w:rPr>
          <w:b/>
          <w:sz w:val="22"/>
          <w:szCs w:val="22"/>
        </w:rPr>
        <w:t xml:space="preserve">Act </w:t>
      </w:r>
      <w:r w:rsidRPr="00AA21B2">
        <w:rPr>
          <w:sz w:val="22"/>
          <w:szCs w:val="22"/>
        </w:rPr>
        <w:t xml:space="preserve">refers to the </w:t>
      </w:r>
      <w:r w:rsidRPr="00AA21B2">
        <w:rPr>
          <w:i/>
          <w:sz w:val="22"/>
          <w:szCs w:val="22"/>
        </w:rPr>
        <w:t>Telecommunications Act 1997</w:t>
      </w:r>
      <w:r w:rsidRPr="00FB0EED">
        <w:rPr>
          <w:sz w:val="22"/>
          <w:szCs w:val="22"/>
        </w:rPr>
        <w:t>(</w:t>
      </w:r>
      <w:proofErr w:type="spellStart"/>
      <w:r w:rsidRPr="00FB0EED">
        <w:rPr>
          <w:sz w:val="22"/>
          <w:szCs w:val="22"/>
        </w:rPr>
        <w:t>Cth</w:t>
      </w:r>
      <w:proofErr w:type="spellEnd"/>
      <w:r w:rsidRPr="00FB0EED">
        <w:rPr>
          <w:sz w:val="22"/>
          <w:szCs w:val="22"/>
        </w:rPr>
        <w:t>)</w:t>
      </w:r>
    </w:p>
    <w:p w:rsidR="00667B1A" w:rsidRPr="00AA21B2" w:rsidRDefault="00667B1A" w:rsidP="00667B1A">
      <w:pPr>
        <w:autoSpaceDE w:val="0"/>
        <w:autoSpaceDN w:val="0"/>
        <w:adjustRightInd w:val="0"/>
        <w:spacing w:before="120"/>
        <w:ind w:left="709" w:right="687"/>
        <w:rPr>
          <w:sz w:val="22"/>
          <w:szCs w:val="22"/>
        </w:rPr>
      </w:pPr>
      <w:r w:rsidRPr="00AA21B2">
        <w:rPr>
          <w:b/>
          <w:sz w:val="22"/>
          <w:szCs w:val="22"/>
        </w:rPr>
        <w:t>Detailed field study</w:t>
      </w:r>
      <w:r w:rsidRPr="00AA21B2">
        <w:rPr>
          <w:sz w:val="22"/>
          <w:szCs w:val="22"/>
        </w:rPr>
        <w:t xml:space="preserve"> means a field study as defined by Annexure A or Annexure B of this Code (as appropriate) </w:t>
      </w:r>
    </w:p>
    <w:p w:rsidR="00667B1A" w:rsidRPr="00D470C8" w:rsidRDefault="00667B1A" w:rsidP="00667B1A">
      <w:pPr>
        <w:tabs>
          <w:tab w:val="left" w:pos="709"/>
          <w:tab w:val="left" w:pos="1440"/>
        </w:tabs>
        <w:autoSpaceDE w:val="0"/>
        <w:autoSpaceDN w:val="0"/>
        <w:adjustRightInd w:val="0"/>
        <w:spacing w:before="120"/>
        <w:ind w:left="709" w:right="687"/>
        <w:rPr>
          <w:bCs/>
          <w:color w:val="000000"/>
          <w:sz w:val="22"/>
          <w:szCs w:val="22"/>
        </w:rPr>
      </w:pPr>
      <w:r w:rsidRPr="00D470C8">
        <w:rPr>
          <w:b/>
          <w:bCs/>
          <w:color w:val="000000"/>
          <w:sz w:val="22"/>
          <w:szCs w:val="22"/>
        </w:rPr>
        <w:t xml:space="preserve">Facilities Access Application </w:t>
      </w:r>
      <w:r w:rsidRPr="00D470C8">
        <w:rPr>
          <w:bCs/>
          <w:color w:val="000000"/>
          <w:sz w:val="22"/>
          <w:szCs w:val="22"/>
        </w:rPr>
        <w:t>means an application as defined by Annexure A or Annexure B of this Code (as relevant).</w:t>
      </w:r>
    </w:p>
    <w:p w:rsidR="00667B1A" w:rsidRPr="00D470C8" w:rsidRDefault="00667B1A" w:rsidP="00667B1A">
      <w:pPr>
        <w:autoSpaceDE w:val="0"/>
        <w:autoSpaceDN w:val="0"/>
        <w:adjustRightInd w:val="0"/>
        <w:spacing w:before="120"/>
        <w:ind w:left="709" w:right="687"/>
        <w:rPr>
          <w:b/>
          <w:bCs/>
          <w:color w:val="000000"/>
          <w:sz w:val="22"/>
          <w:szCs w:val="22"/>
        </w:rPr>
      </w:pPr>
      <w:r w:rsidRPr="00D470C8">
        <w:rPr>
          <w:b/>
          <w:bCs/>
          <w:color w:val="000000"/>
          <w:sz w:val="22"/>
          <w:szCs w:val="22"/>
        </w:rPr>
        <w:t xml:space="preserve">Information package </w:t>
      </w:r>
      <w:r w:rsidRPr="00D470C8">
        <w:rPr>
          <w:bCs/>
          <w:color w:val="000000"/>
          <w:sz w:val="22"/>
          <w:szCs w:val="22"/>
        </w:rPr>
        <w:t>includes information established and maintained by a First Carrier in relation to the provisions of access to particular Eligible Facilities of classes of Eligible Facilities.</w:t>
      </w:r>
      <w:r w:rsidRPr="00D470C8">
        <w:rPr>
          <w:b/>
          <w:bCs/>
          <w:color w:val="000000"/>
          <w:sz w:val="22"/>
          <w:szCs w:val="22"/>
        </w:rPr>
        <w:t xml:space="preserve"> </w:t>
      </w:r>
    </w:p>
    <w:p w:rsidR="00667B1A" w:rsidRPr="00D470C8" w:rsidRDefault="00667B1A" w:rsidP="00667B1A">
      <w:pPr>
        <w:autoSpaceDE w:val="0"/>
        <w:autoSpaceDN w:val="0"/>
        <w:adjustRightInd w:val="0"/>
        <w:spacing w:before="120"/>
        <w:ind w:left="709" w:right="687"/>
        <w:rPr>
          <w:bCs/>
          <w:color w:val="000000"/>
          <w:sz w:val="22"/>
          <w:szCs w:val="22"/>
        </w:rPr>
      </w:pPr>
      <w:r w:rsidRPr="00D470C8">
        <w:rPr>
          <w:b/>
          <w:bCs/>
          <w:color w:val="000000"/>
          <w:sz w:val="22"/>
          <w:szCs w:val="22"/>
        </w:rPr>
        <w:t>Master Access Agreement</w:t>
      </w:r>
      <w:r w:rsidRPr="00D470C8">
        <w:rPr>
          <w:bCs/>
          <w:color w:val="000000"/>
          <w:sz w:val="22"/>
          <w:szCs w:val="22"/>
        </w:rPr>
        <w:t xml:space="preserve"> means an agreement as defined by Clause 4.2 of this Code, which covers general or standard terms and conditions by which the Second Carrier will obtain access to the Eligible Facilities of the First Carrier (or a class thereof).</w:t>
      </w:r>
    </w:p>
    <w:p w:rsidR="00667B1A" w:rsidRPr="00D470C8" w:rsidRDefault="00667B1A" w:rsidP="00667B1A">
      <w:pPr>
        <w:autoSpaceDE w:val="0"/>
        <w:autoSpaceDN w:val="0"/>
        <w:adjustRightInd w:val="0"/>
        <w:spacing w:before="120"/>
        <w:ind w:left="709" w:right="687"/>
        <w:rPr>
          <w:rFonts w:eastAsia="Calibri" w:cs="Arial"/>
          <w:color w:val="000000"/>
          <w:sz w:val="20"/>
        </w:rPr>
      </w:pPr>
      <w:r w:rsidRPr="00D470C8">
        <w:rPr>
          <w:b/>
          <w:sz w:val="22"/>
          <w:szCs w:val="22"/>
        </w:rPr>
        <w:t>NBN Corporation</w:t>
      </w:r>
      <w:r w:rsidRPr="00D470C8">
        <w:rPr>
          <w:sz w:val="22"/>
          <w:szCs w:val="22"/>
        </w:rPr>
        <w:t xml:space="preserve"> has the meaning as in section 5 of the </w:t>
      </w:r>
      <w:r w:rsidRPr="00D470C8">
        <w:rPr>
          <w:i/>
          <w:sz w:val="22"/>
          <w:szCs w:val="22"/>
        </w:rPr>
        <w:t>National Broadband Network Companies Act 2011</w:t>
      </w:r>
      <w:r w:rsidRPr="00D470C8">
        <w:rPr>
          <w:sz w:val="22"/>
          <w:szCs w:val="22"/>
        </w:rPr>
        <w:t xml:space="preserve"> </w:t>
      </w:r>
      <w:r w:rsidRPr="00FB0EED">
        <w:rPr>
          <w:sz w:val="22"/>
          <w:szCs w:val="22"/>
        </w:rPr>
        <w:t>(</w:t>
      </w:r>
      <w:proofErr w:type="spellStart"/>
      <w:r w:rsidRPr="00FB0EED">
        <w:rPr>
          <w:sz w:val="22"/>
          <w:szCs w:val="22"/>
        </w:rPr>
        <w:t>Cth</w:t>
      </w:r>
      <w:proofErr w:type="spellEnd"/>
      <w:r w:rsidRPr="00FB0EED">
        <w:rPr>
          <w:sz w:val="22"/>
          <w:szCs w:val="22"/>
        </w:rPr>
        <w:t>)</w:t>
      </w:r>
    </w:p>
    <w:p w:rsidR="00667B1A" w:rsidRPr="00A32FB2" w:rsidRDefault="00667B1A" w:rsidP="00667B1A">
      <w:pPr>
        <w:autoSpaceDE w:val="0"/>
        <w:autoSpaceDN w:val="0"/>
        <w:adjustRightInd w:val="0"/>
        <w:spacing w:before="120"/>
        <w:ind w:left="709" w:right="687"/>
        <w:rPr>
          <w:sz w:val="22"/>
          <w:szCs w:val="22"/>
        </w:rPr>
      </w:pPr>
      <w:r w:rsidRPr="00575CB5">
        <w:rPr>
          <w:b/>
          <w:sz w:val="22"/>
          <w:szCs w:val="22"/>
        </w:rPr>
        <w:lastRenderedPageBreak/>
        <w:t xml:space="preserve">Sharing Proposal </w:t>
      </w:r>
      <w:r w:rsidRPr="00A32FB2">
        <w:rPr>
          <w:sz w:val="22"/>
          <w:szCs w:val="22"/>
        </w:rPr>
        <w:t>means a proposal as defined by sub-clause 4.5(4) of this Code</w:t>
      </w:r>
      <w:r>
        <w:rPr>
          <w:sz w:val="22"/>
          <w:szCs w:val="22"/>
        </w:rPr>
        <w:t>.</w:t>
      </w:r>
    </w:p>
    <w:p w:rsidR="00667B1A" w:rsidRPr="00D470C8" w:rsidRDefault="00667B1A" w:rsidP="00667B1A">
      <w:pPr>
        <w:autoSpaceDE w:val="0"/>
        <w:autoSpaceDN w:val="0"/>
        <w:adjustRightInd w:val="0"/>
        <w:spacing w:before="120"/>
        <w:ind w:left="708" w:right="687" w:hanging="11"/>
        <w:rPr>
          <w:sz w:val="22"/>
          <w:szCs w:val="22"/>
        </w:rPr>
      </w:pPr>
      <w:r w:rsidRPr="00D470C8">
        <w:rPr>
          <w:b/>
          <w:sz w:val="22"/>
          <w:szCs w:val="22"/>
        </w:rPr>
        <w:t xml:space="preserve">Telstra </w:t>
      </w:r>
      <w:r w:rsidRPr="00D470C8">
        <w:rPr>
          <w:sz w:val="22"/>
          <w:szCs w:val="22"/>
        </w:rPr>
        <w:t xml:space="preserve">means </w:t>
      </w:r>
      <w:r w:rsidRPr="00D470C8">
        <w:rPr>
          <w:color w:val="000000"/>
          <w:sz w:val="22"/>
          <w:szCs w:val="22"/>
        </w:rPr>
        <w:t xml:space="preserve">Telstra Corporation Limited </w:t>
      </w:r>
      <w:r w:rsidRPr="00D470C8">
        <w:rPr>
          <w:sz w:val="22"/>
          <w:szCs w:val="22"/>
        </w:rPr>
        <w:t>(ABN 33 051 775 556)</w:t>
      </w:r>
    </w:p>
    <w:p w:rsidR="00667B1A" w:rsidRDefault="00667B1A" w:rsidP="00667B1A">
      <w:pPr>
        <w:rPr>
          <w:sz w:val="22"/>
          <w:szCs w:val="22"/>
        </w:rPr>
      </w:pPr>
    </w:p>
    <w:p w:rsidR="00667B1A" w:rsidRPr="00F33C10" w:rsidRDefault="00667B1A" w:rsidP="00667B1A">
      <w:pPr>
        <w:rPr>
          <w:u w:val="single"/>
        </w:rPr>
      </w:pPr>
      <w:r w:rsidRPr="00F33C10">
        <w:rPr>
          <w:u w:val="single"/>
        </w:rPr>
        <w:t>Item 18</w:t>
      </w:r>
    </w:p>
    <w:p w:rsidR="00667B1A" w:rsidRPr="00F33C10" w:rsidRDefault="00667B1A" w:rsidP="00667B1A">
      <w:proofErr w:type="gramStart"/>
      <w:r w:rsidRPr="00F33C10">
        <w:t>Repeals the obsolete definition of ACA.</w:t>
      </w:r>
      <w:proofErr w:type="gramEnd"/>
    </w:p>
    <w:p w:rsidR="00667B1A" w:rsidRPr="00F33C10" w:rsidRDefault="00667B1A" w:rsidP="00667B1A"/>
    <w:p w:rsidR="00667B1A" w:rsidRPr="00F33C10" w:rsidRDefault="00667B1A" w:rsidP="00667B1A">
      <w:pPr>
        <w:rPr>
          <w:u w:val="single"/>
        </w:rPr>
      </w:pPr>
      <w:r w:rsidRPr="00F33C10">
        <w:rPr>
          <w:u w:val="single"/>
        </w:rPr>
        <w:t>Item 20</w:t>
      </w:r>
    </w:p>
    <w:p w:rsidR="00667B1A" w:rsidRDefault="00667B1A" w:rsidP="00667B1A">
      <w:proofErr w:type="gramStart"/>
      <w:r>
        <w:rPr>
          <w:sz w:val="22"/>
          <w:szCs w:val="22"/>
        </w:rPr>
        <w:t>Varies the definition</w:t>
      </w:r>
      <w:r>
        <w:t xml:space="preserve"> of ‘Confidential Information’ in Section 6.1</w:t>
      </w:r>
      <w:r w:rsidRPr="00D470C8">
        <w:t xml:space="preserve"> (Glossary and Interpretation)</w:t>
      </w:r>
      <w:r>
        <w:t xml:space="preserve"> to clarify that confidential information does not include information which is public, and to limit the definition to information which relates to access to the eligible facilities (only).</w:t>
      </w:r>
      <w:proofErr w:type="gramEnd"/>
    </w:p>
    <w:p w:rsidR="00667B1A" w:rsidRDefault="00667B1A" w:rsidP="00667B1A"/>
    <w:p w:rsidR="00667B1A" w:rsidRPr="00E2114C" w:rsidRDefault="00667B1A" w:rsidP="00667B1A">
      <w:pPr>
        <w:rPr>
          <w:sz w:val="22"/>
          <w:szCs w:val="22"/>
          <w:u w:val="single"/>
        </w:rPr>
      </w:pPr>
      <w:r w:rsidRPr="00E2114C">
        <w:rPr>
          <w:u w:val="single"/>
        </w:rPr>
        <w:t>Item 22</w:t>
      </w:r>
    </w:p>
    <w:p w:rsidR="00667B1A" w:rsidRDefault="00667B1A" w:rsidP="00667B1A">
      <w:r>
        <w:t xml:space="preserve">Amends the definition of ‘eligible facility’ to insert the words ‘installed ready to be used’ to align with the definition of ‘eligible facility’ in clause 31 of Part of Schedule 1 to the </w:t>
      </w:r>
      <w:r w:rsidRPr="00F33C10">
        <w:rPr>
          <w:i/>
        </w:rPr>
        <w:t>Telecommunications Act 1997</w:t>
      </w:r>
      <w:r>
        <w:rPr>
          <w:i/>
        </w:rPr>
        <w:t>.</w:t>
      </w:r>
    </w:p>
    <w:p w:rsidR="00667B1A" w:rsidRDefault="00667B1A" w:rsidP="00667B1A">
      <w:pPr>
        <w:rPr>
          <w:u w:val="single"/>
        </w:rPr>
      </w:pPr>
    </w:p>
    <w:p w:rsidR="00667B1A" w:rsidRPr="00E2114C" w:rsidRDefault="00667B1A" w:rsidP="00667B1A">
      <w:pPr>
        <w:rPr>
          <w:sz w:val="22"/>
          <w:szCs w:val="22"/>
          <w:u w:val="single"/>
        </w:rPr>
      </w:pPr>
      <w:r w:rsidRPr="00E2114C">
        <w:rPr>
          <w:u w:val="single"/>
        </w:rPr>
        <w:t>Items 27, 28, 29, 31</w:t>
      </w:r>
      <w:r>
        <w:rPr>
          <w:u w:val="single"/>
        </w:rPr>
        <w:t xml:space="preserve"> and</w:t>
      </w:r>
      <w:r w:rsidRPr="00E2114C">
        <w:rPr>
          <w:u w:val="single"/>
        </w:rPr>
        <w:t xml:space="preserve"> 33</w:t>
      </w:r>
    </w:p>
    <w:p w:rsidR="00667B1A" w:rsidRDefault="00667B1A" w:rsidP="00667B1A">
      <w:r>
        <w:rPr>
          <w:sz w:val="22"/>
          <w:szCs w:val="22"/>
        </w:rPr>
        <w:t xml:space="preserve">Repeal or vary </w:t>
      </w:r>
      <w:r>
        <w:t>t</w:t>
      </w:r>
      <w:r w:rsidRPr="003E0799">
        <w:t xml:space="preserve">he following definitions in Section 6.1 (Glossary and Interpretation) </w:t>
      </w:r>
      <w:r>
        <w:t xml:space="preserve">to remove obsolete references to Commonwealth legislation and statutory agencies, include accurate legislative references, and correct typographical errors: </w:t>
      </w:r>
      <w:r w:rsidRPr="003E0799">
        <w:t xml:space="preserve"> </w:t>
      </w:r>
    </w:p>
    <w:p w:rsidR="00667B1A" w:rsidRPr="008A46CE" w:rsidRDefault="00667B1A" w:rsidP="00667B1A">
      <w:pPr>
        <w:tabs>
          <w:tab w:val="left" w:pos="709"/>
        </w:tabs>
        <w:autoSpaceDE w:val="0"/>
        <w:autoSpaceDN w:val="0"/>
        <w:adjustRightInd w:val="0"/>
        <w:spacing w:before="120"/>
        <w:ind w:left="1797" w:right="686"/>
      </w:pPr>
      <w:r w:rsidRPr="008A46CE">
        <w:t>Potential Second Carriers</w:t>
      </w:r>
    </w:p>
    <w:p w:rsidR="00667B1A" w:rsidRPr="008A46CE" w:rsidRDefault="00667B1A" w:rsidP="00667B1A">
      <w:pPr>
        <w:tabs>
          <w:tab w:val="left" w:pos="709"/>
        </w:tabs>
        <w:autoSpaceDE w:val="0"/>
        <w:autoSpaceDN w:val="0"/>
        <w:adjustRightInd w:val="0"/>
        <w:spacing w:before="120"/>
        <w:ind w:left="1797" w:right="686"/>
      </w:pPr>
      <w:r w:rsidRPr="008A46CE">
        <w:t>PMTS</w:t>
      </w:r>
    </w:p>
    <w:p w:rsidR="00667B1A" w:rsidRPr="008A46CE" w:rsidRDefault="00667B1A" w:rsidP="00667B1A">
      <w:pPr>
        <w:tabs>
          <w:tab w:val="left" w:pos="709"/>
        </w:tabs>
        <w:autoSpaceDE w:val="0"/>
        <w:autoSpaceDN w:val="0"/>
        <w:adjustRightInd w:val="0"/>
        <w:spacing w:before="120"/>
        <w:ind w:left="1797" w:right="686"/>
      </w:pPr>
      <w:r w:rsidRPr="008A46CE">
        <w:t>TAF</w:t>
      </w:r>
    </w:p>
    <w:p w:rsidR="00667B1A" w:rsidRPr="008A46CE" w:rsidRDefault="00667B1A" w:rsidP="00667B1A">
      <w:pPr>
        <w:tabs>
          <w:tab w:val="left" w:pos="709"/>
        </w:tabs>
        <w:autoSpaceDE w:val="0"/>
        <w:autoSpaceDN w:val="0"/>
        <w:adjustRightInd w:val="0"/>
        <w:spacing w:before="120"/>
        <w:ind w:left="1797" w:right="686"/>
      </w:pPr>
      <w:r w:rsidRPr="008A46CE">
        <w:t>TPA</w:t>
      </w:r>
    </w:p>
    <w:p w:rsidR="00667B1A" w:rsidRDefault="00667B1A" w:rsidP="00667B1A"/>
    <w:p w:rsidR="00667B1A" w:rsidRPr="00E2114C" w:rsidRDefault="00667B1A" w:rsidP="00667B1A">
      <w:pPr>
        <w:rPr>
          <w:u w:val="single"/>
        </w:rPr>
      </w:pPr>
      <w:r w:rsidRPr="00E2114C">
        <w:rPr>
          <w:u w:val="single"/>
        </w:rPr>
        <w:t>Item</w:t>
      </w:r>
      <w:r>
        <w:rPr>
          <w:u w:val="single"/>
        </w:rPr>
        <w:t>s</w:t>
      </w:r>
      <w:r w:rsidRPr="00E2114C">
        <w:rPr>
          <w:u w:val="single"/>
        </w:rPr>
        <w:t xml:space="preserve"> 34 </w:t>
      </w:r>
      <w:r>
        <w:rPr>
          <w:u w:val="single"/>
        </w:rPr>
        <w:t>and 39</w:t>
      </w:r>
    </w:p>
    <w:p w:rsidR="00667B1A" w:rsidRDefault="00667B1A" w:rsidP="00667B1A">
      <w:r>
        <w:t xml:space="preserve">Amend the heading to Part 1 of Annexures A and B to correct a typographical </w:t>
      </w:r>
      <w:bookmarkStart w:id="0" w:name="_GoBack"/>
      <w:bookmarkEnd w:id="0"/>
      <w:r>
        <w:t>error.</w:t>
      </w:r>
    </w:p>
    <w:p w:rsidR="00667B1A" w:rsidRDefault="00667B1A" w:rsidP="00667B1A"/>
    <w:p w:rsidR="00667B1A" w:rsidRPr="00E2114C" w:rsidRDefault="00667B1A" w:rsidP="00667B1A">
      <w:pPr>
        <w:rPr>
          <w:u w:val="single"/>
        </w:rPr>
      </w:pPr>
      <w:r w:rsidRPr="00E2114C">
        <w:rPr>
          <w:u w:val="single"/>
        </w:rPr>
        <w:t>Items 35, 36, 37</w:t>
      </w:r>
      <w:r>
        <w:rPr>
          <w:u w:val="single"/>
        </w:rPr>
        <w:t>, 38, 40, 41, 42 and 43</w:t>
      </w:r>
    </w:p>
    <w:p w:rsidR="00667B1A" w:rsidRDefault="00667B1A" w:rsidP="00667B1A">
      <w:r>
        <w:t>Make amendments to remove obsolete references to Commonwealth legislation and statutory agencies, include accurate legislative references, and correct typographical errors to these provisions:</w:t>
      </w:r>
    </w:p>
    <w:p w:rsidR="00667B1A" w:rsidRDefault="00667B1A" w:rsidP="00667B1A">
      <w:pPr>
        <w:numPr>
          <w:ilvl w:val="1"/>
          <w:numId w:val="22"/>
        </w:numPr>
        <w:spacing w:before="120"/>
        <w:ind w:left="1434" w:hanging="357"/>
      </w:pPr>
      <w:r>
        <w:t>Subclause 1.1(1) of Annexure A</w:t>
      </w:r>
    </w:p>
    <w:p w:rsidR="00667B1A" w:rsidRDefault="00667B1A" w:rsidP="00667B1A">
      <w:pPr>
        <w:numPr>
          <w:ilvl w:val="1"/>
          <w:numId w:val="22"/>
        </w:numPr>
      </w:pPr>
      <w:r>
        <w:t>Subclauses 2.3(2) and (3) of Annexure A</w:t>
      </w:r>
    </w:p>
    <w:p w:rsidR="00667B1A" w:rsidRDefault="00667B1A" w:rsidP="00667B1A">
      <w:pPr>
        <w:numPr>
          <w:ilvl w:val="1"/>
          <w:numId w:val="22"/>
        </w:numPr>
      </w:pPr>
      <w:r>
        <w:t>Subclause 4(4) of Schedule A1</w:t>
      </w:r>
    </w:p>
    <w:p w:rsidR="00667B1A" w:rsidRDefault="00667B1A" w:rsidP="00667B1A">
      <w:pPr>
        <w:numPr>
          <w:ilvl w:val="1"/>
          <w:numId w:val="22"/>
        </w:numPr>
      </w:pPr>
      <w:r>
        <w:t>Subclause 1.1(1) of Annexure B</w:t>
      </w:r>
    </w:p>
    <w:p w:rsidR="00667B1A" w:rsidRDefault="00667B1A" w:rsidP="00667B1A">
      <w:pPr>
        <w:numPr>
          <w:ilvl w:val="1"/>
          <w:numId w:val="22"/>
        </w:numPr>
      </w:pPr>
      <w:r>
        <w:t>Subclause 1.1(4) of Annexure B</w:t>
      </w:r>
    </w:p>
    <w:p w:rsidR="00667B1A" w:rsidRDefault="00667B1A" w:rsidP="00667B1A">
      <w:pPr>
        <w:numPr>
          <w:ilvl w:val="1"/>
          <w:numId w:val="22"/>
        </w:numPr>
      </w:pPr>
      <w:r>
        <w:t>Subclauses 2.3(2) and (3) of Annexure B</w:t>
      </w:r>
    </w:p>
    <w:p w:rsidR="00667B1A" w:rsidRDefault="00667B1A" w:rsidP="00667B1A">
      <w:pPr>
        <w:spacing w:after="200" w:line="276" w:lineRule="auto"/>
      </w:pPr>
      <w:r>
        <w:br w:type="page"/>
      </w:r>
    </w:p>
    <w:p w:rsidR="00667B1A" w:rsidRPr="007D08B5" w:rsidRDefault="00667B1A" w:rsidP="00667B1A">
      <w:pPr>
        <w:spacing w:after="120"/>
        <w:jc w:val="right"/>
      </w:pPr>
      <w:r w:rsidRPr="007D08B5">
        <w:lastRenderedPageBreak/>
        <w:t>ATTACHMENT 2</w:t>
      </w:r>
    </w:p>
    <w:p w:rsidR="00667B1A" w:rsidRDefault="00667B1A" w:rsidP="00667B1A">
      <w:pPr>
        <w:spacing w:before="120" w:after="240"/>
      </w:pPr>
    </w:p>
    <w:p w:rsidR="00667B1A" w:rsidRPr="00E4135E" w:rsidRDefault="00667B1A" w:rsidP="00667B1A">
      <w:pPr>
        <w:spacing w:before="360" w:after="120"/>
        <w:jc w:val="center"/>
        <w:rPr>
          <w:b/>
          <w:sz w:val="28"/>
          <w:szCs w:val="28"/>
        </w:rPr>
      </w:pPr>
      <w:r w:rsidRPr="00E4135E">
        <w:rPr>
          <w:b/>
          <w:sz w:val="28"/>
          <w:szCs w:val="28"/>
        </w:rPr>
        <w:t>Statement of Compatibility with Human Rights</w:t>
      </w:r>
    </w:p>
    <w:p w:rsidR="00667B1A" w:rsidRPr="00E4135E" w:rsidRDefault="00667B1A" w:rsidP="00667B1A">
      <w:pPr>
        <w:spacing w:before="120" w:after="120"/>
        <w:jc w:val="center"/>
      </w:pPr>
      <w:r w:rsidRPr="00E4135E">
        <w:rPr>
          <w:i/>
        </w:rPr>
        <w:t>Prepared in accordance with Part 3 of the Human Rights (Parliamentary Scrutiny) Act 2011</w:t>
      </w:r>
    </w:p>
    <w:p w:rsidR="00667B1A" w:rsidRPr="00D477E1" w:rsidRDefault="00667B1A" w:rsidP="00667B1A">
      <w:pPr>
        <w:spacing w:before="120" w:after="120"/>
        <w:jc w:val="center"/>
        <w:rPr>
          <w:i/>
        </w:rPr>
      </w:pPr>
    </w:p>
    <w:p w:rsidR="00667B1A" w:rsidRPr="00D477E1" w:rsidRDefault="00667B1A" w:rsidP="00667B1A">
      <w:pPr>
        <w:spacing w:before="120" w:after="120"/>
        <w:jc w:val="center"/>
        <w:rPr>
          <w:b/>
          <w:i/>
        </w:rPr>
      </w:pPr>
      <w:r w:rsidRPr="00D477E1">
        <w:rPr>
          <w:b/>
          <w:i/>
        </w:rPr>
        <w:t xml:space="preserve"> </w:t>
      </w:r>
      <w:r>
        <w:rPr>
          <w:b/>
          <w:i/>
        </w:rPr>
        <w:t xml:space="preserve">A </w:t>
      </w:r>
      <w:r w:rsidRPr="00D477E1">
        <w:rPr>
          <w:b/>
          <w:i/>
        </w:rPr>
        <w:t xml:space="preserve">CODE OF ACCESS TO TELECOMMUNICATIONS TRANSMISSION TOWERS, SITES OF TOWERS AND UNDERGROUND FACILITIES </w:t>
      </w:r>
      <w:r>
        <w:rPr>
          <w:b/>
          <w:i/>
        </w:rPr>
        <w:t xml:space="preserve">VARIATION 2013 </w:t>
      </w:r>
    </w:p>
    <w:p w:rsidR="00667B1A" w:rsidRPr="00E4135E" w:rsidRDefault="00667B1A" w:rsidP="00667B1A">
      <w:pPr>
        <w:spacing w:before="120" w:after="120"/>
        <w:jc w:val="center"/>
      </w:pPr>
    </w:p>
    <w:p w:rsidR="00667B1A" w:rsidRPr="00E4135E" w:rsidRDefault="00667B1A" w:rsidP="00667B1A">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br/>
      </w:r>
      <w:r w:rsidRPr="00E4135E">
        <w:rPr>
          <w:i/>
        </w:rPr>
        <w:t>Human Rights (Parliamentary Scrutiny) Act 2011</w:t>
      </w:r>
      <w:r w:rsidRPr="00E4135E">
        <w:t>.</w:t>
      </w:r>
    </w:p>
    <w:p w:rsidR="00667B1A" w:rsidRPr="00E4135E" w:rsidRDefault="00667B1A" w:rsidP="00667B1A">
      <w:pPr>
        <w:spacing w:before="120" w:after="120"/>
        <w:jc w:val="center"/>
      </w:pPr>
    </w:p>
    <w:p w:rsidR="00667B1A" w:rsidRPr="00E4135E" w:rsidRDefault="00667B1A" w:rsidP="00667B1A">
      <w:pPr>
        <w:spacing w:before="120" w:after="120"/>
        <w:jc w:val="both"/>
        <w:rPr>
          <w:b/>
        </w:rPr>
      </w:pPr>
      <w:r>
        <w:rPr>
          <w:b/>
        </w:rPr>
        <w:t xml:space="preserve">Overview of the </w:t>
      </w:r>
      <w:r w:rsidRPr="00E4135E">
        <w:rPr>
          <w:b/>
        </w:rPr>
        <w:t>Legislative Instrument</w:t>
      </w:r>
    </w:p>
    <w:p w:rsidR="00667B1A" w:rsidRPr="00053F4C" w:rsidRDefault="00667B1A" w:rsidP="00667B1A">
      <w:proofErr w:type="gramStart"/>
      <w:r>
        <w:t>Provides</w:t>
      </w:r>
      <w:r w:rsidRPr="00053F4C">
        <w:t xml:space="preserve"> a default set of non-price terms of access to telecommunication</w:t>
      </w:r>
      <w:r>
        <w:t>s</w:t>
      </w:r>
      <w:r w:rsidRPr="00053F4C">
        <w:t xml:space="preserve"> transmission towers, sites of towe</w:t>
      </w:r>
      <w:r>
        <w:t>rs and undergrounds facilities.</w:t>
      </w:r>
      <w:proofErr w:type="gramEnd"/>
      <w:r>
        <w:t xml:space="preserve"> The proposed </w:t>
      </w:r>
      <w:r w:rsidRPr="00F33C10">
        <w:rPr>
          <w:i/>
        </w:rPr>
        <w:t xml:space="preserve">A </w:t>
      </w:r>
      <w:r w:rsidRPr="00053F4C">
        <w:rPr>
          <w:i/>
        </w:rPr>
        <w:t>Code of Access to Telecommunications Transmission Towers, Sites of Towers and Underground Facilities</w:t>
      </w:r>
      <w:r>
        <w:rPr>
          <w:i/>
        </w:rPr>
        <w:t xml:space="preserve"> Variation 2013 </w:t>
      </w:r>
      <w:r w:rsidRPr="00053F4C">
        <w:t xml:space="preserve">will: </w:t>
      </w:r>
    </w:p>
    <w:p w:rsidR="00667B1A" w:rsidRDefault="00667B1A" w:rsidP="00667B1A">
      <w:pPr>
        <w:pStyle w:val="ListParagraph"/>
        <w:numPr>
          <w:ilvl w:val="0"/>
          <w:numId w:val="19"/>
        </w:numPr>
        <w:spacing w:before="120" w:line="276" w:lineRule="auto"/>
        <w:ind w:left="357" w:hanging="357"/>
        <w:contextualSpacing w:val="0"/>
        <w:rPr>
          <w:rFonts w:ascii="Times New Roman" w:hAnsi="Times New Roman"/>
          <w:szCs w:val="24"/>
        </w:rPr>
      </w:pPr>
      <w:proofErr w:type="gramStart"/>
      <w:r w:rsidRPr="00053F4C">
        <w:rPr>
          <w:rFonts w:ascii="Times New Roman" w:hAnsi="Times New Roman"/>
          <w:szCs w:val="24"/>
        </w:rPr>
        <w:t>remove</w:t>
      </w:r>
      <w:proofErr w:type="gramEnd"/>
      <w:r w:rsidRPr="00053F4C">
        <w:rPr>
          <w:rFonts w:ascii="Times New Roman" w:hAnsi="Times New Roman"/>
          <w:szCs w:val="24"/>
        </w:rPr>
        <w:t xml:space="preserve"> obsolete references to Commonwealth leg</w:t>
      </w:r>
      <w:r>
        <w:rPr>
          <w:rFonts w:ascii="Times New Roman" w:hAnsi="Times New Roman"/>
          <w:szCs w:val="24"/>
        </w:rPr>
        <w:t>islation and statutory agencies.</w:t>
      </w:r>
    </w:p>
    <w:p w:rsidR="00667B1A" w:rsidRPr="005A5D62" w:rsidRDefault="00667B1A" w:rsidP="00667B1A">
      <w:pPr>
        <w:pStyle w:val="ListParagraph"/>
        <w:numPr>
          <w:ilvl w:val="0"/>
          <w:numId w:val="19"/>
        </w:numPr>
        <w:spacing w:before="120" w:line="276" w:lineRule="auto"/>
        <w:ind w:left="357" w:hanging="357"/>
        <w:contextualSpacing w:val="0"/>
        <w:rPr>
          <w:rFonts w:ascii="Times New Roman" w:hAnsi="Times New Roman"/>
          <w:i/>
          <w:szCs w:val="24"/>
        </w:rPr>
      </w:pPr>
      <w:proofErr w:type="gramStart"/>
      <w:r w:rsidRPr="00053F4C">
        <w:rPr>
          <w:rFonts w:ascii="Times New Roman" w:hAnsi="Times New Roman"/>
          <w:szCs w:val="24"/>
        </w:rPr>
        <w:t>reflect</w:t>
      </w:r>
      <w:proofErr w:type="gramEnd"/>
      <w:r w:rsidRPr="00053F4C">
        <w:rPr>
          <w:rFonts w:ascii="Times New Roman" w:hAnsi="Times New Roman"/>
          <w:szCs w:val="24"/>
        </w:rPr>
        <w:t xml:space="preserve"> legislative changes introduced by the </w:t>
      </w:r>
      <w:r w:rsidRPr="005A5D62">
        <w:rPr>
          <w:rFonts w:ascii="Times New Roman" w:hAnsi="Times New Roman"/>
          <w:i/>
          <w:szCs w:val="24"/>
        </w:rPr>
        <w:t>Telecommunications Legislation Amendment (Competition an</w:t>
      </w:r>
      <w:r>
        <w:rPr>
          <w:rFonts w:ascii="Times New Roman" w:hAnsi="Times New Roman"/>
          <w:i/>
          <w:szCs w:val="24"/>
        </w:rPr>
        <w:t xml:space="preserve">d Consumer Safeguards) Act 2010. </w:t>
      </w:r>
    </w:p>
    <w:p w:rsidR="00667B1A" w:rsidRDefault="00667B1A" w:rsidP="00667B1A">
      <w:pPr>
        <w:pStyle w:val="ListParagraph"/>
        <w:numPr>
          <w:ilvl w:val="0"/>
          <w:numId w:val="19"/>
        </w:numPr>
        <w:spacing w:before="120" w:line="276" w:lineRule="auto"/>
        <w:ind w:left="357" w:hanging="357"/>
        <w:contextualSpacing w:val="0"/>
        <w:rPr>
          <w:rFonts w:ascii="Times New Roman" w:hAnsi="Times New Roman"/>
          <w:szCs w:val="24"/>
        </w:rPr>
      </w:pPr>
      <w:proofErr w:type="gramStart"/>
      <w:r w:rsidRPr="00053F4C">
        <w:rPr>
          <w:rFonts w:ascii="Times New Roman" w:hAnsi="Times New Roman"/>
          <w:szCs w:val="24"/>
        </w:rPr>
        <w:t>make</w:t>
      </w:r>
      <w:proofErr w:type="gramEnd"/>
      <w:r w:rsidRPr="00053F4C">
        <w:rPr>
          <w:rFonts w:ascii="Times New Roman" w:hAnsi="Times New Roman"/>
          <w:szCs w:val="24"/>
        </w:rPr>
        <w:t xml:space="preserve"> timeframes for the provision of access to facilities a mandatory condition</w:t>
      </w:r>
      <w:r>
        <w:rPr>
          <w:rFonts w:ascii="Times New Roman" w:hAnsi="Times New Roman"/>
          <w:szCs w:val="24"/>
        </w:rPr>
        <w:t>.</w:t>
      </w:r>
    </w:p>
    <w:p w:rsidR="00667B1A" w:rsidRDefault="00667B1A" w:rsidP="00667B1A">
      <w:pPr>
        <w:pStyle w:val="ListParagraph"/>
        <w:numPr>
          <w:ilvl w:val="0"/>
          <w:numId w:val="19"/>
        </w:numPr>
        <w:spacing w:before="120" w:line="276" w:lineRule="auto"/>
        <w:ind w:left="357" w:hanging="357"/>
        <w:contextualSpacing w:val="0"/>
        <w:rPr>
          <w:rFonts w:ascii="Times New Roman" w:hAnsi="Times New Roman"/>
          <w:szCs w:val="24"/>
        </w:rPr>
      </w:pPr>
      <w:proofErr w:type="gramStart"/>
      <w:r>
        <w:rPr>
          <w:rFonts w:ascii="Times New Roman" w:hAnsi="Times New Roman"/>
          <w:szCs w:val="24"/>
        </w:rPr>
        <w:t>make</w:t>
      </w:r>
      <w:proofErr w:type="gramEnd"/>
      <w:r>
        <w:rPr>
          <w:rFonts w:ascii="Times New Roman" w:hAnsi="Times New Roman"/>
          <w:szCs w:val="24"/>
        </w:rPr>
        <w:t xml:space="preserve"> minor typographical changes.</w:t>
      </w:r>
    </w:p>
    <w:p w:rsidR="00667B1A" w:rsidRPr="00B64955" w:rsidRDefault="00667B1A" w:rsidP="00667B1A"/>
    <w:p w:rsidR="00667B1A" w:rsidRPr="00E4135E" w:rsidRDefault="00667B1A" w:rsidP="00667B1A">
      <w:pPr>
        <w:spacing w:before="120" w:after="120"/>
        <w:rPr>
          <w:b/>
        </w:rPr>
      </w:pPr>
      <w:r w:rsidRPr="00E4135E">
        <w:rPr>
          <w:b/>
        </w:rPr>
        <w:t>Human rights implications</w:t>
      </w:r>
    </w:p>
    <w:p w:rsidR="00667B1A" w:rsidRDefault="00667B1A" w:rsidP="00667B1A">
      <w:pPr>
        <w:spacing w:before="120" w:after="120"/>
      </w:pPr>
      <w:r>
        <w:t xml:space="preserve">This </w:t>
      </w:r>
      <w:r w:rsidRPr="00E4135E">
        <w:t>Legislative Instrument does not engage any of the applicable rights or freedoms.</w:t>
      </w:r>
    </w:p>
    <w:p w:rsidR="00667B1A" w:rsidRPr="00E4135E" w:rsidRDefault="00667B1A" w:rsidP="00667B1A">
      <w:pPr>
        <w:spacing w:before="120" w:after="120"/>
      </w:pPr>
    </w:p>
    <w:p w:rsidR="00667B1A" w:rsidRPr="00E4135E" w:rsidRDefault="00667B1A" w:rsidP="00667B1A">
      <w:pPr>
        <w:spacing w:before="120" w:after="120"/>
        <w:rPr>
          <w:b/>
        </w:rPr>
      </w:pPr>
      <w:r w:rsidRPr="00E4135E">
        <w:rPr>
          <w:b/>
        </w:rPr>
        <w:t>Conclusion</w:t>
      </w:r>
    </w:p>
    <w:p w:rsidR="00667B1A" w:rsidRDefault="00667B1A" w:rsidP="00667B1A">
      <w:pPr>
        <w:spacing w:before="120" w:after="120"/>
      </w:pPr>
      <w:r>
        <w:t xml:space="preserve">This </w:t>
      </w:r>
      <w:r w:rsidRPr="00E4135E">
        <w:t>Legislative Instrument is compatible with human rights as it does not raise any human rights issues.</w:t>
      </w:r>
    </w:p>
    <w:p w:rsidR="0061016D" w:rsidRPr="00667B1A" w:rsidRDefault="0061016D" w:rsidP="00667B1A"/>
    <w:sectPr w:rsidR="0061016D" w:rsidRPr="00667B1A" w:rsidSect="006F6157">
      <w:headerReference w:type="default" r:id="rId9"/>
      <w:footerReference w:type="default" r:id="rId10"/>
      <w:pgSz w:w="11906" w:h="16838"/>
      <w:pgMar w:top="1440" w:right="240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ED" w:rsidRDefault="00FB0EED" w:rsidP="00E40560">
      <w:r>
        <w:separator/>
      </w:r>
    </w:p>
  </w:endnote>
  <w:endnote w:type="continuationSeparator" w:id="0">
    <w:p w:rsidR="00FB0EED" w:rsidRDefault="00FB0EED" w:rsidP="00E4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455702"/>
      <w:docPartObj>
        <w:docPartGallery w:val="Page Numbers (Bottom of Page)"/>
        <w:docPartUnique/>
      </w:docPartObj>
    </w:sdtPr>
    <w:sdtEndPr>
      <w:rPr>
        <w:noProof/>
      </w:rPr>
    </w:sdtEndPr>
    <w:sdtContent>
      <w:p w:rsidR="00FB0EED" w:rsidRDefault="00FB0EED">
        <w:pPr>
          <w:pStyle w:val="Footer"/>
          <w:jc w:val="right"/>
        </w:pPr>
        <w:r>
          <w:fldChar w:fldCharType="begin"/>
        </w:r>
        <w:r>
          <w:instrText xml:space="preserve"> PAGE   \* MERGEFORMAT </w:instrText>
        </w:r>
        <w:r>
          <w:fldChar w:fldCharType="separate"/>
        </w:r>
        <w:r w:rsidR="00667B1A">
          <w:rPr>
            <w:noProof/>
          </w:rPr>
          <w:t>6</w:t>
        </w:r>
        <w:r>
          <w:rPr>
            <w:noProof/>
          </w:rPr>
          <w:fldChar w:fldCharType="end"/>
        </w:r>
      </w:p>
    </w:sdtContent>
  </w:sdt>
  <w:p w:rsidR="00FB0EED" w:rsidRPr="00E40560" w:rsidRDefault="00FB0EED" w:rsidP="00E40560">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ED" w:rsidRDefault="00FB0EED" w:rsidP="00E40560">
      <w:r>
        <w:separator/>
      </w:r>
    </w:p>
  </w:footnote>
  <w:footnote w:type="continuationSeparator" w:id="0">
    <w:p w:rsidR="00FB0EED" w:rsidRDefault="00FB0EED" w:rsidP="00E4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ED" w:rsidRDefault="00FB0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344"/>
    <w:multiLevelType w:val="hybridMultilevel"/>
    <w:tmpl w:val="72BC1DF4"/>
    <w:lvl w:ilvl="0" w:tplc="21E6F2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0AA1A2D"/>
    <w:multiLevelType w:val="hybridMultilevel"/>
    <w:tmpl w:val="C1161CEA"/>
    <w:lvl w:ilvl="0" w:tplc="D292AA96">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1187A4E"/>
    <w:multiLevelType w:val="hybridMultilevel"/>
    <w:tmpl w:val="BB34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5332C6"/>
    <w:multiLevelType w:val="hybridMultilevel"/>
    <w:tmpl w:val="1054E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7A0E1B"/>
    <w:multiLevelType w:val="hybridMultilevel"/>
    <w:tmpl w:val="624EB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B55D8D"/>
    <w:multiLevelType w:val="hybridMultilevel"/>
    <w:tmpl w:val="AD1E0CEA"/>
    <w:lvl w:ilvl="0" w:tplc="B2F4E7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F3F25A9"/>
    <w:multiLevelType w:val="multilevel"/>
    <w:tmpl w:val="57ACF652"/>
    <w:lvl w:ilvl="0">
      <w:start w:val="1"/>
      <w:numFmt w:val="decimal"/>
      <w:pStyle w:val="Heading1"/>
      <w:lvlText w:val="%1"/>
      <w:lvlJc w:val="left"/>
      <w:pPr>
        <w:ind w:left="432" w:hanging="432"/>
      </w:pPr>
    </w:lvl>
    <w:lvl w:ilvl="1">
      <w:start w:val="1"/>
      <w:numFmt w:val="decimal"/>
      <w:pStyle w:val="Heading2"/>
      <w:lvlText w:val="%1.%2"/>
      <w:lvlJc w:val="left"/>
      <w:pPr>
        <w:ind w:left="1710" w:hanging="576"/>
      </w:pPr>
      <w:rPr>
        <w:rFonts w:ascii="Times New Roman" w:hAnsi="Times New Roman" w:cs="Times New Roman" w:hint="default"/>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0733EC7"/>
    <w:multiLevelType w:val="hybridMultilevel"/>
    <w:tmpl w:val="50BEDCB0"/>
    <w:lvl w:ilvl="0" w:tplc="CDB4035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40C3470F"/>
    <w:multiLevelType w:val="hybridMultilevel"/>
    <w:tmpl w:val="0D524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7526027"/>
    <w:multiLevelType w:val="hybridMultilevel"/>
    <w:tmpl w:val="A16AE960"/>
    <w:lvl w:ilvl="0" w:tplc="B08C5B7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55FD0F9F"/>
    <w:multiLevelType w:val="hybridMultilevel"/>
    <w:tmpl w:val="58DEA19C"/>
    <w:lvl w:ilvl="0" w:tplc="CDE0B8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5C6412"/>
    <w:multiLevelType w:val="hybridMultilevel"/>
    <w:tmpl w:val="90A0B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2900D7"/>
    <w:multiLevelType w:val="hybridMultilevel"/>
    <w:tmpl w:val="AA14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7573BA"/>
    <w:multiLevelType w:val="hybridMultilevel"/>
    <w:tmpl w:val="72BC1DF4"/>
    <w:lvl w:ilvl="0" w:tplc="21E6F2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86B305B"/>
    <w:multiLevelType w:val="hybridMultilevel"/>
    <w:tmpl w:val="9BFE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9A0D1F"/>
    <w:multiLevelType w:val="hybridMultilevel"/>
    <w:tmpl w:val="A16AE960"/>
    <w:lvl w:ilvl="0" w:tplc="B08C5B7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70413FF4"/>
    <w:multiLevelType w:val="hybridMultilevel"/>
    <w:tmpl w:val="20385F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D292AA96">
      <w:start w:val="2"/>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744F30"/>
    <w:multiLevelType w:val="hybridMultilevel"/>
    <w:tmpl w:val="5900B274"/>
    <w:lvl w:ilvl="0" w:tplc="0C090001">
      <w:start w:val="1"/>
      <w:numFmt w:val="bullet"/>
      <w:lvlText w:val=""/>
      <w:lvlJc w:val="left"/>
      <w:pPr>
        <w:ind w:left="720" w:hanging="360"/>
      </w:pPr>
      <w:rPr>
        <w:rFonts w:ascii="Symbol" w:hAnsi="Symbol" w:hint="default"/>
      </w:rPr>
    </w:lvl>
    <w:lvl w:ilvl="1" w:tplc="D292AA96">
      <w:start w:val="2"/>
      <w:numFmt w:val="bullet"/>
      <w:lvlText w:val="-"/>
      <w:lvlJc w:val="left"/>
      <w:pPr>
        <w:ind w:left="1440" w:hanging="360"/>
      </w:pPr>
      <w:rPr>
        <w:rFonts w:ascii="Times New Roman" w:eastAsia="Times New Roman" w:hAnsi="Times New Roman" w:cs="Times New Roman" w:hint="default"/>
      </w:rPr>
    </w:lvl>
    <w:lvl w:ilvl="2" w:tplc="D292AA96">
      <w:start w:val="2"/>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6"/>
  </w:num>
  <w:num w:numId="5">
    <w:abstractNumId w:val="1"/>
  </w:num>
  <w:num w:numId="6">
    <w:abstractNumId w:val="5"/>
  </w:num>
  <w:num w:numId="7">
    <w:abstractNumId w:val="7"/>
  </w:num>
  <w:num w:numId="8">
    <w:abstractNumId w:val="15"/>
  </w:num>
  <w:num w:numId="9">
    <w:abstractNumId w:val="12"/>
  </w:num>
  <w:num w:numId="10">
    <w:abstractNumId w:val="6"/>
  </w:num>
  <w:num w:numId="11">
    <w:abstractNumId w:val="6"/>
  </w:num>
  <w:num w:numId="12">
    <w:abstractNumId w:val="6"/>
  </w:num>
  <w:num w:numId="13">
    <w:abstractNumId w:val="6"/>
  </w:num>
  <w:num w:numId="14">
    <w:abstractNumId w:val="3"/>
  </w:num>
  <w:num w:numId="15">
    <w:abstractNumId w:val="6"/>
    <w:lvlOverride w:ilvl="0">
      <w:startOverride w:val="2"/>
    </w:lvlOverride>
    <w:lvlOverride w:ilvl="1">
      <w:startOverride w:val="6"/>
    </w:lvlOverride>
  </w:num>
  <w:num w:numId="16">
    <w:abstractNumId w:val="9"/>
  </w:num>
  <w:num w:numId="17">
    <w:abstractNumId w:val="10"/>
  </w:num>
  <w:num w:numId="18">
    <w:abstractNumId w:val="14"/>
  </w:num>
  <w:num w:numId="19">
    <w:abstractNumId w:val="8"/>
  </w:num>
  <w:num w:numId="20">
    <w:abstractNumId w:val="11"/>
  </w:num>
  <w:num w:numId="21">
    <w:abstractNumId w:val="2"/>
  </w:num>
  <w:num w:numId="22">
    <w:abstractNumId w:val="17"/>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296\D13 118387  TFA - Facilities access - Code inquiry - ATTACHMENT C TO STAFF PAPER - Explanatory statement and statement of human rights for FRLI - With legal comments ~ August 2013(2).DOCX"/>
  </w:docVars>
  <w:rsids>
    <w:rsidRoot w:val="00AF7D75"/>
    <w:rsid w:val="00003740"/>
    <w:rsid w:val="000060B0"/>
    <w:rsid w:val="00006C4F"/>
    <w:rsid w:val="0001102A"/>
    <w:rsid w:val="00014512"/>
    <w:rsid w:val="00014EBD"/>
    <w:rsid w:val="00021F98"/>
    <w:rsid w:val="00022BBC"/>
    <w:rsid w:val="0002515B"/>
    <w:rsid w:val="00027178"/>
    <w:rsid w:val="00036F92"/>
    <w:rsid w:val="0004023B"/>
    <w:rsid w:val="00042447"/>
    <w:rsid w:val="00044790"/>
    <w:rsid w:val="00045EF9"/>
    <w:rsid w:val="00055118"/>
    <w:rsid w:val="000552A5"/>
    <w:rsid w:val="00060E93"/>
    <w:rsid w:val="0006198E"/>
    <w:rsid w:val="000639EB"/>
    <w:rsid w:val="00076037"/>
    <w:rsid w:val="00090454"/>
    <w:rsid w:val="000910CD"/>
    <w:rsid w:val="0009259F"/>
    <w:rsid w:val="000A5152"/>
    <w:rsid w:val="000A5F5C"/>
    <w:rsid w:val="000C1177"/>
    <w:rsid w:val="000C44A2"/>
    <w:rsid w:val="000C7BAC"/>
    <w:rsid w:val="000D4D07"/>
    <w:rsid w:val="000D643E"/>
    <w:rsid w:val="000D739C"/>
    <w:rsid w:val="000D7B60"/>
    <w:rsid w:val="000E121D"/>
    <w:rsid w:val="000E1AF1"/>
    <w:rsid w:val="000E3F1F"/>
    <w:rsid w:val="000E5D0C"/>
    <w:rsid w:val="000E73A1"/>
    <w:rsid w:val="000F076A"/>
    <w:rsid w:val="001034D7"/>
    <w:rsid w:val="001072A3"/>
    <w:rsid w:val="00112308"/>
    <w:rsid w:val="001126B4"/>
    <w:rsid w:val="00117B36"/>
    <w:rsid w:val="00126BB9"/>
    <w:rsid w:val="0013168E"/>
    <w:rsid w:val="00132AF5"/>
    <w:rsid w:val="00134E28"/>
    <w:rsid w:val="0014129C"/>
    <w:rsid w:val="00142848"/>
    <w:rsid w:val="001472CF"/>
    <w:rsid w:val="00150AC9"/>
    <w:rsid w:val="00154010"/>
    <w:rsid w:val="00157031"/>
    <w:rsid w:val="00160D79"/>
    <w:rsid w:val="00161373"/>
    <w:rsid w:val="00173714"/>
    <w:rsid w:val="00175F70"/>
    <w:rsid w:val="0018238B"/>
    <w:rsid w:val="00182B99"/>
    <w:rsid w:val="00196776"/>
    <w:rsid w:val="00197C4F"/>
    <w:rsid w:val="001A06CC"/>
    <w:rsid w:val="001A0D06"/>
    <w:rsid w:val="001A1971"/>
    <w:rsid w:val="001A5F08"/>
    <w:rsid w:val="001B4F1E"/>
    <w:rsid w:val="001B77C0"/>
    <w:rsid w:val="001D297C"/>
    <w:rsid w:val="001D45CD"/>
    <w:rsid w:val="001E1131"/>
    <w:rsid w:val="001E410E"/>
    <w:rsid w:val="001E7EC9"/>
    <w:rsid w:val="001F04B7"/>
    <w:rsid w:val="001F7844"/>
    <w:rsid w:val="002009A3"/>
    <w:rsid w:val="002020F0"/>
    <w:rsid w:val="00202A6D"/>
    <w:rsid w:val="00204358"/>
    <w:rsid w:val="00207E0B"/>
    <w:rsid w:val="0021297E"/>
    <w:rsid w:val="00220821"/>
    <w:rsid w:val="00221768"/>
    <w:rsid w:val="00226901"/>
    <w:rsid w:val="00227B15"/>
    <w:rsid w:val="00227F24"/>
    <w:rsid w:val="00254BA4"/>
    <w:rsid w:val="002558E2"/>
    <w:rsid w:val="002574D4"/>
    <w:rsid w:val="00263392"/>
    <w:rsid w:val="0026369E"/>
    <w:rsid w:val="00282A7F"/>
    <w:rsid w:val="00287AAE"/>
    <w:rsid w:val="00291918"/>
    <w:rsid w:val="002937C0"/>
    <w:rsid w:val="00294574"/>
    <w:rsid w:val="002A04A6"/>
    <w:rsid w:val="002A3127"/>
    <w:rsid w:val="002A5BFF"/>
    <w:rsid w:val="002B1A0E"/>
    <w:rsid w:val="002B2AAB"/>
    <w:rsid w:val="002B5965"/>
    <w:rsid w:val="002C30F4"/>
    <w:rsid w:val="002D411F"/>
    <w:rsid w:val="002D7C27"/>
    <w:rsid w:val="002E52E6"/>
    <w:rsid w:val="002E5CBE"/>
    <w:rsid w:val="002F3B87"/>
    <w:rsid w:val="002F6368"/>
    <w:rsid w:val="00301BB9"/>
    <w:rsid w:val="00302862"/>
    <w:rsid w:val="003065EF"/>
    <w:rsid w:val="003069CC"/>
    <w:rsid w:val="00307622"/>
    <w:rsid w:val="00307D7A"/>
    <w:rsid w:val="00310933"/>
    <w:rsid w:val="00311A5E"/>
    <w:rsid w:val="0031769F"/>
    <w:rsid w:val="00323EFF"/>
    <w:rsid w:val="0032421D"/>
    <w:rsid w:val="003362AF"/>
    <w:rsid w:val="003371D3"/>
    <w:rsid w:val="0034210B"/>
    <w:rsid w:val="003435AF"/>
    <w:rsid w:val="00356750"/>
    <w:rsid w:val="00356AB3"/>
    <w:rsid w:val="003722F4"/>
    <w:rsid w:val="00372B9D"/>
    <w:rsid w:val="00375860"/>
    <w:rsid w:val="00377DB9"/>
    <w:rsid w:val="00381CC4"/>
    <w:rsid w:val="00393A33"/>
    <w:rsid w:val="00393E3E"/>
    <w:rsid w:val="003956A1"/>
    <w:rsid w:val="003A10D0"/>
    <w:rsid w:val="003A4480"/>
    <w:rsid w:val="003A48DD"/>
    <w:rsid w:val="003B106C"/>
    <w:rsid w:val="003B2A12"/>
    <w:rsid w:val="003B44DE"/>
    <w:rsid w:val="003C134C"/>
    <w:rsid w:val="003C4965"/>
    <w:rsid w:val="003C72F2"/>
    <w:rsid w:val="003D1578"/>
    <w:rsid w:val="003E0799"/>
    <w:rsid w:val="003E6218"/>
    <w:rsid w:val="003E7E2B"/>
    <w:rsid w:val="003F4543"/>
    <w:rsid w:val="003F4A14"/>
    <w:rsid w:val="004003BA"/>
    <w:rsid w:val="00401873"/>
    <w:rsid w:val="0040348B"/>
    <w:rsid w:val="004050FD"/>
    <w:rsid w:val="00407663"/>
    <w:rsid w:val="004078B8"/>
    <w:rsid w:val="004128DF"/>
    <w:rsid w:val="0042351D"/>
    <w:rsid w:val="0042380D"/>
    <w:rsid w:val="00427ACB"/>
    <w:rsid w:val="00431318"/>
    <w:rsid w:val="00433903"/>
    <w:rsid w:val="004342CF"/>
    <w:rsid w:val="004367F2"/>
    <w:rsid w:val="00446562"/>
    <w:rsid w:val="00450AD5"/>
    <w:rsid w:val="004529D8"/>
    <w:rsid w:val="00452B2C"/>
    <w:rsid w:val="004615E2"/>
    <w:rsid w:val="00467101"/>
    <w:rsid w:val="004705A7"/>
    <w:rsid w:val="00470729"/>
    <w:rsid w:val="00474618"/>
    <w:rsid w:val="00480098"/>
    <w:rsid w:val="00482839"/>
    <w:rsid w:val="00485C2D"/>
    <w:rsid w:val="00493AF2"/>
    <w:rsid w:val="004A00E0"/>
    <w:rsid w:val="004A631A"/>
    <w:rsid w:val="004A692C"/>
    <w:rsid w:val="004B28F3"/>
    <w:rsid w:val="004C411E"/>
    <w:rsid w:val="004D0817"/>
    <w:rsid w:val="004D30DF"/>
    <w:rsid w:val="004D65ED"/>
    <w:rsid w:val="004D74BE"/>
    <w:rsid w:val="004E0851"/>
    <w:rsid w:val="004E1092"/>
    <w:rsid w:val="004E5EA3"/>
    <w:rsid w:val="004E656F"/>
    <w:rsid w:val="004F0A7F"/>
    <w:rsid w:val="004F2D21"/>
    <w:rsid w:val="005008A7"/>
    <w:rsid w:val="00503583"/>
    <w:rsid w:val="00507CEB"/>
    <w:rsid w:val="00513A80"/>
    <w:rsid w:val="005140A7"/>
    <w:rsid w:val="00521A52"/>
    <w:rsid w:val="00522449"/>
    <w:rsid w:val="00522740"/>
    <w:rsid w:val="0052420D"/>
    <w:rsid w:val="00524D1D"/>
    <w:rsid w:val="00524D9A"/>
    <w:rsid w:val="005267A8"/>
    <w:rsid w:val="0053068B"/>
    <w:rsid w:val="005307E6"/>
    <w:rsid w:val="005337F0"/>
    <w:rsid w:val="00536B82"/>
    <w:rsid w:val="00542A79"/>
    <w:rsid w:val="005442AA"/>
    <w:rsid w:val="00544961"/>
    <w:rsid w:val="005474D8"/>
    <w:rsid w:val="00560A9E"/>
    <w:rsid w:val="0056138B"/>
    <w:rsid w:val="00564A32"/>
    <w:rsid w:val="00570583"/>
    <w:rsid w:val="00571C99"/>
    <w:rsid w:val="00572609"/>
    <w:rsid w:val="00573BC0"/>
    <w:rsid w:val="00575CB5"/>
    <w:rsid w:val="00576E6C"/>
    <w:rsid w:val="00581211"/>
    <w:rsid w:val="00582A95"/>
    <w:rsid w:val="005860BF"/>
    <w:rsid w:val="00586227"/>
    <w:rsid w:val="00586C3D"/>
    <w:rsid w:val="00587A2B"/>
    <w:rsid w:val="005903D5"/>
    <w:rsid w:val="005938DD"/>
    <w:rsid w:val="0059626F"/>
    <w:rsid w:val="005A6C96"/>
    <w:rsid w:val="005A7B0A"/>
    <w:rsid w:val="005B0FCC"/>
    <w:rsid w:val="005C0BB0"/>
    <w:rsid w:val="005C2F26"/>
    <w:rsid w:val="005D1739"/>
    <w:rsid w:val="005D752B"/>
    <w:rsid w:val="005E414A"/>
    <w:rsid w:val="005E700E"/>
    <w:rsid w:val="005F4712"/>
    <w:rsid w:val="006006A4"/>
    <w:rsid w:val="00602481"/>
    <w:rsid w:val="00603AC3"/>
    <w:rsid w:val="0060601A"/>
    <w:rsid w:val="00606FEF"/>
    <w:rsid w:val="0061016D"/>
    <w:rsid w:val="00611BCC"/>
    <w:rsid w:val="006138CA"/>
    <w:rsid w:val="00616DA3"/>
    <w:rsid w:val="00624F0C"/>
    <w:rsid w:val="00634F3C"/>
    <w:rsid w:val="00644783"/>
    <w:rsid w:val="00645675"/>
    <w:rsid w:val="00646819"/>
    <w:rsid w:val="006501BA"/>
    <w:rsid w:val="00652FBE"/>
    <w:rsid w:val="006533EC"/>
    <w:rsid w:val="006544C2"/>
    <w:rsid w:val="006547F6"/>
    <w:rsid w:val="00655EA1"/>
    <w:rsid w:val="006600CE"/>
    <w:rsid w:val="006626D6"/>
    <w:rsid w:val="00665DF6"/>
    <w:rsid w:val="00667622"/>
    <w:rsid w:val="00667B1A"/>
    <w:rsid w:val="006712A0"/>
    <w:rsid w:val="006751CE"/>
    <w:rsid w:val="00676ECC"/>
    <w:rsid w:val="00677EB0"/>
    <w:rsid w:val="00691267"/>
    <w:rsid w:val="00691D9C"/>
    <w:rsid w:val="006B2885"/>
    <w:rsid w:val="006B3922"/>
    <w:rsid w:val="006C0069"/>
    <w:rsid w:val="006C1392"/>
    <w:rsid w:val="006C3DAC"/>
    <w:rsid w:val="006C45A9"/>
    <w:rsid w:val="006C6B32"/>
    <w:rsid w:val="006E39E6"/>
    <w:rsid w:val="006E3A92"/>
    <w:rsid w:val="006E4FDB"/>
    <w:rsid w:val="006E764C"/>
    <w:rsid w:val="006F0839"/>
    <w:rsid w:val="006F1E98"/>
    <w:rsid w:val="006F6157"/>
    <w:rsid w:val="00700111"/>
    <w:rsid w:val="00700956"/>
    <w:rsid w:val="00700DE3"/>
    <w:rsid w:val="00700E98"/>
    <w:rsid w:val="007077BD"/>
    <w:rsid w:val="007158A5"/>
    <w:rsid w:val="007234EF"/>
    <w:rsid w:val="00724026"/>
    <w:rsid w:val="007258BB"/>
    <w:rsid w:val="007308F7"/>
    <w:rsid w:val="00732A0C"/>
    <w:rsid w:val="007365E2"/>
    <w:rsid w:val="0073694D"/>
    <w:rsid w:val="00742090"/>
    <w:rsid w:val="00751A64"/>
    <w:rsid w:val="00755B09"/>
    <w:rsid w:val="007561D0"/>
    <w:rsid w:val="00781BB7"/>
    <w:rsid w:val="00787645"/>
    <w:rsid w:val="00792BE2"/>
    <w:rsid w:val="0079668F"/>
    <w:rsid w:val="00797083"/>
    <w:rsid w:val="007A3BD9"/>
    <w:rsid w:val="007A5FAB"/>
    <w:rsid w:val="007B3FE4"/>
    <w:rsid w:val="007D0880"/>
    <w:rsid w:val="007D08B5"/>
    <w:rsid w:val="007D2AC6"/>
    <w:rsid w:val="007D487E"/>
    <w:rsid w:val="007D4E5C"/>
    <w:rsid w:val="007E03F8"/>
    <w:rsid w:val="007E2200"/>
    <w:rsid w:val="007E4A67"/>
    <w:rsid w:val="007E78F6"/>
    <w:rsid w:val="007F0FBE"/>
    <w:rsid w:val="0080039E"/>
    <w:rsid w:val="008003D3"/>
    <w:rsid w:val="00814836"/>
    <w:rsid w:val="008152CB"/>
    <w:rsid w:val="00816A1C"/>
    <w:rsid w:val="00824D41"/>
    <w:rsid w:val="008256EF"/>
    <w:rsid w:val="00826721"/>
    <w:rsid w:val="00832C02"/>
    <w:rsid w:val="00834DFC"/>
    <w:rsid w:val="00836923"/>
    <w:rsid w:val="00837DAC"/>
    <w:rsid w:val="008402F2"/>
    <w:rsid w:val="0084300B"/>
    <w:rsid w:val="00844CD6"/>
    <w:rsid w:val="00853613"/>
    <w:rsid w:val="00864AA4"/>
    <w:rsid w:val="00865DFC"/>
    <w:rsid w:val="00866A32"/>
    <w:rsid w:val="0086744E"/>
    <w:rsid w:val="0087053A"/>
    <w:rsid w:val="00871B36"/>
    <w:rsid w:val="0087358E"/>
    <w:rsid w:val="00877398"/>
    <w:rsid w:val="008867C4"/>
    <w:rsid w:val="0089546E"/>
    <w:rsid w:val="00896117"/>
    <w:rsid w:val="008978EA"/>
    <w:rsid w:val="008A1E5B"/>
    <w:rsid w:val="008A2025"/>
    <w:rsid w:val="008A2C79"/>
    <w:rsid w:val="008A2F3E"/>
    <w:rsid w:val="008A46CE"/>
    <w:rsid w:val="008A54AD"/>
    <w:rsid w:val="008A7957"/>
    <w:rsid w:val="008B1485"/>
    <w:rsid w:val="008B6200"/>
    <w:rsid w:val="008D3E3F"/>
    <w:rsid w:val="008D4392"/>
    <w:rsid w:val="008D61D1"/>
    <w:rsid w:val="008E67DD"/>
    <w:rsid w:val="008E72A0"/>
    <w:rsid w:val="008F0ECF"/>
    <w:rsid w:val="008F4163"/>
    <w:rsid w:val="008F4AB3"/>
    <w:rsid w:val="009005E8"/>
    <w:rsid w:val="009010B3"/>
    <w:rsid w:val="00903800"/>
    <w:rsid w:val="00903960"/>
    <w:rsid w:val="00913099"/>
    <w:rsid w:val="00914BA2"/>
    <w:rsid w:val="00921844"/>
    <w:rsid w:val="0092290E"/>
    <w:rsid w:val="009257DF"/>
    <w:rsid w:val="00927235"/>
    <w:rsid w:val="00931523"/>
    <w:rsid w:val="0093597D"/>
    <w:rsid w:val="0093687E"/>
    <w:rsid w:val="009472C5"/>
    <w:rsid w:val="009479E1"/>
    <w:rsid w:val="00954178"/>
    <w:rsid w:val="009549BD"/>
    <w:rsid w:val="00956942"/>
    <w:rsid w:val="00957DF2"/>
    <w:rsid w:val="009608D9"/>
    <w:rsid w:val="00970B69"/>
    <w:rsid w:val="00974D2B"/>
    <w:rsid w:val="00975FD7"/>
    <w:rsid w:val="00982465"/>
    <w:rsid w:val="0098477E"/>
    <w:rsid w:val="009861DF"/>
    <w:rsid w:val="0099027D"/>
    <w:rsid w:val="00997257"/>
    <w:rsid w:val="00997930"/>
    <w:rsid w:val="009A046C"/>
    <w:rsid w:val="009A7D88"/>
    <w:rsid w:val="009B04D9"/>
    <w:rsid w:val="009B785F"/>
    <w:rsid w:val="009C7A4C"/>
    <w:rsid w:val="009D51C5"/>
    <w:rsid w:val="009E0D80"/>
    <w:rsid w:val="009E3BE5"/>
    <w:rsid w:val="009E4B56"/>
    <w:rsid w:val="009E5E66"/>
    <w:rsid w:val="009E7B9B"/>
    <w:rsid w:val="009E7F91"/>
    <w:rsid w:val="009F0AE4"/>
    <w:rsid w:val="009F1CE9"/>
    <w:rsid w:val="009F2B29"/>
    <w:rsid w:val="009F2E88"/>
    <w:rsid w:val="009F6116"/>
    <w:rsid w:val="00A10757"/>
    <w:rsid w:val="00A23B34"/>
    <w:rsid w:val="00A23E4D"/>
    <w:rsid w:val="00A244DC"/>
    <w:rsid w:val="00A26221"/>
    <w:rsid w:val="00A27382"/>
    <w:rsid w:val="00A32FB2"/>
    <w:rsid w:val="00A3688F"/>
    <w:rsid w:val="00A44797"/>
    <w:rsid w:val="00A4513C"/>
    <w:rsid w:val="00A51137"/>
    <w:rsid w:val="00A64FF6"/>
    <w:rsid w:val="00A670E3"/>
    <w:rsid w:val="00A67511"/>
    <w:rsid w:val="00A74820"/>
    <w:rsid w:val="00A74FC7"/>
    <w:rsid w:val="00A76D7B"/>
    <w:rsid w:val="00A83D78"/>
    <w:rsid w:val="00A84CFD"/>
    <w:rsid w:val="00A92EC1"/>
    <w:rsid w:val="00A94B04"/>
    <w:rsid w:val="00A9651E"/>
    <w:rsid w:val="00AA21B2"/>
    <w:rsid w:val="00AA5717"/>
    <w:rsid w:val="00AA5D9E"/>
    <w:rsid w:val="00AA7AAA"/>
    <w:rsid w:val="00AB0D3F"/>
    <w:rsid w:val="00AB668E"/>
    <w:rsid w:val="00AD1EDD"/>
    <w:rsid w:val="00AD5F19"/>
    <w:rsid w:val="00AE1ABD"/>
    <w:rsid w:val="00AE1AC2"/>
    <w:rsid w:val="00AE401C"/>
    <w:rsid w:val="00AE4C8F"/>
    <w:rsid w:val="00AE588E"/>
    <w:rsid w:val="00AF7391"/>
    <w:rsid w:val="00AF7D75"/>
    <w:rsid w:val="00B01B0F"/>
    <w:rsid w:val="00B02A91"/>
    <w:rsid w:val="00B1673B"/>
    <w:rsid w:val="00B1756E"/>
    <w:rsid w:val="00B20012"/>
    <w:rsid w:val="00B212BA"/>
    <w:rsid w:val="00B21B89"/>
    <w:rsid w:val="00B2320E"/>
    <w:rsid w:val="00B3288E"/>
    <w:rsid w:val="00B337C7"/>
    <w:rsid w:val="00B400F8"/>
    <w:rsid w:val="00B40368"/>
    <w:rsid w:val="00B424AB"/>
    <w:rsid w:val="00B42DF0"/>
    <w:rsid w:val="00B5456A"/>
    <w:rsid w:val="00B62F14"/>
    <w:rsid w:val="00B6375A"/>
    <w:rsid w:val="00B655D3"/>
    <w:rsid w:val="00B6740C"/>
    <w:rsid w:val="00B70FAA"/>
    <w:rsid w:val="00B72D3C"/>
    <w:rsid w:val="00B77F9F"/>
    <w:rsid w:val="00B80BE7"/>
    <w:rsid w:val="00B87B17"/>
    <w:rsid w:val="00B96D3D"/>
    <w:rsid w:val="00BA16F2"/>
    <w:rsid w:val="00BA186D"/>
    <w:rsid w:val="00BA3972"/>
    <w:rsid w:val="00BA45C7"/>
    <w:rsid w:val="00BA6332"/>
    <w:rsid w:val="00BA69FB"/>
    <w:rsid w:val="00BB1EE1"/>
    <w:rsid w:val="00BB4976"/>
    <w:rsid w:val="00BB49B1"/>
    <w:rsid w:val="00BB4F20"/>
    <w:rsid w:val="00BB6C45"/>
    <w:rsid w:val="00BB6FAB"/>
    <w:rsid w:val="00BC26CD"/>
    <w:rsid w:val="00BC27A0"/>
    <w:rsid w:val="00BD3127"/>
    <w:rsid w:val="00BD4CDF"/>
    <w:rsid w:val="00BD530E"/>
    <w:rsid w:val="00BE055D"/>
    <w:rsid w:val="00BE4474"/>
    <w:rsid w:val="00BE577E"/>
    <w:rsid w:val="00BE5D92"/>
    <w:rsid w:val="00BE5DD9"/>
    <w:rsid w:val="00BE6E01"/>
    <w:rsid w:val="00BE7F56"/>
    <w:rsid w:val="00BF2316"/>
    <w:rsid w:val="00C06112"/>
    <w:rsid w:val="00C06F0F"/>
    <w:rsid w:val="00C109C9"/>
    <w:rsid w:val="00C118EE"/>
    <w:rsid w:val="00C14F5B"/>
    <w:rsid w:val="00C2274C"/>
    <w:rsid w:val="00C23D2E"/>
    <w:rsid w:val="00C23E4A"/>
    <w:rsid w:val="00C260EF"/>
    <w:rsid w:val="00C27058"/>
    <w:rsid w:val="00C3042F"/>
    <w:rsid w:val="00C31AA3"/>
    <w:rsid w:val="00C40A71"/>
    <w:rsid w:val="00C413EC"/>
    <w:rsid w:val="00C439B5"/>
    <w:rsid w:val="00C44273"/>
    <w:rsid w:val="00C460CA"/>
    <w:rsid w:val="00C54E24"/>
    <w:rsid w:val="00C55AE8"/>
    <w:rsid w:val="00C63717"/>
    <w:rsid w:val="00C65204"/>
    <w:rsid w:val="00C67599"/>
    <w:rsid w:val="00C74376"/>
    <w:rsid w:val="00C848BB"/>
    <w:rsid w:val="00C95C97"/>
    <w:rsid w:val="00C96C43"/>
    <w:rsid w:val="00CA3C4E"/>
    <w:rsid w:val="00CA447B"/>
    <w:rsid w:val="00CA5A49"/>
    <w:rsid w:val="00CB0069"/>
    <w:rsid w:val="00CB5A2D"/>
    <w:rsid w:val="00CD47E8"/>
    <w:rsid w:val="00CD4B6C"/>
    <w:rsid w:val="00CD68B6"/>
    <w:rsid w:val="00CD71DD"/>
    <w:rsid w:val="00CE5A87"/>
    <w:rsid w:val="00CE7CAE"/>
    <w:rsid w:val="00CF495C"/>
    <w:rsid w:val="00CF69D7"/>
    <w:rsid w:val="00CF7CA9"/>
    <w:rsid w:val="00D00C87"/>
    <w:rsid w:val="00D02E50"/>
    <w:rsid w:val="00D06D33"/>
    <w:rsid w:val="00D140C2"/>
    <w:rsid w:val="00D15353"/>
    <w:rsid w:val="00D17186"/>
    <w:rsid w:val="00D250F9"/>
    <w:rsid w:val="00D36F62"/>
    <w:rsid w:val="00D3734C"/>
    <w:rsid w:val="00D373FC"/>
    <w:rsid w:val="00D40E14"/>
    <w:rsid w:val="00D420F7"/>
    <w:rsid w:val="00D46690"/>
    <w:rsid w:val="00D6233D"/>
    <w:rsid w:val="00D64056"/>
    <w:rsid w:val="00D65C39"/>
    <w:rsid w:val="00D67C51"/>
    <w:rsid w:val="00D700DF"/>
    <w:rsid w:val="00D70924"/>
    <w:rsid w:val="00D732CC"/>
    <w:rsid w:val="00D7502F"/>
    <w:rsid w:val="00D76FDA"/>
    <w:rsid w:val="00D868BC"/>
    <w:rsid w:val="00D87AE8"/>
    <w:rsid w:val="00D95E46"/>
    <w:rsid w:val="00DA07FC"/>
    <w:rsid w:val="00DA391F"/>
    <w:rsid w:val="00DA5047"/>
    <w:rsid w:val="00DA67C4"/>
    <w:rsid w:val="00DA6911"/>
    <w:rsid w:val="00DA6EEE"/>
    <w:rsid w:val="00DB0E34"/>
    <w:rsid w:val="00DB14C7"/>
    <w:rsid w:val="00DB1F6B"/>
    <w:rsid w:val="00DB4982"/>
    <w:rsid w:val="00DB7B74"/>
    <w:rsid w:val="00DD3EB2"/>
    <w:rsid w:val="00DD3F93"/>
    <w:rsid w:val="00DD47C3"/>
    <w:rsid w:val="00DD4B2A"/>
    <w:rsid w:val="00DE672C"/>
    <w:rsid w:val="00DF0DB5"/>
    <w:rsid w:val="00DF3B9C"/>
    <w:rsid w:val="00DF4DF7"/>
    <w:rsid w:val="00E02583"/>
    <w:rsid w:val="00E0706D"/>
    <w:rsid w:val="00E10050"/>
    <w:rsid w:val="00E11D0F"/>
    <w:rsid w:val="00E1221A"/>
    <w:rsid w:val="00E15629"/>
    <w:rsid w:val="00E2114C"/>
    <w:rsid w:val="00E25710"/>
    <w:rsid w:val="00E259A6"/>
    <w:rsid w:val="00E311FB"/>
    <w:rsid w:val="00E3278F"/>
    <w:rsid w:val="00E40560"/>
    <w:rsid w:val="00E41F4B"/>
    <w:rsid w:val="00E55CD6"/>
    <w:rsid w:val="00E60185"/>
    <w:rsid w:val="00E6063B"/>
    <w:rsid w:val="00E6091D"/>
    <w:rsid w:val="00E649AF"/>
    <w:rsid w:val="00E7254F"/>
    <w:rsid w:val="00E7528C"/>
    <w:rsid w:val="00E856AD"/>
    <w:rsid w:val="00E92166"/>
    <w:rsid w:val="00E92313"/>
    <w:rsid w:val="00E95489"/>
    <w:rsid w:val="00EA023D"/>
    <w:rsid w:val="00EA156F"/>
    <w:rsid w:val="00EB11F4"/>
    <w:rsid w:val="00EB4EC5"/>
    <w:rsid w:val="00EB59B5"/>
    <w:rsid w:val="00EC114A"/>
    <w:rsid w:val="00EC7D37"/>
    <w:rsid w:val="00ED740D"/>
    <w:rsid w:val="00EE0870"/>
    <w:rsid w:val="00EF06DB"/>
    <w:rsid w:val="00EF2C62"/>
    <w:rsid w:val="00EF2D45"/>
    <w:rsid w:val="00EF3E80"/>
    <w:rsid w:val="00EF5305"/>
    <w:rsid w:val="00F010C3"/>
    <w:rsid w:val="00F05488"/>
    <w:rsid w:val="00F073ED"/>
    <w:rsid w:val="00F12CCB"/>
    <w:rsid w:val="00F13737"/>
    <w:rsid w:val="00F1651D"/>
    <w:rsid w:val="00F24DC1"/>
    <w:rsid w:val="00F26212"/>
    <w:rsid w:val="00F26D2F"/>
    <w:rsid w:val="00F33C10"/>
    <w:rsid w:val="00F37A54"/>
    <w:rsid w:val="00F40D89"/>
    <w:rsid w:val="00F47DF0"/>
    <w:rsid w:val="00F5247B"/>
    <w:rsid w:val="00F54525"/>
    <w:rsid w:val="00F55A8F"/>
    <w:rsid w:val="00F64DFA"/>
    <w:rsid w:val="00F65452"/>
    <w:rsid w:val="00F65927"/>
    <w:rsid w:val="00F66CA4"/>
    <w:rsid w:val="00F775AC"/>
    <w:rsid w:val="00F82994"/>
    <w:rsid w:val="00F8407C"/>
    <w:rsid w:val="00F85BCD"/>
    <w:rsid w:val="00F8702A"/>
    <w:rsid w:val="00F903B2"/>
    <w:rsid w:val="00F966C0"/>
    <w:rsid w:val="00FA114E"/>
    <w:rsid w:val="00FA326E"/>
    <w:rsid w:val="00FA5F6B"/>
    <w:rsid w:val="00FA7662"/>
    <w:rsid w:val="00FA7C35"/>
    <w:rsid w:val="00FB0852"/>
    <w:rsid w:val="00FB0EED"/>
    <w:rsid w:val="00FC55AF"/>
    <w:rsid w:val="00FC5649"/>
    <w:rsid w:val="00FC58F3"/>
    <w:rsid w:val="00FC6207"/>
    <w:rsid w:val="00FC6397"/>
    <w:rsid w:val="00FC6884"/>
    <w:rsid w:val="00FC76D4"/>
    <w:rsid w:val="00FD13F6"/>
    <w:rsid w:val="00FD1500"/>
    <w:rsid w:val="00FD1FEA"/>
    <w:rsid w:val="00FF216A"/>
    <w:rsid w:val="00FF3B1A"/>
    <w:rsid w:val="00FF63E4"/>
    <w:rsid w:val="00FF6A7C"/>
    <w:rsid w:val="00FF7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E113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31"/>
    <w:pPr>
      <w:keepNext/>
      <w:keepLines/>
      <w:numPr>
        <w:ilvl w:val="1"/>
        <w:numId w:val="4"/>
      </w:numPr>
      <w:spacing w:before="200"/>
      <w:ind w:left="1002"/>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113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113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113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113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113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1131"/>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113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5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692C"/>
    <w:pPr>
      <w:ind w:left="720"/>
      <w:contextualSpacing/>
    </w:pPr>
    <w:rPr>
      <w:rFonts w:ascii="Arial" w:hAnsi="Arial"/>
      <w:szCs w:val="20"/>
      <w:lang w:val="en-GB"/>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ootnote Text Char Char"/>
    <w:basedOn w:val="Normal"/>
    <w:link w:val="FootnoteTextChar"/>
    <w:unhideWhenUsed/>
    <w:rsid w:val="00E40560"/>
    <w:rPr>
      <w:sz w:val="20"/>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
    <w:basedOn w:val="DefaultParagraphFont"/>
    <w:link w:val="FootnoteText"/>
    <w:rsid w:val="00E40560"/>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o,Style 3,Style 12,fr,Appel note de bas de p,Style 124,Appel n"/>
    <w:basedOn w:val="DefaultParagraphFont"/>
    <w:semiHidden/>
    <w:unhideWhenUsed/>
    <w:rsid w:val="00E40560"/>
    <w:rPr>
      <w:vertAlign w:val="superscript"/>
    </w:rPr>
  </w:style>
  <w:style w:type="paragraph" w:styleId="Header">
    <w:name w:val="header"/>
    <w:basedOn w:val="Normal"/>
    <w:link w:val="HeaderChar"/>
    <w:uiPriority w:val="99"/>
    <w:unhideWhenUsed/>
    <w:rsid w:val="00E40560"/>
    <w:pPr>
      <w:tabs>
        <w:tab w:val="center" w:pos="4513"/>
        <w:tab w:val="right" w:pos="9026"/>
      </w:tabs>
    </w:pPr>
  </w:style>
  <w:style w:type="character" w:customStyle="1" w:styleId="HeaderChar">
    <w:name w:val="Header Char"/>
    <w:basedOn w:val="DefaultParagraphFont"/>
    <w:link w:val="Header"/>
    <w:uiPriority w:val="99"/>
    <w:rsid w:val="00E4056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40560"/>
    <w:pPr>
      <w:tabs>
        <w:tab w:val="center" w:pos="4513"/>
        <w:tab w:val="right" w:pos="9026"/>
      </w:tabs>
    </w:pPr>
  </w:style>
  <w:style w:type="character" w:customStyle="1" w:styleId="FooterChar">
    <w:name w:val="Footer Char"/>
    <w:basedOn w:val="DefaultParagraphFont"/>
    <w:link w:val="Footer"/>
    <w:uiPriority w:val="99"/>
    <w:rsid w:val="00E4056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6744E"/>
    <w:rPr>
      <w:rFonts w:ascii="Tahoma" w:hAnsi="Tahoma" w:cs="Tahoma"/>
      <w:sz w:val="16"/>
      <w:szCs w:val="16"/>
    </w:rPr>
  </w:style>
  <w:style w:type="character" w:customStyle="1" w:styleId="BalloonTextChar">
    <w:name w:val="Balloon Text Char"/>
    <w:basedOn w:val="DefaultParagraphFont"/>
    <w:link w:val="BalloonText"/>
    <w:uiPriority w:val="99"/>
    <w:semiHidden/>
    <w:rsid w:val="0086744E"/>
    <w:rPr>
      <w:rFonts w:ascii="Tahoma" w:eastAsia="Times New Roman" w:hAnsi="Tahoma" w:cs="Tahoma"/>
      <w:sz w:val="16"/>
      <w:szCs w:val="16"/>
      <w:lang w:eastAsia="en-AU"/>
    </w:rPr>
  </w:style>
  <w:style w:type="paragraph" w:styleId="NormalWeb">
    <w:name w:val="Normal (Web)"/>
    <w:basedOn w:val="Normal"/>
    <w:rsid w:val="00DF0DB5"/>
    <w:pPr>
      <w:spacing w:before="100" w:beforeAutospacing="1" w:after="100" w:afterAutospacing="1"/>
    </w:pPr>
  </w:style>
  <w:style w:type="character" w:styleId="CommentReference">
    <w:name w:val="annotation reference"/>
    <w:basedOn w:val="DefaultParagraphFont"/>
    <w:uiPriority w:val="99"/>
    <w:semiHidden/>
    <w:unhideWhenUsed/>
    <w:rsid w:val="00E25710"/>
    <w:rPr>
      <w:sz w:val="16"/>
      <w:szCs w:val="16"/>
    </w:rPr>
  </w:style>
  <w:style w:type="paragraph" w:styleId="CommentText">
    <w:name w:val="annotation text"/>
    <w:basedOn w:val="Normal"/>
    <w:link w:val="CommentTextChar"/>
    <w:uiPriority w:val="99"/>
    <w:unhideWhenUsed/>
    <w:rsid w:val="00E25710"/>
    <w:rPr>
      <w:sz w:val="20"/>
      <w:szCs w:val="20"/>
    </w:rPr>
  </w:style>
  <w:style w:type="character" w:customStyle="1" w:styleId="CommentTextChar">
    <w:name w:val="Comment Text Char"/>
    <w:basedOn w:val="DefaultParagraphFont"/>
    <w:link w:val="CommentText"/>
    <w:uiPriority w:val="99"/>
    <w:rsid w:val="00E2571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25710"/>
    <w:rPr>
      <w:b/>
      <w:bCs/>
    </w:rPr>
  </w:style>
  <w:style w:type="character" w:customStyle="1" w:styleId="CommentSubjectChar">
    <w:name w:val="Comment Subject Char"/>
    <w:basedOn w:val="CommentTextChar"/>
    <w:link w:val="CommentSubject"/>
    <w:uiPriority w:val="99"/>
    <w:semiHidden/>
    <w:rsid w:val="00E25710"/>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1E1131"/>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1E113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1E1131"/>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semiHidden/>
    <w:rsid w:val="001E1131"/>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1E1131"/>
    <w:rPr>
      <w:rFonts w:asciiTheme="majorHAnsi" w:eastAsiaTheme="majorEastAsia" w:hAnsiTheme="majorHAnsi" w:cstheme="majorBidi"/>
      <w:color w:val="243F60" w:themeColor="accent1" w:themeShade="7F"/>
      <w:sz w:val="24"/>
      <w:szCs w:val="24"/>
      <w:lang w:eastAsia="en-AU"/>
    </w:rPr>
  </w:style>
  <w:style w:type="character" w:customStyle="1" w:styleId="Heading6Char">
    <w:name w:val="Heading 6 Char"/>
    <w:basedOn w:val="DefaultParagraphFont"/>
    <w:link w:val="Heading6"/>
    <w:uiPriority w:val="9"/>
    <w:semiHidden/>
    <w:rsid w:val="001E1131"/>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1E1131"/>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1E1131"/>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1E1131"/>
    <w:rPr>
      <w:rFonts w:asciiTheme="majorHAnsi" w:eastAsiaTheme="majorEastAsia" w:hAnsiTheme="majorHAnsi" w:cstheme="majorBidi"/>
      <w:i/>
      <w:iCs/>
      <w:color w:val="404040" w:themeColor="text1" w:themeTint="BF"/>
      <w:sz w:val="20"/>
      <w:szCs w:val="20"/>
      <w:lang w:eastAsia="en-AU"/>
    </w:rPr>
  </w:style>
  <w:style w:type="paragraph" w:customStyle="1" w:styleId="Default1">
    <w:name w:val="Default1"/>
    <w:basedOn w:val="Default"/>
    <w:next w:val="Default"/>
    <w:uiPriority w:val="99"/>
    <w:rsid w:val="00F903B2"/>
    <w:rPr>
      <w:color w:val="auto"/>
    </w:rPr>
  </w:style>
  <w:style w:type="paragraph" w:styleId="Revision">
    <w:name w:val="Revision"/>
    <w:hidden/>
    <w:uiPriority w:val="99"/>
    <w:semiHidden/>
    <w:rsid w:val="00A76D7B"/>
    <w:pPr>
      <w:spacing w:after="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E113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31"/>
    <w:pPr>
      <w:keepNext/>
      <w:keepLines/>
      <w:numPr>
        <w:ilvl w:val="1"/>
        <w:numId w:val="4"/>
      </w:numPr>
      <w:spacing w:before="200"/>
      <w:ind w:left="1002"/>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113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113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113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113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113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1131"/>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113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5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692C"/>
    <w:pPr>
      <w:ind w:left="720"/>
      <w:contextualSpacing/>
    </w:pPr>
    <w:rPr>
      <w:rFonts w:ascii="Arial" w:hAnsi="Arial"/>
      <w:szCs w:val="20"/>
      <w:lang w:val="en-GB"/>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ootnote Text Char Char"/>
    <w:basedOn w:val="Normal"/>
    <w:link w:val="FootnoteTextChar"/>
    <w:unhideWhenUsed/>
    <w:rsid w:val="00E40560"/>
    <w:rPr>
      <w:sz w:val="20"/>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
    <w:basedOn w:val="DefaultParagraphFont"/>
    <w:link w:val="FootnoteText"/>
    <w:rsid w:val="00E40560"/>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o,Style 3,Style 12,fr,Appel note de bas de p,Style 124,Appel n"/>
    <w:basedOn w:val="DefaultParagraphFont"/>
    <w:semiHidden/>
    <w:unhideWhenUsed/>
    <w:rsid w:val="00E40560"/>
    <w:rPr>
      <w:vertAlign w:val="superscript"/>
    </w:rPr>
  </w:style>
  <w:style w:type="paragraph" w:styleId="Header">
    <w:name w:val="header"/>
    <w:basedOn w:val="Normal"/>
    <w:link w:val="HeaderChar"/>
    <w:uiPriority w:val="99"/>
    <w:unhideWhenUsed/>
    <w:rsid w:val="00E40560"/>
    <w:pPr>
      <w:tabs>
        <w:tab w:val="center" w:pos="4513"/>
        <w:tab w:val="right" w:pos="9026"/>
      </w:tabs>
    </w:pPr>
  </w:style>
  <w:style w:type="character" w:customStyle="1" w:styleId="HeaderChar">
    <w:name w:val="Header Char"/>
    <w:basedOn w:val="DefaultParagraphFont"/>
    <w:link w:val="Header"/>
    <w:uiPriority w:val="99"/>
    <w:rsid w:val="00E4056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40560"/>
    <w:pPr>
      <w:tabs>
        <w:tab w:val="center" w:pos="4513"/>
        <w:tab w:val="right" w:pos="9026"/>
      </w:tabs>
    </w:pPr>
  </w:style>
  <w:style w:type="character" w:customStyle="1" w:styleId="FooterChar">
    <w:name w:val="Footer Char"/>
    <w:basedOn w:val="DefaultParagraphFont"/>
    <w:link w:val="Footer"/>
    <w:uiPriority w:val="99"/>
    <w:rsid w:val="00E4056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6744E"/>
    <w:rPr>
      <w:rFonts w:ascii="Tahoma" w:hAnsi="Tahoma" w:cs="Tahoma"/>
      <w:sz w:val="16"/>
      <w:szCs w:val="16"/>
    </w:rPr>
  </w:style>
  <w:style w:type="character" w:customStyle="1" w:styleId="BalloonTextChar">
    <w:name w:val="Balloon Text Char"/>
    <w:basedOn w:val="DefaultParagraphFont"/>
    <w:link w:val="BalloonText"/>
    <w:uiPriority w:val="99"/>
    <w:semiHidden/>
    <w:rsid w:val="0086744E"/>
    <w:rPr>
      <w:rFonts w:ascii="Tahoma" w:eastAsia="Times New Roman" w:hAnsi="Tahoma" w:cs="Tahoma"/>
      <w:sz w:val="16"/>
      <w:szCs w:val="16"/>
      <w:lang w:eastAsia="en-AU"/>
    </w:rPr>
  </w:style>
  <w:style w:type="paragraph" w:styleId="NormalWeb">
    <w:name w:val="Normal (Web)"/>
    <w:basedOn w:val="Normal"/>
    <w:rsid w:val="00DF0DB5"/>
    <w:pPr>
      <w:spacing w:before="100" w:beforeAutospacing="1" w:after="100" w:afterAutospacing="1"/>
    </w:pPr>
  </w:style>
  <w:style w:type="character" w:styleId="CommentReference">
    <w:name w:val="annotation reference"/>
    <w:basedOn w:val="DefaultParagraphFont"/>
    <w:uiPriority w:val="99"/>
    <w:semiHidden/>
    <w:unhideWhenUsed/>
    <w:rsid w:val="00E25710"/>
    <w:rPr>
      <w:sz w:val="16"/>
      <w:szCs w:val="16"/>
    </w:rPr>
  </w:style>
  <w:style w:type="paragraph" w:styleId="CommentText">
    <w:name w:val="annotation text"/>
    <w:basedOn w:val="Normal"/>
    <w:link w:val="CommentTextChar"/>
    <w:uiPriority w:val="99"/>
    <w:unhideWhenUsed/>
    <w:rsid w:val="00E25710"/>
    <w:rPr>
      <w:sz w:val="20"/>
      <w:szCs w:val="20"/>
    </w:rPr>
  </w:style>
  <w:style w:type="character" w:customStyle="1" w:styleId="CommentTextChar">
    <w:name w:val="Comment Text Char"/>
    <w:basedOn w:val="DefaultParagraphFont"/>
    <w:link w:val="CommentText"/>
    <w:uiPriority w:val="99"/>
    <w:rsid w:val="00E2571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25710"/>
    <w:rPr>
      <w:b/>
      <w:bCs/>
    </w:rPr>
  </w:style>
  <w:style w:type="character" w:customStyle="1" w:styleId="CommentSubjectChar">
    <w:name w:val="Comment Subject Char"/>
    <w:basedOn w:val="CommentTextChar"/>
    <w:link w:val="CommentSubject"/>
    <w:uiPriority w:val="99"/>
    <w:semiHidden/>
    <w:rsid w:val="00E25710"/>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1E1131"/>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1E113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1E1131"/>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semiHidden/>
    <w:rsid w:val="001E1131"/>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1E1131"/>
    <w:rPr>
      <w:rFonts w:asciiTheme="majorHAnsi" w:eastAsiaTheme="majorEastAsia" w:hAnsiTheme="majorHAnsi" w:cstheme="majorBidi"/>
      <w:color w:val="243F60" w:themeColor="accent1" w:themeShade="7F"/>
      <w:sz w:val="24"/>
      <w:szCs w:val="24"/>
      <w:lang w:eastAsia="en-AU"/>
    </w:rPr>
  </w:style>
  <w:style w:type="character" w:customStyle="1" w:styleId="Heading6Char">
    <w:name w:val="Heading 6 Char"/>
    <w:basedOn w:val="DefaultParagraphFont"/>
    <w:link w:val="Heading6"/>
    <w:uiPriority w:val="9"/>
    <w:semiHidden/>
    <w:rsid w:val="001E1131"/>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1E1131"/>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1E1131"/>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1E1131"/>
    <w:rPr>
      <w:rFonts w:asciiTheme="majorHAnsi" w:eastAsiaTheme="majorEastAsia" w:hAnsiTheme="majorHAnsi" w:cstheme="majorBidi"/>
      <w:i/>
      <w:iCs/>
      <w:color w:val="404040" w:themeColor="text1" w:themeTint="BF"/>
      <w:sz w:val="20"/>
      <w:szCs w:val="20"/>
      <w:lang w:eastAsia="en-AU"/>
    </w:rPr>
  </w:style>
  <w:style w:type="paragraph" w:customStyle="1" w:styleId="Default1">
    <w:name w:val="Default1"/>
    <w:basedOn w:val="Default"/>
    <w:next w:val="Default"/>
    <w:uiPriority w:val="99"/>
    <w:rsid w:val="00F903B2"/>
    <w:rPr>
      <w:color w:val="auto"/>
    </w:rPr>
  </w:style>
  <w:style w:type="paragraph" w:styleId="Revision">
    <w:name w:val="Revision"/>
    <w:hidden/>
    <w:uiPriority w:val="99"/>
    <w:semiHidden/>
    <w:rsid w:val="00A76D7B"/>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73B6-595F-4E0F-89DC-7C470505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pbala</dc:creator>
  <cp:keywords/>
  <dc:description/>
  <cp:lastModifiedBy>Philpott, Elsbeth</cp:lastModifiedBy>
  <cp:revision>4</cp:revision>
  <cp:lastPrinted>2013-08-21T06:28:00Z</cp:lastPrinted>
  <dcterms:created xsi:type="dcterms:W3CDTF">2013-09-17T03:14:00Z</dcterms:created>
  <dcterms:modified xsi:type="dcterms:W3CDTF">2013-09-18T01:39:00Z</dcterms:modified>
</cp:coreProperties>
</file>