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66" w:rsidRDefault="00412266">
      <w:pPr>
        <w:pStyle w:val="Title"/>
      </w:pPr>
      <w:r>
        <w:t xml:space="preserve">ASIC CLASS ORDER [CO </w:t>
      </w:r>
      <w:r w:rsidR="00B6041C" w:rsidRPr="00B6041C">
        <w:t>1</w:t>
      </w:r>
      <w:r w:rsidR="006E1BAE">
        <w:t>3</w:t>
      </w:r>
      <w:r w:rsidRPr="00B6041C">
        <w:t>/</w:t>
      </w:r>
      <w:r w:rsidR="005D36BF" w:rsidRPr="005D36BF">
        <w:t>1128</w:t>
      </w:r>
      <w:r>
        <w:t>]</w:t>
      </w:r>
    </w:p>
    <w:p w:rsidR="00412266" w:rsidRDefault="00412266">
      <w:pPr>
        <w:pStyle w:val="Title"/>
      </w:pPr>
    </w:p>
    <w:p w:rsidR="00412266" w:rsidRDefault="00412266">
      <w:pPr>
        <w:pStyle w:val="Title"/>
      </w:pPr>
      <w:r>
        <w:t>EXPLANATORY STATEMENT</w:t>
      </w:r>
    </w:p>
    <w:p w:rsidR="00412266" w:rsidRDefault="00412266">
      <w:pPr>
        <w:ind w:right="-311"/>
        <w:jc w:val="center"/>
      </w:pPr>
    </w:p>
    <w:p w:rsidR="00412266" w:rsidRDefault="00412266">
      <w:pPr>
        <w:pStyle w:val="BodyTextcentred"/>
      </w:pPr>
      <w:r>
        <w:t>Prepared by the Australian Securities and Investments Commission</w:t>
      </w:r>
    </w:p>
    <w:p w:rsidR="00412266" w:rsidRDefault="00412266">
      <w:pPr>
        <w:pStyle w:val="BodyTextcentreditals"/>
      </w:pPr>
      <w:r>
        <w:t>Corporations Act 2001</w:t>
      </w:r>
    </w:p>
    <w:p w:rsidR="00412266" w:rsidRPr="00B6041C" w:rsidRDefault="00412266">
      <w:pPr>
        <w:pStyle w:val="BodyText"/>
      </w:pPr>
      <w:r w:rsidRPr="00B6041C">
        <w:t>The Australian Securities and Investments Commission (ASIC) makes ASIC Class Order [CO 1</w:t>
      </w:r>
      <w:r w:rsidR="006E1BAE">
        <w:t>3</w:t>
      </w:r>
      <w:r w:rsidRPr="00B6041C">
        <w:t>/</w:t>
      </w:r>
      <w:r w:rsidR="005D36BF" w:rsidRPr="00995234">
        <w:rPr>
          <w:bCs/>
        </w:rPr>
        <w:t>1128</w:t>
      </w:r>
      <w:r w:rsidRPr="00B6041C">
        <w:t xml:space="preserve">] under s1020F(1)(c) of the </w:t>
      </w:r>
      <w:r w:rsidRPr="00B6041C">
        <w:rPr>
          <w:i/>
          <w:iCs/>
        </w:rPr>
        <w:t>Corporations Act 2001</w:t>
      </w:r>
      <w:r w:rsidRPr="00B6041C">
        <w:t xml:space="preserve"> (the Act). </w:t>
      </w:r>
    </w:p>
    <w:p w:rsidR="00412266" w:rsidRPr="00B6041C" w:rsidRDefault="00412266">
      <w:pPr>
        <w:pStyle w:val="BodyText"/>
      </w:pPr>
      <w:r w:rsidRPr="00B6041C">
        <w:t>Section 1020F(1)(c) provides that ASIC may declare that Part 7.9 of the Act applies in relation to a person or a financial product, or a class of persons or financial products, as if specified provisions were omitted, modified or varied as specified in the declaration.</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t>1.</w:t>
      </w:r>
      <w:r>
        <w:rPr>
          <w:rFonts w:cs="Arial"/>
          <w:bCs/>
          <w:kern w:val="32"/>
          <w:sz w:val="24"/>
          <w:szCs w:val="32"/>
        </w:rPr>
        <w:tab/>
        <w:t>Background</w:t>
      </w:r>
      <w:bookmarkEnd w:id="0"/>
    </w:p>
    <w:p w:rsidR="00C9331B" w:rsidRPr="00C9331B" w:rsidRDefault="00C9331B" w:rsidP="00C9331B">
      <w:pPr>
        <w:pStyle w:val="BodyText"/>
        <w:rPr>
          <w:iCs/>
        </w:rPr>
      </w:pPr>
      <w:r w:rsidRPr="00C9331B">
        <w:rPr>
          <w:iCs/>
        </w:rPr>
        <w:t xml:space="preserve">The </w:t>
      </w:r>
      <w:r w:rsidRPr="00C9331B">
        <w:rPr>
          <w:i/>
          <w:iCs/>
        </w:rPr>
        <w:t xml:space="preserve">Corporations Amendment Regulations 2010 (No 5) </w:t>
      </w:r>
      <w:r w:rsidRPr="00C9331B">
        <w:rPr>
          <w:iCs/>
        </w:rPr>
        <w:t xml:space="preserve">established a new shorter Product Disclosure Statement (PDS) regime under Subdivision 4.2B (for superannuation products) and Subdivision 4.2C (for simple managed investment schemes) of Division 4 of Part 7.9 of the </w:t>
      </w:r>
      <w:r w:rsidRPr="00C9331B">
        <w:rPr>
          <w:i/>
          <w:iCs/>
        </w:rPr>
        <w:t>Corporations Regulations 2001</w:t>
      </w:r>
      <w:r w:rsidRPr="00C9331B">
        <w:rPr>
          <w:iCs/>
        </w:rPr>
        <w:t xml:space="preserve">. The shorter PDS regime </w:t>
      </w:r>
      <w:r w:rsidR="006E1BAE">
        <w:rPr>
          <w:iCs/>
        </w:rPr>
        <w:t xml:space="preserve">fully </w:t>
      </w:r>
      <w:r w:rsidRPr="00C9331B">
        <w:rPr>
          <w:iCs/>
        </w:rPr>
        <w:t>commence</w:t>
      </w:r>
      <w:r>
        <w:rPr>
          <w:iCs/>
        </w:rPr>
        <w:t>d</w:t>
      </w:r>
      <w:r w:rsidRPr="00C9331B">
        <w:rPr>
          <w:iCs/>
        </w:rPr>
        <w:t xml:space="preserve"> on 22 June 2012. </w:t>
      </w:r>
    </w:p>
    <w:p w:rsidR="00875FC9" w:rsidRDefault="00412266" w:rsidP="006E1BAE">
      <w:pPr>
        <w:pStyle w:val="BodyText"/>
        <w:rPr>
          <w:iCs/>
        </w:rPr>
      </w:pPr>
      <w:r w:rsidRPr="00B6041C">
        <w:rPr>
          <w:iCs/>
        </w:rPr>
        <w:t xml:space="preserve">ASIC Class Order [CO 12/749] </w:t>
      </w:r>
      <w:r w:rsidR="00D724BA" w:rsidRPr="00D724BA">
        <w:rPr>
          <w:i/>
          <w:iCs/>
          <w:lang w:val="en-US"/>
        </w:rPr>
        <w:t>Relief from the Shorter PDS regime</w:t>
      </w:r>
      <w:r w:rsidR="00D724BA" w:rsidRPr="00D724BA">
        <w:rPr>
          <w:iCs/>
          <w:lang w:val="en-US"/>
        </w:rPr>
        <w:t xml:space="preserve"> </w:t>
      </w:r>
      <w:r w:rsidR="006E1BAE">
        <w:rPr>
          <w:iCs/>
          <w:lang w:val="en-US"/>
        </w:rPr>
        <w:t xml:space="preserve">provides interim relief, until 22 </w:t>
      </w:r>
      <w:r w:rsidR="006E1BAE">
        <w:rPr>
          <w:iCs/>
        </w:rPr>
        <w:t xml:space="preserve">June 2014, excluding hedge funds from the shorter PDS regime. Class Order [CO 12/749] was amended by Class Order </w:t>
      </w:r>
      <w:r w:rsidR="00EE67F6">
        <w:rPr>
          <w:iCs/>
        </w:rPr>
        <w:t>[CO 12/1592] and [CO 13/632] to extend</w:t>
      </w:r>
      <w:r w:rsidR="006E1BAE">
        <w:rPr>
          <w:iCs/>
        </w:rPr>
        <w:t xml:space="preserve"> the transitional period provided to responsible entities of h</w:t>
      </w:r>
      <w:r w:rsidR="00875FC9">
        <w:rPr>
          <w:iCs/>
        </w:rPr>
        <w:t xml:space="preserve">edge funds who have prepared </w:t>
      </w:r>
      <w:r w:rsidR="00D724BA">
        <w:rPr>
          <w:iCs/>
        </w:rPr>
        <w:t xml:space="preserve">and given </w:t>
      </w:r>
      <w:r w:rsidR="00875FC9">
        <w:rPr>
          <w:iCs/>
        </w:rPr>
        <w:t xml:space="preserve">a shorter PDS prior to </w:t>
      </w:r>
      <w:r w:rsidR="006E1BAE">
        <w:rPr>
          <w:iCs/>
        </w:rPr>
        <w:t xml:space="preserve">22 June 2012 </w:t>
      </w:r>
      <w:r w:rsidR="00875FC9">
        <w:rPr>
          <w:iCs/>
        </w:rPr>
        <w:t xml:space="preserve">until </w:t>
      </w:r>
      <w:r w:rsidR="006E1BAE">
        <w:rPr>
          <w:iCs/>
        </w:rPr>
        <w:t>1 February 2014</w:t>
      </w:r>
      <w:r w:rsidR="00875FC9">
        <w:rPr>
          <w:iCs/>
        </w:rPr>
        <w:t>, after which they must prepare a full PDS.</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1" w:name="_Toc158699037"/>
      <w:r>
        <w:rPr>
          <w:rFonts w:cs="Arial"/>
          <w:bCs/>
          <w:kern w:val="32"/>
          <w:sz w:val="24"/>
          <w:szCs w:val="32"/>
        </w:rPr>
        <w:t>2.</w:t>
      </w:r>
      <w:r>
        <w:rPr>
          <w:rFonts w:cs="Arial"/>
          <w:bCs/>
          <w:kern w:val="32"/>
          <w:sz w:val="24"/>
          <w:szCs w:val="32"/>
        </w:rPr>
        <w:tab/>
        <w:t>Purpose of the class order</w:t>
      </w:r>
      <w:bookmarkEnd w:id="1"/>
      <w:r>
        <w:rPr>
          <w:rFonts w:cs="Arial"/>
          <w:bCs/>
          <w:kern w:val="32"/>
          <w:sz w:val="24"/>
          <w:szCs w:val="32"/>
        </w:rPr>
        <w:t xml:space="preserve"> </w:t>
      </w:r>
    </w:p>
    <w:p w:rsidR="005C164F" w:rsidRDefault="005979FD" w:rsidP="002F1798">
      <w:pPr>
        <w:pStyle w:val="BodyText"/>
        <w:rPr>
          <w:iCs/>
        </w:rPr>
      </w:pPr>
      <w:r>
        <w:rPr>
          <w:iCs/>
        </w:rPr>
        <w:t xml:space="preserve">ASIC has reviewed the definition of </w:t>
      </w:r>
      <w:r w:rsidR="005D36BF">
        <w:rPr>
          <w:iCs/>
        </w:rPr>
        <w:t>“</w:t>
      </w:r>
      <w:r>
        <w:rPr>
          <w:iCs/>
        </w:rPr>
        <w:t xml:space="preserve">hedge </w:t>
      </w:r>
      <w:r w:rsidR="00461604">
        <w:rPr>
          <w:iCs/>
        </w:rPr>
        <w:t>fund</w:t>
      </w:r>
      <w:r w:rsidR="00AA2A8E">
        <w:rPr>
          <w:iCs/>
        </w:rPr>
        <w:t>”</w:t>
      </w:r>
      <w:r w:rsidR="00461604">
        <w:rPr>
          <w:iCs/>
        </w:rPr>
        <w:t xml:space="preserve"> and</w:t>
      </w:r>
      <w:r w:rsidR="00734B3E">
        <w:rPr>
          <w:iCs/>
        </w:rPr>
        <w:t>,</w:t>
      </w:r>
      <w:r>
        <w:rPr>
          <w:iCs/>
        </w:rPr>
        <w:t xml:space="preserve"> following </w:t>
      </w:r>
      <w:r w:rsidR="002F1798" w:rsidRPr="002F1798">
        <w:rPr>
          <w:iCs/>
        </w:rPr>
        <w:t xml:space="preserve">constructive direct engagement </w:t>
      </w:r>
      <w:r>
        <w:rPr>
          <w:iCs/>
        </w:rPr>
        <w:t>with industry</w:t>
      </w:r>
      <w:r w:rsidR="00734B3E">
        <w:rPr>
          <w:iCs/>
        </w:rPr>
        <w:t>,</w:t>
      </w:r>
      <w:r>
        <w:rPr>
          <w:iCs/>
        </w:rPr>
        <w:t xml:space="preserve"> has decided to make some amendments to the </w:t>
      </w:r>
      <w:r w:rsidR="008A1D9D">
        <w:rPr>
          <w:iCs/>
        </w:rPr>
        <w:t>characteristics</w:t>
      </w:r>
      <w:r w:rsidR="00AA2A8E">
        <w:rPr>
          <w:iCs/>
        </w:rPr>
        <w:t xml:space="preserve"> </w:t>
      </w:r>
      <w:r>
        <w:rPr>
          <w:iCs/>
        </w:rPr>
        <w:t xml:space="preserve">which trigger </w:t>
      </w:r>
      <w:r w:rsidR="0066148B">
        <w:rPr>
          <w:iCs/>
        </w:rPr>
        <w:t>a scheme</w:t>
      </w:r>
      <w:r w:rsidR="005D36BF">
        <w:rPr>
          <w:iCs/>
        </w:rPr>
        <w:t>’</w:t>
      </w:r>
      <w:r w:rsidR="0066148B">
        <w:rPr>
          <w:iCs/>
        </w:rPr>
        <w:t xml:space="preserve">s </w:t>
      </w:r>
      <w:r>
        <w:rPr>
          <w:iCs/>
        </w:rPr>
        <w:t xml:space="preserve">classification </w:t>
      </w:r>
      <w:r w:rsidR="00EE67F6">
        <w:rPr>
          <w:iCs/>
        </w:rPr>
        <w:t xml:space="preserve">as </w:t>
      </w:r>
      <w:r>
        <w:rPr>
          <w:iCs/>
        </w:rPr>
        <w:t>a hedge fund.</w:t>
      </w:r>
      <w:r w:rsidR="005D36BF">
        <w:rPr>
          <w:iCs/>
        </w:rPr>
        <w:t xml:space="preserve"> </w:t>
      </w:r>
      <w:r w:rsidR="00461604" w:rsidRPr="00461604">
        <w:rPr>
          <w:iCs/>
          <w:lang w:val="en-US"/>
        </w:rPr>
        <w:t xml:space="preserve">The changes will </w:t>
      </w:r>
      <w:r w:rsidR="00461604">
        <w:rPr>
          <w:iCs/>
          <w:lang w:val="en-US"/>
        </w:rPr>
        <w:t xml:space="preserve">refine </w:t>
      </w:r>
      <w:r w:rsidR="00461604" w:rsidRPr="00461604">
        <w:rPr>
          <w:iCs/>
          <w:lang w:val="en-US"/>
        </w:rPr>
        <w:t xml:space="preserve">the definition of </w:t>
      </w:r>
      <w:r w:rsidR="005D36BF">
        <w:rPr>
          <w:iCs/>
          <w:lang w:val="en-US"/>
        </w:rPr>
        <w:t>“</w:t>
      </w:r>
      <w:r w:rsidR="00461604" w:rsidRPr="00461604">
        <w:rPr>
          <w:iCs/>
          <w:lang w:val="en-US"/>
        </w:rPr>
        <w:t>hedge fund</w:t>
      </w:r>
      <w:r w:rsidR="005D36BF">
        <w:rPr>
          <w:iCs/>
          <w:lang w:val="en-US"/>
        </w:rPr>
        <w:t>”</w:t>
      </w:r>
      <w:r w:rsidR="00461604" w:rsidRPr="00461604">
        <w:rPr>
          <w:iCs/>
          <w:lang w:val="en-US"/>
        </w:rPr>
        <w:t xml:space="preserve"> to reduce the number of funds which are </w:t>
      </w:r>
      <w:r w:rsidR="002F1798">
        <w:rPr>
          <w:iCs/>
          <w:lang w:val="en-US"/>
        </w:rPr>
        <w:t xml:space="preserve">specifically </w:t>
      </w:r>
      <w:r w:rsidR="005D36BF">
        <w:rPr>
          <w:iCs/>
          <w:lang w:val="en-US"/>
        </w:rPr>
        <w:t>excluded from the shorter PDS regime</w:t>
      </w:r>
      <w:r w:rsidR="002F1798">
        <w:rPr>
          <w:iCs/>
          <w:lang w:val="en-US"/>
        </w:rPr>
        <w:t xml:space="preserve"> </w:t>
      </w:r>
      <w:r w:rsidR="001F7752">
        <w:rPr>
          <w:iCs/>
          <w:lang w:val="en-US"/>
        </w:rPr>
        <w:t>and required to address</w:t>
      </w:r>
      <w:r w:rsidR="001F7752" w:rsidRPr="001F7752">
        <w:rPr>
          <w:iCs/>
          <w:lang w:val="en-US"/>
        </w:rPr>
        <w:t xml:space="preserve"> </w:t>
      </w:r>
      <w:r w:rsidR="001F7752">
        <w:rPr>
          <w:iCs/>
          <w:lang w:val="en-US"/>
        </w:rPr>
        <w:t>t</w:t>
      </w:r>
      <w:r w:rsidR="001F7752" w:rsidRPr="001F7752">
        <w:rPr>
          <w:iCs/>
          <w:lang w:val="en-US"/>
        </w:rPr>
        <w:t xml:space="preserve">he benchmarks and disclosure principles </w:t>
      </w:r>
      <w:r w:rsidR="001F7752">
        <w:rPr>
          <w:iCs/>
          <w:lang w:val="en-US"/>
        </w:rPr>
        <w:t xml:space="preserve">in </w:t>
      </w:r>
      <w:r w:rsidR="001F7752" w:rsidRPr="001F7752">
        <w:rPr>
          <w:iCs/>
          <w:lang w:val="en-US"/>
        </w:rPr>
        <w:t xml:space="preserve">Regulatory Guide 240 </w:t>
      </w:r>
      <w:r w:rsidR="00D4096F" w:rsidRPr="00D4096F">
        <w:rPr>
          <w:i/>
          <w:iCs/>
          <w:lang w:val="en-US"/>
        </w:rPr>
        <w:t>Hedge funds: Improving disclosure</w:t>
      </w:r>
      <w:r w:rsidR="001F7752" w:rsidRPr="001F7752">
        <w:rPr>
          <w:iCs/>
          <w:lang w:val="en-US"/>
        </w:rPr>
        <w:t xml:space="preserve"> (RG 240)</w:t>
      </w:r>
      <w:r w:rsidR="002F1798">
        <w:rPr>
          <w:iCs/>
          <w:lang w:val="en-US"/>
        </w:rPr>
        <w:t xml:space="preserve"> </w:t>
      </w:r>
      <w:r w:rsidR="002F1798" w:rsidRPr="002F1798">
        <w:rPr>
          <w:iCs/>
          <w:lang w:val="en-US"/>
        </w:rPr>
        <w:t>as part of the normal disclosure requirements in Chapter 7 of the Act</w:t>
      </w:r>
      <w:r w:rsidR="001F7752" w:rsidRPr="001F7752">
        <w:rPr>
          <w:iCs/>
          <w:lang w:val="en-US"/>
        </w:rPr>
        <w:t xml:space="preserve">. </w:t>
      </w:r>
      <w:r w:rsidR="001F7752">
        <w:rPr>
          <w:iCs/>
          <w:lang w:val="en-US"/>
        </w:rPr>
        <w:t xml:space="preserve">This will </w:t>
      </w:r>
      <w:r w:rsidR="00461604" w:rsidRPr="00461604">
        <w:rPr>
          <w:iCs/>
          <w:lang w:val="en-US"/>
        </w:rPr>
        <w:t>ensure that ASIC</w:t>
      </w:r>
      <w:r w:rsidR="005D36BF">
        <w:rPr>
          <w:iCs/>
          <w:lang w:val="en-US"/>
        </w:rPr>
        <w:t>’</w:t>
      </w:r>
      <w:r w:rsidR="00461604" w:rsidRPr="00461604">
        <w:rPr>
          <w:iCs/>
          <w:lang w:val="en-US"/>
        </w:rPr>
        <w:t>s disclosure requirements</w:t>
      </w:r>
      <w:r w:rsidR="005D36BF">
        <w:rPr>
          <w:iCs/>
          <w:lang w:val="en-US"/>
        </w:rPr>
        <w:t xml:space="preserve"> for hedge funds</w:t>
      </w:r>
      <w:r w:rsidR="00461604" w:rsidRPr="00461604">
        <w:rPr>
          <w:iCs/>
          <w:lang w:val="en-US"/>
        </w:rPr>
        <w:t xml:space="preserve"> are appropriately targeted at those </w:t>
      </w:r>
      <w:r w:rsidR="009F5051">
        <w:rPr>
          <w:iCs/>
          <w:lang w:val="en-US"/>
        </w:rPr>
        <w:t xml:space="preserve">schemes </w:t>
      </w:r>
      <w:r w:rsidR="00461604" w:rsidRPr="00461604">
        <w:rPr>
          <w:iCs/>
          <w:lang w:val="en-US"/>
        </w:rPr>
        <w:t>which pose more complex risks for investors</w:t>
      </w:r>
      <w:r w:rsidR="00461604">
        <w:rPr>
          <w:iCs/>
          <w:lang w:val="en-US"/>
        </w:rPr>
        <w:t>.</w:t>
      </w:r>
      <w:r w:rsidR="005C164F" w:rsidRPr="005C164F">
        <w:rPr>
          <w:iCs/>
        </w:rPr>
        <w:t xml:space="preserve"> </w:t>
      </w:r>
    </w:p>
    <w:p w:rsidR="00A03A2F" w:rsidRDefault="00A13C00" w:rsidP="00117D1A">
      <w:pPr>
        <w:pStyle w:val="BodyText"/>
        <w:rPr>
          <w:iCs/>
        </w:rPr>
      </w:pPr>
      <w:r>
        <w:rPr>
          <w:iCs/>
        </w:rPr>
        <w:t xml:space="preserve">A </w:t>
      </w:r>
      <w:r w:rsidR="005D36BF">
        <w:rPr>
          <w:iCs/>
        </w:rPr>
        <w:t>“</w:t>
      </w:r>
      <w:r>
        <w:rPr>
          <w:iCs/>
        </w:rPr>
        <w:t>h</w:t>
      </w:r>
      <w:r w:rsidR="00A03A2F">
        <w:rPr>
          <w:iCs/>
        </w:rPr>
        <w:t>edge fund</w:t>
      </w:r>
      <w:r w:rsidR="005D36BF">
        <w:rPr>
          <w:iCs/>
        </w:rPr>
        <w:t>”</w:t>
      </w:r>
      <w:r w:rsidR="00A03A2F">
        <w:rPr>
          <w:iCs/>
        </w:rPr>
        <w:t xml:space="preserve"> is defined in Class Order </w:t>
      </w:r>
      <w:r w:rsidR="00A03A2F" w:rsidRPr="00A03A2F">
        <w:rPr>
          <w:iCs/>
        </w:rPr>
        <w:t xml:space="preserve">[CO 12/749] </w:t>
      </w:r>
      <w:r w:rsidR="00A03A2F">
        <w:rPr>
          <w:iCs/>
        </w:rPr>
        <w:t xml:space="preserve">as a </w:t>
      </w:r>
      <w:r>
        <w:rPr>
          <w:iCs/>
        </w:rPr>
        <w:t xml:space="preserve">registered </w:t>
      </w:r>
      <w:r w:rsidR="00A03A2F">
        <w:rPr>
          <w:iCs/>
        </w:rPr>
        <w:t>managed investment scheme which:</w:t>
      </w:r>
    </w:p>
    <w:p w:rsidR="00A03A2F" w:rsidRDefault="00A03A2F" w:rsidP="00A03A2F">
      <w:pPr>
        <w:pStyle w:val="BodyText"/>
        <w:numPr>
          <w:ilvl w:val="0"/>
          <w:numId w:val="8"/>
        </w:numPr>
        <w:rPr>
          <w:iCs/>
        </w:rPr>
      </w:pPr>
      <w:r>
        <w:rPr>
          <w:iCs/>
        </w:rPr>
        <w:lastRenderedPageBreak/>
        <w:t xml:space="preserve">is promoted by the responsible entity using the expression and as being a </w:t>
      </w:r>
      <w:r w:rsidR="005D36BF">
        <w:rPr>
          <w:iCs/>
        </w:rPr>
        <w:t>“</w:t>
      </w:r>
      <w:r>
        <w:rPr>
          <w:iCs/>
        </w:rPr>
        <w:t>hedge fund</w:t>
      </w:r>
      <w:r w:rsidR="005D36BF">
        <w:rPr>
          <w:iCs/>
        </w:rPr>
        <w:t>”</w:t>
      </w:r>
      <w:r>
        <w:rPr>
          <w:iCs/>
        </w:rPr>
        <w:t>; or</w:t>
      </w:r>
    </w:p>
    <w:p w:rsidR="00A03A2F" w:rsidRDefault="005D36BF" w:rsidP="00A03A2F">
      <w:pPr>
        <w:pStyle w:val="BodyText"/>
        <w:numPr>
          <w:ilvl w:val="0"/>
          <w:numId w:val="8"/>
        </w:numPr>
        <w:rPr>
          <w:iCs/>
        </w:rPr>
      </w:pPr>
      <w:r>
        <w:rPr>
          <w:iCs/>
        </w:rPr>
        <w:t xml:space="preserve">satisfies </w:t>
      </w:r>
      <w:r w:rsidR="00A03A2F">
        <w:rPr>
          <w:iCs/>
        </w:rPr>
        <w:t xml:space="preserve">two or more of the following </w:t>
      </w:r>
      <w:r w:rsidR="006506E9">
        <w:rPr>
          <w:iCs/>
        </w:rPr>
        <w:t>limbs</w:t>
      </w:r>
      <w:r w:rsidR="00A03A2F">
        <w:rPr>
          <w:iCs/>
        </w:rPr>
        <w:t>:</w:t>
      </w:r>
    </w:p>
    <w:p w:rsidR="00A03A2F" w:rsidRDefault="00A03A2F" w:rsidP="00A03A2F">
      <w:pPr>
        <w:pStyle w:val="BodyText"/>
        <w:numPr>
          <w:ilvl w:val="0"/>
          <w:numId w:val="7"/>
        </w:numPr>
        <w:rPr>
          <w:iCs/>
        </w:rPr>
      </w:pPr>
      <w:r>
        <w:rPr>
          <w:iCs/>
        </w:rPr>
        <w:t xml:space="preserve">use of investment strategies intended to generate returns with low correlation to certain </w:t>
      </w:r>
      <w:r w:rsidR="00A13C00">
        <w:rPr>
          <w:iCs/>
        </w:rPr>
        <w:t xml:space="preserve">published </w:t>
      </w:r>
      <w:r>
        <w:rPr>
          <w:iCs/>
        </w:rPr>
        <w:t xml:space="preserve">indices </w:t>
      </w:r>
      <w:r w:rsidR="009F5051" w:rsidRPr="009F5051">
        <w:rPr>
          <w:iCs/>
        </w:rPr>
        <w:t xml:space="preserve">(i.e. ‘complexity of investment strategy’) </w:t>
      </w:r>
      <w:r>
        <w:rPr>
          <w:iCs/>
        </w:rPr>
        <w:t xml:space="preserve">and/or </w:t>
      </w:r>
      <w:r w:rsidR="00D71752">
        <w:rPr>
          <w:iCs/>
        </w:rPr>
        <w:t xml:space="preserve">use of </w:t>
      </w:r>
      <w:r>
        <w:rPr>
          <w:iCs/>
        </w:rPr>
        <w:t>complex investment structure</w:t>
      </w:r>
      <w:r w:rsidR="00A13C00">
        <w:rPr>
          <w:iCs/>
        </w:rPr>
        <w:t>s</w:t>
      </w:r>
      <w:r w:rsidR="009F5051">
        <w:rPr>
          <w:iCs/>
        </w:rPr>
        <w:t xml:space="preserve"> </w:t>
      </w:r>
      <w:r w:rsidR="009F5051" w:rsidRPr="009F5051">
        <w:rPr>
          <w:iCs/>
        </w:rPr>
        <w:t>(i.e. ‘complexity of investment structure’)</w:t>
      </w:r>
      <w:r>
        <w:rPr>
          <w:iCs/>
        </w:rPr>
        <w:t>;</w:t>
      </w:r>
    </w:p>
    <w:p w:rsidR="00A03A2F" w:rsidRDefault="00A03A2F" w:rsidP="00A03A2F">
      <w:pPr>
        <w:pStyle w:val="BodyText"/>
        <w:numPr>
          <w:ilvl w:val="0"/>
          <w:numId w:val="7"/>
        </w:numPr>
        <w:rPr>
          <w:iCs/>
        </w:rPr>
      </w:pPr>
      <w:r>
        <w:rPr>
          <w:iCs/>
        </w:rPr>
        <w:t>use of</w:t>
      </w:r>
      <w:r w:rsidR="00A13C00" w:rsidRPr="00A13C00">
        <w:rPr>
          <w:rFonts w:asciiTheme="minorHAnsi" w:eastAsiaTheme="minorEastAsia" w:hAnsiTheme="minorHAnsi" w:cstheme="minorBidi"/>
          <w:sz w:val="22"/>
          <w:szCs w:val="22"/>
          <w:lang w:eastAsia="en-AU"/>
        </w:rPr>
        <w:t xml:space="preserve"> </w:t>
      </w:r>
      <w:r w:rsidR="00A13C00" w:rsidRPr="00A13C00">
        <w:rPr>
          <w:iCs/>
        </w:rPr>
        <w:t>debt for the dominant purpose of making a financial investment</w:t>
      </w:r>
      <w:r>
        <w:rPr>
          <w:iCs/>
        </w:rPr>
        <w:t>;</w:t>
      </w:r>
    </w:p>
    <w:p w:rsidR="00A03A2F" w:rsidRDefault="00A03A2F" w:rsidP="00A03A2F">
      <w:pPr>
        <w:pStyle w:val="BodyText"/>
        <w:numPr>
          <w:ilvl w:val="0"/>
          <w:numId w:val="7"/>
        </w:numPr>
        <w:rPr>
          <w:iCs/>
        </w:rPr>
      </w:pPr>
      <w:r>
        <w:rPr>
          <w:iCs/>
        </w:rPr>
        <w:t>use of derivatives</w:t>
      </w:r>
      <w:r w:rsidR="00A13C00">
        <w:rPr>
          <w:iCs/>
        </w:rPr>
        <w:t xml:space="preserve"> (subject to limited carve-outs)</w:t>
      </w:r>
      <w:r>
        <w:rPr>
          <w:iCs/>
        </w:rPr>
        <w:t>;</w:t>
      </w:r>
    </w:p>
    <w:p w:rsidR="00117D1A" w:rsidRDefault="00A03A2F" w:rsidP="00A03A2F">
      <w:pPr>
        <w:pStyle w:val="BodyText"/>
        <w:numPr>
          <w:ilvl w:val="0"/>
          <w:numId w:val="7"/>
        </w:numPr>
        <w:rPr>
          <w:iCs/>
        </w:rPr>
      </w:pPr>
      <w:r>
        <w:rPr>
          <w:iCs/>
        </w:rPr>
        <w:t xml:space="preserve">use of short selling; and </w:t>
      </w:r>
    </w:p>
    <w:p w:rsidR="00A03A2F" w:rsidRDefault="00A13C00" w:rsidP="00A03A2F">
      <w:pPr>
        <w:pStyle w:val="BodyText"/>
        <w:numPr>
          <w:ilvl w:val="0"/>
          <w:numId w:val="7"/>
        </w:numPr>
        <w:rPr>
          <w:iCs/>
        </w:rPr>
      </w:pPr>
      <w:r>
        <w:rPr>
          <w:iCs/>
        </w:rPr>
        <w:t xml:space="preserve">rights to charge a </w:t>
      </w:r>
      <w:r w:rsidR="00A03A2F">
        <w:rPr>
          <w:iCs/>
        </w:rPr>
        <w:t>performance fee.</w:t>
      </w:r>
    </w:p>
    <w:p w:rsidR="005979FD" w:rsidRPr="00117D1A" w:rsidRDefault="00EE67F6" w:rsidP="00D71752">
      <w:pPr>
        <w:pStyle w:val="BodyText"/>
        <w:rPr>
          <w:iCs/>
        </w:rPr>
      </w:pPr>
      <w:r>
        <w:rPr>
          <w:iCs/>
        </w:rPr>
        <w:t>This</w:t>
      </w:r>
      <w:r w:rsidR="005979FD">
        <w:rPr>
          <w:iCs/>
        </w:rPr>
        <w:t xml:space="preserve"> class order will assist industry by </w:t>
      </w:r>
      <w:r w:rsidR="00596400">
        <w:rPr>
          <w:iCs/>
        </w:rPr>
        <w:t xml:space="preserve">expanding </w:t>
      </w:r>
      <w:r w:rsidR="00A03A2F">
        <w:rPr>
          <w:iCs/>
        </w:rPr>
        <w:t>some</w:t>
      </w:r>
      <w:r w:rsidR="00596400">
        <w:rPr>
          <w:iCs/>
        </w:rPr>
        <w:t xml:space="preserve"> of the existing</w:t>
      </w:r>
      <w:r w:rsidR="00C50A82">
        <w:rPr>
          <w:iCs/>
        </w:rPr>
        <w:t xml:space="preserve"> carve-</w:t>
      </w:r>
      <w:r w:rsidR="00A03A2F">
        <w:rPr>
          <w:iCs/>
        </w:rPr>
        <w:t xml:space="preserve">outs and </w:t>
      </w:r>
      <w:r w:rsidR="00596400">
        <w:rPr>
          <w:iCs/>
        </w:rPr>
        <w:t xml:space="preserve">providing </w:t>
      </w:r>
      <w:r w:rsidR="005979FD">
        <w:rPr>
          <w:iCs/>
        </w:rPr>
        <w:t xml:space="preserve">greater clarity about the operation of </w:t>
      </w:r>
      <w:r w:rsidR="00A03A2F">
        <w:rPr>
          <w:iCs/>
        </w:rPr>
        <w:t xml:space="preserve">some of the </w:t>
      </w:r>
      <w:r w:rsidR="008A1D9D">
        <w:rPr>
          <w:iCs/>
        </w:rPr>
        <w:t>characteristics</w:t>
      </w:r>
      <w:r w:rsidR="00A03A2F">
        <w:rPr>
          <w:iCs/>
        </w:rPr>
        <w:t xml:space="preserve"> in the </w:t>
      </w:r>
      <w:r w:rsidR="005979FD">
        <w:rPr>
          <w:iCs/>
        </w:rPr>
        <w:t>definition.</w:t>
      </w:r>
      <w:r w:rsidR="00B66E4E">
        <w:rPr>
          <w:iCs/>
        </w:rPr>
        <w:t xml:space="preserve"> </w:t>
      </w:r>
      <w:r w:rsidR="001203F5" w:rsidRPr="001203F5">
        <w:rPr>
          <w:iCs/>
        </w:rPr>
        <w:t>An anti-avoidance clause has been inserted to ensure that responsible entities do not structure schemes with the sole or dominant purpose of avoiding those schemes bein</w:t>
      </w:r>
      <w:r w:rsidR="001203F5">
        <w:rPr>
          <w:iCs/>
        </w:rPr>
        <w:t>g characterised as hedge funds.</w:t>
      </w:r>
    </w:p>
    <w:p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Operation of the class order</w:t>
      </w:r>
      <w:bookmarkEnd w:id="2"/>
      <w:r>
        <w:rPr>
          <w:rFonts w:cs="Arial"/>
          <w:bCs/>
          <w:kern w:val="32"/>
          <w:sz w:val="24"/>
          <w:szCs w:val="32"/>
        </w:rPr>
        <w:t xml:space="preserve"> </w:t>
      </w:r>
    </w:p>
    <w:p w:rsidR="006653DB" w:rsidRDefault="00B6041C">
      <w:pPr>
        <w:pStyle w:val="BodyText"/>
      </w:pPr>
      <w:r>
        <w:t>The class order</w:t>
      </w:r>
      <w:r w:rsidR="006653DB">
        <w:t>:</w:t>
      </w:r>
    </w:p>
    <w:p w:rsidR="00412266" w:rsidRDefault="00DB5C17" w:rsidP="006653DB">
      <w:pPr>
        <w:pStyle w:val="BodyText"/>
        <w:numPr>
          <w:ilvl w:val="0"/>
          <w:numId w:val="5"/>
        </w:numPr>
        <w:tabs>
          <w:tab w:val="clear" w:pos="567"/>
          <w:tab w:val="clear" w:pos="680"/>
        </w:tabs>
      </w:pPr>
      <w:r>
        <w:t>c</w:t>
      </w:r>
      <w:r w:rsidR="00776E04">
        <w:t>larif</w:t>
      </w:r>
      <w:r w:rsidR="001203F5">
        <w:t>ies</w:t>
      </w:r>
      <w:r w:rsidR="00776E04">
        <w:t xml:space="preserve"> </w:t>
      </w:r>
      <w:r w:rsidR="00671C9E">
        <w:t xml:space="preserve">that </w:t>
      </w:r>
      <w:r w:rsidR="00074237">
        <w:t xml:space="preserve">a </w:t>
      </w:r>
      <w:r w:rsidR="005D36BF">
        <w:t>scheme</w:t>
      </w:r>
      <w:r w:rsidR="00671C9E">
        <w:t xml:space="preserve"> </w:t>
      </w:r>
      <w:r w:rsidR="00671C9E" w:rsidRPr="00671C9E">
        <w:rPr>
          <w:lang w:val="en-US"/>
        </w:rPr>
        <w:t>which pursue</w:t>
      </w:r>
      <w:r w:rsidR="00074237">
        <w:rPr>
          <w:lang w:val="en-US"/>
        </w:rPr>
        <w:t>s</w:t>
      </w:r>
      <w:r w:rsidR="00671C9E" w:rsidRPr="00671C9E">
        <w:rPr>
          <w:lang w:val="en-US"/>
        </w:rPr>
        <w:t xml:space="preserve"> a balanced strategy correlated to </w:t>
      </w:r>
      <w:r w:rsidR="005C164F">
        <w:rPr>
          <w:lang w:val="en-US"/>
        </w:rPr>
        <w:t xml:space="preserve">an index over </w:t>
      </w:r>
      <w:r w:rsidR="00671C9E" w:rsidRPr="00671C9E">
        <w:rPr>
          <w:lang w:val="en-US"/>
        </w:rPr>
        <w:t>one or more of the</w:t>
      </w:r>
      <w:r w:rsidR="005D36BF">
        <w:rPr>
          <w:lang w:val="en-US"/>
        </w:rPr>
        <w:t xml:space="preserve"> prescribed</w:t>
      </w:r>
      <w:r w:rsidR="00671C9E" w:rsidRPr="00671C9E">
        <w:rPr>
          <w:lang w:val="en-US"/>
        </w:rPr>
        <w:t xml:space="preserve"> asset classes</w:t>
      </w:r>
      <w:r w:rsidR="00671C9E" w:rsidRPr="00671C9E">
        <w:t xml:space="preserve"> </w:t>
      </w:r>
      <w:r w:rsidR="00A049AC">
        <w:t xml:space="preserve">will </w:t>
      </w:r>
      <w:r w:rsidR="00671C9E">
        <w:t xml:space="preserve">not </w:t>
      </w:r>
      <w:r w:rsidR="00A049AC">
        <w:t xml:space="preserve">trigger </w:t>
      </w:r>
      <w:r w:rsidR="00074237" w:rsidRPr="00074237">
        <w:t xml:space="preserve">the complexity </w:t>
      </w:r>
      <w:r w:rsidR="009F5051">
        <w:t xml:space="preserve">of investment strategy </w:t>
      </w:r>
      <w:r w:rsidR="008A1D9D">
        <w:t>limb</w:t>
      </w:r>
      <w:r w:rsidR="00074237" w:rsidRPr="00074237">
        <w:t xml:space="preserve"> </w:t>
      </w:r>
      <w:r w:rsidR="00776E04">
        <w:t>and expand</w:t>
      </w:r>
      <w:r w:rsidR="004039E4">
        <w:t>s</w:t>
      </w:r>
      <w:r w:rsidR="00776E04">
        <w:t xml:space="preserve"> the </w:t>
      </w:r>
      <w:r w:rsidR="00A049AC">
        <w:t xml:space="preserve">types of published </w:t>
      </w:r>
      <w:r w:rsidR="00776E04">
        <w:t>indices</w:t>
      </w:r>
      <w:r w:rsidR="000D625F">
        <w:t>;</w:t>
      </w:r>
    </w:p>
    <w:p w:rsidR="00A03A2F" w:rsidRDefault="00DB5C17" w:rsidP="006653DB">
      <w:pPr>
        <w:pStyle w:val="BodyText"/>
        <w:numPr>
          <w:ilvl w:val="0"/>
          <w:numId w:val="5"/>
        </w:numPr>
        <w:tabs>
          <w:tab w:val="clear" w:pos="567"/>
          <w:tab w:val="clear" w:pos="680"/>
        </w:tabs>
      </w:pPr>
      <w:r>
        <w:t>a</w:t>
      </w:r>
      <w:r w:rsidR="00A03A2F">
        <w:t>mend</w:t>
      </w:r>
      <w:r w:rsidR="004039E4">
        <w:t>s</w:t>
      </w:r>
      <w:r w:rsidR="00A03A2F">
        <w:t xml:space="preserve"> the </w:t>
      </w:r>
      <w:r w:rsidR="00074237" w:rsidRPr="00074237">
        <w:t xml:space="preserve">complexity </w:t>
      </w:r>
      <w:r w:rsidR="009F5051">
        <w:t xml:space="preserve">of investment structure </w:t>
      </w:r>
      <w:r w:rsidR="008A1D9D">
        <w:t>limb</w:t>
      </w:r>
      <w:r w:rsidR="00074237" w:rsidRPr="00074237">
        <w:t xml:space="preserve"> </w:t>
      </w:r>
      <w:r w:rsidR="00A03A2F">
        <w:t xml:space="preserve">to exclude registered schemes and certain foreign schemes from being </w:t>
      </w:r>
      <w:r w:rsidR="00A049AC">
        <w:t xml:space="preserve">counted </w:t>
      </w:r>
      <w:r w:rsidR="00A03A2F">
        <w:t>as interposed entities;</w:t>
      </w:r>
    </w:p>
    <w:p w:rsidR="00734B3E" w:rsidRDefault="00DB5C17" w:rsidP="006653DB">
      <w:pPr>
        <w:pStyle w:val="BodyText"/>
        <w:numPr>
          <w:ilvl w:val="0"/>
          <w:numId w:val="5"/>
        </w:numPr>
        <w:tabs>
          <w:tab w:val="clear" w:pos="567"/>
          <w:tab w:val="clear" w:pos="680"/>
        </w:tabs>
      </w:pPr>
      <w:r>
        <w:t>c</w:t>
      </w:r>
      <w:r w:rsidR="00776E04">
        <w:t>larif</w:t>
      </w:r>
      <w:r w:rsidR="001203F5">
        <w:t>ies</w:t>
      </w:r>
      <w:r w:rsidR="00776E04">
        <w:t xml:space="preserve"> that derivatives with an expiry date of more than 28 days can still co</w:t>
      </w:r>
      <w:r w:rsidR="00C50A82">
        <w:t>me within the derivatives carve-</w:t>
      </w:r>
      <w:r w:rsidR="00776E04">
        <w:t xml:space="preserve">out for managing financial risk for </w:t>
      </w:r>
      <w:r w:rsidR="004039E4">
        <w:t xml:space="preserve">a period of </w:t>
      </w:r>
      <w:r w:rsidR="00776E04">
        <w:t>less than 28 days</w:t>
      </w:r>
      <w:r w:rsidR="00A049AC">
        <w:t xml:space="preserve"> provided they are closed out within the 28 day timeframe</w:t>
      </w:r>
      <w:r w:rsidR="00776E04">
        <w:t>;</w:t>
      </w:r>
    </w:p>
    <w:p w:rsidR="00776E04" w:rsidRDefault="004039E4" w:rsidP="006653DB">
      <w:pPr>
        <w:pStyle w:val="BodyText"/>
        <w:numPr>
          <w:ilvl w:val="0"/>
          <w:numId w:val="5"/>
        </w:numPr>
        <w:tabs>
          <w:tab w:val="clear" w:pos="567"/>
          <w:tab w:val="clear" w:pos="680"/>
        </w:tabs>
      </w:pPr>
      <w:r>
        <w:t xml:space="preserve">defines </w:t>
      </w:r>
      <w:r w:rsidR="005D36BF">
        <w:t>“</w:t>
      </w:r>
      <w:r w:rsidR="00776E04">
        <w:t>derivatives</w:t>
      </w:r>
      <w:r w:rsidR="005D36BF">
        <w:t>”</w:t>
      </w:r>
      <w:r>
        <w:t xml:space="preserve"> to </w:t>
      </w:r>
      <w:r w:rsidR="00E9479C">
        <w:t xml:space="preserve">specifically </w:t>
      </w:r>
      <w:r>
        <w:t xml:space="preserve">include </w:t>
      </w:r>
      <w:r w:rsidRPr="004039E4">
        <w:t>deferred purchase agreements</w:t>
      </w:r>
      <w:r w:rsidR="00776E04">
        <w:t>;</w:t>
      </w:r>
    </w:p>
    <w:p w:rsidR="00117D1A" w:rsidRDefault="00DB5C17" w:rsidP="006653DB">
      <w:pPr>
        <w:pStyle w:val="BodyText"/>
        <w:numPr>
          <w:ilvl w:val="0"/>
          <w:numId w:val="5"/>
        </w:numPr>
        <w:tabs>
          <w:tab w:val="clear" w:pos="567"/>
          <w:tab w:val="clear" w:pos="680"/>
        </w:tabs>
      </w:pPr>
      <w:r>
        <w:t>i</w:t>
      </w:r>
      <w:r w:rsidR="00776E04">
        <w:t>nsert</w:t>
      </w:r>
      <w:r w:rsidR="004039E4">
        <w:t>s</w:t>
      </w:r>
      <w:r w:rsidR="00776E04">
        <w:t xml:space="preserve"> an additional carve</w:t>
      </w:r>
      <w:r w:rsidR="00C50A82">
        <w:t>-</w:t>
      </w:r>
      <w:r w:rsidR="00776E04">
        <w:t xml:space="preserve">out to the derivatives </w:t>
      </w:r>
      <w:r w:rsidR="006506E9">
        <w:t xml:space="preserve">limb </w:t>
      </w:r>
      <w:r w:rsidR="00776E04">
        <w:t xml:space="preserve">which allows a scheme to have up to 10% of its net asset value </w:t>
      </w:r>
      <w:r w:rsidR="00A049AC">
        <w:t xml:space="preserve">in </w:t>
      </w:r>
      <w:r w:rsidR="00776E04">
        <w:t>exchange traded derivatives for any purpose</w:t>
      </w:r>
      <w:r w:rsidR="000D625F">
        <w:t xml:space="preserve">; </w:t>
      </w:r>
    </w:p>
    <w:p w:rsidR="00BC0F39" w:rsidRDefault="00BC0F39" w:rsidP="006653DB">
      <w:pPr>
        <w:pStyle w:val="BodyText"/>
        <w:numPr>
          <w:ilvl w:val="0"/>
          <w:numId w:val="5"/>
        </w:numPr>
        <w:tabs>
          <w:tab w:val="clear" w:pos="567"/>
          <w:tab w:val="clear" w:pos="680"/>
        </w:tabs>
      </w:pPr>
      <w:r>
        <w:t>clarif</w:t>
      </w:r>
      <w:r w:rsidR="001203F5">
        <w:t>ies</w:t>
      </w:r>
      <w:r>
        <w:t xml:space="preserve"> that where the derivatives </w:t>
      </w:r>
      <w:r w:rsidR="006506E9">
        <w:t xml:space="preserve">limb </w:t>
      </w:r>
      <w:r>
        <w:t xml:space="preserve">is triggered and the use </w:t>
      </w:r>
      <w:r w:rsidR="004039E4">
        <w:t xml:space="preserve">of </w:t>
      </w:r>
      <w:r>
        <w:t xml:space="preserve">derivatives also triggers the leverage or short selling </w:t>
      </w:r>
      <w:r w:rsidR="006506E9">
        <w:t>limbs</w:t>
      </w:r>
      <w:r>
        <w:t xml:space="preserve">, then it will only be taken to </w:t>
      </w:r>
      <w:r w:rsidR="00BF7DFB">
        <w:t xml:space="preserve">trigger the derivatives </w:t>
      </w:r>
      <w:r w:rsidR="006506E9">
        <w:t>limb</w:t>
      </w:r>
      <w:r w:rsidR="009F5051">
        <w:t xml:space="preserve"> </w:t>
      </w:r>
      <w:r w:rsidR="00BF7DFB">
        <w:t xml:space="preserve">and should </w:t>
      </w:r>
      <w:r>
        <w:t xml:space="preserve">not </w:t>
      </w:r>
      <w:r w:rsidR="00BF7DFB">
        <w:t>be double counted;</w:t>
      </w:r>
    </w:p>
    <w:p w:rsidR="00776E04" w:rsidRDefault="00461604" w:rsidP="006653DB">
      <w:pPr>
        <w:pStyle w:val="BodyText"/>
        <w:numPr>
          <w:ilvl w:val="0"/>
          <w:numId w:val="5"/>
        </w:numPr>
        <w:tabs>
          <w:tab w:val="clear" w:pos="567"/>
          <w:tab w:val="clear" w:pos="680"/>
        </w:tabs>
      </w:pPr>
      <w:r>
        <w:lastRenderedPageBreak/>
        <w:t>amend</w:t>
      </w:r>
      <w:r w:rsidR="004039E4">
        <w:t>s</w:t>
      </w:r>
      <w:r w:rsidR="00776E04">
        <w:t xml:space="preserve"> the performance fee </w:t>
      </w:r>
      <w:r w:rsidR="006506E9">
        <w:t xml:space="preserve">limb </w:t>
      </w:r>
      <w:r>
        <w:t xml:space="preserve">so that it </w:t>
      </w:r>
      <w:r w:rsidR="00776E04">
        <w:t xml:space="preserve">is only triggered where there is a right to a performance fee and the responsible entity discloses to investors </w:t>
      </w:r>
      <w:r w:rsidR="00A049AC" w:rsidRPr="00A049AC">
        <w:t xml:space="preserve">that performance fees will be payable in the event the responsible entity or </w:t>
      </w:r>
      <w:r w:rsidR="00A049AC">
        <w:t xml:space="preserve">another </w:t>
      </w:r>
      <w:r w:rsidR="00A049AC" w:rsidRPr="00A049AC">
        <w:t>person satisfy certain criteria related to the performance of the scheme property</w:t>
      </w:r>
      <w:r w:rsidR="00776E04">
        <w:t>; and</w:t>
      </w:r>
    </w:p>
    <w:p w:rsidR="00117D1A" w:rsidRDefault="00DB5C17" w:rsidP="006653DB">
      <w:pPr>
        <w:pStyle w:val="BodyText"/>
        <w:numPr>
          <w:ilvl w:val="0"/>
          <w:numId w:val="5"/>
        </w:numPr>
        <w:tabs>
          <w:tab w:val="clear" w:pos="567"/>
          <w:tab w:val="clear" w:pos="680"/>
        </w:tabs>
      </w:pPr>
      <w:r>
        <w:t>i</w:t>
      </w:r>
      <w:r w:rsidR="00776E04">
        <w:t>nsert</w:t>
      </w:r>
      <w:r w:rsidR="004039E4">
        <w:t>s</w:t>
      </w:r>
      <w:r w:rsidR="00776E04">
        <w:t xml:space="preserve"> an anti-avoidance provision to ensure that responsible entities do not structure schemes with the sole or dominant purpose of ensuring that the scheme does not trigger two or more of the hedge fund </w:t>
      </w:r>
      <w:r w:rsidR="006506E9">
        <w:t>limbs</w:t>
      </w:r>
      <w:r w:rsidR="006653DB">
        <w:t>.</w:t>
      </w:r>
    </w:p>
    <w:p w:rsidR="00B66E4E" w:rsidRPr="00B66E4E" w:rsidRDefault="00ED5649" w:rsidP="00B66E4E">
      <w:pPr>
        <w:pStyle w:val="BodyText"/>
        <w:tabs>
          <w:tab w:val="clear" w:pos="567"/>
          <w:tab w:val="clear" w:pos="680"/>
        </w:tabs>
        <w:rPr>
          <w:i/>
        </w:rPr>
      </w:pPr>
      <w:r>
        <w:rPr>
          <w:i/>
        </w:rPr>
        <w:t>Complex</w:t>
      </w:r>
      <w:r w:rsidR="001079A9">
        <w:rPr>
          <w:i/>
        </w:rPr>
        <w:t>i</w:t>
      </w:r>
      <w:r>
        <w:rPr>
          <w:i/>
        </w:rPr>
        <w:t>t</w:t>
      </w:r>
      <w:r w:rsidR="001079A9">
        <w:rPr>
          <w:i/>
        </w:rPr>
        <w:t xml:space="preserve">y of investment strategy </w:t>
      </w:r>
    </w:p>
    <w:p w:rsidR="00CD0E44" w:rsidRDefault="00CD0E44" w:rsidP="00B66E4E">
      <w:pPr>
        <w:pStyle w:val="BodyText"/>
        <w:tabs>
          <w:tab w:val="clear" w:pos="567"/>
          <w:tab w:val="clear" w:pos="680"/>
        </w:tabs>
      </w:pPr>
      <w:r>
        <w:t xml:space="preserve">The list of asset classes covered by published indices </w:t>
      </w:r>
      <w:r w:rsidR="00A049AC" w:rsidRPr="00A049AC">
        <w:t>used in determining whether an in</w:t>
      </w:r>
      <w:r>
        <w:t xml:space="preserve">vestment strategy is complex has been expanded to </w:t>
      </w:r>
      <w:r w:rsidR="00A049AC" w:rsidRPr="00A049AC">
        <w:t>include</w:t>
      </w:r>
      <w:r w:rsidR="00390143">
        <w:t xml:space="preserve"> </w:t>
      </w:r>
      <w:r w:rsidR="004039E4">
        <w:t xml:space="preserve">bills of exchange, promissory notes, certificates of deposit or other </w:t>
      </w:r>
      <w:r w:rsidR="00DC1A38">
        <w:t xml:space="preserve">negotiable </w:t>
      </w:r>
      <w:r w:rsidR="00390143">
        <w:t>short</w:t>
      </w:r>
      <w:r w:rsidR="004039E4">
        <w:t>-</w:t>
      </w:r>
      <w:r w:rsidR="00390143">
        <w:t>term money market instruments</w:t>
      </w:r>
      <w:r>
        <w:t>.</w:t>
      </w:r>
      <w:r w:rsidR="00DF755F">
        <w:t xml:space="preserve"> </w:t>
      </w:r>
      <w:r>
        <w:t xml:space="preserve">This </w:t>
      </w:r>
      <w:r w:rsidR="006506E9">
        <w:t xml:space="preserve">limb </w:t>
      </w:r>
      <w:r>
        <w:t xml:space="preserve">has also been amended to </w:t>
      </w:r>
      <w:r w:rsidR="00A049AC" w:rsidRPr="00A049AC">
        <w:t xml:space="preserve">make it clear a fund can pursue returns correlated to </w:t>
      </w:r>
      <w:r w:rsidR="005C164F">
        <w:t xml:space="preserve">an index over </w:t>
      </w:r>
      <w:r w:rsidR="00A049AC" w:rsidRPr="00A049AC">
        <w:t>one or more of the</w:t>
      </w:r>
      <w:r w:rsidR="00DF755F">
        <w:t>se</w:t>
      </w:r>
      <w:r w:rsidR="00A049AC" w:rsidRPr="00A049AC">
        <w:t xml:space="preserve"> asset classes without triggering this limb of the complexity criterion</w:t>
      </w:r>
      <w:r>
        <w:t>.</w:t>
      </w:r>
      <w:r w:rsidR="0066148B">
        <w:t xml:space="preserve">  </w:t>
      </w:r>
    </w:p>
    <w:p w:rsidR="00B66E4E" w:rsidRPr="00B66E4E" w:rsidRDefault="00B66E4E" w:rsidP="00B66E4E">
      <w:pPr>
        <w:pStyle w:val="BodyText"/>
        <w:tabs>
          <w:tab w:val="clear" w:pos="567"/>
          <w:tab w:val="clear" w:pos="680"/>
        </w:tabs>
        <w:rPr>
          <w:i/>
        </w:rPr>
      </w:pPr>
      <w:r w:rsidRPr="00B66E4E">
        <w:rPr>
          <w:i/>
        </w:rPr>
        <w:t>Complex</w:t>
      </w:r>
      <w:r w:rsidR="001079A9">
        <w:rPr>
          <w:i/>
        </w:rPr>
        <w:t>ity of</w:t>
      </w:r>
      <w:r w:rsidRPr="00B66E4E">
        <w:rPr>
          <w:i/>
        </w:rPr>
        <w:t xml:space="preserve"> investment structure </w:t>
      </w:r>
    </w:p>
    <w:p w:rsidR="00B66E4E" w:rsidRDefault="00CD0E44" w:rsidP="00B66E4E">
      <w:pPr>
        <w:pStyle w:val="BodyText"/>
        <w:tabs>
          <w:tab w:val="clear" w:pos="567"/>
          <w:tab w:val="clear" w:pos="680"/>
        </w:tabs>
      </w:pPr>
      <w:r>
        <w:t xml:space="preserve">A new definition of </w:t>
      </w:r>
      <w:r w:rsidR="005D36BF">
        <w:t>“</w:t>
      </w:r>
      <w:r>
        <w:t>interposed entity</w:t>
      </w:r>
      <w:r w:rsidR="005D36BF">
        <w:t>”</w:t>
      </w:r>
      <w:r>
        <w:t xml:space="preserve"> has been inserted</w:t>
      </w:r>
      <w:r w:rsidR="0046287D">
        <w:t xml:space="preserve">. The new definition clarifies that in </w:t>
      </w:r>
      <w:r w:rsidR="0046287D" w:rsidRPr="0046287D">
        <w:t xml:space="preserve">calculating the number of interposed </w:t>
      </w:r>
      <w:r w:rsidR="0046287D">
        <w:t>entities</w:t>
      </w:r>
      <w:r w:rsidR="0046287D" w:rsidRPr="0046287D">
        <w:t>, the</w:t>
      </w:r>
      <w:r w:rsidR="00671C9E">
        <w:t xml:space="preserve"> calculation is to be performed by reference to each separate vertical stream of interposed entities</w:t>
      </w:r>
      <w:r w:rsidR="0046287D">
        <w:t>.</w:t>
      </w:r>
    </w:p>
    <w:p w:rsidR="00DC1A38" w:rsidRDefault="00DC1A38" w:rsidP="00DC1A38">
      <w:pPr>
        <w:pStyle w:val="BodyText"/>
      </w:pPr>
      <w:r w:rsidRPr="00DC1A38">
        <w:t xml:space="preserve">Further, the new definition of </w:t>
      </w:r>
      <w:r w:rsidR="005D36BF">
        <w:t>“</w:t>
      </w:r>
      <w:r w:rsidRPr="00DC1A38">
        <w:t>interposed entity</w:t>
      </w:r>
      <w:r w:rsidR="005D36BF">
        <w:t>”</w:t>
      </w:r>
      <w:r w:rsidRPr="00DC1A38">
        <w:t xml:space="preserve"> excludes</w:t>
      </w:r>
      <w:r>
        <w:t>:</w:t>
      </w:r>
    </w:p>
    <w:p w:rsidR="009C18FA" w:rsidRDefault="00DC1A38">
      <w:pPr>
        <w:pStyle w:val="BodyText"/>
        <w:numPr>
          <w:ilvl w:val="0"/>
          <w:numId w:val="11"/>
        </w:numPr>
      </w:pPr>
      <w:r w:rsidRPr="00DC1A38">
        <w:t>registered schemes</w:t>
      </w:r>
      <w:r>
        <w:t>;</w:t>
      </w:r>
      <w:r w:rsidRPr="00DC1A38">
        <w:t xml:space="preserve"> and </w:t>
      </w:r>
    </w:p>
    <w:p w:rsidR="009C18FA" w:rsidRDefault="00DC1A38">
      <w:pPr>
        <w:pStyle w:val="BodyText"/>
        <w:numPr>
          <w:ilvl w:val="0"/>
          <w:numId w:val="11"/>
        </w:numPr>
      </w:pPr>
      <w:r>
        <w:t xml:space="preserve">certain foreign </w:t>
      </w:r>
      <w:r w:rsidRPr="00DC1A38">
        <w:t xml:space="preserve">entities </w:t>
      </w:r>
      <w:r>
        <w:t>where:</w:t>
      </w:r>
    </w:p>
    <w:p w:rsidR="009C18FA" w:rsidRDefault="00DC1A38">
      <w:pPr>
        <w:pStyle w:val="BodyText"/>
        <w:numPr>
          <w:ilvl w:val="1"/>
          <w:numId w:val="11"/>
        </w:numPr>
      </w:pPr>
      <w:r>
        <w:t xml:space="preserve">the foreign entity is </w:t>
      </w:r>
      <w:r w:rsidRPr="00DC1A38">
        <w:t xml:space="preserve">incorporated or registered in an offshore jurisdiction which has a regulatory authority </w:t>
      </w:r>
      <w:r>
        <w:t xml:space="preserve">with satisfactory cooperation arrangements in place with ASIC </w:t>
      </w:r>
      <w:r w:rsidRPr="00DC1A38">
        <w:t>(</w:t>
      </w:r>
      <w:r w:rsidRPr="00DC1A38">
        <w:rPr>
          <w:b/>
          <w:i/>
        </w:rPr>
        <w:t>prescribed foreign regulatory authority</w:t>
      </w:r>
      <w:r w:rsidRPr="00DC1A38">
        <w:t>)</w:t>
      </w:r>
      <w:r>
        <w:t>;</w:t>
      </w:r>
      <w:r w:rsidRPr="00DC1A38">
        <w:t xml:space="preserve"> and </w:t>
      </w:r>
    </w:p>
    <w:p w:rsidR="009C18FA" w:rsidRDefault="00DC1A38">
      <w:pPr>
        <w:pStyle w:val="BodyText"/>
        <w:numPr>
          <w:ilvl w:val="1"/>
          <w:numId w:val="11"/>
        </w:numPr>
      </w:pPr>
      <w:r w:rsidRPr="00DC1A38">
        <w:t xml:space="preserve">the foreign entity or its operator is specifically authorised by a prescribed foreign regulatory authority to make offers of financial products that comprise rights or interests in the </w:t>
      </w:r>
      <w:r>
        <w:t xml:space="preserve">foreign </w:t>
      </w:r>
      <w:r w:rsidRPr="00DC1A38">
        <w:t>entity to the general public</w:t>
      </w:r>
      <w:r w:rsidR="00E9479C">
        <w:t xml:space="preserve"> (ie the </w:t>
      </w:r>
      <w:r w:rsidR="00E9479C" w:rsidRPr="00E9479C">
        <w:t xml:space="preserve">foreign entity or its operator is specifically authorised </w:t>
      </w:r>
      <w:r w:rsidR="00E9479C">
        <w:t xml:space="preserve">to make offers to </w:t>
      </w:r>
      <w:r w:rsidR="00074237">
        <w:t>all classes of</w:t>
      </w:r>
      <w:r w:rsidR="00E9479C">
        <w:t xml:space="preserve"> investors)</w:t>
      </w:r>
      <w:r w:rsidRPr="00DC1A38">
        <w:t xml:space="preserve"> in a foreign jurisdiction in relation to which a prescribed foreign regulatory authority regulates financial services. </w:t>
      </w:r>
    </w:p>
    <w:p w:rsidR="000122E3" w:rsidRPr="000122E3" w:rsidRDefault="000122E3" w:rsidP="0046287D">
      <w:pPr>
        <w:pStyle w:val="BodyText"/>
      </w:pPr>
      <w:r>
        <w:t xml:space="preserve">A list of the prescribed foreign regulatory authorities can be found in Schedule 10F of the </w:t>
      </w:r>
      <w:r>
        <w:rPr>
          <w:i/>
        </w:rPr>
        <w:t>Corporations Regulations 2001</w:t>
      </w:r>
      <w:r>
        <w:t>.</w:t>
      </w:r>
    </w:p>
    <w:p w:rsidR="00B66E4E" w:rsidRPr="00B66E4E" w:rsidRDefault="00B66E4E" w:rsidP="00B66E4E">
      <w:pPr>
        <w:pStyle w:val="BodyText"/>
        <w:tabs>
          <w:tab w:val="clear" w:pos="567"/>
          <w:tab w:val="clear" w:pos="680"/>
        </w:tabs>
        <w:rPr>
          <w:i/>
        </w:rPr>
      </w:pPr>
      <w:r w:rsidRPr="00B66E4E">
        <w:rPr>
          <w:i/>
        </w:rPr>
        <w:t xml:space="preserve">Use of derivatives </w:t>
      </w:r>
    </w:p>
    <w:p w:rsidR="00ED5649" w:rsidRDefault="00ED5649" w:rsidP="00ED5649">
      <w:pPr>
        <w:pStyle w:val="BodyText"/>
      </w:pPr>
      <w:r>
        <w:t>Th</w:t>
      </w:r>
      <w:r w:rsidR="00DF755F">
        <w:t>e</w:t>
      </w:r>
      <w:r>
        <w:t xml:space="preserve"> class order makes the following changes to the derivatives </w:t>
      </w:r>
      <w:r w:rsidR="006506E9">
        <w:t>limb</w:t>
      </w:r>
      <w:r>
        <w:t>:</w:t>
      </w:r>
    </w:p>
    <w:p w:rsidR="00ED5649" w:rsidRPr="00ED5649" w:rsidRDefault="00E9479C" w:rsidP="00ED5649">
      <w:pPr>
        <w:pStyle w:val="BodyText"/>
        <w:numPr>
          <w:ilvl w:val="0"/>
          <w:numId w:val="10"/>
        </w:numPr>
        <w:ind w:left="567" w:hanging="207"/>
      </w:pPr>
      <w:r>
        <w:lastRenderedPageBreak/>
        <w:t>extends the meaning of</w:t>
      </w:r>
      <w:r w:rsidR="00ED5649" w:rsidRPr="00ED5649">
        <w:t xml:space="preserve"> </w:t>
      </w:r>
      <w:r w:rsidR="005D36BF">
        <w:t>“</w:t>
      </w:r>
      <w:r w:rsidR="00ED5649" w:rsidRPr="00ED5649">
        <w:t>derivatives</w:t>
      </w:r>
      <w:r w:rsidR="005D36BF">
        <w:t>”</w:t>
      </w:r>
      <w:r>
        <w:t xml:space="preserve"> in s761D </w:t>
      </w:r>
      <w:r w:rsidR="009F5051">
        <w:t xml:space="preserve">of the Act </w:t>
      </w:r>
      <w:r>
        <w:t>to include deferred purchase agreements</w:t>
      </w:r>
      <w:r w:rsidR="00ED5649" w:rsidRPr="00ED5649">
        <w:t>;</w:t>
      </w:r>
    </w:p>
    <w:p w:rsidR="00E727CD" w:rsidRPr="00ED5649" w:rsidRDefault="00DD6849" w:rsidP="00ED5649">
      <w:pPr>
        <w:pStyle w:val="BodyText"/>
        <w:numPr>
          <w:ilvl w:val="0"/>
          <w:numId w:val="10"/>
        </w:numPr>
        <w:ind w:left="567" w:hanging="207"/>
      </w:pPr>
      <w:r>
        <w:t>clarif</w:t>
      </w:r>
      <w:r w:rsidR="001203F5">
        <w:t>ie</w:t>
      </w:r>
      <w:r w:rsidR="000C44FA">
        <w:t>s</w:t>
      </w:r>
      <w:r>
        <w:t xml:space="preserve"> </w:t>
      </w:r>
      <w:r w:rsidR="000122E3">
        <w:t>the existing carve</w:t>
      </w:r>
      <w:r w:rsidR="000C44FA">
        <w:t>-</w:t>
      </w:r>
      <w:r w:rsidR="00E727CD" w:rsidRPr="00ED5649">
        <w:t xml:space="preserve">out </w:t>
      </w:r>
      <w:r>
        <w:t xml:space="preserve">which allows the </w:t>
      </w:r>
      <w:r w:rsidR="00E727CD" w:rsidRPr="00ED5649">
        <w:t xml:space="preserve">use </w:t>
      </w:r>
      <w:r>
        <w:t xml:space="preserve">of </w:t>
      </w:r>
      <w:r w:rsidR="00E727CD" w:rsidRPr="00ED5649">
        <w:t>exchange traded derivatives to more efficiently gain an economic exposure to the underlying reference assets of those derivatives, but only on a temporary basis</w:t>
      </w:r>
      <w:r w:rsidR="000C44FA">
        <w:t>,</w:t>
      </w:r>
      <w:r w:rsidR="00E727CD" w:rsidRPr="00ED5649">
        <w:t xml:space="preserve"> to make it clear that the derivative position </w:t>
      </w:r>
      <w:r w:rsidR="000122E3">
        <w:t xml:space="preserve">(which can have a term of 28 days or more) </w:t>
      </w:r>
      <w:r w:rsidR="00E727CD" w:rsidRPr="00ED5649">
        <w:t>cannot be held on an ongoing basis by simply rolling the derivative every 28 days</w:t>
      </w:r>
      <w:r w:rsidR="000122E3">
        <w:t>; and</w:t>
      </w:r>
    </w:p>
    <w:p w:rsidR="00BF7DFB" w:rsidRDefault="00B66E4E" w:rsidP="00ED5649">
      <w:pPr>
        <w:pStyle w:val="BodyText"/>
        <w:numPr>
          <w:ilvl w:val="0"/>
          <w:numId w:val="10"/>
        </w:numPr>
        <w:ind w:left="567" w:hanging="207"/>
      </w:pPr>
      <w:r w:rsidRPr="00ED5649">
        <w:t>insert</w:t>
      </w:r>
      <w:r w:rsidR="000C44FA">
        <w:t>s</w:t>
      </w:r>
      <w:r w:rsidRPr="00ED5649">
        <w:t xml:space="preserve"> an additional </w:t>
      </w:r>
      <w:r w:rsidR="00C50A82">
        <w:t>carve-</w:t>
      </w:r>
      <w:r w:rsidRPr="00ED5649">
        <w:t xml:space="preserve">out to allow a scheme to have up to 10% of its net asset value </w:t>
      </w:r>
      <w:r w:rsidR="000122E3">
        <w:t xml:space="preserve">in </w:t>
      </w:r>
      <w:r w:rsidRPr="00ED5649">
        <w:t>exchange traded derivatives</w:t>
      </w:r>
      <w:r w:rsidR="000122E3">
        <w:t>.</w:t>
      </w:r>
      <w:r w:rsidR="00FF11AD">
        <w:t xml:space="preserve">  </w:t>
      </w:r>
      <w:r w:rsidR="00FF11AD" w:rsidRPr="00FF11AD">
        <w:t>Thi</w:t>
      </w:r>
      <w:r w:rsidR="00FF11AD">
        <w:t>s new carve</w:t>
      </w:r>
      <w:r w:rsidR="000C44FA">
        <w:t>-</w:t>
      </w:r>
      <w:r w:rsidR="00FF11AD">
        <w:t>out is</w:t>
      </w:r>
      <w:r w:rsidR="00FF11AD" w:rsidRPr="00FF11AD">
        <w:t xml:space="preserve"> not subject to a defined purpose or duration limit and is intended to provide fund managers with greater flexibility by allowing them to use exchange traded derivatives for any purpose provided </w:t>
      </w:r>
      <w:r w:rsidR="005C164F">
        <w:t xml:space="preserve">the value of those derivatives </w:t>
      </w:r>
      <w:r w:rsidR="00FF11AD" w:rsidRPr="00FF11AD">
        <w:t>do</w:t>
      </w:r>
      <w:r w:rsidR="009F5051">
        <w:t>es</w:t>
      </w:r>
      <w:r w:rsidR="00FF11AD" w:rsidRPr="00FF11AD">
        <w:t xml:space="preserve"> not exceed 10% of the </w:t>
      </w:r>
      <w:r w:rsidR="00034D8E">
        <w:t>scheme</w:t>
      </w:r>
      <w:r w:rsidR="005D36BF">
        <w:t>’</w:t>
      </w:r>
      <w:r w:rsidR="00FF11AD" w:rsidRPr="00FF11AD">
        <w:t xml:space="preserve">s </w:t>
      </w:r>
      <w:r w:rsidR="00034D8E">
        <w:t>net asset value.</w:t>
      </w:r>
      <w:r w:rsidR="00671C9E">
        <w:t xml:space="preserve"> </w:t>
      </w:r>
      <w:r w:rsidR="000C44FA">
        <w:t>The scheme is able to</w:t>
      </w:r>
      <w:r w:rsidR="000C44FA" w:rsidRPr="000C44FA">
        <w:t xml:space="preserve"> </w:t>
      </w:r>
      <w:r w:rsidR="00BF7DFB" w:rsidRPr="00BF7DFB">
        <w:t xml:space="preserve">temporarily exceed the 10% limit </w:t>
      </w:r>
      <w:r w:rsidR="000C44FA">
        <w:t>for r</w:t>
      </w:r>
      <w:r w:rsidR="000C44FA" w:rsidRPr="000C44FA">
        <w:t>easons that could not have been reasonably foreseen</w:t>
      </w:r>
      <w:r w:rsidR="008A1D9D">
        <w:t xml:space="preserve"> by the responsible entity</w:t>
      </w:r>
      <w:r w:rsidR="000C44FA" w:rsidRPr="000C44FA">
        <w:t xml:space="preserve"> </w:t>
      </w:r>
      <w:r w:rsidR="000C44FA">
        <w:t xml:space="preserve">(eg </w:t>
      </w:r>
      <w:r w:rsidR="00BF7DFB" w:rsidRPr="00BF7DFB">
        <w:t>due</w:t>
      </w:r>
      <w:r w:rsidR="009006DB">
        <w:t xml:space="preserve"> </w:t>
      </w:r>
      <w:r w:rsidR="00BF7DFB" w:rsidRPr="00BF7DFB">
        <w:t>to reasonably unforeseen market movements or large redemption requests</w:t>
      </w:r>
      <w:r w:rsidR="000C44FA">
        <w:t>)</w:t>
      </w:r>
      <w:r w:rsidR="00BF7DFB" w:rsidRPr="00BF7DFB">
        <w:t xml:space="preserve"> and the exposure is for a period of no more than </w:t>
      </w:r>
      <w:r w:rsidR="005C164F">
        <w:t>three</w:t>
      </w:r>
      <w:r w:rsidR="00BF7DFB" w:rsidRPr="00BF7DFB">
        <w:t xml:space="preserve"> consecutive business days</w:t>
      </w:r>
      <w:r w:rsidR="009006DB">
        <w:t>.</w:t>
      </w:r>
      <w:r w:rsidR="00BF7DFB" w:rsidRPr="00BF7DFB">
        <w:t xml:space="preserve"> </w:t>
      </w:r>
      <w:r w:rsidR="00671C9E">
        <w:t>In calculating the derivatives exposure of the scheme</w:t>
      </w:r>
      <w:r w:rsidR="009C18FA">
        <w:t>, the scheme</w:t>
      </w:r>
      <w:r w:rsidR="00BF7DFB">
        <w:t>:</w:t>
      </w:r>
    </w:p>
    <w:p w:rsidR="009C18FA" w:rsidRDefault="009C18FA">
      <w:pPr>
        <w:pStyle w:val="BodyText"/>
        <w:numPr>
          <w:ilvl w:val="1"/>
          <w:numId w:val="10"/>
        </w:numPr>
      </w:pPr>
      <w:r w:rsidRPr="009C18FA">
        <w:t xml:space="preserve">is permitted to </w:t>
      </w:r>
      <w:r w:rsidR="000C44FA">
        <w:t xml:space="preserve">exclude </w:t>
      </w:r>
      <w:r w:rsidR="00671C9E">
        <w:t xml:space="preserve">any </w:t>
      </w:r>
      <w:r w:rsidR="000C44FA">
        <w:t xml:space="preserve">exchanged traded </w:t>
      </w:r>
      <w:r w:rsidR="00671C9E">
        <w:t>derivatives</w:t>
      </w:r>
      <w:r>
        <w:t xml:space="preserve"> it uses</w:t>
      </w:r>
      <w:r w:rsidR="00671C9E">
        <w:t xml:space="preserve"> </w:t>
      </w:r>
      <w:r w:rsidR="000C44FA">
        <w:t xml:space="preserve">for the dominant purpose of managing foreign exchange or interest rate risks or to </w:t>
      </w:r>
      <w:r w:rsidR="000C44FA" w:rsidRPr="000C44FA">
        <w:t>more efficiently gain an economic exposure to the underlying reference assets of those derivatives</w:t>
      </w:r>
      <w:r w:rsidR="000C44FA">
        <w:t xml:space="preserve"> on a temporary basis (less than 28 days)</w:t>
      </w:r>
      <w:r w:rsidR="00BF7DFB">
        <w:t>; and</w:t>
      </w:r>
    </w:p>
    <w:p w:rsidR="009C18FA" w:rsidRDefault="009C18FA">
      <w:pPr>
        <w:pStyle w:val="BodyText"/>
        <w:numPr>
          <w:ilvl w:val="1"/>
          <w:numId w:val="10"/>
        </w:numPr>
      </w:pPr>
      <w:r>
        <w:t xml:space="preserve">is to </w:t>
      </w:r>
      <w:r w:rsidR="00BF7DFB">
        <w:t xml:space="preserve">sum the face value or notional amount of each derivative that gives rise to a long exposure and </w:t>
      </w:r>
      <w:r w:rsidR="00BF7DFB" w:rsidRPr="00BF7DFB">
        <w:t>the face value or notional amount of each derivative that gi</w:t>
      </w:r>
      <w:r w:rsidR="00BF7DFB" w:rsidRPr="008A1D9D">
        <w:t>ves rise to a short exposure (</w:t>
      </w:r>
      <w:r w:rsidR="008118D1" w:rsidRPr="008118D1">
        <w:t xml:space="preserve">although derivatives that </w:t>
      </w:r>
      <w:r w:rsidR="008A1D9D" w:rsidRPr="008A1D9D">
        <w:t>are otherwise on the same terms and relate to an underlying or reference asset of the same class</w:t>
      </w:r>
      <w:r w:rsidR="008118D1" w:rsidRPr="008118D1">
        <w:t xml:space="preserve"> can be offset against each other</w:t>
      </w:r>
      <w:r w:rsidR="00BF7DFB" w:rsidRPr="008A1D9D">
        <w:t>)</w:t>
      </w:r>
      <w:r w:rsidR="00671C9E" w:rsidRPr="008A1D9D">
        <w:t>.</w:t>
      </w:r>
    </w:p>
    <w:p w:rsidR="000B16D0" w:rsidRDefault="00BC0F39">
      <w:pPr>
        <w:pStyle w:val="BodyText"/>
      </w:pPr>
      <w:r>
        <w:t xml:space="preserve">The class order also clarifies that where the derivatives </w:t>
      </w:r>
      <w:r w:rsidR="006506E9">
        <w:t>limb</w:t>
      </w:r>
      <w:r w:rsidR="009F5051">
        <w:t xml:space="preserve"> </w:t>
      </w:r>
      <w:r>
        <w:t xml:space="preserve">is triggered and the </w:t>
      </w:r>
      <w:r w:rsidR="00341102">
        <w:t xml:space="preserve">scheme’s use of </w:t>
      </w:r>
      <w:r>
        <w:t xml:space="preserve">derivatives could also be characterised as satisfying </w:t>
      </w:r>
      <w:r w:rsidR="00341102">
        <w:t xml:space="preserve">either </w:t>
      </w:r>
      <w:r>
        <w:t xml:space="preserve">the leverage or short selling </w:t>
      </w:r>
      <w:r w:rsidR="006506E9">
        <w:t>limbs</w:t>
      </w:r>
      <w:r w:rsidR="009F5051">
        <w:t xml:space="preserve"> </w:t>
      </w:r>
      <w:r>
        <w:t xml:space="preserve">then it should not be double counted (i.e. only the derivatives </w:t>
      </w:r>
      <w:r w:rsidR="006506E9">
        <w:t>limb</w:t>
      </w:r>
      <w:r w:rsidR="009F5051">
        <w:t xml:space="preserve"> </w:t>
      </w:r>
      <w:r>
        <w:t xml:space="preserve">would be </w:t>
      </w:r>
      <w:r w:rsidR="00341102">
        <w:t>satisfied</w:t>
      </w:r>
      <w:r>
        <w:t xml:space="preserve">). </w:t>
      </w:r>
    </w:p>
    <w:p w:rsidR="00B66E4E" w:rsidRPr="00B66E4E" w:rsidRDefault="00B66E4E" w:rsidP="00B66E4E">
      <w:pPr>
        <w:pStyle w:val="BodyText"/>
        <w:tabs>
          <w:tab w:val="clear" w:pos="567"/>
          <w:tab w:val="clear" w:pos="680"/>
        </w:tabs>
        <w:rPr>
          <w:i/>
        </w:rPr>
      </w:pPr>
      <w:r w:rsidRPr="00B66E4E">
        <w:rPr>
          <w:i/>
        </w:rPr>
        <w:t>Performance fees</w:t>
      </w:r>
    </w:p>
    <w:p w:rsidR="00B66E4E" w:rsidRDefault="000122E3" w:rsidP="000122E3">
      <w:pPr>
        <w:pStyle w:val="BodyText"/>
      </w:pPr>
      <w:r>
        <w:t>T</w:t>
      </w:r>
      <w:r w:rsidR="00B66E4E" w:rsidRPr="000122E3">
        <w:t xml:space="preserve">he </w:t>
      </w:r>
      <w:r>
        <w:t xml:space="preserve">operation of the </w:t>
      </w:r>
      <w:r w:rsidR="00B66E4E" w:rsidRPr="000122E3">
        <w:t xml:space="preserve">performance fee </w:t>
      </w:r>
      <w:r w:rsidR="006506E9">
        <w:t>limb</w:t>
      </w:r>
      <w:r w:rsidR="007E11F3" w:rsidRPr="000122E3">
        <w:t xml:space="preserve"> </w:t>
      </w:r>
      <w:r w:rsidR="00B66E4E" w:rsidRPr="000122E3">
        <w:t xml:space="preserve">is </w:t>
      </w:r>
      <w:r w:rsidR="00461604">
        <w:t>amend</w:t>
      </w:r>
      <w:r>
        <w:t xml:space="preserve">ed so that it is </w:t>
      </w:r>
      <w:r w:rsidR="00B66E4E" w:rsidRPr="000122E3">
        <w:t xml:space="preserve">only triggered where there is a right to a performance fee and the responsible entity </w:t>
      </w:r>
      <w:r w:rsidR="007E11F3">
        <w:t xml:space="preserve">has </w:t>
      </w:r>
      <w:r w:rsidR="00B66E4E" w:rsidRPr="000122E3">
        <w:t>disclose</w:t>
      </w:r>
      <w:r w:rsidR="007E11F3">
        <w:t>d</w:t>
      </w:r>
      <w:r w:rsidR="00B66E4E" w:rsidRPr="000122E3">
        <w:t xml:space="preserve"> to investors that performance fees</w:t>
      </w:r>
      <w:r w:rsidR="007E11F3">
        <w:t xml:space="preserve"> will be payable</w:t>
      </w:r>
      <w:r w:rsidR="00B66E4E" w:rsidRPr="000122E3">
        <w:t xml:space="preserve"> when the performanc</w:t>
      </w:r>
      <w:r>
        <w:t>e fee conditions are satisfied</w:t>
      </w:r>
      <w:r w:rsidR="009C6588">
        <w:t xml:space="preserve"> (e.g. the </w:t>
      </w:r>
      <w:r w:rsidR="009F5051">
        <w:t xml:space="preserve">scheme </w:t>
      </w:r>
      <w:r w:rsidR="009C6588">
        <w:t>outperforms the relevant benchmark)</w:t>
      </w:r>
      <w:r>
        <w:t>.</w:t>
      </w:r>
    </w:p>
    <w:p w:rsidR="000122E3" w:rsidRPr="000122E3" w:rsidRDefault="000122E3" w:rsidP="000122E3">
      <w:pPr>
        <w:pStyle w:val="BodyText"/>
        <w:rPr>
          <w:i/>
        </w:rPr>
      </w:pPr>
      <w:r>
        <w:rPr>
          <w:i/>
        </w:rPr>
        <w:t>Anti-avoidance clause</w:t>
      </w:r>
    </w:p>
    <w:p w:rsidR="000122E3" w:rsidRPr="00117D1A" w:rsidRDefault="000122E3" w:rsidP="000122E3">
      <w:pPr>
        <w:pStyle w:val="BodyText"/>
      </w:pPr>
      <w:r>
        <w:lastRenderedPageBreak/>
        <w:t xml:space="preserve">An anti-avoidance clause has been inserted into the definition to ensure that </w:t>
      </w:r>
      <w:r w:rsidRPr="000122E3">
        <w:t>responsible entities do not structure schemes with the sole or dominant purpose of</w:t>
      </w:r>
      <w:r>
        <w:t xml:space="preserve"> avoiding </w:t>
      </w:r>
      <w:r w:rsidR="005C164F">
        <w:t xml:space="preserve">those schemes </w:t>
      </w:r>
      <w:r>
        <w:t>being characterised as hedge fund</w:t>
      </w:r>
      <w:r w:rsidR="005C164F">
        <w:t>s</w:t>
      </w:r>
      <w:r>
        <w:t>.</w:t>
      </w:r>
      <w:r w:rsidR="00BF7DFB">
        <w:t xml:space="preserve"> This clause applies prospectively from the commencement of this class order and will have no retrospective operation.</w:t>
      </w:r>
    </w:p>
    <w:p w:rsidR="0039366A" w:rsidRDefault="0039366A">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2"/>
      <w:r>
        <w:rPr>
          <w:rFonts w:cs="Arial"/>
          <w:bCs/>
          <w:kern w:val="32"/>
          <w:sz w:val="24"/>
          <w:szCs w:val="32"/>
        </w:rPr>
        <w:t>4.</w:t>
      </w:r>
      <w:r>
        <w:rPr>
          <w:rFonts w:cs="Arial"/>
          <w:bCs/>
          <w:kern w:val="32"/>
          <w:sz w:val="24"/>
          <w:szCs w:val="32"/>
        </w:rPr>
        <w:tab/>
        <w:t xml:space="preserve">Transitional </w:t>
      </w:r>
    </w:p>
    <w:p w:rsidR="0006034C" w:rsidRDefault="0039366A" w:rsidP="0006034C">
      <w:pPr>
        <w:pStyle w:val="BodyText"/>
      </w:pPr>
      <w:r>
        <w:t xml:space="preserve">The </w:t>
      </w:r>
      <w:r w:rsidR="0006034C">
        <w:t xml:space="preserve">class order contains a transitional provision which allows </w:t>
      </w:r>
      <w:r w:rsidR="00085EA9">
        <w:t xml:space="preserve">the responsible entity of </w:t>
      </w:r>
      <w:r w:rsidR="0006034C">
        <w:t>a simple managed investment scheme:</w:t>
      </w:r>
    </w:p>
    <w:p w:rsidR="0006034C" w:rsidRDefault="0006034C" w:rsidP="0006034C">
      <w:pPr>
        <w:pStyle w:val="BodyText"/>
        <w:numPr>
          <w:ilvl w:val="0"/>
          <w:numId w:val="10"/>
        </w:numPr>
        <w:ind w:left="567" w:hanging="207"/>
      </w:pPr>
      <w:r>
        <w:t>that was either a hedge fund or fund of hedge funds immediately before the commencement of this class order; and</w:t>
      </w:r>
    </w:p>
    <w:p w:rsidR="0006034C" w:rsidRDefault="0006034C" w:rsidP="0006034C">
      <w:pPr>
        <w:pStyle w:val="BodyText"/>
        <w:numPr>
          <w:ilvl w:val="0"/>
          <w:numId w:val="10"/>
        </w:numPr>
        <w:ind w:left="567" w:hanging="207"/>
      </w:pPr>
      <w:r>
        <w:t xml:space="preserve">is no longer a hedge fund or fund of hedge funds following </w:t>
      </w:r>
      <w:r w:rsidRPr="0006034C">
        <w:t>the amendments made by this class order</w:t>
      </w:r>
      <w:r>
        <w:t>; and</w:t>
      </w:r>
    </w:p>
    <w:p w:rsidR="0006034C" w:rsidRDefault="0006034C" w:rsidP="0006034C">
      <w:pPr>
        <w:pStyle w:val="BodyText"/>
        <w:numPr>
          <w:ilvl w:val="0"/>
          <w:numId w:val="10"/>
        </w:numPr>
        <w:ind w:left="567" w:hanging="207"/>
      </w:pPr>
      <w:r>
        <w:t>in relation to which a PDS was in use immediately before the commencement of this class order;</w:t>
      </w:r>
    </w:p>
    <w:p w:rsidR="0006034C" w:rsidRDefault="0006034C" w:rsidP="0006034C">
      <w:pPr>
        <w:pStyle w:val="BodyText"/>
      </w:pPr>
      <w:r>
        <w:t>to continue using that PDS until 1 February 2014.</w:t>
      </w:r>
    </w:p>
    <w:p w:rsidR="00412266" w:rsidRDefault="0039366A">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5</w:t>
      </w:r>
      <w:r w:rsidR="00412266">
        <w:rPr>
          <w:rFonts w:cs="Arial"/>
          <w:bCs/>
          <w:kern w:val="32"/>
          <w:sz w:val="24"/>
          <w:szCs w:val="32"/>
        </w:rPr>
        <w:t>.</w:t>
      </w:r>
      <w:r w:rsidR="00412266">
        <w:rPr>
          <w:rFonts w:cs="Arial"/>
          <w:bCs/>
          <w:kern w:val="32"/>
          <w:sz w:val="24"/>
          <w:szCs w:val="32"/>
        </w:rPr>
        <w:tab/>
        <w:t>Consultation</w:t>
      </w:r>
      <w:bookmarkEnd w:id="3"/>
    </w:p>
    <w:p w:rsidR="00412266" w:rsidRDefault="00412266"/>
    <w:p w:rsidR="00B6041C" w:rsidRDefault="0042194E" w:rsidP="0042194E">
      <w:r>
        <w:t xml:space="preserve">ASIC undertook public consultation before making the principal class order. ASIC undertook </w:t>
      </w:r>
      <w:r w:rsidRPr="0042194E">
        <w:t>targeted consultation (with the Financial Services Council and the Australian Investment Managers Association)</w:t>
      </w:r>
      <w:r>
        <w:t xml:space="preserve"> in making this amending class order</w:t>
      </w:r>
      <w:r w:rsidR="0096084D" w:rsidRPr="0096084D">
        <w:t>.</w:t>
      </w:r>
      <w:r>
        <w:t xml:space="preserve"> </w:t>
      </w:r>
    </w:p>
    <w:p w:rsidR="00B04FA6" w:rsidRDefault="00B04FA6" w:rsidP="0042194E"/>
    <w:p w:rsidR="0042194E" w:rsidRDefault="0042194E">
      <w:r>
        <w:br w:type="page"/>
      </w:r>
    </w:p>
    <w:p w:rsidR="0042194E" w:rsidRPr="0042194E" w:rsidRDefault="0042194E" w:rsidP="0042194E">
      <w:pPr>
        <w:jc w:val="center"/>
        <w:rPr>
          <w:b/>
        </w:rPr>
      </w:pPr>
      <w:r w:rsidRPr="0042194E">
        <w:rPr>
          <w:b/>
        </w:rPr>
        <w:lastRenderedPageBreak/>
        <w:t>Statement of Compatibility with Human Rights</w:t>
      </w:r>
    </w:p>
    <w:p w:rsidR="0042194E" w:rsidRPr="0042194E" w:rsidRDefault="0042194E" w:rsidP="0042194E">
      <w:pPr>
        <w:jc w:val="center"/>
        <w:rPr>
          <w:i/>
        </w:rPr>
      </w:pPr>
      <w:r w:rsidRPr="0042194E">
        <w:rPr>
          <w:i/>
        </w:rPr>
        <w:t>Prepared in accordance with Part 3 of the</w:t>
      </w:r>
    </w:p>
    <w:p w:rsidR="0042194E" w:rsidRDefault="0042194E" w:rsidP="0042194E">
      <w:pPr>
        <w:jc w:val="center"/>
      </w:pPr>
      <w:r w:rsidRPr="0042194E">
        <w:rPr>
          <w:i/>
        </w:rPr>
        <w:t>Human Rights (Parliamentary Scrutiny) Act 2011</w:t>
      </w:r>
    </w:p>
    <w:p w:rsidR="0042194E" w:rsidRDefault="0042194E" w:rsidP="0042194E"/>
    <w:p w:rsidR="00B04FA6" w:rsidRDefault="00B04FA6" w:rsidP="0042194E"/>
    <w:p w:rsidR="0042194E" w:rsidRPr="0042194E" w:rsidRDefault="0042194E" w:rsidP="0042194E">
      <w:pPr>
        <w:rPr>
          <w:b/>
        </w:rPr>
      </w:pPr>
      <w:r w:rsidRPr="0042194E">
        <w:rPr>
          <w:b/>
        </w:rPr>
        <w:t>ASIC Class Order [CO</w:t>
      </w:r>
      <w:r w:rsidR="00B04FA6" w:rsidRPr="00B04FA6">
        <w:rPr>
          <w:b/>
        </w:rPr>
        <w:t> </w:t>
      </w:r>
      <w:r w:rsidRPr="0042194E">
        <w:rPr>
          <w:b/>
        </w:rPr>
        <w:t>13/1128]</w:t>
      </w:r>
    </w:p>
    <w:p w:rsidR="0042194E" w:rsidRDefault="0042194E" w:rsidP="0042194E"/>
    <w:p w:rsidR="0042194E" w:rsidRDefault="0042194E" w:rsidP="0042194E">
      <w:r>
        <w:t xml:space="preserve">This legislative instrument is compatible with the human rights and freedoms recognised or declared in the international instruments listed in section 3 of the </w:t>
      </w:r>
      <w:r w:rsidR="008118D1" w:rsidRPr="008118D1">
        <w:rPr>
          <w:i/>
        </w:rPr>
        <w:t>Human Rights (Parliamentary Scrutiny) Act 2011</w:t>
      </w:r>
      <w:r>
        <w:t>.</w:t>
      </w:r>
    </w:p>
    <w:p w:rsidR="0042194E" w:rsidRDefault="0042194E" w:rsidP="0042194E"/>
    <w:p w:rsidR="0042194E" w:rsidRPr="0042194E" w:rsidRDefault="0042194E" w:rsidP="0042194E">
      <w:pPr>
        <w:rPr>
          <w:b/>
        </w:rPr>
      </w:pPr>
      <w:r w:rsidRPr="0042194E">
        <w:rPr>
          <w:b/>
        </w:rPr>
        <w:t>Overview of the legislative instrument</w:t>
      </w:r>
    </w:p>
    <w:p w:rsidR="0042194E" w:rsidRDefault="0042194E" w:rsidP="0042194E"/>
    <w:p w:rsidR="0042194E" w:rsidRDefault="0042194E" w:rsidP="0042194E">
      <w:r>
        <w:t>The purpose of this legislative instrument is to amend ASIC Class Order [CO</w:t>
      </w:r>
      <w:r w:rsidR="00B04FA6" w:rsidRPr="00B04FA6">
        <w:t> </w:t>
      </w:r>
      <w:r>
        <w:t xml:space="preserve">12/749] (the principal class order). The principal class order </w:t>
      </w:r>
      <w:r w:rsidRPr="0042194E">
        <w:rPr>
          <w:iCs/>
        </w:rPr>
        <w:t>exclud</w:t>
      </w:r>
      <w:r>
        <w:rPr>
          <w:iCs/>
        </w:rPr>
        <w:t>es</w:t>
      </w:r>
      <w:r w:rsidRPr="0042194E">
        <w:rPr>
          <w:iCs/>
        </w:rPr>
        <w:t xml:space="preserve"> hedge funds from the shorter </w:t>
      </w:r>
      <w:r w:rsidR="00705A63" w:rsidRPr="00705A63">
        <w:rPr>
          <w:iCs/>
        </w:rPr>
        <w:t xml:space="preserve">Product Disclosure Statement </w:t>
      </w:r>
      <w:r w:rsidRPr="0042194E">
        <w:rPr>
          <w:iCs/>
        </w:rPr>
        <w:t>regime</w:t>
      </w:r>
      <w:r w:rsidR="00B04FA6">
        <w:rPr>
          <w:iCs/>
        </w:rPr>
        <w:t xml:space="preserve">. This legislative instrument </w:t>
      </w:r>
      <w:r w:rsidR="00B04FA6" w:rsidRPr="00B04FA6">
        <w:rPr>
          <w:iCs/>
        </w:rPr>
        <w:t>refine</w:t>
      </w:r>
      <w:r w:rsidR="00B04FA6">
        <w:rPr>
          <w:iCs/>
        </w:rPr>
        <w:t>s</w:t>
      </w:r>
      <w:r w:rsidR="00E05714">
        <w:rPr>
          <w:iCs/>
        </w:rPr>
        <w:t xml:space="preserve"> some of</w:t>
      </w:r>
      <w:r w:rsidR="00B04FA6" w:rsidRPr="00B04FA6">
        <w:rPr>
          <w:iCs/>
        </w:rPr>
        <w:t xml:space="preserve"> </w:t>
      </w:r>
      <w:r w:rsidR="00E05714" w:rsidRPr="00E05714">
        <w:rPr>
          <w:iCs/>
          <w:lang w:val="en-US"/>
        </w:rPr>
        <w:t xml:space="preserve">the </w:t>
      </w:r>
      <w:r w:rsidR="009F5051">
        <w:rPr>
          <w:iCs/>
          <w:lang w:val="en-US"/>
        </w:rPr>
        <w:t xml:space="preserve">characteristics </w:t>
      </w:r>
      <w:r w:rsidR="00E05714" w:rsidRPr="00E05714">
        <w:rPr>
          <w:iCs/>
          <w:lang w:val="en-US"/>
        </w:rPr>
        <w:t>which trigger a registered managed investment scheme’s classification as a “hedge fund</w:t>
      </w:r>
      <w:r w:rsidR="00E05714">
        <w:rPr>
          <w:iCs/>
          <w:lang w:val="en-US"/>
        </w:rPr>
        <w:t xml:space="preserve">” </w:t>
      </w:r>
      <w:r w:rsidR="00B04FA6" w:rsidRPr="00B04FA6">
        <w:rPr>
          <w:iCs/>
        </w:rPr>
        <w:t>and ensure</w:t>
      </w:r>
      <w:r w:rsidR="00B04FA6">
        <w:rPr>
          <w:iCs/>
        </w:rPr>
        <w:t>s that ASIC’</w:t>
      </w:r>
      <w:r w:rsidR="00B04FA6" w:rsidRPr="00B04FA6">
        <w:rPr>
          <w:iCs/>
        </w:rPr>
        <w:t xml:space="preserve">s hedge fund disclosure requirements are appropriately targeted at those </w:t>
      </w:r>
      <w:r w:rsidR="009F5051">
        <w:rPr>
          <w:iCs/>
        </w:rPr>
        <w:t xml:space="preserve">schemes </w:t>
      </w:r>
      <w:r w:rsidR="00B04FA6" w:rsidRPr="00B04FA6">
        <w:rPr>
          <w:iCs/>
        </w:rPr>
        <w:t>which pose more complex risks for investors than simpler managed investment schemes</w:t>
      </w:r>
      <w:r w:rsidR="00B04FA6">
        <w:rPr>
          <w:iCs/>
        </w:rPr>
        <w:t>.</w:t>
      </w:r>
    </w:p>
    <w:p w:rsidR="0042194E" w:rsidRDefault="0042194E" w:rsidP="0042194E"/>
    <w:p w:rsidR="0042194E" w:rsidRPr="0042194E" w:rsidRDefault="0042194E" w:rsidP="0042194E">
      <w:pPr>
        <w:rPr>
          <w:b/>
        </w:rPr>
      </w:pPr>
      <w:r w:rsidRPr="0042194E">
        <w:rPr>
          <w:b/>
        </w:rPr>
        <w:t>Human rights implications</w:t>
      </w:r>
    </w:p>
    <w:p w:rsidR="0042194E" w:rsidRDefault="0042194E" w:rsidP="0042194E"/>
    <w:p w:rsidR="0042194E" w:rsidRDefault="0042194E" w:rsidP="0042194E">
      <w:r>
        <w:t>This legislative instrument does not engage any of the applicable rights or freedoms.</w:t>
      </w:r>
    </w:p>
    <w:p w:rsidR="0042194E" w:rsidRDefault="0042194E" w:rsidP="0042194E"/>
    <w:p w:rsidR="0042194E" w:rsidRPr="0042194E" w:rsidRDefault="0042194E" w:rsidP="0042194E">
      <w:pPr>
        <w:rPr>
          <w:b/>
        </w:rPr>
      </w:pPr>
      <w:r w:rsidRPr="0042194E">
        <w:rPr>
          <w:b/>
        </w:rPr>
        <w:t>Conclusion</w:t>
      </w:r>
    </w:p>
    <w:p w:rsidR="0042194E" w:rsidRDefault="0042194E" w:rsidP="0042194E"/>
    <w:p w:rsidR="006D457B" w:rsidRDefault="0042194E" w:rsidP="0042194E">
      <w:r>
        <w:t>This legislative instrument is compatible with human rights as it does not raise any human rights issues.</w:t>
      </w:r>
    </w:p>
    <w:sectPr w:rsidR="006D457B" w:rsidSect="00566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65" w:rsidRDefault="000A1065" w:rsidP="00C81219">
      <w:r>
        <w:separator/>
      </w:r>
    </w:p>
  </w:endnote>
  <w:endnote w:type="continuationSeparator" w:id="0">
    <w:p w:rsidR="000A1065" w:rsidRDefault="000A1065" w:rsidP="00C81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57" w:rsidRDefault="005101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6A" w:rsidRDefault="0061716A">
    <w:pPr>
      <w:pStyle w:val="Footer"/>
      <w:jc w:val="right"/>
    </w:pPr>
    <w:fldSimple w:instr=" PAGE   \* MERGEFORMAT ">
      <w:r w:rsidR="00510157">
        <w:rPr>
          <w:noProof/>
        </w:rPr>
        <w:t>1</w:t>
      </w:r>
    </w:fldSimple>
  </w:p>
  <w:p w:rsidR="0039366A" w:rsidRDefault="003936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57" w:rsidRDefault="00510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65" w:rsidRDefault="000A1065" w:rsidP="00C81219">
      <w:r>
        <w:separator/>
      </w:r>
    </w:p>
  </w:footnote>
  <w:footnote w:type="continuationSeparator" w:id="0">
    <w:p w:rsidR="000A1065" w:rsidRDefault="000A1065" w:rsidP="00C81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57" w:rsidRDefault="005101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6A" w:rsidRPr="00AC4904" w:rsidRDefault="0039366A" w:rsidP="00592E69">
    <w:pPr>
      <w:pStyle w:val="Header"/>
      <w:jc w:val="right"/>
      <w:rPr>
        <w:sz w:val="28"/>
        <w:szCs w:val="28"/>
      </w:rPr>
    </w:pPr>
  </w:p>
  <w:p w:rsidR="0039366A" w:rsidRDefault="003936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57" w:rsidRDefault="00510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8D"/>
    <w:multiLevelType w:val="hybridMultilevel"/>
    <w:tmpl w:val="04EC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B07BCF"/>
    <w:multiLevelType w:val="hybridMultilevel"/>
    <w:tmpl w:val="F99C583E"/>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3">
    <w:nsid w:val="3A691DCA"/>
    <w:multiLevelType w:val="hybridMultilevel"/>
    <w:tmpl w:val="0F4EA2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48247D"/>
    <w:multiLevelType w:val="hybridMultilevel"/>
    <w:tmpl w:val="EDC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5C7BC8"/>
    <w:multiLevelType w:val="hybridMultilevel"/>
    <w:tmpl w:val="D9B23C9E"/>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7">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AD3D8D"/>
    <w:multiLevelType w:val="hybridMultilevel"/>
    <w:tmpl w:val="0CE061DA"/>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1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8"/>
  </w:num>
  <w:num w:numId="5">
    <w:abstractNumId w:val="7"/>
  </w:num>
  <w:num w:numId="6">
    <w:abstractNumId w:val="9"/>
  </w:num>
  <w:num w:numId="7">
    <w:abstractNumId w:val="2"/>
  </w:num>
  <w:num w:numId="8">
    <w:abstractNumId w:val="6"/>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noPunctuationKerning/>
  <w:characterSpacingControl w:val="doNotCompress"/>
  <w:footnotePr>
    <w:footnote w:id="-1"/>
    <w:footnote w:id="0"/>
  </w:footnotePr>
  <w:endnotePr>
    <w:endnote w:id="-1"/>
    <w:endnote w:id="0"/>
  </w:endnotePr>
  <w:compat/>
  <w:rsids>
    <w:rsidRoot w:val="00412266"/>
    <w:rsid w:val="00000054"/>
    <w:rsid w:val="00005150"/>
    <w:rsid w:val="000069A3"/>
    <w:rsid w:val="000122E3"/>
    <w:rsid w:val="00027C72"/>
    <w:rsid w:val="000318AF"/>
    <w:rsid w:val="00034D8E"/>
    <w:rsid w:val="00052318"/>
    <w:rsid w:val="0006034C"/>
    <w:rsid w:val="00074237"/>
    <w:rsid w:val="00085EA9"/>
    <w:rsid w:val="000A1065"/>
    <w:rsid w:val="000A3F18"/>
    <w:rsid w:val="000B16D0"/>
    <w:rsid w:val="000C44FA"/>
    <w:rsid w:val="000D625F"/>
    <w:rsid w:val="000E1FC7"/>
    <w:rsid w:val="00100E23"/>
    <w:rsid w:val="001079A9"/>
    <w:rsid w:val="00113A94"/>
    <w:rsid w:val="00117D1A"/>
    <w:rsid w:val="001203F5"/>
    <w:rsid w:val="00123F07"/>
    <w:rsid w:val="00141EAE"/>
    <w:rsid w:val="00150F1A"/>
    <w:rsid w:val="00157327"/>
    <w:rsid w:val="001A75A8"/>
    <w:rsid w:val="001E447E"/>
    <w:rsid w:val="001F60EB"/>
    <w:rsid w:val="001F7752"/>
    <w:rsid w:val="002141A3"/>
    <w:rsid w:val="002411DC"/>
    <w:rsid w:val="00242F14"/>
    <w:rsid w:val="00251C74"/>
    <w:rsid w:val="002679CC"/>
    <w:rsid w:val="002E43F4"/>
    <w:rsid w:val="002F1798"/>
    <w:rsid w:val="00315E4D"/>
    <w:rsid w:val="00341102"/>
    <w:rsid w:val="00390143"/>
    <w:rsid w:val="0039366A"/>
    <w:rsid w:val="003C67C9"/>
    <w:rsid w:val="003C6D3C"/>
    <w:rsid w:val="004039E4"/>
    <w:rsid w:val="00412266"/>
    <w:rsid w:val="0042194E"/>
    <w:rsid w:val="0044050F"/>
    <w:rsid w:val="00454E1D"/>
    <w:rsid w:val="00461604"/>
    <w:rsid w:val="0046287D"/>
    <w:rsid w:val="00476131"/>
    <w:rsid w:val="004B47B3"/>
    <w:rsid w:val="004E6F69"/>
    <w:rsid w:val="00510157"/>
    <w:rsid w:val="00510461"/>
    <w:rsid w:val="00563D47"/>
    <w:rsid w:val="00566784"/>
    <w:rsid w:val="00581128"/>
    <w:rsid w:val="00592E69"/>
    <w:rsid w:val="00595068"/>
    <w:rsid w:val="00596400"/>
    <w:rsid w:val="005979FD"/>
    <w:rsid w:val="005C164F"/>
    <w:rsid w:val="005C6794"/>
    <w:rsid w:val="005D0E8C"/>
    <w:rsid w:val="005D36BF"/>
    <w:rsid w:val="0061716A"/>
    <w:rsid w:val="00640F8E"/>
    <w:rsid w:val="006506E9"/>
    <w:rsid w:val="0066148B"/>
    <w:rsid w:val="006653DB"/>
    <w:rsid w:val="00671C9E"/>
    <w:rsid w:val="00684CF8"/>
    <w:rsid w:val="00691617"/>
    <w:rsid w:val="006952E2"/>
    <w:rsid w:val="006966F0"/>
    <w:rsid w:val="006B2CBF"/>
    <w:rsid w:val="006D428A"/>
    <w:rsid w:val="006D457B"/>
    <w:rsid w:val="006D57A9"/>
    <w:rsid w:val="006E1BAE"/>
    <w:rsid w:val="00705A63"/>
    <w:rsid w:val="00734B3E"/>
    <w:rsid w:val="0074463F"/>
    <w:rsid w:val="00755C70"/>
    <w:rsid w:val="00770B2E"/>
    <w:rsid w:val="00775863"/>
    <w:rsid w:val="00776E04"/>
    <w:rsid w:val="007A044A"/>
    <w:rsid w:val="007D2BC5"/>
    <w:rsid w:val="007E11F3"/>
    <w:rsid w:val="008118D1"/>
    <w:rsid w:val="0087573D"/>
    <w:rsid w:val="00875FC9"/>
    <w:rsid w:val="008A1D9D"/>
    <w:rsid w:val="008F5967"/>
    <w:rsid w:val="009006DB"/>
    <w:rsid w:val="0091727E"/>
    <w:rsid w:val="0094481B"/>
    <w:rsid w:val="009521BF"/>
    <w:rsid w:val="0096084D"/>
    <w:rsid w:val="00995234"/>
    <w:rsid w:val="009C18FA"/>
    <w:rsid w:val="009C6588"/>
    <w:rsid w:val="009D592A"/>
    <w:rsid w:val="009D69F0"/>
    <w:rsid w:val="009F5051"/>
    <w:rsid w:val="009F68A2"/>
    <w:rsid w:val="00A03A2F"/>
    <w:rsid w:val="00A049AC"/>
    <w:rsid w:val="00A1076A"/>
    <w:rsid w:val="00A13C00"/>
    <w:rsid w:val="00A251D8"/>
    <w:rsid w:val="00A557C2"/>
    <w:rsid w:val="00A746B9"/>
    <w:rsid w:val="00AA2A8E"/>
    <w:rsid w:val="00AA2FA3"/>
    <w:rsid w:val="00AB31F8"/>
    <w:rsid w:val="00AB5DEB"/>
    <w:rsid w:val="00AC4904"/>
    <w:rsid w:val="00B04FA6"/>
    <w:rsid w:val="00B15033"/>
    <w:rsid w:val="00B6041C"/>
    <w:rsid w:val="00B612CA"/>
    <w:rsid w:val="00B65875"/>
    <w:rsid w:val="00B66E4E"/>
    <w:rsid w:val="00B74E71"/>
    <w:rsid w:val="00BA409A"/>
    <w:rsid w:val="00BB02CA"/>
    <w:rsid w:val="00BB06EA"/>
    <w:rsid w:val="00BC0363"/>
    <w:rsid w:val="00BC0F39"/>
    <w:rsid w:val="00BF7DFB"/>
    <w:rsid w:val="00C45D64"/>
    <w:rsid w:val="00C50A82"/>
    <w:rsid w:val="00C76B2D"/>
    <w:rsid w:val="00C77DCF"/>
    <w:rsid w:val="00C81219"/>
    <w:rsid w:val="00C9331B"/>
    <w:rsid w:val="00CD0E44"/>
    <w:rsid w:val="00D226C8"/>
    <w:rsid w:val="00D4096F"/>
    <w:rsid w:val="00D71752"/>
    <w:rsid w:val="00D724BA"/>
    <w:rsid w:val="00D95A6F"/>
    <w:rsid w:val="00D9686A"/>
    <w:rsid w:val="00DB5C17"/>
    <w:rsid w:val="00DC13DF"/>
    <w:rsid w:val="00DC1A38"/>
    <w:rsid w:val="00DD6849"/>
    <w:rsid w:val="00DF755F"/>
    <w:rsid w:val="00E05714"/>
    <w:rsid w:val="00E128A8"/>
    <w:rsid w:val="00E20317"/>
    <w:rsid w:val="00E6220C"/>
    <w:rsid w:val="00E67365"/>
    <w:rsid w:val="00E727CD"/>
    <w:rsid w:val="00E9479C"/>
    <w:rsid w:val="00EB7E18"/>
    <w:rsid w:val="00EC5C3D"/>
    <w:rsid w:val="00ED5649"/>
    <w:rsid w:val="00EE2FFF"/>
    <w:rsid w:val="00EE67F6"/>
    <w:rsid w:val="00F34BE9"/>
    <w:rsid w:val="00F37AA4"/>
    <w:rsid w:val="00F70067"/>
    <w:rsid w:val="00F75685"/>
    <w:rsid w:val="00FB75D4"/>
    <w:rsid w:val="00FF11A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rsid w:val="00566784"/>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semiHidden/>
    <w:rsid w:val="00F37AA4"/>
    <w:rPr>
      <w:lang w:eastAsia="en-US"/>
    </w:rPr>
  </w:style>
  <w:style w:type="character" w:customStyle="1" w:styleId="CommentSubjectChar">
    <w:name w:val="Comment Subject Char"/>
    <w:basedOn w:val="CommentTextChar"/>
    <w:link w:val="CommentSubject"/>
    <w:rsid w:val="00F37AA4"/>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DE51-75A2-4548-BBBD-6885E318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Helen.Yu</dc:creator>
  <cp:keywords/>
  <dc:description/>
  <cp:lastModifiedBy>Ruki Weerasinghe</cp:lastModifiedBy>
  <cp:revision>10</cp:revision>
  <cp:lastPrinted>2013-09-17T23:06:00Z</cp:lastPrinted>
  <dcterms:created xsi:type="dcterms:W3CDTF">2013-09-18T00:26:00Z</dcterms:created>
  <dcterms:modified xsi:type="dcterms:W3CDTF">2013-09-26T01:23:00Z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B675218</vt:lpwstr>
  </property>
  <property fmtid="{D5CDD505-2E9C-101B-9397-08002B2CF9AE}" pid="4" name="Objective-Title">
    <vt:lpwstr>Class Order CO 13-1128 Explanatory Statement</vt:lpwstr>
  </property>
  <property fmtid="{D5CDD505-2E9C-101B-9397-08002B2CF9AE}" pid="5" name="Objective-Comment">
    <vt:lpwstr/>
  </property>
  <property fmtid="{D5CDD505-2E9C-101B-9397-08002B2CF9AE}" pid="6" name="Objective-CreationStamp">
    <vt:filetime>2013-09-26T00:36:45Z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2013-09-26T00:37:59Z</vt:filetime>
  </property>
  <property fmtid="{D5CDD505-2E9C-101B-9397-08002B2CF9AE}" pid="10" name="Objective-ModificationStamp">
    <vt:filetime>2013-09-26T00:38:00Z</vt:filetime>
  </property>
  <property fmtid="{D5CDD505-2E9C-101B-9397-08002B2CF9AE}" pid="11" name="Objective-Owner">
    <vt:lpwstr>Geoffrey Leveritt</vt:lpwstr>
  </property>
  <property fmtid="{D5CDD505-2E9C-101B-9397-08002B2CF9AE}" pid="12" name="Objective-Path">
    <vt:lpwstr>ASIC BCS:POLICY &amp; REGULATORY FRAMEWORK:Policy Development:Financial Services Regulation (FSR):New RG - Hedge Fund Disclosure Benchmarks:Class Order:Aug-Sept 2013 Amending Class Order:</vt:lpwstr>
  </property>
  <property fmtid="{D5CDD505-2E9C-101B-9397-08002B2CF9AE}" pid="13" name="Objective-Parent">
    <vt:lpwstr>Aug-Sept 2013 Amending Class Order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2010 - 004543</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