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3B" w:rsidRPr="00DB7E3B" w:rsidRDefault="00DB7E3B" w:rsidP="00DB7E3B">
      <w:pPr>
        <w:jc w:val="center"/>
        <w:rPr>
          <w:b/>
        </w:rPr>
      </w:pPr>
      <w:r w:rsidRPr="00DB7E3B">
        <w:rPr>
          <w:b/>
        </w:rPr>
        <w:t>Australian Securities and Investments Commission</w:t>
      </w:r>
      <w:r w:rsidRPr="00DB7E3B">
        <w:rPr>
          <w:b/>
        </w:rPr>
        <w:br/>
        <w:t xml:space="preserve">Corporations Act 2001 — Subsections </w:t>
      </w:r>
      <w:proofErr w:type="gramStart"/>
      <w:r w:rsidRPr="00DB7E3B">
        <w:rPr>
          <w:b/>
        </w:rPr>
        <w:t>655A(</w:t>
      </w:r>
      <w:proofErr w:type="gramEnd"/>
      <w:r w:rsidRPr="00DB7E3B">
        <w:rPr>
          <w:b/>
        </w:rPr>
        <w:t>1)</w:t>
      </w:r>
      <w:r w:rsidR="00C04AE3">
        <w:rPr>
          <w:b/>
        </w:rPr>
        <w:t>,</w:t>
      </w:r>
      <w:r w:rsidRPr="00DB7E3B">
        <w:rPr>
          <w:b/>
        </w:rPr>
        <w:t xml:space="preserve"> 673(1)</w:t>
      </w:r>
      <w:r w:rsidR="00C04AE3">
        <w:rPr>
          <w:b/>
        </w:rPr>
        <w:t xml:space="preserve">, 741(1) and 1020F(1) </w:t>
      </w:r>
      <w:r w:rsidRPr="00DB7E3B">
        <w:rPr>
          <w:b/>
        </w:rPr>
        <w:t xml:space="preserve">— </w:t>
      </w:r>
      <w:r w:rsidR="00F229D2">
        <w:rPr>
          <w:b/>
        </w:rPr>
        <w:t>Amendment</w:t>
      </w:r>
    </w:p>
    <w:p w:rsidR="003A6F3A" w:rsidRPr="003A6F3A" w:rsidRDefault="003A6F3A" w:rsidP="003A6F3A"/>
    <w:p w:rsidR="003A6F3A" w:rsidRPr="003A6F3A" w:rsidRDefault="003A6F3A" w:rsidP="003A6F3A">
      <w:pPr>
        <w:rPr>
          <w:b/>
        </w:rPr>
      </w:pPr>
    </w:p>
    <w:p w:rsidR="003A6F3A" w:rsidRPr="003A6F3A" w:rsidRDefault="003A6F3A" w:rsidP="003A6F3A">
      <w:pPr>
        <w:rPr>
          <w:b/>
        </w:rPr>
      </w:pPr>
      <w:r w:rsidRPr="003A6F3A">
        <w:rPr>
          <w:b/>
        </w:rPr>
        <w:t>Enabling legislation</w:t>
      </w:r>
    </w:p>
    <w:p w:rsidR="003A6F3A" w:rsidRPr="003A6F3A" w:rsidRDefault="003A6F3A" w:rsidP="003A6F3A"/>
    <w:p w:rsidR="003A6FD6" w:rsidRDefault="003A6F3A">
      <w:pPr>
        <w:pStyle w:val="Style1"/>
        <w:ind w:left="567" w:hanging="567"/>
      </w:pPr>
      <w:r w:rsidRPr="003A6F3A">
        <w:t>1.</w:t>
      </w:r>
      <w:r w:rsidRPr="003A6F3A">
        <w:tab/>
        <w:t xml:space="preserve">The Australian Securities and Investments Commission makes this instrument under </w:t>
      </w:r>
      <w:r w:rsidR="00DB7E3B" w:rsidRPr="00DB7E3B">
        <w:t xml:space="preserve">subsections </w:t>
      </w:r>
      <w:proofErr w:type="gramStart"/>
      <w:r w:rsidR="00DB7E3B" w:rsidRPr="00DB7E3B">
        <w:t>655A(</w:t>
      </w:r>
      <w:proofErr w:type="gramEnd"/>
      <w:r w:rsidR="00DB7E3B" w:rsidRPr="00DB7E3B">
        <w:t>1)</w:t>
      </w:r>
      <w:r w:rsidR="00C04AE3">
        <w:t>,</w:t>
      </w:r>
      <w:r w:rsidR="00DB7E3B" w:rsidRPr="00DB7E3B">
        <w:t xml:space="preserve"> 673(1)</w:t>
      </w:r>
      <w:r w:rsidR="00C04AE3">
        <w:t>, 741(1) and 1020F(1)</w:t>
      </w:r>
      <w:r w:rsidR="00DB7E3B" w:rsidRPr="00DB7E3B">
        <w:t xml:space="preserve"> </w:t>
      </w:r>
      <w:r w:rsidRPr="003A6F3A">
        <w:t xml:space="preserve">of the </w:t>
      </w:r>
      <w:r w:rsidRPr="003A6F3A">
        <w:rPr>
          <w:i/>
        </w:rPr>
        <w:t>Corporations Act 2001</w:t>
      </w:r>
      <w:r w:rsidRPr="003A6F3A">
        <w:t xml:space="preserve"> (</w:t>
      </w:r>
      <w:r w:rsidRPr="003A6F3A">
        <w:rPr>
          <w:b/>
          <w:i/>
        </w:rPr>
        <w:t>Act</w:t>
      </w:r>
      <w:r w:rsidRPr="003A6F3A">
        <w:t>).</w:t>
      </w:r>
    </w:p>
    <w:p w:rsidR="003A6F3A" w:rsidRPr="003A6F3A" w:rsidRDefault="003A6F3A" w:rsidP="003A6F3A">
      <w:pPr>
        <w:rPr>
          <w:b/>
        </w:rPr>
      </w:pPr>
    </w:p>
    <w:p w:rsidR="003A6F3A" w:rsidRPr="003A6F3A" w:rsidRDefault="003A6F3A" w:rsidP="003A6F3A">
      <w:pPr>
        <w:rPr>
          <w:b/>
        </w:rPr>
      </w:pPr>
      <w:r w:rsidRPr="003A6F3A">
        <w:rPr>
          <w:b/>
        </w:rPr>
        <w:t>Title</w:t>
      </w:r>
    </w:p>
    <w:p w:rsidR="003A6F3A" w:rsidRPr="003A6F3A" w:rsidRDefault="003A6F3A" w:rsidP="003A6F3A"/>
    <w:p w:rsidR="003A6FD6" w:rsidRDefault="003A6F3A">
      <w:pPr>
        <w:ind w:left="567" w:hanging="567"/>
      </w:pPr>
      <w:r w:rsidRPr="003A6F3A">
        <w:t>2.</w:t>
      </w:r>
      <w:r w:rsidRPr="003A6F3A">
        <w:tab/>
        <w:t xml:space="preserve">This instrument is ASIC Class </w:t>
      </w:r>
      <w:r w:rsidRPr="00264BA6">
        <w:t>Order [</w:t>
      </w:r>
      <w:r w:rsidR="0065389D" w:rsidRPr="00264BA6">
        <w:t>CO 13/</w:t>
      </w:r>
      <w:r w:rsidR="00264BA6" w:rsidRPr="00264BA6">
        <w:t>854</w:t>
      </w:r>
      <w:r w:rsidR="0065389D" w:rsidRPr="00264BA6">
        <w:t>].</w:t>
      </w:r>
    </w:p>
    <w:p w:rsidR="003A6F3A" w:rsidRPr="003A6F3A" w:rsidRDefault="003A6F3A" w:rsidP="003A6F3A"/>
    <w:p w:rsidR="003A6F3A" w:rsidRPr="003A6F3A" w:rsidRDefault="003A6F3A" w:rsidP="003A6F3A">
      <w:pPr>
        <w:rPr>
          <w:b/>
        </w:rPr>
      </w:pPr>
      <w:r w:rsidRPr="003A6F3A">
        <w:rPr>
          <w:b/>
        </w:rPr>
        <w:t>Commencement</w:t>
      </w:r>
    </w:p>
    <w:p w:rsidR="003A6F3A" w:rsidRPr="003A6F3A" w:rsidRDefault="003A6F3A" w:rsidP="003A6F3A"/>
    <w:p w:rsidR="003A6FD6" w:rsidRDefault="003A6F3A">
      <w:pPr>
        <w:ind w:left="567" w:hanging="567"/>
      </w:pPr>
      <w:r w:rsidRPr="003A6F3A">
        <w:t>3.</w:t>
      </w:r>
      <w:r w:rsidRPr="003A6F3A">
        <w:tab/>
        <w:t>This instru</w:t>
      </w:r>
      <w:r w:rsidR="00DB7E3B">
        <w:t xml:space="preserve">ment commences on </w:t>
      </w:r>
      <w:r w:rsidR="00DB7E3B" w:rsidRPr="003A6F3A">
        <w:t xml:space="preserve">the date it is registered under the </w:t>
      </w:r>
      <w:r w:rsidR="00DB7E3B" w:rsidRPr="003A6F3A">
        <w:rPr>
          <w:i/>
          <w:iCs/>
        </w:rPr>
        <w:t>Legislative Instruments Act 2003</w:t>
      </w:r>
      <w:r w:rsidR="00C04AE3">
        <w:rPr>
          <w:iCs/>
        </w:rPr>
        <w:t>.</w:t>
      </w:r>
    </w:p>
    <w:p w:rsidR="003A6F3A" w:rsidRPr="003A6F3A" w:rsidRDefault="003A6F3A" w:rsidP="003A6F3A"/>
    <w:p w:rsidR="003A6FD6" w:rsidRDefault="0065389D">
      <w:pPr>
        <w:ind w:left="1134" w:hanging="567"/>
        <w:rPr>
          <w:sz w:val="20"/>
          <w:szCs w:val="20"/>
          <w:lang w:val="en-US"/>
        </w:rPr>
      </w:pPr>
      <w:r w:rsidRPr="0065389D">
        <w:rPr>
          <w:sz w:val="20"/>
          <w:szCs w:val="20"/>
          <w:lang w:val="en-US"/>
        </w:rPr>
        <w:t>Note:</w:t>
      </w:r>
      <w:r w:rsidRPr="0065389D">
        <w:rPr>
          <w:sz w:val="20"/>
          <w:szCs w:val="20"/>
          <w:lang w:val="en-US"/>
        </w:rPr>
        <w:tab/>
        <w:t>An instrument is registered when it is recorded on the Federal Register of Legislative Instruments (</w:t>
      </w:r>
      <w:r w:rsidRPr="0065389D">
        <w:rPr>
          <w:b/>
          <w:bCs/>
          <w:i/>
          <w:iCs/>
          <w:sz w:val="20"/>
          <w:szCs w:val="20"/>
          <w:lang w:val="en-US"/>
        </w:rPr>
        <w:t>FRLI</w:t>
      </w:r>
      <w:r w:rsidRPr="0065389D">
        <w:rPr>
          <w:sz w:val="20"/>
          <w:szCs w:val="20"/>
          <w:lang w:val="en-US"/>
        </w:rPr>
        <w:t xml:space="preserve">) in electronic form: see </w:t>
      </w:r>
      <w:r w:rsidRPr="0065389D">
        <w:rPr>
          <w:i/>
          <w:iCs/>
          <w:sz w:val="20"/>
          <w:szCs w:val="20"/>
          <w:lang w:val="en-US"/>
        </w:rPr>
        <w:t xml:space="preserve">Legislative Instruments Act 2003, </w:t>
      </w:r>
      <w:r w:rsidRPr="0065389D">
        <w:rPr>
          <w:sz w:val="20"/>
          <w:szCs w:val="20"/>
          <w:lang w:val="en-US"/>
        </w:rPr>
        <w:t xml:space="preserve">section 4 (definition of </w:t>
      </w:r>
      <w:r w:rsidRPr="0065389D">
        <w:rPr>
          <w:b/>
          <w:bCs/>
          <w:i/>
          <w:iCs/>
          <w:sz w:val="20"/>
          <w:szCs w:val="20"/>
          <w:lang w:val="en-US"/>
        </w:rPr>
        <w:t>register</w:t>
      </w:r>
      <w:r w:rsidRPr="0065389D">
        <w:rPr>
          <w:sz w:val="20"/>
          <w:szCs w:val="20"/>
          <w:lang w:val="en-US"/>
        </w:rPr>
        <w:t xml:space="preserve">). The FRLI may be accessed at </w:t>
      </w:r>
      <w:hyperlink r:id="rId8" w:history="1">
        <w:r w:rsidRPr="00707A59">
          <w:rPr>
            <w:rStyle w:val="Hyperlink"/>
            <w:color w:val="auto"/>
            <w:sz w:val="20"/>
            <w:szCs w:val="20"/>
            <w:lang w:val="en-US"/>
          </w:rPr>
          <w:t>http://www.frli.gov.au/</w:t>
        </w:r>
      </w:hyperlink>
      <w:r w:rsidRPr="0065389D">
        <w:rPr>
          <w:sz w:val="20"/>
          <w:szCs w:val="20"/>
          <w:lang w:val="en-US"/>
        </w:rPr>
        <w:t>.</w:t>
      </w:r>
    </w:p>
    <w:p w:rsidR="003A6F3A" w:rsidRPr="003A6F3A" w:rsidRDefault="003A6F3A" w:rsidP="003A6F3A">
      <w:pPr>
        <w:rPr>
          <w:b/>
        </w:rPr>
      </w:pPr>
    </w:p>
    <w:p w:rsidR="000C4528" w:rsidRDefault="00F229D2" w:rsidP="003A6F3A">
      <w:pPr>
        <w:rPr>
          <w:b/>
        </w:rPr>
      </w:pPr>
      <w:r>
        <w:rPr>
          <w:b/>
        </w:rPr>
        <w:t>Amendments</w:t>
      </w:r>
    </w:p>
    <w:p w:rsidR="00CD0FCA" w:rsidRPr="00CD0FCA" w:rsidRDefault="00CD0FCA" w:rsidP="00CD0FCA"/>
    <w:p w:rsidR="003A6FD6" w:rsidRDefault="00436BDA">
      <w:pPr>
        <w:pStyle w:val="Style1"/>
        <w:ind w:left="567" w:hanging="567"/>
      </w:pPr>
      <w:r>
        <w:t>4</w:t>
      </w:r>
      <w:r w:rsidR="00B231B2">
        <w:t>.</w:t>
      </w:r>
      <w:r w:rsidR="00B231B2">
        <w:tab/>
      </w:r>
      <w:r w:rsidR="00CD0FCA" w:rsidRPr="00061160">
        <w:t>ASIC</w:t>
      </w:r>
      <w:r w:rsidR="00CD0FCA">
        <w:t xml:space="preserve"> Class Order [CO </w:t>
      </w:r>
      <w:r w:rsidR="00DE625B">
        <w:t>0</w:t>
      </w:r>
      <w:r w:rsidR="00CD0FCA">
        <w:t>4/523</w:t>
      </w:r>
      <w:r w:rsidR="00CD0FCA" w:rsidRPr="00CD0FCA">
        <w:t xml:space="preserve">] is </w:t>
      </w:r>
      <w:r w:rsidR="00F229D2">
        <w:t>amended</w:t>
      </w:r>
      <w:r w:rsidR="00F229D2" w:rsidRPr="00CD0FCA">
        <w:t xml:space="preserve"> </w:t>
      </w:r>
      <w:r w:rsidR="00CD0FCA" w:rsidRPr="00CD0FCA">
        <w:t>by</w:t>
      </w:r>
      <w:r w:rsidR="00F229D2">
        <w:t>:</w:t>
      </w:r>
      <w:r w:rsidR="00CD0FCA" w:rsidRPr="00CD0FCA">
        <w:t xml:space="preserve"> </w:t>
      </w:r>
    </w:p>
    <w:p w:rsidR="00CD0FCA" w:rsidRDefault="00CD0FCA" w:rsidP="00CD0FCA"/>
    <w:p w:rsidR="003A6FD6" w:rsidRDefault="00B231B2">
      <w:pPr>
        <w:ind w:left="1134" w:hanging="567"/>
      </w:pPr>
      <w:r>
        <w:t>(a)</w:t>
      </w:r>
      <w:r w:rsidR="00CD0FCA">
        <w:tab/>
      </w:r>
      <w:proofErr w:type="gramStart"/>
      <w:r w:rsidR="0057412F">
        <w:t>omitting</w:t>
      </w:r>
      <w:proofErr w:type="gramEnd"/>
      <w:r w:rsidR="0057412F">
        <w:t xml:space="preserve"> “after subsection 609(10)” and substituting “after subsection 609(16)</w:t>
      </w:r>
      <w:r w:rsidR="005F7DDE">
        <w:t xml:space="preserve"> (as notionally inserted by ASIC Class Order [CO 12/1209])</w:t>
      </w:r>
      <w:r w:rsidR="0057412F">
        <w:t>”</w:t>
      </w:r>
      <w:r w:rsidR="00780F8C">
        <w:t>;</w:t>
      </w:r>
      <w:r w:rsidR="0057412F">
        <w:t xml:space="preserve"> </w:t>
      </w:r>
      <w:r w:rsidR="00436BDA">
        <w:t>and</w:t>
      </w:r>
    </w:p>
    <w:p w:rsidR="0057412F" w:rsidRDefault="0057412F" w:rsidP="00CD0FCA">
      <w:pPr>
        <w:ind w:left="709" w:hanging="709"/>
      </w:pPr>
    </w:p>
    <w:p w:rsidR="003A6FD6" w:rsidRDefault="00B231B2">
      <w:pPr>
        <w:ind w:left="1134" w:hanging="567"/>
      </w:pPr>
      <w:r>
        <w:t>(b)</w:t>
      </w:r>
      <w:r w:rsidR="0057412F">
        <w:tab/>
      </w:r>
      <w:proofErr w:type="gramStart"/>
      <w:r w:rsidR="00C8380F">
        <w:t>in</w:t>
      </w:r>
      <w:proofErr w:type="gramEnd"/>
      <w:r w:rsidR="00C8380F">
        <w:t xml:space="preserve"> notional subsections 609(11) to </w:t>
      </w:r>
      <w:r w:rsidR="00430D4A">
        <w:t>(13) of the Act:</w:t>
      </w:r>
    </w:p>
    <w:p w:rsidR="003A6FD6" w:rsidRDefault="003A6FD6">
      <w:pPr>
        <w:ind w:left="1134" w:hanging="567"/>
      </w:pPr>
    </w:p>
    <w:p w:rsidR="003A6FD6" w:rsidRDefault="008342B4">
      <w:pPr>
        <w:pStyle w:val="Style3"/>
      </w:pPr>
      <w:r>
        <w:t xml:space="preserve">renumbering notional subsection </w:t>
      </w:r>
      <w:r w:rsidR="00F05B5F">
        <w:t>(11) as notional subsection (17</w:t>
      </w:r>
      <w:r w:rsidR="008C616E">
        <w:t>A</w:t>
      </w:r>
      <w:r w:rsidR="00F05B5F">
        <w:t>)</w:t>
      </w:r>
      <w:r w:rsidR="007F6826" w:rsidRPr="007F6826">
        <w:t xml:space="preserve"> and inserting</w:t>
      </w:r>
      <w:r w:rsidR="004866F1">
        <w:t>,</w:t>
      </w:r>
      <w:r w:rsidR="00F24F6E">
        <w:t xml:space="preserve"> </w:t>
      </w:r>
      <w:r w:rsidR="004866F1">
        <w:t>as a</w:t>
      </w:r>
      <w:r w:rsidR="00F24F6E">
        <w:t xml:space="preserve"> heading to the</w:t>
      </w:r>
      <w:r w:rsidR="004866F1">
        <w:t xml:space="preserve"> </w:t>
      </w:r>
      <w:r w:rsidR="00F24F6E">
        <w:t>s</w:t>
      </w:r>
      <w:r w:rsidR="004866F1">
        <w:t>ubsection,</w:t>
      </w:r>
      <w:r w:rsidR="004866F1" w:rsidRPr="007F6826">
        <w:t xml:space="preserve"> </w:t>
      </w:r>
      <w:r w:rsidR="007F6826" w:rsidRPr="007F6826">
        <w:t>“</w:t>
      </w:r>
      <w:r w:rsidR="007F6826" w:rsidRPr="007F6826">
        <w:rPr>
          <w:i/>
        </w:rPr>
        <w:t>IDPS operators</w:t>
      </w:r>
      <w:r w:rsidR="007F6826" w:rsidRPr="007F6826">
        <w:t>”;</w:t>
      </w:r>
      <w:r w:rsidR="00436BDA">
        <w:t xml:space="preserve"> and</w:t>
      </w:r>
      <w:r w:rsidR="008C616E">
        <w:t xml:space="preserve"> </w:t>
      </w:r>
    </w:p>
    <w:p w:rsidR="007F6826" w:rsidRDefault="007F6826">
      <w:pPr>
        <w:ind w:left="1418" w:hanging="713"/>
      </w:pPr>
    </w:p>
    <w:p w:rsidR="003A6FD6" w:rsidRDefault="007F6826">
      <w:pPr>
        <w:pStyle w:val="Style3"/>
      </w:pPr>
      <w:r>
        <w:t xml:space="preserve">renumbering notional subsection </w:t>
      </w:r>
      <w:r w:rsidR="00430D4A">
        <w:t>(12)</w:t>
      </w:r>
      <w:r w:rsidR="000F47DF">
        <w:t xml:space="preserve"> </w:t>
      </w:r>
      <w:r w:rsidR="008C616E">
        <w:t>as notional subsection (17B</w:t>
      </w:r>
      <w:r>
        <w:t>) an</w:t>
      </w:r>
      <w:r w:rsidR="00803F1F">
        <w:t>d</w:t>
      </w:r>
      <w:r w:rsidR="001664C7" w:rsidRPr="001664C7">
        <w:t xml:space="preserve"> i</w:t>
      </w:r>
      <w:r w:rsidR="001664C7">
        <w:t>n the subsection</w:t>
      </w:r>
      <w:r w:rsidR="00803F1F">
        <w:t>:</w:t>
      </w:r>
    </w:p>
    <w:p w:rsidR="00803F1F" w:rsidRDefault="00803F1F" w:rsidP="007F6826">
      <w:pPr>
        <w:ind w:left="1418" w:hanging="713"/>
      </w:pPr>
    </w:p>
    <w:p w:rsidR="003A6FD6" w:rsidRDefault="00430D4A">
      <w:pPr>
        <w:pStyle w:val="Style4"/>
      </w:pPr>
      <w:r>
        <w:t>(A)</w:t>
      </w:r>
      <w:r>
        <w:tab/>
      </w:r>
      <w:r w:rsidR="00803F1F" w:rsidRPr="00803F1F">
        <w:t>omit</w:t>
      </w:r>
      <w:r w:rsidR="00436BDA">
        <w:t>ting “Subsection (11)” and substituting</w:t>
      </w:r>
      <w:r w:rsidR="00803F1F" w:rsidRPr="00803F1F">
        <w:t xml:space="preserve"> “If ASIC Class Order [CO 02/294] (</w:t>
      </w:r>
      <w:r w:rsidR="0065389D" w:rsidRPr="0065389D">
        <w:rPr>
          <w:b/>
          <w:i/>
        </w:rPr>
        <w:t>old</w:t>
      </w:r>
      <w:r w:rsidR="00803F1F">
        <w:t xml:space="preserve"> </w:t>
      </w:r>
      <w:r w:rsidR="00803F1F" w:rsidRPr="00803F1F">
        <w:rPr>
          <w:b/>
          <w:i/>
        </w:rPr>
        <w:t>IDPS Class Order</w:t>
      </w:r>
      <w:r w:rsidR="00803F1F" w:rsidRPr="00803F1F">
        <w:t>) applies to the operator of an IDPS due to the operation of ASIC Class Order [CO 13/763], subsection (</w:t>
      </w:r>
      <w:r w:rsidR="00803F1F">
        <w:t>17</w:t>
      </w:r>
      <w:r w:rsidR="008C616E">
        <w:t>A</w:t>
      </w:r>
      <w:r w:rsidR="00803F1F" w:rsidRPr="00803F1F">
        <w:t>)”;</w:t>
      </w:r>
      <w:r w:rsidR="00436BDA">
        <w:t xml:space="preserve"> and</w:t>
      </w:r>
      <w:r w:rsidR="00803F1F">
        <w:br/>
      </w:r>
    </w:p>
    <w:p w:rsidR="001A0BA9" w:rsidRDefault="00430D4A">
      <w:pPr>
        <w:pStyle w:val="Style4"/>
      </w:pPr>
      <w:r>
        <w:t>(B)</w:t>
      </w:r>
      <w:r>
        <w:tab/>
      </w:r>
      <w:proofErr w:type="gramStart"/>
      <w:r w:rsidR="00803F1F">
        <w:t>omit</w:t>
      </w:r>
      <w:r w:rsidR="00436BDA">
        <w:t>ting</w:t>
      </w:r>
      <w:proofErr w:type="gramEnd"/>
      <w:r w:rsidR="00803F1F">
        <w:t xml:space="preserve"> “of an IDPS”;</w:t>
      </w:r>
      <w:r w:rsidR="00436BDA">
        <w:t xml:space="preserve"> and</w:t>
      </w:r>
    </w:p>
    <w:p w:rsidR="001A0BA9" w:rsidRDefault="001A0BA9">
      <w:pPr>
        <w:pStyle w:val="Style4"/>
      </w:pPr>
    </w:p>
    <w:p w:rsidR="003A6FD6" w:rsidRDefault="001A0BA9">
      <w:pPr>
        <w:pStyle w:val="Style4"/>
      </w:pPr>
      <w:r>
        <w:t>(C)</w:t>
      </w:r>
      <w:r>
        <w:tab/>
      </w:r>
      <w:proofErr w:type="gramStart"/>
      <w:r>
        <w:t>omitting</w:t>
      </w:r>
      <w:proofErr w:type="gramEnd"/>
      <w:r>
        <w:t xml:space="preserve"> “unable to the rely”</w:t>
      </w:r>
      <w:r w:rsidR="0050380B">
        <w:t xml:space="preserve"> and</w:t>
      </w:r>
      <w:r>
        <w:t xml:space="preserve"> </w:t>
      </w:r>
      <w:r w:rsidR="0050380B">
        <w:t xml:space="preserve">substituting </w:t>
      </w:r>
      <w:r>
        <w:t>“unable to rely”; and</w:t>
      </w:r>
      <w:r w:rsidR="00803F1F">
        <w:br/>
      </w:r>
    </w:p>
    <w:p w:rsidR="003A6FD6" w:rsidRDefault="00430D4A">
      <w:pPr>
        <w:pStyle w:val="Style4"/>
      </w:pPr>
      <w:r>
        <w:t>(</w:t>
      </w:r>
      <w:r w:rsidR="001A0BA9">
        <w:t>D</w:t>
      </w:r>
      <w:r>
        <w:t>)</w:t>
      </w:r>
      <w:r>
        <w:tab/>
      </w:r>
      <w:r w:rsidR="00803F1F">
        <w:t>before “IDPS Class Order” (where</w:t>
      </w:r>
      <w:r w:rsidR="008C616E">
        <w:t>ver occurring</w:t>
      </w:r>
      <w:r w:rsidR="00803F1F">
        <w:t>)</w:t>
      </w:r>
      <w:r w:rsidR="004177C8">
        <w:t>,</w:t>
      </w:r>
      <w:r w:rsidR="00803F1F">
        <w:t xml:space="preserve"> insert</w:t>
      </w:r>
      <w:r w:rsidR="00436BDA">
        <w:t>ing</w:t>
      </w:r>
      <w:r w:rsidR="00803F1F">
        <w:t xml:space="preserve"> “old”;</w:t>
      </w:r>
      <w:r w:rsidR="00436BDA">
        <w:t xml:space="preserve"> and</w:t>
      </w:r>
    </w:p>
    <w:p w:rsidR="003A6FD6" w:rsidRDefault="003A6FD6">
      <w:pPr>
        <w:pStyle w:val="ListParagraph"/>
        <w:ind w:left="1701"/>
      </w:pPr>
    </w:p>
    <w:p w:rsidR="003A6FD6" w:rsidRDefault="00430D4A">
      <w:pPr>
        <w:pStyle w:val="Style4"/>
      </w:pPr>
      <w:r>
        <w:t>(</w:t>
      </w:r>
      <w:r w:rsidR="001A0BA9">
        <w:t>E</w:t>
      </w:r>
      <w:r>
        <w:t>)</w:t>
      </w:r>
      <w:r>
        <w:tab/>
      </w:r>
      <w:proofErr w:type="gramStart"/>
      <w:r w:rsidR="00BA6A94">
        <w:t>omitting</w:t>
      </w:r>
      <w:proofErr w:type="gramEnd"/>
      <w:r w:rsidR="00BA6A94">
        <w:t xml:space="preserve"> “paragraph (11)(b)” and substituting </w:t>
      </w:r>
      <w:r w:rsidR="00AA2F38">
        <w:t>“paragraph (17</w:t>
      </w:r>
      <w:r w:rsidR="008C616E">
        <w:t>A)</w:t>
      </w:r>
      <w:r w:rsidR="00BA6A94">
        <w:t>(b)”; and</w:t>
      </w:r>
      <w:r w:rsidR="008C616E">
        <w:br/>
      </w:r>
    </w:p>
    <w:p w:rsidR="003A6FD6" w:rsidRDefault="00A34451">
      <w:pPr>
        <w:pStyle w:val="Style3"/>
      </w:pPr>
      <w:r>
        <w:t>omitting</w:t>
      </w:r>
      <w:r w:rsidR="001664C7" w:rsidRPr="001664C7">
        <w:t xml:space="preserve"> notional subsection (13) and substituting</w:t>
      </w:r>
      <w:r w:rsidR="008C616E">
        <w:t>:</w:t>
      </w:r>
    </w:p>
    <w:p w:rsidR="00803F1F" w:rsidRDefault="00803F1F" w:rsidP="007F6826">
      <w:pPr>
        <w:ind w:left="1418" w:hanging="713"/>
      </w:pPr>
    </w:p>
    <w:p w:rsidR="008C2E40" w:rsidRDefault="008C616E" w:rsidP="008C2E40">
      <w:pPr>
        <w:pStyle w:val="Style4"/>
      </w:pPr>
      <w:r>
        <w:t>“(17C</w:t>
      </w:r>
      <w:r w:rsidR="00803F1F">
        <w:t>)</w:t>
      </w:r>
      <w:r w:rsidR="00803F1F" w:rsidRPr="00803F1F">
        <w:t xml:space="preserve"> </w:t>
      </w:r>
      <w:r w:rsidR="00803F1F">
        <w:t>Subsection (17</w:t>
      </w:r>
      <w:r>
        <w:t>A</w:t>
      </w:r>
      <w:r w:rsidR="00803F1F" w:rsidRPr="00803F1F">
        <w:t>) does not apply to a person if ASIC has given a notice in writing to the person stating t</w:t>
      </w:r>
      <w:r w:rsidR="00803F1F">
        <w:t>hat subsection (17</w:t>
      </w:r>
      <w:r>
        <w:t>A</w:t>
      </w:r>
      <w:r w:rsidR="00803F1F" w:rsidRPr="00803F1F">
        <w:t xml:space="preserve">) does not apply to the person and </w:t>
      </w:r>
      <w:r w:rsidR="00436BDA">
        <w:t>has not withdrawn that notice.</w:t>
      </w:r>
    </w:p>
    <w:p w:rsidR="008C2E40" w:rsidRDefault="008C2E40" w:rsidP="008C2E40">
      <w:pPr>
        <w:ind w:left="2268" w:hanging="567"/>
      </w:pPr>
    </w:p>
    <w:p w:rsidR="008C2E40" w:rsidRDefault="008C616E" w:rsidP="008C2E40">
      <w:pPr>
        <w:pStyle w:val="Style4"/>
      </w:pPr>
      <w:r>
        <w:t>(17D)</w:t>
      </w:r>
      <w:r w:rsidR="004E375A">
        <w:t xml:space="preserve"> </w:t>
      </w:r>
      <w:r w:rsidR="00803F1F">
        <w:t>In</w:t>
      </w:r>
      <w:r w:rsidR="00BA6A94">
        <w:t xml:space="preserve"> subsections (17</w:t>
      </w:r>
      <w:r>
        <w:t>A</w:t>
      </w:r>
      <w:r w:rsidR="00BA6A94">
        <w:t>) to (17</w:t>
      </w:r>
      <w:r>
        <w:t>C</w:t>
      </w:r>
      <w:r w:rsidR="00803F1F">
        <w:t xml:space="preserve">), </w:t>
      </w:r>
      <w:r w:rsidR="0065389D" w:rsidRPr="0065389D">
        <w:rPr>
          <w:b/>
          <w:i/>
        </w:rPr>
        <w:t>IDPS</w:t>
      </w:r>
      <w:r w:rsidR="00803F1F">
        <w:t xml:space="preserve"> and </w:t>
      </w:r>
      <w:r w:rsidR="0065389D" w:rsidRPr="0065389D">
        <w:rPr>
          <w:b/>
          <w:i/>
        </w:rPr>
        <w:t>operator</w:t>
      </w:r>
      <w:r w:rsidR="00803F1F">
        <w:t xml:space="preserve"> have the same meaning as in </w:t>
      </w:r>
      <w:r w:rsidR="00816EA9">
        <w:t xml:space="preserve">subsection </w:t>
      </w:r>
      <w:proofErr w:type="gramStart"/>
      <w:r w:rsidR="00816EA9">
        <w:t>912AD(</w:t>
      </w:r>
      <w:proofErr w:type="gramEnd"/>
      <w:r w:rsidR="00816EA9">
        <w:t>42)</w:t>
      </w:r>
      <w:r w:rsidR="00803F1F">
        <w:t>.</w:t>
      </w:r>
    </w:p>
    <w:p w:rsidR="008C2E40" w:rsidRDefault="008C2E40" w:rsidP="008C2E40">
      <w:pPr>
        <w:ind w:left="2268" w:hanging="567"/>
      </w:pPr>
    </w:p>
    <w:p w:rsidR="008C2E40" w:rsidRDefault="0065389D" w:rsidP="008C2E40">
      <w:pPr>
        <w:ind w:left="2835" w:hanging="567"/>
      </w:pPr>
      <w:r w:rsidRPr="0065389D">
        <w:rPr>
          <w:sz w:val="20"/>
          <w:szCs w:val="20"/>
        </w:rPr>
        <w:t xml:space="preserve">Note: </w:t>
      </w:r>
      <w:r w:rsidR="00816EA9">
        <w:rPr>
          <w:sz w:val="20"/>
          <w:szCs w:val="20"/>
        </w:rPr>
        <w:tab/>
        <w:t xml:space="preserve">Notional subsection </w:t>
      </w:r>
      <w:proofErr w:type="gramStart"/>
      <w:r w:rsidR="00816EA9">
        <w:rPr>
          <w:sz w:val="20"/>
          <w:szCs w:val="20"/>
        </w:rPr>
        <w:t>912AD(</w:t>
      </w:r>
      <w:proofErr w:type="gramEnd"/>
      <w:r w:rsidR="00816EA9">
        <w:rPr>
          <w:sz w:val="20"/>
          <w:szCs w:val="20"/>
        </w:rPr>
        <w:t>42) is inserted by ASIC Class Order [CO 13/763].</w:t>
      </w:r>
      <w:r w:rsidR="00803F1F" w:rsidRPr="00803F1F">
        <w:t>”</w:t>
      </w:r>
      <w:r w:rsidR="00436BDA">
        <w:t>; and</w:t>
      </w:r>
      <w:r w:rsidR="00A1507A">
        <w:t xml:space="preserve"> </w:t>
      </w:r>
    </w:p>
    <w:p w:rsidR="00436BDA" w:rsidRDefault="00436BDA">
      <w:pPr>
        <w:ind w:left="1418" w:hanging="713"/>
      </w:pPr>
    </w:p>
    <w:p w:rsidR="003A6FD6" w:rsidRDefault="00436BDA">
      <w:pPr>
        <w:ind w:left="1134" w:hanging="567"/>
      </w:pPr>
      <w:r>
        <w:t>(</w:t>
      </w:r>
      <w:r w:rsidR="00430D4A">
        <w:t>c</w:t>
      </w:r>
      <w:r>
        <w:t>)</w:t>
      </w:r>
      <w:r>
        <w:tab/>
      </w:r>
      <w:proofErr w:type="gramStart"/>
      <w:r>
        <w:t>after</w:t>
      </w:r>
      <w:proofErr w:type="gramEnd"/>
      <w:r>
        <w:t xml:space="preserve"> the heading “</w:t>
      </w:r>
      <w:r w:rsidR="0065389D" w:rsidRPr="0065389D">
        <w:rPr>
          <w:b/>
        </w:rPr>
        <w:t>Interpretation</w:t>
      </w:r>
      <w:r>
        <w:t>”, omitting “</w:t>
      </w:r>
      <w:r w:rsidR="00816EA9">
        <w:t xml:space="preserve">subsection </w:t>
      </w:r>
      <w:r>
        <w:t>609(13)” and  substituting “</w:t>
      </w:r>
      <w:r w:rsidR="00816EA9">
        <w:t xml:space="preserve">subsection </w:t>
      </w:r>
      <w:r w:rsidR="008C616E">
        <w:t>609(17D</w:t>
      </w:r>
      <w:r>
        <w:t>)</w:t>
      </w:r>
      <w:r w:rsidR="008755FD">
        <w:t>.</w:t>
      </w:r>
      <w:r>
        <w:t>”.</w:t>
      </w:r>
    </w:p>
    <w:p w:rsidR="003F3890" w:rsidRDefault="003F3890">
      <w:pPr>
        <w:ind w:left="1440"/>
        <w:rPr>
          <w:lang w:val="en-US"/>
        </w:rPr>
      </w:pPr>
    </w:p>
    <w:p w:rsidR="003A6FD6" w:rsidRDefault="00DD5F74">
      <w:pPr>
        <w:ind w:left="567" w:hanging="567"/>
      </w:pPr>
      <w:r>
        <w:t>2.</w:t>
      </w:r>
      <w:r>
        <w:tab/>
        <w:t>ASIC Class Order [CO 0</w:t>
      </w:r>
      <w:r w:rsidR="00E017E0">
        <w:t>0</w:t>
      </w:r>
      <w:r>
        <w:t>/</w:t>
      </w:r>
      <w:r w:rsidR="00E017E0">
        <w:t>455</w:t>
      </w:r>
      <w:r w:rsidRPr="00CD0FCA">
        <w:t xml:space="preserve">] is </w:t>
      </w:r>
      <w:r w:rsidR="00F229D2">
        <w:t>amended</w:t>
      </w:r>
      <w:r w:rsidR="00F229D2" w:rsidRPr="00CD0FCA">
        <w:t xml:space="preserve"> </w:t>
      </w:r>
      <w:r w:rsidRPr="00CD0FCA">
        <w:t>by</w:t>
      </w:r>
      <w:r w:rsidR="002C67AC">
        <w:t>:</w:t>
      </w:r>
      <w:r w:rsidRPr="00CD0FCA">
        <w:t xml:space="preserve"> </w:t>
      </w:r>
    </w:p>
    <w:p w:rsidR="00DD5F74" w:rsidRDefault="00DD5F74" w:rsidP="00DD5F74"/>
    <w:p w:rsidR="003A6FD6" w:rsidRDefault="00C34E34">
      <w:pPr>
        <w:pStyle w:val="Style2"/>
      </w:pPr>
      <w:r w:rsidRPr="00C34E34">
        <w:t>(a)</w:t>
      </w:r>
      <w:r w:rsidRPr="00C34E34">
        <w:tab/>
      </w:r>
      <w:proofErr w:type="gramStart"/>
      <w:r w:rsidRPr="00C34E34">
        <w:t>omitting</w:t>
      </w:r>
      <w:proofErr w:type="gramEnd"/>
      <w:r w:rsidRPr="00C34E34">
        <w:t xml:space="preserve"> “after subsection 609(</w:t>
      </w:r>
      <w:r w:rsidR="001126FA">
        <w:t>9</w:t>
      </w:r>
      <w:r w:rsidRPr="00C34E34">
        <w:t xml:space="preserve">)” and substituting “after subsection </w:t>
      </w:r>
      <w:r w:rsidR="00A50C8A">
        <w:t>609(</w:t>
      </w:r>
      <w:r w:rsidR="00024301">
        <w:t>16</w:t>
      </w:r>
      <w:r w:rsidRPr="00C34E34">
        <w:t xml:space="preserve">) </w:t>
      </w:r>
      <w:r w:rsidR="00024301" w:rsidRPr="00024301">
        <w:t>(as notionally inserted by ASIC Class Order [CO 12/1209])</w:t>
      </w:r>
      <w:r w:rsidRPr="00C34E34">
        <w:t xml:space="preserve">”; </w:t>
      </w:r>
      <w:r w:rsidR="00061160">
        <w:t>and</w:t>
      </w:r>
      <w:r w:rsidR="00C8380F">
        <w:t xml:space="preserve"> </w:t>
      </w:r>
    </w:p>
    <w:p w:rsidR="00C34E34" w:rsidRPr="00C34E34" w:rsidRDefault="00C34E34" w:rsidP="00C34E34">
      <w:pPr>
        <w:ind w:left="1418" w:hanging="709"/>
      </w:pPr>
    </w:p>
    <w:p w:rsidR="003A6FD6" w:rsidRDefault="00C34E34">
      <w:pPr>
        <w:pStyle w:val="Style2"/>
      </w:pPr>
      <w:r w:rsidRPr="00C34E34">
        <w:t>(b)</w:t>
      </w:r>
      <w:r w:rsidRPr="00C34E34">
        <w:tab/>
      </w:r>
      <w:proofErr w:type="gramStart"/>
      <w:r w:rsidR="00891D5C">
        <w:t>in</w:t>
      </w:r>
      <w:proofErr w:type="gramEnd"/>
      <w:r w:rsidR="00891D5C">
        <w:t xml:space="preserve"> notional subsections 609(9A) to (</w:t>
      </w:r>
      <w:r w:rsidR="00FE4E83">
        <w:t>9C)</w:t>
      </w:r>
      <w:r w:rsidR="00877795">
        <w:t xml:space="preserve"> of the Act</w:t>
      </w:r>
      <w:r w:rsidR="00FE4E83">
        <w:t>:</w:t>
      </w:r>
      <w:r w:rsidR="00FE4E83">
        <w:br/>
      </w:r>
    </w:p>
    <w:p w:rsidR="00035151" w:rsidRPr="00035151" w:rsidRDefault="00035151">
      <w:pPr>
        <w:pStyle w:val="Style3"/>
        <w:numPr>
          <w:ilvl w:val="0"/>
          <w:numId w:val="2"/>
        </w:numPr>
        <w:ind w:left="1701" w:hanging="567"/>
      </w:pPr>
      <w:r>
        <w:t>omitting</w:t>
      </w:r>
      <w:r w:rsidR="00024301">
        <w:t xml:space="preserve"> notional subsection (9A)</w:t>
      </w:r>
      <w:r w:rsidR="00FE4E83">
        <w:t xml:space="preserve"> </w:t>
      </w:r>
      <w:r>
        <w:t>and substituting:</w:t>
      </w:r>
      <w:r>
        <w:br/>
      </w:r>
      <w:r>
        <w:br/>
      </w:r>
      <w:r w:rsidR="00024301">
        <w:t>“</w:t>
      </w:r>
      <w:r w:rsidR="0065389D" w:rsidRPr="0065389D">
        <w:rPr>
          <w:i/>
        </w:rPr>
        <w:t>Collective action by institutions</w:t>
      </w:r>
    </w:p>
    <w:p w:rsidR="008C2E40" w:rsidRPr="008C2E40" w:rsidRDefault="008C2E40" w:rsidP="008C2E40">
      <w:pPr>
        <w:pStyle w:val="Style3"/>
        <w:numPr>
          <w:ilvl w:val="0"/>
          <w:numId w:val="0"/>
        </w:numPr>
        <w:ind w:left="1701"/>
      </w:pPr>
    </w:p>
    <w:p w:rsidR="008C2E40" w:rsidRDefault="00035151" w:rsidP="008C2E40">
      <w:pPr>
        <w:pStyle w:val="Style3"/>
        <w:numPr>
          <w:ilvl w:val="0"/>
          <w:numId w:val="0"/>
        </w:numPr>
        <w:ind w:left="1701"/>
      </w:pPr>
      <w:r>
        <w:t xml:space="preserve">(18A) </w:t>
      </w:r>
      <w:proofErr w:type="gramStart"/>
      <w:r w:rsidR="00542D76" w:rsidRPr="00542D76">
        <w:t>In</w:t>
      </w:r>
      <w:proofErr w:type="gramEnd"/>
      <w:r w:rsidR="00542D76" w:rsidRPr="00542D76">
        <w:t xml:space="preserve"> this subsection and in subsections (18B) and (18C):</w:t>
      </w:r>
    </w:p>
    <w:p w:rsidR="008C2E40" w:rsidRDefault="008C2E40" w:rsidP="008C2E40">
      <w:pPr>
        <w:pStyle w:val="Style3"/>
        <w:numPr>
          <w:ilvl w:val="0"/>
          <w:numId w:val="0"/>
        </w:numPr>
        <w:ind w:left="1701"/>
      </w:pPr>
    </w:p>
    <w:p w:rsidR="008C2E40" w:rsidRDefault="00035151" w:rsidP="008C2E40">
      <w:pPr>
        <w:pStyle w:val="Style3"/>
        <w:numPr>
          <w:ilvl w:val="0"/>
          <w:numId w:val="0"/>
        </w:numPr>
        <w:ind w:left="2268"/>
      </w:pPr>
      <w:r>
        <w:t xml:space="preserve"> </w:t>
      </w:r>
      <w:proofErr w:type="gramStart"/>
      <w:r w:rsidR="008C2E40" w:rsidRPr="008C2E40">
        <w:rPr>
          <w:b/>
          <w:i/>
        </w:rPr>
        <w:t>institution</w:t>
      </w:r>
      <w:proofErr w:type="gramEnd"/>
      <w:r>
        <w:t xml:space="preserve"> means a body corporate whose primary functions are to:</w:t>
      </w:r>
      <w:r>
        <w:br/>
      </w:r>
    </w:p>
    <w:p w:rsidR="008C2E40" w:rsidRDefault="00035151" w:rsidP="008C2E40">
      <w:pPr>
        <w:pStyle w:val="Style3"/>
        <w:numPr>
          <w:ilvl w:val="0"/>
          <w:numId w:val="0"/>
        </w:numPr>
        <w:ind w:left="2835" w:hanging="567"/>
      </w:pPr>
      <w:r>
        <w:t xml:space="preserve">(a) </w:t>
      </w:r>
      <w:r>
        <w:tab/>
      </w:r>
      <w:proofErr w:type="gramStart"/>
      <w:r>
        <w:t>pool</w:t>
      </w:r>
      <w:proofErr w:type="gramEnd"/>
      <w:r>
        <w:t xml:space="preserve"> the funds of persons to whom the body corporate owes a fiduciary duty, or a contractual duty under a life insurance policy; and</w:t>
      </w:r>
      <w:r>
        <w:br/>
      </w:r>
    </w:p>
    <w:p w:rsidR="008C2E40" w:rsidRDefault="00035151" w:rsidP="008C2E40">
      <w:pPr>
        <w:pStyle w:val="Style3"/>
        <w:numPr>
          <w:ilvl w:val="0"/>
          <w:numId w:val="0"/>
        </w:numPr>
        <w:ind w:left="2835" w:hanging="567"/>
      </w:pPr>
      <w:r>
        <w:t xml:space="preserve">(b) </w:t>
      </w:r>
      <w:r>
        <w:tab/>
      </w:r>
      <w:proofErr w:type="gramStart"/>
      <w:r>
        <w:t>invest</w:t>
      </w:r>
      <w:proofErr w:type="gramEnd"/>
      <w:r>
        <w:t xml:space="preserve"> the funds of any of the following:</w:t>
      </w:r>
      <w:r>
        <w:br/>
      </w:r>
    </w:p>
    <w:p w:rsidR="008C2E40" w:rsidRDefault="00035151" w:rsidP="008C2E40">
      <w:pPr>
        <w:pStyle w:val="Style3"/>
        <w:numPr>
          <w:ilvl w:val="0"/>
          <w:numId w:val="0"/>
        </w:numPr>
        <w:tabs>
          <w:tab w:val="left" w:pos="3402"/>
        </w:tabs>
        <w:ind w:left="2835"/>
      </w:pPr>
      <w:r>
        <w:t>(</w:t>
      </w:r>
      <w:proofErr w:type="spellStart"/>
      <w:r>
        <w:t>i</w:t>
      </w:r>
      <w:proofErr w:type="spellEnd"/>
      <w:r>
        <w:t xml:space="preserve">) </w:t>
      </w:r>
      <w:r>
        <w:tab/>
      </w:r>
      <w:proofErr w:type="gramStart"/>
      <w:r>
        <w:t>a</w:t>
      </w:r>
      <w:proofErr w:type="gramEnd"/>
      <w:r>
        <w:t xml:space="preserve"> registered scheme;</w:t>
      </w:r>
      <w:r>
        <w:br/>
      </w:r>
    </w:p>
    <w:p w:rsidR="008C2E40" w:rsidRDefault="00035151" w:rsidP="008C2E40">
      <w:pPr>
        <w:pStyle w:val="Style3"/>
        <w:numPr>
          <w:ilvl w:val="0"/>
          <w:numId w:val="0"/>
        </w:numPr>
        <w:ind w:left="3402" w:hanging="567"/>
      </w:pPr>
      <w:r>
        <w:t>(ii)</w:t>
      </w:r>
      <w:r>
        <w:tab/>
      </w:r>
      <w:proofErr w:type="gramStart"/>
      <w:r>
        <w:t>a</w:t>
      </w:r>
      <w:proofErr w:type="gramEnd"/>
      <w:r>
        <w:t xml:space="preserve"> regulated superannuation fund, an approved deposit fund, a pooled superannuation trust or a public sector superannuation scheme within the meaning of the </w:t>
      </w:r>
      <w:r w:rsidR="008C2E40" w:rsidRPr="008C2E40">
        <w:rPr>
          <w:i/>
        </w:rPr>
        <w:t>Superannuation Industry (Supervision) Act 1993</w:t>
      </w:r>
      <w:r>
        <w:t xml:space="preserve">; </w:t>
      </w:r>
      <w:r>
        <w:br/>
      </w:r>
    </w:p>
    <w:p w:rsidR="008C2E40" w:rsidRDefault="005D5B73" w:rsidP="008C2E40">
      <w:pPr>
        <w:pStyle w:val="Style3"/>
        <w:numPr>
          <w:ilvl w:val="0"/>
          <w:numId w:val="0"/>
        </w:numPr>
        <w:ind w:left="3402" w:hanging="567"/>
      </w:pPr>
      <w:r>
        <w:lastRenderedPageBreak/>
        <w:t>(iii)</w:t>
      </w:r>
      <w:r>
        <w:tab/>
      </w:r>
      <w:proofErr w:type="gramStart"/>
      <w:r w:rsidR="00035151">
        <w:t>a</w:t>
      </w:r>
      <w:proofErr w:type="gramEnd"/>
      <w:r w:rsidR="00035151">
        <w:t xml:space="preserve"> statutory fund of a registered life insurance company within the meaning of the </w:t>
      </w:r>
      <w:r w:rsidR="008C2E40" w:rsidRPr="008C2E40">
        <w:rPr>
          <w:i/>
        </w:rPr>
        <w:t>Life Insurance Act 1995</w:t>
      </w:r>
      <w:r w:rsidR="00035151">
        <w:t>.</w:t>
      </w:r>
    </w:p>
    <w:p w:rsidR="008C2E40" w:rsidRDefault="008C2E40" w:rsidP="008C2E40">
      <w:pPr>
        <w:pStyle w:val="Style3"/>
        <w:numPr>
          <w:ilvl w:val="0"/>
          <w:numId w:val="0"/>
        </w:numPr>
        <w:ind w:left="3402"/>
      </w:pPr>
    </w:p>
    <w:p w:rsidR="008C2E40" w:rsidRDefault="008C2E40" w:rsidP="008C2E40">
      <w:pPr>
        <w:pStyle w:val="Style3"/>
        <w:numPr>
          <w:ilvl w:val="0"/>
          <w:numId w:val="0"/>
        </w:numPr>
        <w:ind w:left="2268"/>
      </w:pPr>
      <w:proofErr w:type="gramStart"/>
      <w:r w:rsidRPr="008C2E40">
        <w:rPr>
          <w:b/>
          <w:i/>
        </w:rPr>
        <w:t>subject</w:t>
      </w:r>
      <w:proofErr w:type="gramEnd"/>
      <w:r w:rsidRPr="008C2E40">
        <w:rPr>
          <w:b/>
          <w:i/>
        </w:rPr>
        <w:t xml:space="preserve"> company</w:t>
      </w:r>
      <w:r w:rsidR="00035151">
        <w:t xml:space="preserve"> means where a voting agreement is entered into, the company whose meeting is the s</w:t>
      </w:r>
      <w:r w:rsidR="005D5B73">
        <w:t>ubject of the voting agreement.</w:t>
      </w:r>
    </w:p>
    <w:p w:rsidR="008C2E40" w:rsidRDefault="008C2E40" w:rsidP="008C2E40">
      <w:pPr>
        <w:pStyle w:val="Style3"/>
        <w:numPr>
          <w:ilvl w:val="0"/>
          <w:numId w:val="0"/>
        </w:numPr>
        <w:ind w:left="2268"/>
      </w:pPr>
    </w:p>
    <w:p w:rsidR="008C2E40" w:rsidRDefault="008C2E40" w:rsidP="008C2E40">
      <w:pPr>
        <w:pStyle w:val="Style3"/>
        <w:numPr>
          <w:ilvl w:val="0"/>
          <w:numId w:val="0"/>
        </w:numPr>
        <w:ind w:left="2268"/>
      </w:pPr>
      <w:r w:rsidRPr="008C2E40">
        <w:rPr>
          <w:b/>
          <w:i/>
        </w:rPr>
        <w:t>voting agreement</w:t>
      </w:r>
      <w:r w:rsidR="00035151">
        <w:t xml:space="preserve"> means an agreement between two or more institutions relating to voting in a particular way, on a particular issue, or abstaining from voting, at a specified</w:t>
      </w:r>
      <w:r w:rsidR="005D5B73" w:rsidRPr="005D5B73">
        <w:t xml:space="preserve"> or a proposed meeting of a company in relation to which the institutions have voting power</w:t>
      </w:r>
      <w:r w:rsidR="005D5B73">
        <w:t>.</w:t>
      </w:r>
      <w:r w:rsidR="00024301">
        <w:t>”;</w:t>
      </w:r>
      <w:r w:rsidR="00061160">
        <w:t xml:space="preserve"> and</w:t>
      </w:r>
    </w:p>
    <w:p w:rsidR="00C34E34" w:rsidRPr="00C34E34" w:rsidRDefault="00C34E34" w:rsidP="00C34E34">
      <w:pPr>
        <w:ind w:left="1418" w:hanging="709"/>
      </w:pPr>
    </w:p>
    <w:p w:rsidR="003A6FD6" w:rsidRDefault="00024301">
      <w:pPr>
        <w:pStyle w:val="Style3"/>
      </w:pPr>
      <w:r>
        <w:t xml:space="preserve">renumbering notional subsection </w:t>
      </w:r>
      <w:r w:rsidR="000F486D">
        <w:t>(9B) as notional subsection (18B</w:t>
      </w:r>
      <w:r w:rsidR="000F47DF">
        <w:t>);</w:t>
      </w:r>
      <w:r w:rsidR="00061160">
        <w:t xml:space="preserve"> and</w:t>
      </w:r>
    </w:p>
    <w:p w:rsidR="003A6FD6" w:rsidRDefault="003A6FD6">
      <w:pPr>
        <w:pStyle w:val="Style2"/>
      </w:pPr>
    </w:p>
    <w:p w:rsidR="003A6FD6" w:rsidRDefault="000F47DF">
      <w:pPr>
        <w:pStyle w:val="Style3"/>
      </w:pPr>
      <w:r>
        <w:t xml:space="preserve">renumbering notional subsection </w:t>
      </w:r>
      <w:r w:rsidR="000F486D">
        <w:t>(9C) as notional subsection (18C</w:t>
      </w:r>
      <w:r>
        <w:t>)</w:t>
      </w:r>
      <w:r w:rsidR="00877795">
        <w:t>; and</w:t>
      </w:r>
    </w:p>
    <w:p w:rsidR="008C2E40" w:rsidRDefault="008C2E40" w:rsidP="008C2E40">
      <w:pPr>
        <w:pStyle w:val="Style2"/>
        <w:ind w:left="0" w:firstLine="0"/>
      </w:pPr>
    </w:p>
    <w:p w:rsidR="00A64047" w:rsidRDefault="00A1507A">
      <w:pPr>
        <w:pStyle w:val="Style2"/>
      </w:pPr>
      <w:r>
        <w:t>(c)</w:t>
      </w:r>
      <w:r>
        <w:tab/>
      </w:r>
      <w:proofErr w:type="gramStart"/>
      <w:r w:rsidR="00A64047">
        <w:t>omitting</w:t>
      </w:r>
      <w:proofErr w:type="gramEnd"/>
      <w:r w:rsidR="00A64047">
        <w:t xml:space="preserve"> </w:t>
      </w:r>
      <w:r>
        <w:t>notional subsection 67</w:t>
      </w:r>
      <w:r w:rsidR="001704E5">
        <w:t>1B</w:t>
      </w:r>
      <w:r>
        <w:t>(8)</w:t>
      </w:r>
      <w:r w:rsidR="00877795">
        <w:t xml:space="preserve"> of the Act</w:t>
      </w:r>
      <w:r w:rsidR="00A64047">
        <w:t xml:space="preserve"> and substituting:</w:t>
      </w:r>
      <w:r w:rsidR="00877795">
        <w:t xml:space="preserve"> </w:t>
      </w:r>
    </w:p>
    <w:p w:rsidR="00A64047" w:rsidRDefault="00A64047">
      <w:pPr>
        <w:pStyle w:val="Style2"/>
      </w:pPr>
    </w:p>
    <w:p w:rsidR="00A64047" w:rsidRPr="00A64047" w:rsidRDefault="008C616E" w:rsidP="00A64047">
      <w:pPr>
        <w:pStyle w:val="Style2"/>
        <w:ind w:firstLine="0"/>
        <w:rPr>
          <w:i/>
        </w:rPr>
      </w:pPr>
      <w:r>
        <w:t>“</w:t>
      </w:r>
      <w:r w:rsidR="00A64047" w:rsidRPr="00A64047">
        <w:rPr>
          <w:i/>
        </w:rPr>
        <w:t>Collective action by institution</w:t>
      </w:r>
      <w:r w:rsidR="004457C1">
        <w:rPr>
          <w:i/>
        </w:rPr>
        <w:t>s</w:t>
      </w:r>
    </w:p>
    <w:p w:rsidR="00A64047" w:rsidRDefault="00A64047" w:rsidP="00A64047">
      <w:pPr>
        <w:pStyle w:val="Style2"/>
        <w:ind w:firstLine="0"/>
      </w:pPr>
    </w:p>
    <w:p w:rsidR="003A6FD6" w:rsidRDefault="00A64047" w:rsidP="00A64047">
      <w:pPr>
        <w:pStyle w:val="Style2"/>
        <w:tabs>
          <w:tab w:val="left" w:pos="1701"/>
        </w:tabs>
        <w:ind w:left="1689" w:hanging="555"/>
      </w:pPr>
      <w:r>
        <w:t>(8)</w:t>
      </w:r>
      <w:r>
        <w:tab/>
      </w:r>
      <w:r>
        <w:tab/>
        <w:t xml:space="preserve">For the purposes of this section, and of the definition of </w:t>
      </w:r>
      <w:r w:rsidRPr="00A64047">
        <w:rPr>
          <w:b/>
          <w:i/>
        </w:rPr>
        <w:t>substantial holding</w:t>
      </w:r>
      <w:r>
        <w:t xml:space="preserve"> in section 9, disregard any relevant interests or voting power in securities which is disregarded for the purposes of Chapter</w:t>
      </w:r>
      <w:r w:rsidR="00DD553E">
        <w:t> </w:t>
      </w:r>
      <w:r>
        <w:t xml:space="preserve">6 because of  </w:t>
      </w:r>
      <w:r w:rsidR="008C616E">
        <w:t>subsections 609(18</w:t>
      </w:r>
      <w:r w:rsidR="000F486D">
        <w:t>A) to (18C</w:t>
      </w:r>
      <w:r w:rsidR="008C616E">
        <w:t>)”; and</w:t>
      </w:r>
    </w:p>
    <w:p w:rsidR="003A6FD6" w:rsidRDefault="003A6FD6">
      <w:pPr>
        <w:pStyle w:val="Style2"/>
      </w:pPr>
    </w:p>
    <w:p w:rsidR="001704E5" w:rsidRDefault="00B01807">
      <w:pPr>
        <w:pStyle w:val="Style2"/>
      </w:pPr>
      <w:r>
        <w:t>(d)</w:t>
      </w:r>
      <w:r>
        <w:tab/>
      </w:r>
      <w:proofErr w:type="gramStart"/>
      <w:r w:rsidR="00C26CBC">
        <w:t>omitting</w:t>
      </w:r>
      <w:proofErr w:type="gramEnd"/>
      <w:r>
        <w:t xml:space="preserve"> notional </w:t>
      </w:r>
      <w:r w:rsidR="00284D4B">
        <w:t xml:space="preserve">subsection </w:t>
      </w:r>
      <w:r>
        <w:t>67</w:t>
      </w:r>
      <w:r w:rsidR="001704E5">
        <w:t>1B</w:t>
      </w:r>
      <w:r>
        <w:t>(9) of the Act</w:t>
      </w:r>
      <w:r w:rsidR="00C26CBC">
        <w:t xml:space="preserve"> and substituting</w:t>
      </w:r>
      <w:r w:rsidR="001704E5">
        <w:t>:</w:t>
      </w:r>
    </w:p>
    <w:p w:rsidR="001704E5" w:rsidRDefault="001704E5">
      <w:pPr>
        <w:pStyle w:val="Style2"/>
      </w:pPr>
    </w:p>
    <w:p w:rsidR="00284D4B" w:rsidRDefault="00C26CBC">
      <w:pPr>
        <w:ind w:left="1701" w:hanging="567"/>
      </w:pPr>
      <w:r>
        <w:t>“</w:t>
      </w:r>
      <w:r w:rsidR="00284D4B">
        <w:t>(9)</w:t>
      </w:r>
      <w:r w:rsidR="00284D4B">
        <w:tab/>
      </w:r>
      <w:r w:rsidR="00542D76" w:rsidRPr="00542D76">
        <w:t>In this subsection and in subsections (10) to (16):</w:t>
      </w:r>
      <w:r w:rsidR="00284D4B">
        <w:br/>
      </w:r>
    </w:p>
    <w:p w:rsidR="00AE3C84" w:rsidRDefault="008C2E40">
      <w:pPr>
        <w:ind w:left="1701"/>
      </w:pPr>
      <w:proofErr w:type="gramStart"/>
      <w:r w:rsidRPr="008C2E40">
        <w:rPr>
          <w:b/>
          <w:i/>
        </w:rPr>
        <w:t>institution</w:t>
      </w:r>
      <w:proofErr w:type="gramEnd"/>
      <w:r w:rsidR="00C26CBC">
        <w:t xml:space="preserve">, </w:t>
      </w:r>
      <w:r w:rsidRPr="008C2E40">
        <w:rPr>
          <w:b/>
          <w:i/>
        </w:rPr>
        <w:t>subject company</w:t>
      </w:r>
      <w:r w:rsidR="00C26CBC">
        <w:t xml:space="preserve"> and </w:t>
      </w:r>
      <w:r w:rsidRPr="008C2E40">
        <w:rPr>
          <w:b/>
          <w:i/>
        </w:rPr>
        <w:t>voting agreement</w:t>
      </w:r>
      <w:r w:rsidR="00C26CBC">
        <w:t xml:space="preserve"> have the meanings</w:t>
      </w:r>
      <w:r w:rsidR="007441B1">
        <w:t xml:space="preserve"> </w:t>
      </w:r>
      <w:r w:rsidR="00C26CBC">
        <w:t>given in subsection 609(18A)</w:t>
      </w:r>
      <w:r w:rsidR="00284D4B">
        <w:t>.</w:t>
      </w:r>
    </w:p>
    <w:p w:rsidR="00AE3C84" w:rsidRDefault="00AE3C84">
      <w:pPr>
        <w:ind w:left="1701"/>
      </w:pPr>
    </w:p>
    <w:p w:rsidR="00AE3C84" w:rsidRDefault="00E95568">
      <w:pPr>
        <w:ind w:left="1701"/>
      </w:pPr>
      <w:proofErr w:type="gramStart"/>
      <w:r w:rsidRPr="00E95568">
        <w:rPr>
          <w:b/>
          <w:i/>
        </w:rPr>
        <w:t>meeting</w:t>
      </w:r>
      <w:proofErr w:type="gramEnd"/>
      <w:r w:rsidR="00284D4B">
        <w:t xml:space="preserve"> means the meeting of a subject company.</w:t>
      </w:r>
    </w:p>
    <w:p w:rsidR="00AE3C84" w:rsidRDefault="00AE3C84">
      <w:pPr>
        <w:ind w:left="1701"/>
      </w:pPr>
    </w:p>
    <w:p w:rsidR="00AE3C84" w:rsidRDefault="00E95568">
      <w:pPr>
        <w:ind w:left="1701"/>
      </w:pPr>
      <w:proofErr w:type="gramStart"/>
      <w:r w:rsidRPr="00E95568">
        <w:rPr>
          <w:b/>
          <w:i/>
        </w:rPr>
        <w:t>relevant</w:t>
      </w:r>
      <w:proofErr w:type="gramEnd"/>
      <w:r w:rsidRPr="00E95568">
        <w:rPr>
          <w:b/>
          <w:i/>
        </w:rPr>
        <w:t xml:space="preserve"> event</w:t>
      </w:r>
      <w:r w:rsidR="00284D4B">
        <w:t xml:space="preserve"> means either:</w:t>
      </w:r>
    </w:p>
    <w:p w:rsidR="00AE3C84" w:rsidRDefault="00AE3C84">
      <w:pPr>
        <w:ind w:left="1701"/>
      </w:pPr>
    </w:p>
    <w:p w:rsidR="00AE3C84" w:rsidRDefault="00284D4B">
      <w:pPr>
        <w:pStyle w:val="ListParagraph"/>
        <w:numPr>
          <w:ilvl w:val="0"/>
          <w:numId w:val="6"/>
        </w:numPr>
        <w:ind w:left="2268" w:hanging="567"/>
      </w:pPr>
      <w:r>
        <w:t>entering into a voting agreement; or</w:t>
      </w:r>
      <w:r>
        <w:br/>
      </w:r>
    </w:p>
    <w:p w:rsidR="00E95568" w:rsidRDefault="00284D4B" w:rsidP="00E95568">
      <w:pPr>
        <w:pStyle w:val="ListParagraph"/>
        <w:numPr>
          <w:ilvl w:val="0"/>
          <w:numId w:val="6"/>
        </w:numPr>
        <w:ind w:left="2268" w:hanging="567"/>
      </w:pPr>
      <w:r>
        <w:t>a party to a voting agreement becoming aware of a change in relevant interests referred to in subsection (11) or (12).</w:t>
      </w:r>
      <w:r w:rsidR="002C67AC">
        <w:t>”; and</w:t>
      </w:r>
    </w:p>
    <w:p w:rsidR="008C2E40" w:rsidRDefault="008C2E40" w:rsidP="008C2E40">
      <w:pPr>
        <w:ind w:left="1701" w:hanging="567"/>
      </w:pPr>
    </w:p>
    <w:p w:rsidR="008C2E40" w:rsidRDefault="004E375A" w:rsidP="008C2E40">
      <w:pPr>
        <w:ind w:left="1134" w:hanging="567"/>
      </w:pPr>
      <w:r>
        <w:t>(</w:t>
      </w:r>
      <w:r w:rsidR="008755FD">
        <w:t>e</w:t>
      </w:r>
      <w:r>
        <w:t>)</w:t>
      </w:r>
      <w:r>
        <w:tab/>
      </w:r>
      <w:proofErr w:type="gramStart"/>
      <w:r>
        <w:t>after</w:t>
      </w:r>
      <w:proofErr w:type="gramEnd"/>
      <w:r>
        <w:t xml:space="preserve"> the heading “</w:t>
      </w:r>
      <w:r w:rsidR="008C2E40" w:rsidRPr="008C2E40">
        <w:rPr>
          <w:b/>
        </w:rPr>
        <w:t>Interpretation</w:t>
      </w:r>
      <w:r>
        <w:t>”</w:t>
      </w:r>
      <w:r w:rsidR="00CB1020">
        <w:t>:</w:t>
      </w:r>
    </w:p>
    <w:p w:rsidR="008C2E40" w:rsidRDefault="008C2E40" w:rsidP="008C2E40">
      <w:pPr>
        <w:ind w:left="1134" w:hanging="567"/>
      </w:pPr>
    </w:p>
    <w:p w:rsidR="008C2E40" w:rsidRDefault="00CB1020" w:rsidP="008C2E40">
      <w:pPr>
        <w:pStyle w:val="ListParagraph"/>
        <w:numPr>
          <w:ilvl w:val="0"/>
          <w:numId w:val="5"/>
        </w:numPr>
        <w:ind w:left="1701" w:hanging="564"/>
      </w:pPr>
      <w:r>
        <w:t>omitting ““institution”” and substituting “</w:t>
      </w:r>
      <w:r w:rsidR="008C2E40" w:rsidRPr="008C2E40">
        <w:rPr>
          <w:b/>
          <w:i/>
        </w:rPr>
        <w:t>institution</w:t>
      </w:r>
      <w:r>
        <w:t>”; and</w:t>
      </w:r>
      <w:r>
        <w:br/>
      </w:r>
    </w:p>
    <w:p w:rsidR="008C2E40" w:rsidRDefault="00CB1020" w:rsidP="008C2E40">
      <w:pPr>
        <w:pStyle w:val="ListParagraph"/>
        <w:numPr>
          <w:ilvl w:val="0"/>
          <w:numId w:val="5"/>
        </w:numPr>
        <w:ind w:left="1701" w:hanging="564"/>
      </w:pPr>
      <w:r>
        <w:lastRenderedPageBreak/>
        <w:t>omitting ““voting agreement”” and substituting “</w:t>
      </w:r>
      <w:r w:rsidR="008C2E40" w:rsidRPr="008C2E40">
        <w:rPr>
          <w:b/>
          <w:i/>
        </w:rPr>
        <w:t>voting agreement</w:t>
      </w:r>
      <w:r>
        <w:t>”; and</w:t>
      </w:r>
      <w:r>
        <w:br/>
      </w:r>
    </w:p>
    <w:p w:rsidR="008C2E40" w:rsidRDefault="00CB1020" w:rsidP="008C2E40">
      <w:pPr>
        <w:pStyle w:val="ListParagraph"/>
        <w:numPr>
          <w:ilvl w:val="0"/>
          <w:numId w:val="5"/>
        </w:numPr>
        <w:ind w:left="1701" w:hanging="564"/>
      </w:pPr>
      <w:proofErr w:type="gramStart"/>
      <w:r>
        <w:t>omitting</w:t>
      </w:r>
      <w:proofErr w:type="gramEnd"/>
      <w:r>
        <w:t xml:space="preserve"> ““this jurisdiction”” (wherever occurring) and substituting “</w:t>
      </w:r>
      <w:r w:rsidR="008C2E40" w:rsidRPr="008C2E40">
        <w:rPr>
          <w:b/>
          <w:i/>
        </w:rPr>
        <w:t>this jurisdiction</w:t>
      </w:r>
      <w:r>
        <w:t>”.</w:t>
      </w:r>
      <w:r w:rsidR="004E375A">
        <w:t xml:space="preserve"> </w:t>
      </w:r>
      <w:r w:rsidR="00C26CBC">
        <w:t xml:space="preserve"> </w:t>
      </w:r>
    </w:p>
    <w:p w:rsidR="008C2E40" w:rsidRDefault="008C2E40" w:rsidP="008C2E40">
      <w:pPr>
        <w:ind w:left="1701" w:hanging="567"/>
      </w:pPr>
    </w:p>
    <w:p w:rsidR="00BB1416" w:rsidRDefault="005B4A05">
      <w:pPr>
        <w:ind w:left="567" w:hanging="567"/>
      </w:pPr>
      <w:r>
        <w:t>3</w:t>
      </w:r>
      <w:r w:rsidRPr="005B4A05">
        <w:t>.</w:t>
      </w:r>
      <w:r w:rsidRPr="005B4A05">
        <w:tab/>
        <w:t xml:space="preserve">ASIC Class Order [CO </w:t>
      </w:r>
      <w:r>
        <w:t>12</w:t>
      </w:r>
      <w:r w:rsidRPr="005B4A05">
        <w:t>/</w:t>
      </w:r>
      <w:r>
        <w:t>1209</w:t>
      </w:r>
      <w:r w:rsidRPr="005B4A05">
        <w:t xml:space="preserve">] </w:t>
      </w:r>
      <w:r>
        <w:t xml:space="preserve">is </w:t>
      </w:r>
      <w:r w:rsidR="00F229D2">
        <w:t xml:space="preserve">amended </w:t>
      </w:r>
      <w:r>
        <w:t>by</w:t>
      </w:r>
      <w:r w:rsidR="00BB1416">
        <w:t>:</w:t>
      </w:r>
    </w:p>
    <w:p w:rsidR="00BB1416" w:rsidRDefault="00BB1416">
      <w:pPr>
        <w:ind w:left="567" w:hanging="567"/>
      </w:pPr>
    </w:p>
    <w:p w:rsidR="008C2E40" w:rsidRDefault="00BB1416" w:rsidP="008C2E40">
      <w:pPr>
        <w:ind w:left="1134" w:hanging="567"/>
      </w:pPr>
      <w:r>
        <w:t>(a)</w:t>
      </w:r>
      <w:r w:rsidR="005B4A05">
        <w:t xml:space="preserve"> </w:t>
      </w:r>
      <w:r>
        <w:tab/>
      </w:r>
      <w:proofErr w:type="gramStart"/>
      <w:r w:rsidR="005D5B73">
        <w:t>in</w:t>
      </w:r>
      <w:proofErr w:type="gramEnd"/>
      <w:r w:rsidR="005D5B73">
        <w:t xml:space="preserve"> paragraph 4, inserting as a heading to notional subsection 609(14)</w:t>
      </w:r>
      <w:r w:rsidR="008755FD">
        <w:t xml:space="preserve"> of the Act</w:t>
      </w:r>
      <w:r w:rsidR="005D5B73">
        <w:t>, “</w:t>
      </w:r>
      <w:r w:rsidR="008C2E40" w:rsidRPr="008C2E40">
        <w:rPr>
          <w:i/>
        </w:rPr>
        <w:t>ASIC</w:t>
      </w:r>
      <w:r w:rsidR="005D5B73">
        <w:t>”; and</w:t>
      </w:r>
    </w:p>
    <w:p w:rsidR="008C2E40" w:rsidRDefault="008C2E40" w:rsidP="008C2E40">
      <w:pPr>
        <w:ind w:left="1134" w:hanging="567"/>
      </w:pPr>
    </w:p>
    <w:p w:rsidR="008C2E40" w:rsidRDefault="005D5B73" w:rsidP="008C2E40">
      <w:pPr>
        <w:ind w:left="1134" w:hanging="567"/>
      </w:pPr>
      <w:r>
        <w:t>(b)</w:t>
      </w:r>
      <w:r>
        <w:tab/>
      </w:r>
      <w:r w:rsidR="009C15C2">
        <w:t xml:space="preserve">in the note </w:t>
      </w:r>
      <w:r w:rsidR="00AA2F38">
        <w:t>after</w:t>
      </w:r>
      <w:r w:rsidR="009C15C2">
        <w:t xml:space="preserve"> paragraph 4, </w:t>
      </w:r>
      <w:r w:rsidR="005B4A05">
        <w:t xml:space="preserve">omitting </w:t>
      </w:r>
      <w:r w:rsidR="009C15C2">
        <w:t>“</w:t>
      </w:r>
      <w:r w:rsidR="005B4A05">
        <w:t>[CO 03/634]</w:t>
      </w:r>
      <w:r w:rsidR="009C15C2">
        <w:t>”</w:t>
      </w:r>
      <w:r w:rsidR="005B4A05">
        <w:t xml:space="preserve"> and substituting </w:t>
      </w:r>
      <w:r w:rsidR="009C15C2">
        <w:t>“</w:t>
      </w:r>
      <w:r w:rsidR="005B4A05">
        <w:t>[CO 13/520]</w:t>
      </w:r>
      <w:r w:rsidR="009C15C2">
        <w:t>”</w:t>
      </w:r>
      <w:r>
        <w:t>.</w:t>
      </w:r>
    </w:p>
    <w:p w:rsidR="008C2E40" w:rsidRDefault="008C2E40" w:rsidP="008C2E40">
      <w:pPr>
        <w:ind w:left="1134" w:hanging="567"/>
      </w:pPr>
    </w:p>
    <w:p w:rsidR="003A6FD6" w:rsidRDefault="00406F7F">
      <w:pPr>
        <w:ind w:left="567" w:hanging="567"/>
      </w:pPr>
      <w:r>
        <w:t>4.</w:t>
      </w:r>
      <w:r>
        <w:tab/>
      </w:r>
      <w:r w:rsidR="0013088F">
        <w:t>ASIC Class Order [CO 09/425] is amended by</w:t>
      </w:r>
      <w:r w:rsidR="00B242F5">
        <w:t>, in subparagraph 14(a),</w:t>
      </w:r>
      <w:r w:rsidR="009C15C2">
        <w:t xml:space="preserve"> </w:t>
      </w:r>
      <w:r w:rsidR="00A34451">
        <w:t>omitting</w:t>
      </w:r>
      <w:r w:rsidR="00FA0C32">
        <w:t xml:space="preserve"> subparagraph (a</w:t>
      </w:r>
      <w:proofErr w:type="gramStart"/>
      <w:r w:rsidR="00FA0C32">
        <w:t>)(</w:t>
      </w:r>
      <w:proofErr w:type="gramEnd"/>
      <w:r w:rsidR="00FA0C32">
        <w:t xml:space="preserve">ii) of the definition of </w:t>
      </w:r>
      <w:r w:rsidR="0065389D" w:rsidRPr="0065389D">
        <w:rPr>
          <w:b/>
          <w:i/>
        </w:rPr>
        <w:t>custodian</w:t>
      </w:r>
      <w:r w:rsidR="00B242F5">
        <w:t xml:space="preserve"> </w:t>
      </w:r>
      <w:r w:rsidR="00FA0C32">
        <w:t>and substituting</w:t>
      </w:r>
      <w:r w:rsidR="00A34451">
        <w:t>:</w:t>
      </w:r>
      <w:r>
        <w:t xml:space="preserve"> </w:t>
      </w:r>
    </w:p>
    <w:p w:rsidR="003A6FD6" w:rsidRDefault="003A6FD6">
      <w:pPr>
        <w:ind w:left="567" w:hanging="567"/>
      </w:pPr>
    </w:p>
    <w:p w:rsidR="003A6FD6" w:rsidRDefault="0013088F">
      <w:pPr>
        <w:ind w:left="1134" w:hanging="567"/>
      </w:pPr>
      <w:r>
        <w:t>“</w:t>
      </w:r>
      <w:r w:rsidR="00A34451">
        <w:t>(ii)</w:t>
      </w:r>
      <w:r w:rsidR="00A34451">
        <w:tab/>
      </w:r>
      <w:proofErr w:type="gramStart"/>
      <w:r>
        <w:t>covers</w:t>
      </w:r>
      <w:proofErr w:type="gramEnd"/>
      <w:r>
        <w:t xml:space="preserve"> the operation of an IDPS (as defined in ASIC Class Order [CO 13/763]</w:t>
      </w:r>
      <w:r w:rsidR="00FA0C32">
        <w:t>);</w:t>
      </w:r>
      <w:r w:rsidR="002C67AC">
        <w:t xml:space="preserve"> </w:t>
      </w:r>
      <w:r w:rsidR="00CC096A">
        <w:t>or</w:t>
      </w:r>
      <w:r>
        <w:t>”</w:t>
      </w:r>
      <w:r w:rsidR="00406F7F">
        <w:t>.</w:t>
      </w:r>
      <w:r w:rsidR="00AA2F38">
        <w:t xml:space="preserve"> </w:t>
      </w:r>
    </w:p>
    <w:p w:rsidR="005B4A05" w:rsidRPr="00C34E34" w:rsidRDefault="005B4A05" w:rsidP="00C34E34">
      <w:pPr>
        <w:ind w:left="1418" w:hanging="709"/>
      </w:pPr>
    </w:p>
    <w:p w:rsidR="003A6FD6" w:rsidRDefault="00F24F6E">
      <w:pPr>
        <w:ind w:left="567" w:hanging="567"/>
      </w:pPr>
      <w:r>
        <w:rPr>
          <w:lang w:val="en-US"/>
        </w:rPr>
        <w:t>5.</w:t>
      </w:r>
      <w:r>
        <w:rPr>
          <w:lang w:val="en-US"/>
        </w:rPr>
        <w:tab/>
      </w:r>
      <w:r w:rsidRPr="00F24F6E">
        <w:t xml:space="preserve">ASIC Class Order [CO </w:t>
      </w:r>
      <w:r>
        <w:t>11</w:t>
      </w:r>
      <w:r w:rsidRPr="00F24F6E">
        <w:t>/</w:t>
      </w:r>
      <w:r>
        <w:t>272</w:t>
      </w:r>
      <w:r w:rsidRPr="00F24F6E">
        <w:t>] is amended by</w:t>
      </w:r>
      <w:r>
        <w:t>:</w:t>
      </w:r>
    </w:p>
    <w:p w:rsidR="003A6FD6" w:rsidRDefault="003A6FD6">
      <w:pPr>
        <w:ind w:left="567" w:hanging="567"/>
      </w:pPr>
    </w:p>
    <w:p w:rsidR="003A6FD6" w:rsidRDefault="00F24F6E">
      <w:pPr>
        <w:pStyle w:val="Style2"/>
        <w:numPr>
          <w:ilvl w:val="0"/>
          <w:numId w:val="3"/>
        </w:numPr>
        <w:ind w:left="1134" w:hanging="567"/>
      </w:pPr>
      <w:r>
        <w:t xml:space="preserve">in subparagraph 6(a), </w:t>
      </w:r>
      <w:r w:rsidR="004866F1">
        <w:t>in</w:t>
      </w:r>
      <w:r>
        <w:t xml:space="preserve"> notional subsection 671B(3A) of the Act</w:t>
      </w:r>
      <w:r w:rsidR="004866F1">
        <w:t>:</w:t>
      </w:r>
      <w:r w:rsidR="004866F1">
        <w:br/>
      </w:r>
    </w:p>
    <w:p w:rsidR="003A6FD6" w:rsidRDefault="003A29E1">
      <w:pPr>
        <w:pStyle w:val="Style3"/>
        <w:numPr>
          <w:ilvl w:val="0"/>
          <w:numId w:val="0"/>
        </w:numPr>
        <w:ind w:left="1701" w:hanging="567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4866F1">
        <w:t>omitting</w:t>
      </w:r>
      <w:proofErr w:type="gramEnd"/>
      <w:r w:rsidR="004866F1">
        <w:t xml:space="preserve"> “</w:t>
      </w:r>
      <w:r w:rsidR="0065389D" w:rsidRPr="0065389D">
        <w:rPr>
          <w:b/>
        </w:rPr>
        <w:t>Information that need not be given.</w:t>
      </w:r>
      <w:r w:rsidR="004866F1">
        <w:t>”; and</w:t>
      </w:r>
    </w:p>
    <w:p w:rsidR="003A6FD6" w:rsidRDefault="003A6FD6">
      <w:pPr>
        <w:pStyle w:val="Style3"/>
        <w:numPr>
          <w:ilvl w:val="0"/>
          <w:numId w:val="0"/>
        </w:numPr>
        <w:ind w:left="1854"/>
      </w:pPr>
    </w:p>
    <w:p w:rsidR="003A6FD6" w:rsidRDefault="004866F1">
      <w:pPr>
        <w:pStyle w:val="Style3"/>
        <w:numPr>
          <w:ilvl w:val="0"/>
          <w:numId w:val="0"/>
        </w:numPr>
        <w:ind w:left="1701" w:hanging="567"/>
      </w:pPr>
      <w:r>
        <w:t>(ii)</w:t>
      </w:r>
      <w:r>
        <w:tab/>
      </w:r>
      <w:proofErr w:type="gramStart"/>
      <w:r>
        <w:t>inserting</w:t>
      </w:r>
      <w:proofErr w:type="gramEnd"/>
      <w:r>
        <w:t>, as a heading to the subsection, “</w:t>
      </w:r>
      <w:r w:rsidR="0065389D" w:rsidRPr="0065389D">
        <w:rPr>
          <w:i/>
        </w:rPr>
        <w:t>Information that need not be given</w:t>
      </w:r>
      <w:r>
        <w:t>”; and</w:t>
      </w:r>
      <w:r>
        <w:br/>
      </w:r>
    </w:p>
    <w:p w:rsidR="003A6FD6" w:rsidRDefault="004866F1">
      <w:pPr>
        <w:pStyle w:val="Style2"/>
        <w:numPr>
          <w:ilvl w:val="0"/>
          <w:numId w:val="3"/>
        </w:numPr>
        <w:ind w:left="1134" w:hanging="567"/>
      </w:pPr>
      <w:r>
        <w:t xml:space="preserve">in subparagraph 6(b), in notional subsection </w:t>
      </w:r>
      <w:r w:rsidR="00024804">
        <w:t>671B(4A</w:t>
      </w:r>
      <w:r>
        <w:t>) of the Act:</w:t>
      </w:r>
    </w:p>
    <w:p w:rsidR="003A6FD6" w:rsidRDefault="003A6FD6">
      <w:pPr>
        <w:pStyle w:val="Style2"/>
      </w:pPr>
    </w:p>
    <w:p w:rsidR="003A29E1" w:rsidRDefault="003A29E1" w:rsidP="003A29E1">
      <w:pPr>
        <w:pStyle w:val="Style3"/>
        <w:numPr>
          <w:ilvl w:val="0"/>
          <w:numId w:val="4"/>
        </w:numPr>
        <w:ind w:left="1701" w:hanging="567"/>
      </w:pPr>
      <w:r>
        <w:t>omitting “</w:t>
      </w:r>
      <w:r w:rsidRPr="004866F1">
        <w:rPr>
          <w:b/>
        </w:rPr>
        <w:t xml:space="preserve">Information that need not be </w:t>
      </w:r>
      <w:r w:rsidR="00024804">
        <w:rPr>
          <w:b/>
        </w:rPr>
        <w:t>accompanied by certain securities lending agreements</w:t>
      </w:r>
      <w:r w:rsidRPr="004866F1">
        <w:rPr>
          <w:b/>
        </w:rPr>
        <w:t>.</w:t>
      </w:r>
      <w:r>
        <w:t>”; and</w:t>
      </w:r>
    </w:p>
    <w:p w:rsidR="003A29E1" w:rsidRDefault="003A29E1" w:rsidP="003A29E1">
      <w:pPr>
        <w:pStyle w:val="Style3"/>
        <w:numPr>
          <w:ilvl w:val="0"/>
          <w:numId w:val="0"/>
        </w:numPr>
        <w:ind w:left="1854"/>
      </w:pPr>
    </w:p>
    <w:p w:rsidR="008C2E40" w:rsidRDefault="003A29E1" w:rsidP="008C2E40">
      <w:pPr>
        <w:pStyle w:val="Style3"/>
        <w:numPr>
          <w:ilvl w:val="0"/>
          <w:numId w:val="0"/>
        </w:numPr>
        <w:ind w:left="1701" w:hanging="567"/>
        <w:rPr>
          <w:lang w:val="en-US"/>
        </w:rPr>
      </w:pPr>
      <w:r>
        <w:t>(ii)</w:t>
      </w:r>
      <w:r>
        <w:tab/>
      </w:r>
      <w:proofErr w:type="gramStart"/>
      <w:r>
        <w:t>inserting</w:t>
      </w:r>
      <w:proofErr w:type="gramEnd"/>
      <w:r>
        <w:t>, as a heading to the subsection, “</w:t>
      </w:r>
      <w:r w:rsidRPr="004866F1">
        <w:rPr>
          <w:i/>
        </w:rPr>
        <w:t xml:space="preserve">Information that need not be </w:t>
      </w:r>
      <w:r w:rsidR="00024804">
        <w:rPr>
          <w:i/>
        </w:rPr>
        <w:t>accompanied by certain securities lending agreements</w:t>
      </w:r>
      <w:r>
        <w:t>”</w:t>
      </w:r>
      <w:r w:rsidR="005D5B73">
        <w:t>.</w:t>
      </w:r>
      <w:r>
        <w:br/>
      </w:r>
    </w:p>
    <w:p w:rsidR="00F31C4F" w:rsidRDefault="00F31C4F" w:rsidP="00F31C4F">
      <w:pPr>
        <w:ind w:left="709" w:hanging="709"/>
        <w:rPr>
          <w:lang w:val="en-US"/>
        </w:rPr>
      </w:pPr>
    </w:p>
    <w:p w:rsidR="00F31C4F" w:rsidRPr="00F31C4F" w:rsidRDefault="00707A59" w:rsidP="00F31C4F">
      <w:pPr>
        <w:ind w:left="709" w:hanging="709"/>
      </w:pPr>
      <w:r>
        <w:t>Dated this 26</w:t>
      </w:r>
      <w:r w:rsidR="00F31C4F" w:rsidRPr="00F31C4F">
        <w:rPr>
          <w:vertAlign w:val="superscript"/>
        </w:rPr>
        <w:t>th</w:t>
      </w:r>
      <w:r w:rsidR="00ED3AA9">
        <w:t xml:space="preserve"> day of </w:t>
      </w:r>
      <w:r w:rsidR="00264BA6">
        <w:t>September</w:t>
      </w:r>
      <w:r w:rsidR="008755FD" w:rsidRPr="00F31C4F">
        <w:t xml:space="preserve"> </w:t>
      </w:r>
      <w:r w:rsidR="00F31C4F" w:rsidRPr="00F31C4F">
        <w:t>2013</w:t>
      </w:r>
    </w:p>
    <w:p w:rsidR="00F31C4F" w:rsidRPr="00F31C4F" w:rsidRDefault="00F31C4F" w:rsidP="00F31C4F">
      <w:pPr>
        <w:ind w:left="709" w:hanging="709"/>
      </w:pPr>
    </w:p>
    <w:p w:rsidR="00F31C4F" w:rsidRPr="00F31C4F" w:rsidRDefault="00F31C4F" w:rsidP="00F31C4F">
      <w:pPr>
        <w:ind w:left="709" w:hanging="709"/>
      </w:pPr>
    </w:p>
    <w:p w:rsidR="00F31C4F" w:rsidRPr="00F31C4F" w:rsidRDefault="00F31C4F" w:rsidP="00F31C4F">
      <w:pPr>
        <w:ind w:left="709" w:hanging="709"/>
      </w:pPr>
    </w:p>
    <w:p w:rsidR="00F31C4F" w:rsidRPr="00F31C4F" w:rsidRDefault="00F31C4F" w:rsidP="00F31C4F">
      <w:pPr>
        <w:ind w:left="709" w:hanging="709"/>
      </w:pPr>
    </w:p>
    <w:p w:rsidR="00F31C4F" w:rsidRPr="00F31C4F" w:rsidRDefault="00F31C4F" w:rsidP="00F31C4F">
      <w:pPr>
        <w:ind w:left="709" w:hanging="709"/>
      </w:pPr>
      <w:r w:rsidRPr="00F31C4F">
        <w:t>Signed by Stephen Yen PSM</w:t>
      </w:r>
    </w:p>
    <w:p w:rsidR="00F31C4F" w:rsidRDefault="00F31C4F" w:rsidP="00F31C4F">
      <w:pPr>
        <w:ind w:left="709" w:hanging="709"/>
      </w:pPr>
      <w:proofErr w:type="gramStart"/>
      <w:r w:rsidRPr="00F31C4F">
        <w:t>as</w:t>
      </w:r>
      <w:proofErr w:type="gramEnd"/>
      <w:r w:rsidRPr="00F31C4F">
        <w:t xml:space="preserve"> a delegate of the Australian Securities and Investments Commission</w:t>
      </w:r>
    </w:p>
    <w:sectPr w:rsidR="00F31C4F" w:rsidSect="00707A59">
      <w:headerReference w:type="defaul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D78" w:rsidRDefault="00C72D78" w:rsidP="00707A59">
      <w:r>
        <w:separator/>
      </w:r>
    </w:p>
  </w:endnote>
  <w:endnote w:type="continuationSeparator" w:id="0">
    <w:p w:rsidR="00C72D78" w:rsidRDefault="00C72D78" w:rsidP="00707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D78" w:rsidRDefault="00C72D78" w:rsidP="00707A59">
      <w:r>
        <w:separator/>
      </w:r>
    </w:p>
  </w:footnote>
  <w:footnote w:type="continuationSeparator" w:id="0">
    <w:p w:rsidR="00C72D78" w:rsidRDefault="00C72D78" w:rsidP="00707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204"/>
      <w:docPartObj>
        <w:docPartGallery w:val="Page Numbers (Top of Page)"/>
        <w:docPartUnique/>
      </w:docPartObj>
    </w:sdtPr>
    <w:sdtContent>
      <w:p w:rsidR="00707A59" w:rsidRDefault="00707A59">
        <w:pPr>
          <w:pStyle w:val="Header"/>
          <w:jc w:val="center"/>
        </w:pPr>
        <w:fldSimple w:instr=" PAGE   \* MERGEFORMAT ">
          <w:r w:rsidR="00FD0552">
            <w:rPr>
              <w:noProof/>
            </w:rPr>
            <w:t>4</w:t>
          </w:r>
        </w:fldSimple>
      </w:p>
    </w:sdtContent>
  </w:sdt>
  <w:p w:rsidR="00707A59" w:rsidRDefault="00707A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7E04"/>
    <w:multiLevelType w:val="hybridMultilevel"/>
    <w:tmpl w:val="C5469008"/>
    <w:lvl w:ilvl="0" w:tplc="CCAA0DA4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30E7752"/>
    <w:multiLevelType w:val="hybridMultilevel"/>
    <w:tmpl w:val="B27E3416"/>
    <w:lvl w:ilvl="0" w:tplc="63FAC2B2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2B342A5C"/>
    <w:multiLevelType w:val="hybridMultilevel"/>
    <w:tmpl w:val="AC9C5D14"/>
    <w:lvl w:ilvl="0" w:tplc="0ADCFBF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913C23"/>
    <w:multiLevelType w:val="hybridMultilevel"/>
    <w:tmpl w:val="84529ECE"/>
    <w:lvl w:ilvl="0" w:tplc="05C0F116">
      <w:start w:val="1"/>
      <w:numFmt w:val="lowerRoman"/>
      <w:lvlText w:val="(%1)"/>
      <w:lvlJc w:val="left"/>
      <w:pPr>
        <w:ind w:left="185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">
    <w:nsid w:val="42127CB6"/>
    <w:multiLevelType w:val="hybridMultilevel"/>
    <w:tmpl w:val="DEBC72D8"/>
    <w:lvl w:ilvl="0" w:tplc="3EE69200">
      <w:start w:val="1"/>
      <w:numFmt w:val="lowerRoman"/>
      <w:pStyle w:val="Style3"/>
      <w:lvlText w:val="(%1)"/>
      <w:lvlJc w:val="left"/>
      <w:pPr>
        <w:ind w:left="214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5" w:hanging="360"/>
      </w:pPr>
    </w:lvl>
    <w:lvl w:ilvl="2" w:tplc="0C09001B" w:tentative="1">
      <w:start w:val="1"/>
      <w:numFmt w:val="lowerRoman"/>
      <w:lvlText w:val="%3."/>
      <w:lvlJc w:val="right"/>
      <w:pPr>
        <w:ind w:left="3225" w:hanging="180"/>
      </w:pPr>
    </w:lvl>
    <w:lvl w:ilvl="3" w:tplc="0C09000F" w:tentative="1">
      <w:start w:val="1"/>
      <w:numFmt w:val="decimal"/>
      <w:lvlText w:val="%4."/>
      <w:lvlJc w:val="left"/>
      <w:pPr>
        <w:ind w:left="3945" w:hanging="360"/>
      </w:pPr>
    </w:lvl>
    <w:lvl w:ilvl="4" w:tplc="0C090019" w:tentative="1">
      <w:start w:val="1"/>
      <w:numFmt w:val="lowerLetter"/>
      <w:lvlText w:val="%5."/>
      <w:lvlJc w:val="left"/>
      <w:pPr>
        <w:ind w:left="4665" w:hanging="360"/>
      </w:pPr>
    </w:lvl>
    <w:lvl w:ilvl="5" w:tplc="0C09001B" w:tentative="1">
      <w:start w:val="1"/>
      <w:numFmt w:val="lowerRoman"/>
      <w:lvlText w:val="%6."/>
      <w:lvlJc w:val="right"/>
      <w:pPr>
        <w:ind w:left="5385" w:hanging="180"/>
      </w:pPr>
    </w:lvl>
    <w:lvl w:ilvl="6" w:tplc="0C09000F" w:tentative="1">
      <w:start w:val="1"/>
      <w:numFmt w:val="decimal"/>
      <w:lvlText w:val="%7."/>
      <w:lvlJc w:val="left"/>
      <w:pPr>
        <w:ind w:left="6105" w:hanging="360"/>
      </w:pPr>
    </w:lvl>
    <w:lvl w:ilvl="7" w:tplc="0C090019" w:tentative="1">
      <w:start w:val="1"/>
      <w:numFmt w:val="lowerLetter"/>
      <w:lvlText w:val="%8."/>
      <w:lvlJc w:val="left"/>
      <w:pPr>
        <w:ind w:left="6825" w:hanging="360"/>
      </w:pPr>
    </w:lvl>
    <w:lvl w:ilvl="8" w:tplc="0C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F3A"/>
    <w:rsid w:val="00024301"/>
    <w:rsid w:val="00024804"/>
    <w:rsid w:val="00033B27"/>
    <w:rsid w:val="00035151"/>
    <w:rsid w:val="00061160"/>
    <w:rsid w:val="000C4528"/>
    <w:rsid w:val="000F47DF"/>
    <w:rsid w:val="000F486D"/>
    <w:rsid w:val="001126FA"/>
    <w:rsid w:val="0011326B"/>
    <w:rsid w:val="0013088F"/>
    <w:rsid w:val="0013673D"/>
    <w:rsid w:val="001415B0"/>
    <w:rsid w:val="00162BB5"/>
    <w:rsid w:val="001664C7"/>
    <w:rsid w:val="00167638"/>
    <w:rsid w:val="001704E5"/>
    <w:rsid w:val="001759A7"/>
    <w:rsid w:val="001A0BA9"/>
    <w:rsid w:val="001A7CB7"/>
    <w:rsid w:val="001E4747"/>
    <w:rsid w:val="00201B4E"/>
    <w:rsid w:val="00220360"/>
    <w:rsid w:val="0022294A"/>
    <w:rsid w:val="002438D8"/>
    <w:rsid w:val="00264BA6"/>
    <w:rsid w:val="002661C3"/>
    <w:rsid w:val="00274AB4"/>
    <w:rsid w:val="002849FF"/>
    <w:rsid w:val="00284D4B"/>
    <w:rsid w:val="002C67AC"/>
    <w:rsid w:val="00311E4B"/>
    <w:rsid w:val="003824FA"/>
    <w:rsid w:val="003A29E1"/>
    <w:rsid w:val="003A6F3A"/>
    <w:rsid w:val="003A6FD6"/>
    <w:rsid w:val="003B4828"/>
    <w:rsid w:val="003E5082"/>
    <w:rsid w:val="003F1737"/>
    <w:rsid w:val="003F3890"/>
    <w:rsid w:val="00406F7F"/>
    <w:rsid w:val="004177C8"/>
    <w:rsid w:val="00430D4A"/>
    <w:rsid w:val="00436BDA"/>
    <w:rsid w:val="004457C1"/>
    <w:rsid w:val="00446D52"/>
    <w:rsid w:val="0046297B"/>
    <w:rsid w:val="004866F1"/>
    <w:rsid w:val="00494933"/>
    <w:rsid w:val="004B0D70"/>
    <w:rsid w:val="004E375A"/>
    <w:rsid w:val="0050380B"/>
    <w:rsid w:val="00506CFD"/>
    <w:rsid w:val="00523006"/>
    <w:rsid w:val="00542D76"/>
    <w:rsid w:val="0057412F"/>
    <w:rsid w:val="005B4A05"/>
    <w:rsid w:val="005D5B73"/>
    <w:rsid w:val="005F7DDE"/>
    <w:rsid w:val="0065389D"/>
    <w:rsid w:val="00675A6F"/>
    <w:rsid w:val="00707A59"/>
    <w:rsid w:val="0072244F"/>
    <w:rsid w:val="00743F9E"/>
    <w:rsid w:val="007441B1"/>
    <w:rsid w:val="00754B4B"/>
    <w:rsid w:val="00780F8C"/>
    <w:rsid w:val="00796A4B"/>
    <w:rsid w:val="007A24C7"/>
    <w:rsid w:val="007F6826"/>
    <w:rsid w:val="00803F1F"/>
    <w:rsid w:val="00816EA9"/>
    <w:rsid w:val="00817682"/>
    <w:rsid w:val="008272DA"/>
    <w:rsid w:val="008342B4"/>
    <w:rsid w:val="008755FD"/>
    <w:rsid w:val="00877795"/>
    <w:rsid w:val="0088181F"/>
    <w:rsid w:val="00891D5C"/>
    <w:rsid w:val="008C2E40"/>
    <w:rsid w:val="008C616E"/>
    <w:rsid w:val="008D1F08"/>
    <w:rsid w:val="008E5178"/>
    <w:rsid w:val="009148CF"/>
    <w:rsid w:val="00915803"/>
    <w:rsid w:val="00926FF0"/>
    <w:rsid w:val="00937CCF"/>
    <w:rsid w:val="00942EAD"/>
    <w:rsid w:val="009B5FCC"/>
    <w:rsid w:val="009C15C2"/>
    <w:rsid w:val="009D2F40"/>
    <w:rsid w:val="00A1507A"/>
    <w:rsid w:val="00A34451"/>
    <w:rsid w:val="00A40031"/>
    <w:rsid w:val="00A50C8A"/>
    <w:rsid w:val="00A64047"/>
    <w:rsid w:val="00A75414"/>
    <w:rsid w:val="00A907D0"/>
    <w:rsid w:val="00AA2F38"/>
    <w:rsid w:val="00AA5111"/>
    <w:rsid w:val="00AC12BF"/>
    <w:rsid w:val="00AE1D8E"/>
    <w:rsid w:val="00AE3C84"/>
    <w:rsid w:val="00AF4503"/>
    <w:rsid w:val="00AF6593"/>
    <w:rsid w:val="00B01807"/>
    <w:rsid w:val="00B231B2"/>
    <w:rsid w:val="00B242F5"/>
    <w:rsid w:val="00B46D2C"/>
    <w:rsid w:val="00B47623"/>
    <w:rsid w:val="00B6514C"/>
    <w:rsid w:val="00B82600"/>
    <w:rsid w:val="00B83961"/>
    <w:rsid w:val="00BA6A94"/>
    <w:rsid w:val="00BB1416"/>
    <w:rsid w:val="00BB3327"/>
    <w:rsid w:val="00BB6952"/>
    <w:rsid w:val="00BC20C1"/>
    <w:rsid w:val="00C04AE3"/>
    <w:rsid w:val="00C26CBC"/>
    <w:rsid w:val="00C34E34"/>
    <w:rsid w:val="00C41999"/>
    <w:rsid w:val="00C640DB"/>
    <w:rsid w:val="00C72D78"/>
    <w:rsid w:val="00C8380F"/>
    <w:rsid w:val="00C943A8"/>
    <w:rsid w:val="00CB1020"/>
    <w:rsid w:val="00CC096A"/>
    <w:rsid w:val="00CD0FCA"/>
    <w:rsid w:val="00CD603E"/>
    <w:rsid w:val="00D03DD6"/>
    <w:rsid w:val="00D04FC5"/>
    <w:rsid w:val="00D32C7D"/>
    <w:rsid w:val="00D33798"/>
    <w:rsid w:val="00D64055"/>
    <w:rsid w:val="00D95DB1"/>
    <w:rsid w:val="00DB7E3B"/>
    <w:rsid w:val="00DD553E"/>
    <w:rsid w:val="00DD5F74"/>
    <w:rsid w:val="00DE625B"/>
    <w:rsid w:val="00E017E0"/>
    <w:rsid w:val="00E1466A"/>
    <w:rsid w:val="00E35E7C"/>
    <w:rsid w:val="00E40EAC"/>
    <w:rsid w:val="00E42347"/>
    <w:rsid w:val="00E74BCE"/>
    <w:rsid w:val="00E95568"/>
    <w:rsid w:val="00EB625C"/>
    <w:rsid w:val="00ED25EA"/>
    <w:rsid w:val="00ED3AA9"/>
    <w:rsid w:val="00ED7146"/>
    <w:rsid w:val="00F05B5F"/>
    <w:rsid w:val="00F06467"/>
    <w:rsid w:val="00F15CAB"/>
    <w:rsid w:val="00F229D2"/>
    <w:rsid w:val="00F24F6E"/>
    <w:rsid w:val="00F31C4F"/>
    <w:rsid w:val="00F52ECC"/>
    <w:rsid w:val="00F75A9A"/>
    <w:rsid w:val="00FA0C32"/>
    <w:rsid w:val="00FB309B"/>
    <w:rsid w:val="00FC7E94"/>
    <w:rsid w:val="00FD0552"/>
    <w:rsid w:val="00FE4E83"/>
    <w:rsid w:val="00FF6022"/>
    <w:rsid w:val="00FF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F7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F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5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9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9A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9A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A7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72244F"/>
    <w:rPr>
      <w:sz w:val="24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F229D2"/>
  </w:style>
  <w:style w:type="character" w:customStyle="1" w:styleId="Style1Char">
    <w:name w:val="Style1 Char"/>
    <w:basedOn w:val="DefaultParagraphFont"/>
    <w:link w:val="Style1"/>
    <w:rsid w:val="00F229D2"/>
    <w:rPr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03F1F"/>
    <w:pPr>
      <w:ind w:left="720"/>
      <w:contextualSpacing/>
    </w:pPr>
  </w:style>
  <w:style w:type="paragraph" w:customStyle="1" w:styleId="Style2">
    <w:name w:val="Style2"/>
    <w:basedOn w:val="Normal"/>
    <w:link w:val="Style2Char"/>
    <w:qFormat/>
    <w:rsid w:val="00061160"/>
    <w:pPr>
      <w:ind w:left="1134" w:hanging="567"/>
    </w:pPr>
  </w:style>
  <w:style w:type="paragraph" w:customStyle="1" w:styleId="Style3">
    <w:name w:val="Style3"/>
    <w:basedOn w:val="ListParagraph"/>
    <w:link w:val="Style3Char"/>
    <w:qFormat/>
    <w:rsid w:val="00430D4A"/>
    <w:pPr>
      <w:numPr>
        <w:numId w:val="1"/>
      </w:numPr>
      <w:ind w:left="1701" w:hanging="567"/>
    </w:pPr>
  </w:style>
  <w:style w:type="character" w:customStyle="1" w:styleId="Style2Char">
    <w:name w:val="Style2 Char"/>
    <w:basedOn w:val="DefaultParagraphFont"/>
    <w:link w:val="Style2"/>
    <w:rsid w:val="00061160"/>
    <w:rPr>
      <w:sz w:val="24"/>
      <w:szCs w:val="24"/>
      <w:lang w:eastAsia="en-US"/>
    </w:rPr>
  </w:style>
  <w:style w:type="paragraph" w:customStyle="1" w:styleId="Style4">
    <w:name w:val="Style4"/>
    <w:basedOn w:val="Style3"/>
    <w:link w:val="Style4Char"/>
    <w:qFormat/>
    <w:rsid w:val="00430D4A"/>
    <w:pPr>
      <w:numPr>
        <w:numId w:val="0"/>
      </w:numPr>
      <w:ind w:left="2268" w:hanging="56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30D4A"/>
    <w:rPr>
      <w:sz w:val="24"/>
      <w:szCs w:val="24"/>
      <w:lang w:eastAsia="en-US"/>
    </w:rPr>
  </w:style>
  <w:style w:type="character" w:customStyle="1" w:styleId="Style3Char">
    <w:name w:val="Style3 Char"/>
    <w:basedOn w:val="ListParagraphChar"/>
    <w:link w:val="Style3"/>
    <w:rsid w:val="00430D4A"/>
  </w:style>
  <w:style w:type="character" w:customStyle="1" w:styleId="Style4Char">
    <w:name w:val="Style4 Char"/>
    <w:basedOn w:val="Style3Char"/>
    <w:link w:val="Style4"/>
    <w:rsid w:val="00430D4A"/>
  </w:style>
  <w:style w:type="paragraph" w:styleId="Header">
    <w:name w:val="header"/>
    <w:basedOn w:val="Normal"/>
    <w:link w:val="HeaderChar"/>
    <w:uiPriority w:val="99"/>
    <w:unhideWhenUsed/>
    <w:rsid w:val="00707A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A5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07A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A59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li.gov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6F9B-4ABB-4477-9CF0-D56DBFFA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 Wong</dc:creator>
  <cp:keywords/>
  <dc:description/>
  <cp:lastModifiedBy>Stephen Yen</cp:lastModifiedBy>
  <cp:revision>7</cp:revision>
  <cp:lastPrinted>2013-09-26T01:36:00Z</cp:lastPrinted>
  <dcterms:created xsi:type="dcterms:W3CDTF">2013-09-18T09:14:00Z</dcterms:created>
  <dcterms:modified xsi:type="dcterms:W3CDTF">2013-09-26T02:33:00Z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A3886546</vt:lpwstr>
  </property>
  <property fmtid="{D5CDD505-2E9C-101B-9397-08002B2CF9AE}" pid="4" name="Objective-Title">
    <vt:lpwstr>Draft class order to modify 04-523</vt:lpwstr>
  </property>
  <property fmtid="{D5CDD505-2E9C-101B-9397-08002B2CF9AE}" pid="5" name="Objective-Comment">
    <vt:lpwstr/>
  </property>
  <property fmtid="{D5CDD505-2E9C-101B-9397-08002B2CF9AE}" pid="6" name="Objective-CreationStamp">
    <vt:filetime>2013-07-04T06:16:58Z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2013-07-04T06:29:20Z</vt:filetime>
  </property>
  <property fmtid="{D5CDD505-2E9C-101B-9397-08002B2CF9AE}" pid="11" name="Objective-Owner">
    <vt:lpwstr>Violet Wong</vt:lpwstr>
  </property>
  <property fmtid="{D5CDD505-2E9C-101B-9397-08002B2CF9AE}" pid="12" name="Objective-Path">
    <vt:lpwstr>ASIC BCS:REGULATION &amp; COMPLIANCE:Business Activity Projects:Compliance &amp; Campaign Projects:Investment Management:RG 148 Platforms - Review 2012:Class Order documents:</vt:lpwstr>
  </property>
  <property fmtid="{D5CDD505-2E9C-101B-9397-08002B2CF9AE}" pid="13" name="Objective-Parent">
    <vt:lpwstr>Class Order documents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i4>2</vt:i4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