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2B" w:rsidRPr="00383245" w:rsidRDefault="00C00A2B">
      <w:pPr>
        <w:pStyle w:val="Title"/>
      </w:pPr>
      <w:r>
        <w:t>ASIC CLAS</w:t>
      </w:r>
      <w:r w:rsidRPr="00383245">
        <w:t xml:space="preserve">S ORDER [CO </w:t>
      </w:r>
      <w:r w:rsidR="00383245" w:rsidRPr="00383245">
        <w:t>13/1200</w:t>
      </w:r>
      <w:r w:rsidRPr="00383245">
        <w:t>]</w:t>
      </w:r>
    </w:p>
    <w:p w:rsidR="00C00A2B" w:rsidRPr="00383245" w:rsidRDefault="00C00A2B">
      <w:pPr>
        <w:pStyle w:val="Title"/>
      </w:pPr>
    </w:p>
    <w:p w:rsidR="00C00A2B" w:rsidRPr="00383245" w:rsidRDefault="00C00A2B">
      <w:pPr>
        <w:pStyle w:val="Title"/>
      </w:pPr>
      <w:r w:rsidRPr="00383245">
        <w:t>EXPLANATORY STATEMENT</w:t>
      </w:r>
    </w:p>
    <w:p w:rsidR="00C00A2B" w:rsidRPr="00383245" w:rsidRDefault="00C00A2B">
      <w:pPr>
        <w:ind w:right="-311"/>
        <w:jc w:val="center"/>
      </w:pPr>
    </w:p>
    <w:p w:rsidR="00C00A2B" w:rsidRPr="00383245" w:rsidRDefault="00C00A2B">
      <w:pPr>
        <w:pStyle w:val="BodyTextcentred"/>
      </w:pPr>
      <w:r w:rsidRPr="00383245">
        <w:t>Prepared by the Australian Securities and Investments Commission</w:t>
      </w:r>
    </w:p>
    <w:p w:rsidR="00C00A2B" w:rsidRPr="00383245" w:rsidRDefault="00C00A2B">
      <w:pPr>
        <w:pStyle w:val="BodyTextcentreditals"/>
      </w:pPr>
      <w:r w:rsidRPr="00383245">
        <w:t>Corporations Act 2001</w:t>
      </w:r>
    </w:p>
    <w:p w:rsidR="00C00A2B" w:rsidRPr="00FA4902" w:rsidRDefault="00C00A2B">
      <w:pPr>
        <w:pStyle w:val="BodyText"/>
        <w:rPr>
          <w:highlight w:val="red"/>
        </w:rPr>
      </w:pPr>
      <w:r w:rsidRPr="00383245">
        <w:t>The Australian Securities and Investments Commission (ASIC) makes ASIC Class Order [CO </w:t>
      </w:r>
      <w:r w:rsidR="00383245" w:rsidRPr="00383245">
        <w:t>13/1200</w:t>
      </w:r>
      <w:r w:rsidRPr="00383245">
        <w:t xml:space="preserve">] </w:t>
      </w:r>
      <w:r w:rsidR="00752EB3" w:rsidRPr="00383245">
        <w:t>(the</w:t>
      </w:r>
      <w:r w:rsidR="00752EB3">
        <w:t xml:space="preserve"> Class Order) </w:t>
      </w:r>
      <w:r>
        <w:t xml:space="preserve">under </w:t>
      </w:r>
      <w:r w:rsidR="00C059F9">
        <w:t>paragraphs</w:t>
      </w:r>
      <w:r w:rsidR="00C059F9" w:rsidRPr="00C059F9">
        <w:t xml:space="preserve"> </w:t>
      </w:r>
      <w:proofErr w:type="gramStart"/>
      <w:r w:rsidR="00C059F9" w:rsidRPr="00C059F9">
        <w:t>1020F(</w:t>
      </w:r>
      <w:proofErr w:type="gramEnd"/>
      <w:r w:rsidR="00C059F9" w:rsidRPr="00C059F9">
        <w:t>1)</w:t>
      </w:r>
      <w:r w:rsidR="00C059F9">
        <w:t>(a)</w:t>
      </w:r>
      <w:r w:rsidR="00387B54">
        <w:t xml:space="preserve"> and 1020F(1)(c)</w:t>
      </w:r>
      <w:r w:rsidR="00212B5B" w:rsidRPr="00C059F9">
        <w:t xml:space="preserve"> </w:t>
      </w:r>
      <w:r w:rsidRPr="00C059F9">
        <w:t xml:space="preserve"> of the </w:t>
      </w:r>
      <w:r w:rsidRPr="00C059F9">
        <w:rPr>
          <w:i/>
          <w:iCs/>
        </w:rPr>
        <w:t>Corporations Act 2001</w:t>
      </w:r>
      <w:r w:rsidRPr="00C059F9">
        <w:t xml:space="preserve"> (the Act). </w:t>
      </w:r>
    </w:p>
    <w:p w:rsidR="00C059F9" w:rsidRDefault="00C059F9">
      <w:pPr>
        <w:pStyle w:val="BodyText"/>
      </w:pPr>
      <w:r>
        <w:t xml:space="preserve">Paragraph </w:t>
      </w:r>
      <w:proofErr w:type="gramStart"/>
      <w:r>
        <w:t>1020F(</w:t>
      </w:r>
      <w:proofErr w:type="gramEnd"/>
      <w:r>
        <w:t>1)(a)</w:t>
      </w:r>
      <w:r w:rsidR="00752EB3">
        <w:t xml:space="preserve"> </w:t>
      </w:r>
      <w:r w:rsidR="00DC488E">
        <w:t xml:space="preserve">of the Act </w:t>
      </w:r>
      <w:r w:rsidR="00752EB3">
        <w:t>provides that ASIC may exempt a person or class of persons from all or specified provisions of Part 7.9</w:t>
      </w:r>
      <w:r w:rsidR="00DC488E">
        <w:t xml:space="preserve"> of the Act</w:t>
      </w:r>
      <w:r w:rsidR="00752EB3">
        <w:t>.</w:t>
      </w:r>
    </w:p>
    <w:p w:rsidR="00387B54" w:rsidRPr="003B0DC6" w:rsidRDefault="00387B54">
      <w:pPr>
        <w:pStyle w:val="BodyText"/>
      </w:pPr>
      <w:r>
        <w:t>Paragraph 1020F(1)(c)</w:t>
      </w:r>
      <w:r w:rsidR="00DC488E">
        <w:t xml:space="preserve"> of the Act</w:t>
      </w:r>
      <w:r>
        <w:t xml:space="preserve"> provides that ASIC may declare that Part 7.9 </w:t>
      </w:r>
      <w:r w:rsidR="00DC488E">
        <w:t xml:space="preserve">of the Act </w:t>
      </w:r>
      <w:r>
        <w:t>applies in relation to a person or a financial product, or a class of persons or financial products, as if specified provisions were omitted, modified or varied as specified in the declaration.</w:t>
      </w:r>
    </w:p>
    <w:p w:rsidR="00C00A2B" w:rsidRDefault="00C00A2B">
      <w:pPr>
        <w:pStyle w:val="Heading1"/>
        <w:tabs>
          <w:tab w:val="clear" w:pos="879"/>
        </w:tabs>
        <w:overflowPunct/>
        <w:autoSpaceDE/>
        <w:autoSpaceDN/>
        <w:adjustRightInd/>
        <w:spacing w:after="60" w:line="240" w:lineRule="auto"/>
        <w:textAlignment w:val="auto"/>
        <w:rPr>
          <w:rFonts w:cs="Arial"/>
          <w:bCs/>
          <w:kern w:val="32"/>
          <w:sz w:val="24"/>
          <w:szCs w:val="32"/>
        </w:rPr>
      </w:pPr>
      <w:bookmarkStart w:id="0" w:name="_Toc158699036"/>
      <w:r>
        <w:rPr>
          <w:rFonts w:cs="Arial"/>
          <w:bCs/>
          <w:kern w:val="32"/>
          <w:sz w:val="24"/>
          <w:szCs w:val="32"/>
        </w:rPr>
        <w:t>1.</w:t>
      </w:r>
      <w:r>
        <w:rPr>
          <w:rFonts w:cs="Arial"/>
          <w:bCs/>
          <w:kern w:val="32"/>
          <w:sz w:val="24"/>
          <w:szCs w:val="32"/>
        </w:rPr>
        <w:tab/>
        <w:t>Background</w:t>
      </w:r>
      <w:bookmarkEnd w:id="0"/>
    </w:p>
    <w:p w:rsidR="00763E6D" w:rsidRDefault="00012079">
      <w:pPr>
        <w:pStyle w:val="BodyText"/>
      </w:pPr>
      <w:r w:rsidRPr="00012079">
        <w:rPr>
          <w:iCs/>
        </w:rPr>
        <w:t>In</w:t>
      </w:r>
      <w:r>
        <w:rPr>
          <w:iCs/>
        </w:rPr>
        <w:t xml:space="preserve"> December 2012, ASIC consulted on a range of proposals </w:t>
      </w:r>
      <w:r w:rsidR="002A2BE5">
        <w:rPr>
          <w:iCs/>
        </w:rPr>
        <w:t xml:space="preserve">for relief </w:t>
      </w:r>
      <w:r w:rsidR="007E311D">
        <w:rPr>
          <w:iCs/>
        </w:rPr>
        <w:t xml:space="preserve">from section 1017D </w:t>
      </w:r>
      <w:r w:rsidR="00DC488E">
        <w:rPr>
          <w:iCs/>
        </w:rPr>
        <w:t xml:space="preserve">of the Act </w:t>
      </w:r>
      <w:r w:rsidR="007E311D">
        <w:rPr>
          <w:iCs/>
        </w:rPr>
        <w:t xml:space="preserve">for certain issuers of financial products </w:t>
      </w:r>
      <w:r>
        <w:rPr>
          <w:iCs/>
        </w:rPr>
        <w:t xml:space="preserve">in Consultation Paper 196: </w:t>
      </w:r>
      <w:r>
        <w:rPr>
          <w:i/>
          <w:iCs/>
        </w:rPr>
        <w:t>Periodic statements for quoted and listed managed investment products and relief for AQUA products.</w:t>
      </w:r>
      <w:r>
        <w:t xml:space="preserve"> </w:t>
      </w:r>
    </w:p>
    <w:p w:rsidR="007E311D" w:rsidRDefault="007E311D">
      <w:pPr>
        <w:pStyle w:val="BodyText"/>
      </w:pPr>
      <w:r w:rsidRPr="007E311D">
        <w:t>Subsection 1017D(1) imposes an obligation on issuers of financial products that have an investment component to give retail investors periodic statements when the financial statements are either offered or applied for in this jurisdiction. The financial products covered include interests in lis</w:t>
      </w:r>
      <w:r w:rsidR="00E85457">
        <w:t>ted</w:t>
      </w:r>
      <w:r w:rsidR="00C74BE6">
        <w:t xml:space="preserve"> or quoted</w:t>
      </w:r>
      <w:r w:rsidR="00E85457">
        <w:t xml:space="preserve"> managed investment schemes. </w:t>
      </w:r>
      <w:r w:rsidRPr="007E311D">
        <w:t xml:space="preserve">Specific requirements for the content that must be included in a periodic statement are prescribed under subsection </w:t>
      </w:r>
      <w:proofErr w:type="gramStart"/>
      <w:r w:rsidRPr="007E311D">
        <w:t>1017D(</w:t>
      </w:r>
      <w:proofErr w:type="gramEnd"/>
      <w:r w:rsidRPr="007E311D">
        <w:t>5).</w:t>
      </w:r>
    </w:p>
    <w:p w:rsidR="00C74BE6" w:rsidRDefault="00C74BE6">
      <w:pPr>
        <w:pStyle w:val="BodyText"/>
      </w:pPr>
      <w:r>
        <w:t>However, the issuers of interests in listed or quoted managed investment schemes face practical difficulties when preparing periodic statements that comply with s1017D(5). These difficulties arise mainly as a result of issuers and their service providers not knowing the transaction price that an investor bought or sold their interest in the scheme on market.</w:t>
      </w:r>
      <w:r w:rsidR="00803FCC">
        <w:t xml:space="preserve"> </w:t>
      </w:r>
    </w:p>
    <w:p w:rsidR="00E85457" w:rsidRDefault="001F5A5F" w:rsidP="00E85457">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br w:type="page"/>
      </w:r>
      <w:r w:rsidR="00E85457">
        <w:rPr>
          <w:rFonts w:cs="Arial"/>
          <w:bCs/>
          <w:kern w:val="32"/>
          <w:sz w:val="24"/>
          <w:szCs w:val="32"/>
        </w:rPr>
        <w:lastRenderedPageBreak/>
        <w:t>2.</w:t>
      </w:r>
      <w:r w:rsidR="00E85457">
        <w:rPr>
          <w:rFonts w:cs="Arial"/>
          <w:bCs/>
          <w:kern w:val="32"/>
          <w:sz w:val="24"/>
          <w:szCs w:val="32"/>
        </w:rPr>
        <w:tab/>
        <w:t>Purpose of the Class Order</w:t>
      </w:r>
    </w:p>
    <w:p w:rsidR="00220BC3" w:rsidRDefault="00C74BE6">
      <w:pPr>
        <w:pStyle w:val="BodyText"/>
      </w:pPr>
      <w:r>
        <w:t xml:space="preserve">The purpose of the </w:t>
      </w:r>
      <w:r w:rsidR="008C0AA1">
        <w:t>Class O</w:t>
      </w:r>
      <w:r>
        <w:t xml:space="preserve">rder is to overcome the identified practical difficulties </w:t>
      </w:r>
      <w:r w:rsidR="00123F87">
        <w:t xml:space="preserve">referred to above </w:t>
      </w:r>
      <w:r>
        <w:t xml:space="preserve">and assist issuers comply with section 1017D. </w:t>
      </w:r>
    </w:p>
    <w:p w:rsidR="00C26F55" w:rsidRDefault="00C26F55">
      <w:pPr>
        <w:pStyle w:val="BodyText"/>
      </w:pPr>
      <w:r>
        <w:t xml:space="preserve">The </w:t>
      </w:r>
      <w:r w:rsidR="00E2135C">
        <w:t xml:space="preserve">Class </w:t>
      </w:r>
      <w:r w:rsidR="00DC488E">
        <w:t>O</w:t>
      </w:r>
      <w:r w:rsidR="00E2135C">
        <w:t xml:space="preserve">rder provides for </w:t>
      </w:r>
      <w:r>
        <w:t>transition periods during which compliance with s</w:t>
      </w:r>
      <w:r w:rsidR="00DC488E">
        <w:t xml:space="preserve">ection </w:t>
      </w:r>
      <w:r>
        <w:t>1017D will not be require</w:t>
      </w:r>
      <w:r w:rsidR="00B42226">
        <w:t>d</w:t>
      </w:r>
      <w:r w:rsidR="00E2135C">
        <w:t>. These</w:t>
      </w:r>
      <w:r w:rsidR="00B42226">
        <w:t xml:space="preserve"> are</w:t>
      </w:r>
      <w:r>
        <w:t xml:space="preserve"> intended to help issuers of </w:t>
      </w:r>
      <w:r w:rsidR="0023455B">
        <w:t>interests in registered schemes that are quoted AQUA products or quoted ED securities</w:t>
      </w:r>
      <w:r>
        <w:t xml:space="preserve"> prepare for compliance by modifying their systems</w:t>
      </w:r>
      <w:r w:rsidR="001F5A5F">
        <w:t xml:space="preserve"> and procedures</w:t>
      </w:r>
      <w:r>
        <w:t xml:space="preserve"> to prepare periodic statements</w:t>
      </w:r>
      <w:r w:rsidR="00EB4E14">
        <w:t xml:space="preserve"> in a manner that complies with the</w:t>
      </w:r>
      <w:r w:rsidR="00E2135C">
        <w:t>ir</w:t>
      </w:r>
      <w:r w:rsidR="00EB4E14">
        <w:t xml:space="preserve"> obligation</w:t>
      </w:r>
      <w:r w:rsidR="00E2135C">
        <w:t>s</w:t>
      </w:r>
      <w:r w:rsidR="00EB4E14">
        <w:t xml:space="preserve"> as modified by this Class Order.</w:t>
      </w:r>
    </w:p>
    <w:p w:rsidR="00220BC3" w:rsidRPr="00220BC3" w:rsidRDefault="00CD52F9" w:rsidP="00220BC3">
      <w:pPr>
        <w:pStyle w:val="BodyText"/>
      </w:pPr>
      <w:r w:rsidRPr="00CD52F9">
        <w:t>The Class Orders makes declarations that modify the obligations under s</w:t>
      </w:r>
      <w:r w:rsidR="00123F87">
        <w:t xml:space="preserve">ection </w:t>
      </w:r>
      <w:r w:rsidRPr="00CD52F9">
        <w:t xml:space="preserve">1017D to assist issuers of interests in registered schemes that are quoted AQUA products or quoted ED securities prepare compliant periodic statements. </w:t>
      </w:r>
      <w:r w:rsidR="00123F87" w:rsidRPr="00123F87">
        <w:t>In particular, the modified requirements take account of the fact that issuers may not know the price at which interests have been traded and require reporting on an aggregated basis where the interests are stapled with another financial product.</w:t>
      </w:r>
    </w:p>
    <w:p w:rsidR="0068716A" w:rsidRPr="004E565C" w:rsidRDefault="00220BC3" w:rsidP="004E565C">
      <w:pPr>
        <w:pStyle w:val="Heading1"/>
        <w:tabs>
          <w:tab w:val="clear" w:pos="879"/>
        </w:tabs>
        <w:overflowPunct/>
        <w:autoSpaceDE/>
        <w:autoSpaceDN/>
        <w:adjustRightInd/>
        <w:spacing w:after="60" w:line="240" w:lineRule="auto"/>
        <w:textAlignment w:val="auto"/>
        <w:rPr>
          <w:rFonts w:cs="Arial"/>
          <w:bCs/>
          <w:kern w:val="32"/>
          <w:sz w:val="24"/>
          <w:szCs w:val="32"/>
        </w:rPr>
      </w:pPr>
      <w:r w:rsidRPr="004E565C">
        <w:rPr>
          <w:rFonts w:cs="Arial"/>
          <w:bCs/>
          <w:kern w:val="32"/>
          <w:sz w:val="24"/>
          <w:szCs w:val="32"/>
        </w:rPr>
        <w:t xml:space="preserve"> </w:t>
      </w:r>
      <w:r w:rsidR="00517228" w:rsidRPr="004E565C">
        <w:rPr>
          <w:rFonts w:cs="Arial"/>
          <w:bCs/>
          <w:kern w:val="32"/>
          <w:sz w:val="24"/>
          <w:szCs w:val="32"/>
        </w:rPr>
        <w:t>3.</w:t>
      </w:r>
      <w:r w:rsidR="00517228" w:rsidRPr="004E565C">
        <w:rPr>
          <w:rFonts w:cs="Arial"/>
          <w:bCs/>
          <w:kern w:val="32"/>
          <w:sz w:val="24"/>
          <w:szCs w:val="32"/>
        </w:rPr>
        <w:tab/>
        <w:t>Operation of the class order</w:t>
      </w:r>
    </w:p>
    <w:p w:rsidR="00D30A24" w:rsidRPr="00D30A24" w:rsidRDefault="00D30A24" w:rsidP="00274F09">
      <w:pPr>
        <w:pStyle w:val="Heading2"/>
        <w:overflowPunct/>
        <w:autoSpaceDE/>
        <w:autoSpaceDN/>
        <w:adjustRightInd/>
        <w:spacing w:before="360" w:after="60"/>
        <w:textAlignment w:val="auto"/>
        <w:rPr>
          <w:rFonts w:cs="Arial"/>
          <w:bCs/>
          <w:iCs/>
          <w:sz w:val="22"/>
          <w:szCs w:val="28"/>
        </w:rPr>
      </w:pPr>
      <w:r w:rsidRPr="00D30A24">
        <w:rPr>
          <w:rFonts w:cs="Arial"/>
          <w:bCs/>
          <w:iCs/>
          <w:sz w:val="22"/>
          <w:szCs w:val="28"/>
        </w:rPr>
        <w:t>Exemption</w:t>
      </w:r>
    </w:p>
    <w:p w:rsidR="00274F09" w:rsidRDefault="007C08FF" w:rsidP="00274F09">
      <w:pPr>
        <w:pStyle w:val="BodyText"/>
      </w:pPr>
      <w:r w:rsidRPr="007C08FF">
        <w:t xml:space="preserve">Paragraph 4 of the </w:t>
      </w:r>
      <w:r w:rsidR="003C0BA9">
        <w:t xml:space="preserve">Class Order </w:t>
      </w:r>
      <w:r w:rsidR="00274F09">
        <w:t xml:space="preserve">makes issuers of interests in registered managed investment schemes quoted on the AQUA market of the ASX exempt from having to give </w:t>
      </w:r>
      <w:r w:rsidR="00274F09" w:rsidRPr="008C0AA1">
        <w:t>periodic statements</w:t>
      </w:r>
      <w:r w:rsidR="00274F09">
        <w:t xml:space="preserve"> to retail holders of those interests under subsection 1017D(1) for reporting periods ending </w:t>
      </w:r>
      <w:r w:rsidR="00DC488E">
        <w:t xml:space="preserve">on or before </w:t>
      </w:r>
      <w:r w:rsidR="00274F09">
        <w:t>31 December 2013.</w:t>
      </w:r>
    </w:p>
    <w:p w:rsidR="00274F09" w:rsidRDefault="00D30A24" w:rsidP="00274F09">
      <w:pPr>
        <w:pStyle w:val="BodyText"/>
      </w:pPr>
      <w:r>
        <w:t>T</w:t>
      </w:r>
      <w:r w:rsidR="00274F09">
        <w:t>h</w:t>
      </w:r>
      <w:r w:rsidR="003C0BA9">
        <w:t>is</w:t>
      </w:r>
      <w:r w:rsidR="00274F09">
        <w:t xml:space="preserve"> </w:t>
      </w:r>
      <w:r w:rsidR="003C0BA9">
        <w:t>exemption only applies</w:t>
      </w:r>
      <w:r w:rsidR="00274F09">
        <w:t xml:space="preserve"> in relation to a financial product if that financial product remains </w:t>
      </w:r>
      <w:proofErr w:type="gramStart"/>
      <w:r w:rsidR="00274F09">
        <w:t>admitted</w:t>
      </w:r>
      <w:proofErr w:type="gramEnd"/>
      <w:r w:rsidR="00274F09">
        <w:t xml:space="preserve"> to Trading Status for the duration of the reporting period. </w:t>
      </w:r>
    </w:p>
    <w:p w:rsidR="00274F09" w:rsidRPr="005E249A" w:rsidRDefault="00B330C5" w:rsidP="00274F09">
      <w:pPr>
        <w:pStyle w:val="BodyText"/>
      </w:pPr>
      <w:r w:rsidRPr="00B330C5">
        <w:t xml:space="preserve">Paragraph 6 of the </w:t>
      </w:r>
      <w:r w:rsidR="003C0BA9">
        <w:t>Class Order</w:t>
      </w:r>
      <w:r w:rsidR="003C0BA9" w:rsidRPr="005E249A">
        <w:t xml:space="preserve"> </w:t>
      </w:r>
      <w:r w:rsidR="00274F09" w:rsidRPr="005E249A">
        <w:t xml:space="preserve">makes issuers of interests in registered managed investment schemes </w:t>
      </w:r>
      <w:r w:rsidR="00274F09">
        <w:t xml:space="preserve">that </w:t>
      </w:r>
      <w:r w:rsidR="003C0BA9">
        <w:t>are</w:t>
      </w:r>
      <w:r w:rsidR="00274F09">
        <w:t xml:space="preserve"> quoted ED securit</w:t>
      </w:r>
      <w:r w:rsidR="003C0BA9">
        <w:t>ies</w:t>
      </w:r>
      <w:r w:rsidR="00274F09" w:rsidRPr="005E249A">
        <w:t xml:space="preserve"> exempt from having to give periodic statements to retail holders of those interests under subsection 1017D(1) for reporting periods ending </w:t>
      </w:r>
      <w:r w:rsidR="00DC488E">
        <w:t>on or before</w:t>
      </w:r>
      <w:r w:rsidR="00DC488E" w:rsidRPr="005E249A">
        <w:t xml:space="preserve"> </w:t>
      </w:r>
      <w:r w:rsidR="00274F09">
        <w:t>29 June 2014</w:t>
      </w:r>
      <w:r w:rsidR="00274F09" w:rsidRPr="005E249A">
        <w:t>.</w:t>
      </w:r>
    </w:p>
    <w:p w:rsidR="00274F09" w:rsidRDefault="00274F09" w:rsidP="00274F09">
      <w:pPr>
        <w:pStyle w:val="BodyText"/>
      </w:pPr>
      <w:r w:rsidRPr="005E249A">
        <w:t>Th</w:t>
      </w:r>
      <w:r w:rsidR="003C0BA9">
        <w:t>is</w:t>
      </w:r>
      <w:r w:rsidRPr="005E249A">
        <w:t xml:space="preserve"> </w:t>
      </w:r>
      <w:r w:rsidR="003C0BA9">
        <w:t>e</w:t>
      </w:r>
      <w:r w:rsidRPr="005E249A">
        <w:t>xemption</w:t>
      </w:r>
      <w:r w:rsidR="00D30A24">
        <w:t xml:space="preserve"> </w:t>
      </w:r>
      <w:r w:rsidR="003C0BA9">
        <w:t>only applies</w:t>
      </w:r>
      <w:r w:rsidRPr="005E249A">
        <w:t xml:space="preserve"> in relation to a financial product if that financial product remains </w:t>
      </w:r>
      <w:r>
        <w:t xml:space="preserve">a quoted ED security </w:t>
      </w:r>
      <w:r w:rsidRPr="005E249A">
        <w:t>for the duration of the reporting period.</w:t>
      </w:r>
      <w:r>
        <w:t xml:space="preserve"> </w:t>
      </w:r>
    </w:p>
    <w:p w:rsidR="007433C7" w:rsidRPr="007433C7" w:rsidRDefault="007433C7" w:rsidP="007433C7">
      <w:pPr>
        <w:pStyle w:val="Heading2"/>
        <w:overflowPunct/>
        <w:autoSpaceDE/>
        <w:autoSpaceDN/>
        <w:adjustRightInd/>
        <w:spacing w:before="360" w:after="60"/>
        <w:textAlignment w:val="auto"/>
        <w:rPr>
          <w:rFonts w:cs="Arial"/>
          <w:bCs/>
          <w:iCs/>
          <w:sz w:val="22"/>
          <w:szCs w:val="28"/>
        </w:rPr>
      </w:pPr>
      <w:r>
        <w:rPr>
          <w:rFonts w:cs="Arial"/>
          <w:bCs/>
          <w:iCs/>
          <w:sz w:val="22"/>
          <w:szCs w:val="28"/>
        </w:rPr>
        <w:t>Declaration</w:t>
      </w:r>
    </w:p>
    <w:p w:rsidR="0023455B" w:rsidRDefault="00B42226" w:rsidP="005E249A">
      <w:pPr>
        <w:pStyle w:val="BodyText"/>
      </w:pPr>
      <w:r>
        <w:t xml:space="preserve">The Declaration applies </w:t>
      </w:r>
      <w:r w:rsidR="0023455B">
        <w:t xml:space="preserve">in relation to an interest in a registered scheme that is an AQUA Product that is admitted to Trading Status, or is a quoted ED security.  </w:t>
      </w:r>
    </w:p>
    <w:p w:rsidR="00E97827" w:rsidRPr="008574D3" w:rsidRDefault="00056697" w:rsidP="005E249A">
      <w:pPr>
        <w:pStyle w:val="BodyText"/>
      </w:pPr>
      <w:r w:rsidRPr="008574D3">
        <w:t xml:space="preserve">The </w:t>
      </w:r>
      <w:r w:rsidR="00E97827" w:rsidRPr="008574D3">
        <w:t xml:space="preserve">substantive </w:t>
      </w:r>
      <w:r w:rsidRPr="008574D3">
        <w:t xml:space="preserve">effect of the Declaration </w:t>
      </w:r>
      <w:r w:rsidR="00BE34F3">
        <w:t>modifies</w:t>
      </w:r>
      <w:r w:rsidRPr="008574D3">
        <w:t xml:space="preserve"> the application of section</w:t>
      </w:r>
      <w:r w:rsidR="004A0A3C" w:rsidRPr="008574D3">
        <w:t xml:space="preserve"> </w:t>
      </w:r>
      <w:r w:rsidRPr="008574D3">
        <w:t>1017D to such a</w:t>
      </w:r>
      <w:r w:rsidR="0023455B" w:rsidRPr="008574D3">
        <w:t xml:space="preserve"> financial product</w:t>
      </w:r>
      <w:r w:rsidRPr="008574D3">
        <w:t xml:space="preserve"> b</w:t>
      </w:r>
      <w:r w:rsidR="00BE34F3">
        <w:t xml:space="preserve">y changing the information required in the periodic statement, </w:t>
      </w:r>
      <w:r w:rsidR="000F49CC">
        <w:t>as follows</w:t>
      </w:r>
      <w:r w:rsidRPr="008574D3">
        <w:t>:</w:t>
      </w:r>
    </w:p>
    <w:p w:rsidR="00BA7D95" w:rsidRPr="008574D3" w:rsidRDefault="000F49CC" w:rsidP="0023455B">
      <w:pPr>
        <w:pStyle w:val="Subpara"/>
        <w:tabs>
          <w:tab w:val="clear" w:pos="1440"/>
          <w:tab w:val="num" w:pos="567"/>
        </w:tabs>
        <w:ind w:left="567" w:hanging="567"/>
      </w:pPr>
      <w:r>
        <w:lastRenderedPageBreak/>
        <w:t xml:space="preserve">The Class Order </w:t>
      </w:r>
      <w:r w:rsidR="0023455B" w:rsidRPr="008574D3">
        <w:t>introduc</w:t>
      </w:r>
      <w:r>
        <w:t>es</w:t>
      </w:r>
      <w:r w:rsidR="0023455B" w:rsidRPr="008574D3">
        <w:t xml:space="preserve"> a specific requirement for an issuer to include in the periodic statement </w:t>
      </w:r>
      <w:r w:rsidR="00862E9C" w:rsidRPr="008574D3">
        <w:t>information</w:t>
      </w:r>
      <w:r w:rsidR="0023455B" w:rsidRPr="008574D3">
        <w:t xml:space="preserve"> on the extent to which the financial product has achieved </w:t>
      </w:r>
      <w:r w:rsidR="00862E9C" w:rsidRPr="008574D3">
        <w:t>its</w:t>
      </w:r>
      <w:r w:rsidR="0023455B" w:rsidRPr="008574D3">
        <w:t xml:space="preserve"> investment objectives</w:t>
      </w:r>
      <w:r w:rsidR="000666FE" w:rsidRPr="000666FE">
        <w:t>:</w:t>
      </w:r>
    </w:p>
    <w:p w:rsidR="00436E83" w:rsidRDefault="000666FE">
      <w:pPr>
        <w:pStyle w:val="Subpara"/>
        <w:numPr>
          <w:ilvl w:val="1"/>
          <w:numId w:val="2"/>
        </w:numPr>
      </w:pPr>
      <w:r w:rsidRPr="000666FE">
        <w:t xml:space="preserve">over the last 12-month financial year; and </w:t>
      </w:r>
    </w:p>
    <w:p w:rsidR="00436E83" w:rsidRDefault="000666FE">
      <w:pPr>
        <w:pStyle w:val="Subpara"/>
        <w:numPr>
          <w:ilvl w:val="1"/>
          <w:numId w:val="2"/>
        </w:numPr>
      </w:pPr>
      <w:proofErr w:type="gramStart"/>
      <w:r w:rsidRPr="000666FE">
        <w:t>the</w:t>
      </w:r>
      <w:proofErr w:type="gramEnd"/>
      <w:r w:rsidRPr="000666FE">
        <w:t xml:space="preserve"> five year period ending at the end of the last financial year, or if the scheme had been registered for a shorter period prior to the end of the last financial year, that shorter period</w:t>
      </w:r>
      <w:r w:rsidR="000F49CC">
        <w:t>.</w:t>
      </w:r>
    </w:p>
    <w:p w:rsidR="00BE34F3" w:rsidRDefault="000F49CC" w:rsidP="003D2362">
      <w:pPr>
        <w:pStyle w:val="Subpara"/>
        <w:tabs>
          <w:tab w:val="clear" w:pos="1440"/>
          <w:tab w:val="num" w:pos="567"/>
        </w:tabs>
        <w:ind w:left="567" w:hanging="567"/>
      </w:pPr>
      <w:r>
        <w:t>The Class Order modifies</w:t>
      </w:r>
      <w:r w:rsidR="00BE34F3">
        <w:t xml:space="preserve"> the information required to be provided in relation to an interest in a registered scheme forming part of a stapled security</w:t>
      </w:r>
      <w:r w:rsidR="000403B8">
        <w:t>, including requiring</w:t>
      </w:r>
      <w:r w:rsidR="00BE34F3">
        <w:t xml:space="preserve"> costs, fees and other information </w:t>
      </w:r>
      <w:r w:rsidR="000403B8">
        <w:t>to be provided in relation to the stapled security as a whole</w:t>
      </w:r>
      <w:r>
        <w:t>.</w:t>
      </w:r>
    </w:p>
    <w:p w:rsidR="00EA0FD9" w:rsidRDefault="000F49CC" w:rsidP="003D2362">
      <w:pPr>
        <w:pStyle w:val="Subpara"/>
        <w:tabs>
          <w:tab w:val="clear" w:pos="1440"/>
          <w:tab w:val="num" w:pos="567"/>
        </w:tabs>
        <w:ind w:left="567" w:hanging="567"/>
      </w:pPr>
      <w:r>
        <w:t xml:space="preserve">The Class Order </w:t>
      </w:r>
      <w:r w:rsidR="008574D3">
        <w:t>modifi</w:t>
      </w:r>
      <w:r>
        <w:t>es</w:t>
      </w:r>
      <w:r w:rsidR="008574D3">
        <w:t xml:space="preserve"> the </w:t>
      </w:r>
      <w:r w:rsidR="000403B8">
        <w:t xml:space="preserve">information required </w:t>
      </w:r>
      <w:r w:rsidR="008574D3">
        <w:t xml:space="preserve">so that a periodic statement does not need to contain </w:t>
      </w:r>
      <w:r w:rsidR="00EA0FD9">
        <w:t>the amount per interest in relation to a transfer, or, if applicable, stapled security paid under the transfer, the total amount paid under the transfer or any other amounts in dollars in relation to the transfer</w:t>
      </w:r>
      <w:r w:rsidR="008574D3">
        <w:t xml:space="preserve"> if the issuer is not aware of the price at which the holder acquired or disposed of interests in the registered scheme during the reporting period, but must instead includ</w:t>
      </w:r>
      <w:r w:rsidR="000403B8">
        <w:t>e transfer dates and other explanatory information.</w:t>
      </w:r>
      <w:r w:rsidR="006130E6">
        <w:t xml:space="preserve"> </w:t>
      </w:r>
    </w:p>
    <w:p w:rsidR="00D466C6" w:rsidRDefault="00D466C6" w:rsidP="00D466C6">
      <w:pPr>
        <w:pStyle w:val="Subpara"/>
        <w:tabs>
          <w:tab w:val="clear" w:pos="1440"/>
          <w:tab w:val="num" w:pos="567"/>
        </w:tabs>
        <w:ind w:left="567" w:hanging="567"/>
      </w:pPr>
      <w:r w:rsidRPr="00E2135C">
        <w:t xml:space="preserve">Issuers must include an explanation of why the </w:t>
      </w:r>
      <w:proofErr w:type="gramStart"/>
      <w:r w:rsidRPr="00E2135C">
        <w:t>price per interest or stapled security for the transfer and the total dollar value of the transfer have</w:t>
      </w:r>
      <w:proofErr w:type="gramEnd"/>
      <w:r w:rsidRPr="00E2135C">
        <w:t xml:space="preserve"> not been included</w:t>
      </w:r>
      <w:r>
        <w:t>.</w:t>
      </w:r>
    </w:p>
    <w:p w:rsidR="00D466C6" w:rsidRDefault="00EA0FD9" w:rsidP="003D2362">
      <w:pPr>
        <w:pStyle w:val="Subpara"/>
        <w:tabs>
          <w:tab w:val="clear" w:pos="1440"/>
          <w:tab w:val="num" w:pos="567"/>
        </w:tabs>
        <w:ind w:left="567" w:hanging="567"/>
      </w:pPr>
      <w:r>
        <w:t>The periodic statement also does not need to include the return on investments provided that the issuer is not able to calculate the return on investment during the reporting period</w:t>
      </w:r>
      <w:r w:rsidR="00D466C6">
        <w:t xml:space="preserve"> and the periodic statement includes an explanation why this information is not included and describes how it can be obtained or calculated. </w:t>
      </w:r>
    </w:p>
    <w:p w:rsidR="00E16B8A" w:rsidRDefault="00E16B8A" w:rsidP="00E16B8A">
      <w:pPr>
        <w:pStyle w:val="Subpara"/>
        <w:numPr>
          <w:ilvl w:val="0"/>
          <w:numId w:val="0"/>
        </w:numPr>
      </w:pPr>
      <w:r>
        <w:t>I</w:t>
      </w:r>
      <w:r w:rsidR="003C0BA9">
        <w:t>t is open to issuers to supplement i</w:t>
      </w:r>
      <w:r>
        <w:t xml:space="preserve">nformation required under paragraph (a) by including in the periodic statement a reference to information previously provided to investors, including instructions on how to obtain this information.   </w:t>
      </w:r>
    </w:p>
    <w:p w:rsidR="00E97827" w:rsidRDefault="00CF6459" w:rsidP="00420216">
      <w:pPr>
        <w:pStyle w:val="Subpara"/>
        <w:numPr>
          <w:ilvl w:val="0"/>
          <w:numId w:val="0"/>
        </w:numPr>
      </w:pPr>
      <w:r w:rsidRPr="00CF6459">
        <w:t>Issuers may still use another price</w:t>
      </w:r>
      <w:r>
        <w:t>,</w:t>
      </w:r>
      <w:r w:rsidRPr="00CF6459">
        <w:t xml:space="preserve"> such as the net asset value per interest, in place of the price at which the holder acquired or disposed of interests provided</w:t>
      </w:r>
      <w:r w:rsidR="00420216">
        <w:t xml:space="preserve"> this price is not known </w:t>
      </w:r>
      <w:r w:rsidRPr="00CF6459">
        <w:t>the issuer</w:t>
      </w:r>
      <w:r w:rsidR="00420216">
        <w:t xml:space="preserve"> and provided the issuer</w:t>
      </w:r>
      <w:r w:rsidRPr="00CF6459">
        <w:t xml:space="preserve"> is satisfied that using a replacement price will not mislead investors</w:t>
      </w:r>
      <w:r>
        <w:t>. If a replacement price is used</w:t>
      </w:r>
      <w:r w:rsidR="003C0BA9">
        <w:t>,</w:t>
      </w:r>
      <w:r>
        <w:t xml:space="preserve"> </w:t>
      </w:r>
      <w:r w:rsidR="003C0BA9">
        <w:t xml:space="preserve">in order to ensure that the use of the replacement price is not misleading, </w:t>
      </w:r>
      <w:r>
        <w:t xml:space="preserve">issuers </w:t>
      </w:r>
      <w:r w:rsidR="003C0BA9">
        <w:t xml:space="preserve">should </w:t>
      </w:r>
      <w:r w:rsidR="006E34E9">
        <w:t xml:space="preserve">explain prominently </w:t>
      </w:r>
      <w:r w:rsidR="00B0533B">
        <w:t>that a replacement price has been used</w:t>
      </w:r>
      <w:r w:rsidR="006E34E9">
        <w:t>, why they have use</w:t>
      </w:r>
      <w:r w:rsidR="00E2135C">
        <w:t>d</w:t>
      </w:r>
      <w:r w:rsidR="006E34E9">
        <w:t xml:space="preserve"> it and where investors may be able to obtain more information about the actual price of their transactions.</w:t>
      </w:r>
      <w:r w:rsidR="00DC488E">
        <w:t xml:space="preserve"> </w:t>
      </w:r>
    </w:p>
    <w:p w:rsidR="00F53239" w:rsidRPr="00F53239" w:rsidRDefault="00F53239" w:rsidP="00F53239">
      <w:pPr>
        <w:pStyle w:val="Subpara"/>
        <w:numPr>
          <w:ilvl w:val="0"/>
          <w:numId w:val="0"/>
        </w:numPr>
      </w:pPr>
      <w:r w:rsidRPr="00F53239">
        <w:t>Some of the terms in the Class Order are defined by reference to</w:t>
      </w:r>
      <w:r>
        <w:t xml:space="preserve"> the</w:t>
      </w:r>
      <w:r w:rsidRPr="00F53239">
        <w:t xml:space="preserve"> operating rules of ASX Limited (ACN 008 624 691) on 9 October 2013. The operating rules of the ASX Limited are available on ASX Group's website http://www.asxgroup.com.au/.</w:t>
      </w:r>
    </w:p>
    <w:p w:rsidR="00F53239" w:rsidRDefault="00F53239" w:rsidP="00420216">
      <w:pPr>
        <w:pStyle w:val="Subpara"/>
        <w:numPr>
          <w:ilvl w:val="0"/>
          <w:numId w:val="0"/>
        </w:numPr>
      </w:pPr>
    </w:p>
    <w:p w:rsidR="00DB0323" w:rsidRPr="00B42226" w:rsidRDefault="00FD04B4" w:rsidP="00B4222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lastRenderedPageBreak/>
        <w:t>4</w:t>
      </w:r>
      <w:r w:rsidR="00DB0323" w:rsidRPr="00B42226">
        <w:rPr>
          <w:rFonts w:cs="Arial"/>
          <w:bCs/>
          <w:kern w:val="32"/>
          <w:sz w:val="24"/>
          <w:szCs w:val="32"/>
        </w:rPr>
        <w:t xml:space="preserve">. Consultation </w:t>
      </w:r>
    </w:p>
    <w:p w:rsidR="00DB0323" w:rsidRDefault="00DB0323" w:rsidP="00DB0323">
      <w:pPr>
        <w:pStyle w:val="BodyText"/>
        <w:rPr>
          <w:iCs/>
        </w:rPr>
      </w:pPr>
      <w:r w:rsidRPr="00DB0323">
        <w:rPr>
          <w:iCs/>
        </w:rPr>
        <w:t xml:space="preserve">ASIC issued Consultation Paper 196: </w:t>
      </w:r>
      <w:r w:rsidRPr="00DB0323">
        <w:rPr>
          <w:i/>
          <w:iCs/>
        </w:rPr>
        <w:t xml:space="preserve">Periodic statements for quoted and listed managed investment products and relief for AQUA products </w:t>
      </w:r>
      <w:r w:rsidRPr="00DB0323">
        <w:rPr>
          <w:iCs/>
        </w:rPr>
        <w:t>in December 2012. ASIC received submissions from a range of industry associations and private industry bodies.</w:t>
      </w:r>
      <w:r w:rsidR="00392AD2">
        <w:rPr>
          <w:iCs/>
        </w:rPr>
        <w:t xml:space="preserve"> ASIC also met with a number of interested parties as part of the consultation process. The submissions and feedback were considered in the making of this Class Order.</w:t>
      </w:r>
    </w:p>
    <w:p w:rsidR="00436E83" w:rsidRDefault="00FD04B4">
      <w:pPr>
        <w:pStyle w:val="BodyText"/>
        <w:jc w:val="center"/>
        <w:rPr>
          <w:b/>
          <w:bCs/>
        </w:rPr>
      </w:pPr>
      <w:r>
        <w:br w:type="page"/>
      </w:r>
      <w:r w:rsidR="00D136AA" w:rsidRPr="00D136AA">
        <w:rPr>
          <w:b/>
          <w:bCs/>
        </w:rPr>
        <w:lastRenderedPageBreak/>
        <w:t>Statement of Compatibility with Human Rights</w:t>
      </w:r>
    </w:p>
    <w:p w:rsidR="00436E83" w:rsidRDefault="00D136AA">
      <w:pPr>
        <w:pStyle w:val="BodyText"/>
        <w:jc w:val="center"/>
        <w:rPr>
          <w:iCs/>
        </w:rPr>
      </w:pPr>
      <w:r>
        <w:rPr>
          <w:i/>
          <w:iCs/>
        </w:rPr>
        <w:t>Prepared in accordance with Part 3 of the Human Rights (</w:t>
      </w:r>
      <w:r w:rsidRPr="00D136AA">
        <w:rPr>
          <w:i/>
          <w:iCs/>
        </w:rPr>
        <w:t>Parliamentary Scrutiny) Act 2011</w:t>
      </w:r>
    </w:p>
    <w:p w:rsidR="00D136AA" w:rsidRDefault="00D136AA" w:rsidP="00D136AA">
      <w:pPr>
        <w:pStyle w:val="BodyText"/>
        <w:rPr>
          <w:iCs/>
        </w:rPr>
      </w:pPr>
    </w:p>
    <w:p w:rsidR="00D136AA" w:rsidRDefault="00D136AA" w:rsidP="00D136AA">
      <w:pPr>
        <w:pStyle w:val="BodyText"/>
        <w:rPr>
          <w:iCs/>
        </w:rPr>
      </w:pPr>
      <w:r>
        <w:rPr>
          <w:iCs/>
        </w:rPr>
        <w:t>This legislative class order</w:t>
      </w:r>
      <w:r w:rsidRPr="00D136AA">
        <w:rPr>
          <w:iCs/>
        </w:rPr>
        <w:t xml:space="preserve"> is compatible with the human rights and freedoms recognised or declared in the international instruments listed in section 3 of the </w:t>
      </w:r>
      <w:r w:rsidRPr="00D136AA">
        <w:rPr>
          <w:i/>
          <w:iCs/>
        </w:rPr>
        <w:t>Human Rights (Parliamentary Scrutiny) Act 2011</w:t>
      </w:r>
      <w:r w:rsidRPr="00D136AA">
        <w:rPr>
          <w:iCs/>
        </w:rPr>
        <w:t>.</w:t>
      </w:r>
    </w:p>
    <w:p w:rsidR="00F624E9" w:rsidRDefault="00F624E9" w:rsidP="00D136AA">
      <w:pPr>
        <w:pStyle w:val="BodyText"/>
        <w:rPr>
          <w:b/>
          <w:iCs/>
        </w:rPr>
      </w:pPr>
    </w:p>
    <w:p w:rsidR="00D136AA" w:rsidRPr="00D136AA" w:rsidRDefault="00D136AA" w:rsidP="00D136AA">
      <w:pPr>
        <w:pStyle w:val="BodyText"/>
        <w:rPr>
          <w:iCs/>
        </w:rPr>
      </w:pPr>
      <w:r>
        <w:rPr>
          <w:b/>
          <w:iCs/>
        </w:rPr>
        <w:t>Overview of the class order</w:t>
      </w:r>
      <w:r w:rsidRPr="00D136AA">
        <w:rPr>
          <w:iCs/>
        </w:rPr>
        <w:t xml:space="preserve"> </w:t>
      </w:r>
    </w:p>
    <w:p w:rsidR="00D070C1" w:rsidRDefault="00D136AA" w:rsidP="00DB0323">
      <w:pPr>
        <w:pStyle w:val="BodyText"/>
      </w:pPr>
      <w:r>
        <w:t xml:space="preserve">This class order </w:t>
      </w:r>
      <w:r w:rsidR="004F0BA9">
        <w:t>modifies provisions of</w:t>
      </w:r>
      <w:r>
        <w:t xml:space="preserve"> the</w:t>
      </w:r>
      <w:r w:rsidR="000666FE" w:rsidRPr="000666FE">
        <w:rPr>
          <w:i/>
        </w:rPr>
        <w:t xml:space="preserve"> Corporations </w:t>
      </w:r>
      <w:r w:rsidR="00D070C1">
        <w:rPr>
          <w:i/>
        </w:rPr>
        <w:t>Act 2001</w:t>
      </w:r>
      <w:r w:rsidR="00D070C1">
        <w:t xml:space="preserve"> </w:t>
      </w:r>
      <w:r w:rsidR="004F0BA9">
        <w:t xml:space="preserve">dealing  with periodic reporting requirements for issuers of  </w:t>
      </w:r>
      <w:r w:rsidR="00D070C1">
        <w:t>interests in registered managed investment scheme</w:t>
      </w:r>
      <w:r w:rsidR="004F0BA9">
        <w:t>s</w:t>
      </w:r>
      <w:r w:rsidR="00D070C1">
        <w:t xml:space="preserve"> that are AQUA products </w:t>
      </w:r>
      <w:r w:rsidR="00220BC3">
        <w:t>quoted on the AQUA market (a financial market operated by the ASX)</w:t>
      </w:r>
      <w:r w:rsidR="00D070C1">
        <w:t xml:space="preserve">, or are </w:t>
      </w:r>
      <w:r w:rsidR="00220BC3">
        <w:t>listed managed investment schemes traded on prescribed financial market</w:t>
      </w:r>
      <w:r w:rsidR="00D070C1">
        <w:t>. The</w:t>
      </w:r>
      <w:r w:rsidR="004F0BA9">
        <w:t xml:space="preserve"> modified</w:t>
      </w:r>
      <w:r w:rsidR="00D070C1">
        <w:t xml:space="preserve"> provisions address the particular </w:t>
      </w:r>
      <w:r w:rsidR="004F0BA9">
        <w:t xml:space="preserve">features </w:t>
      </w:r>
      <w:r w:rsidR="00D070C1">
        <w:t>of these products so as to ensure that the information required to be provided in periodic statements</w:t>
      </w:r>
      <w:r w:rsidR="00AC0E44">
        <w:t xml:space="preserve"> to investors</w:t>
      </w:r>
      <w:r w:rsidR="00D070C1">
        <w:t xml:space="preserve"> </w:t>
      </w:r>
      <w:r w:rsidR="004F0BA9">
        <w:t xml:space="preserve">takes account of these features. In particular, the modified requirements take account of the fact that issuers may not know the price at which interests have been traded and require reporting on an aggregated basis where the interests are stapled with another financial product. </w:t>
      </w:r>
    </w:p>
    <w:p w:rsidR="00D070C1" w:rsidRDefault="00D070C1" w:rsidP="00DB0323">
      <w:pPr>
        <w:pStyle w:val="BodyText"/>
      </w:pPr>
      <w:r>
        <w:t xml:space="preserve">The class order also exempts issuers of interests in registered managed investment schemes </w:t>
      </w:r>
      <w:r w:rsidR="00F624E9">
        <w:t xml:space="preserve">that are AQUA products that are admitted to Trading Status, or are quoted ED securities, from </w:t>
      </w:r>
      <w:r w:rsidR="00E16B8A">
        <w:t xml:space="preserve">being required to give periodic statements </w:t>
      </w:r>
      <w:r w:rsidR="00F624E9">
        <w:t>on a transitional basis.</w:t>
      </w:r>
    </w:p>
    <w:p w:rsidR="00F624E9" w:rsidRDefault="00F624E9" w:rsidP="00DB0323">
      <w:pPr>
        <w:pStyle w:val="BodyText"/>
        <w:rPr>
          <w:b/>
        </w:rPr>
      </w:pPr>
    </w:p>
    <w:p w:rsidR="00D070C1" w:rsidRDefault="00D070C1" w:rsidP="00DB0323">
      <w:pPr>
        <w:pStyle w:val="BodyText"/>
      </w:pPr>
      <w:r>
        <w:rPr>
          <w:b/>
        </w:rPr>
        <w:t>Human rights implications</w:t>
      </w:r>
    </w:p>
    <w:p w:rsidR="00D070C1" w:rsidRDefault="00D070C1" w:rsidP="00DB0323">
      <w:pPr>
        <w:pStyle w:val="BodyText"/>
      </w:pPr>
      <w:r>
        <w:t>This class order does not engage any of the applicable rights or freedoms.</w:t>
      </w:r>
    </w:p>
    <w:p w:rsidR="00F624E9" w:rsidRDefault="00F624E9" w:rsidP="00DB0323">
      <w:pPr>
        <w:pStyle w:val="BodyText"/>
        <w:rPr>
          <w:b/>
        </w:rPr>
      </w:pPr>
    </w:p>
    <w:p w:rsidR="00D070C1" w:rsidRDefault="00D070C1" w:rsidP="00DB0323">
      <w:pPr>
        <w:pStyle w:val="BodyText"/>
        <w:rPr>
          <w:b/>
        </w:rPr>
      </w:pPr>
      <w:r>
        <w:rPr>
          <w:b/>
        </w:rPr>
        <w:t>Conclusion</w:t>
      </w:r>
    </w:p>
    <w:p w:rsidR="00D070C1" w:rsidRPr="00D070C1" w:rsidRDefault="00D070C1" w:rsidP="00DB0323">
      <w:pPr>
        <w:pStyle w:val="BodyText"/>
      </w:pPr>
      <w:r>
        <w:t>This class order is compatible with human rights as it does not raise any human rights issues.</w:t>
      </w:r>
    </w:p>
    <w:sectPr w:rsidR="00D070C1" w:rsidRPr="00D070C1" w:rsidSect="00837CA2">
      <w:headerReference w:type="default"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BA9" w:rsidRDefault="004F0BA9" w:rsidP="00012079">
      <w:r>
        <w:separator/>
      </w:r>
    </w:p>
  </w:endnote>
  <w:endnote w:type="continuationSeparator" w:id="0">
    <w:p w:rsidR="004F0BA9" w:rsidRDefault="004F0BA9" w:rsidP="00012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A9" w:rsidRPr="00012079" w:rsidRDefault="00383245">
    <w:pPr>
      <w:pStyle w:val="Footer"/>
      <w:rPr>
        <w:lang w:val="en-US"/>
      </w:rPr>
    </w:pPr>
    <w:r>
      <w:rPr>
        <w:lang w:val="en-US"/>
      </w:rPr>
      <w:t xml:space="preserve">October </w:t>
    </w:r>
    <w:r w:rsidR="004F0BA9">
      <w:rPr>
        <w:lang w:val="en-US"/>
      </w:rPr>
      <w:t>2013</w:t>
    </w:r>
    <w:r w:rsidR="004F0BA9">
      <w:rPr>
        <w:lang w:val="en-US"/>
      </w:rPr>
      <w:tab/>
    </w:r>
    <w:r w:rsidR="004F0BA9">
      <w:rPr>
        <w:lang w:val="en-US"/>
      </w:rPr>
      <w:tab/>
    </w:r>
    <w:r w:rsidR="00FD27DC" w:rsidRPr="00012079">
      <w:rPr>
        <w:lang w:val="en-US"/>
      </w:rPr>
      <w:fldChar w:fldCharType="begin"/>
    </w:r>
    <w:r w:rsidR="004F0BA9" w:rsidRPr="00012079">
      <w:rPr>
        <w:lang w:val="en-US"/>
      </w:rPr>
      <w:instrText xml:space="preserve"> PAGE   \* MERGEFORMAT </w:instrText>
    </w:r>
    <w:r w:rsidR="00FD27DC" w:rsidRPr="00012079">
      <w:rPr>
        <w:lang w:val="en-US"/>
      </w:rPr>
      <w:fldChar w:fldCharType="separate"/>
    </w:r>
    <w:r w:rsidR="00F53239">
      <w:rPr>
        <w:noProof/>
        <w:lang w:val="en-US"/>
      </w:rPr>
      <w:t>2</w:t>
    </w:r>
    <w:r w:rsidR="00FD27DC" w:rsidRPr="00012079">
      <w:rPr>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BA9" w:rsidRDefault="004F0BA9" w:rsidP="00012079">
      <w:r>
        <w:separator/>
      </w:r>
    </w:p>
  </w:footnote>
  <w:footnote w:type="continuationSeparator" w:id="0">
    <w:p w:rsidR="004F0BA9" w:rsidRDefault="004F0BA9" w:rsidP="00012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A9" w:rsidRPr="00012079" w:rsidRDefault="004F0BA9" w:rsidP="00012079">
    <w:pPr>
      <w:pStyle w:val="Header"/>
      <w:jc w:val="right"/>
      <w:rPr>
        <w:lang w:val="en-US"/>
      </w:rPr>
    </w:pPr>
    <w:r>
      <w:rPr>
        <w:lang w:val="en-US"/>
      </w:rPr>
      <w:t>Explanatory Statement – Class Order [CO 13/</w:t>
    </w:r>
    <w:r w:rsidR="00383245">
      <w:rPr>
        <w:lang w:val="en-US"/>
      </w:rPr>
      <w:t>1200]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38B"/>
    <w:multiLevelType w:val="hybridMultilevel"/>
    <w:tmpl w:val="F5C649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84B46D7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153A59"/>
    <w:multiLevelType w:val="hybridMultilevel"/>
    <w:tmpl w:val="2B82A818"/>
    <w:lvl w:ilvl="0" w:tplc="8C4A90D2">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832AD5"/>
    <w:multiLevelType w:val="hybridMultilevel"/>
    <w:tmpl w:val="D446105C"/>
    <w:lvl w:ilvl="0" w:tplc="8C5040CA">
      <w:start w:val="1"/>
      <w:numFmt w:val="lowerLetter"/>
      <w:lvlText w:val="(%1)"/>
      <w:lvlJc w:val="left"/>
      <w:pPr>
        <w:ind w:left="1035" w:hanging="360"/>
      </w:pPr>
      <w:rPr>
        <w:rFonts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4">
    <w:nsid w:val="21805D43"/>
    <w:multiLevelType w:val="hybridMultilevel"/>
    <w:tmpl w:val="2B82A818"/>
    <w:lvl w:ilvl="0" w:tplc="8C4A90D2">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
    <w:nsid w:val="37A57734"/>
    <w:multiLevelType w:val="hybridMultilevel"/>
    <w:tmpl w:val="2B82A818"/>
    <w:lvl w:ilvl="0" w:tplc="8C4A90D2">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
    <w:nsid w:val="40857BA7"/>
    <w:multiLevelType w:val="hybridMultilevel"/>
    <w:tmpl w:val="D9A6700E"/>
    <w:lvl w:ilvl="0" w:tplc="35A08A4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43BB25AD"/>
    <w:multiLevelType w:val="hybridMultilevel"/>
    <w:tmpl w:val="DC40159A"/>
    <w:lvl w:ilvl="0" w:tplc="B0E002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0C2F45"/>
    <w:multiLevelType w:val="hybridMultilevel"/>
    <w:tmpl w:val="4B78CBFE"/>
    <w:lvl w:ilvl="0" w:tplc="84B46D72">
      <w:start w:val="1"/>
      <w:numFmt w:val="lowerRoman"/>
      <w:lvlText w:val="(%1)"/>
      <w:lvlJc w:val="left"/>
      <w:pPr>
        <w:ind w:left="27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E7E47F5"/>
    <w:multiLevelType w:val="hybridMultilevel"/>
    <w:tmpl w:val="A69054E8"/>
    <w:lvl w:ilvl="0" w:tplc="4612B2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63EA48E2"/>
    <w:multiLevelType w:val="hybridMultilevel"/>
    <w:tmpl w:val="D9A6700E"/>
    <w:lvl w:ilvl="0" w:tplc="35A08A4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74D3096A"/>
    <w:multiLevelType w:val="hybridMultilevel"/>
    <w:tmpl w:val="2B82A818"/>
    <w:lvl w:ilvl="0" w:tplc="8C4A90D2">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nsid w:val="77857696"/>
    <w:multiLevelType w:val="hybridMultilevel"/>
    <w:tmpl w:val="A83EBE72"/>
    <w:lvl w:ilvl="0" w:tplc="5726AC30">
      <w:start w:val="1"/>
      <w:numFmt w:val="lowerLetter"/>
      <w:pStyle w:val="Subpara"/>
      <w:lvlText w:val="(%1)"/>
      <w:lvlJc w:val="left"/>
      <w:pPr>
        <w:tabs>
          <w:tab w:val="num" w:pos="1440"/>
        </w:tabs>
        <w:ind w:left="1440" w:hanging="360"/>
      </w:pPr>
      <w:rPr>
        <w:rFonts w:hint="default"/>
      </w:rPr>
    </w:lvl>
    <w:lvl w:ilvl="1" w:tplc="0C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115206"/>
    <w:multiLevelType w:val="hybridMultilevel"/>
    <w:tmpl w:val="931639D6"/>
    <w:lvl w:ilvl="0" w:tplc="CD06E39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7F467B76"/>
    <w:multiLevelType w:val="hybridMultilevel"/>
    <w:tmpl w:val="36FE3478"/>
    <w:lvl w:ilvl="0" w:tplc="0B10A8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3"/>
  </w:num>
  <w:num w:numId="3">
    <w:abstractNumId w:val="8"/>
  </w:num>
  <w:num w:numId="4">
    <w:abstractNumId w:val="4"/>
  </w:num>
  <w:num w:numId="5">
    <w:abstractNumId w:val="14"/>
  </w:num>
  <w:num w:numId="6">
    <w:abstractNumId w:val="11"/>
  </w:num>
  <w:num w:numId="7">
    <w:abstractNumId w:val="3"/>
  </w:num>
  <w:num w:numId="8">
    <w:abstractNumId w:val="5"/>
  </w:num>
  <w:num w:numId="9">
    <w:abstractNumId w:val="13"/>
  </w:num>
  <w:num w:numId="10">
    <w:abstractNumId w:val="1"/>
  </w:num>
  <w:num w:numId="11">
    <w:abstractNumId w:val="12"/>
  </w:num>
  <w:num w:numId="12">
    <w:abstractNumId w:val="6"/>
  </w:num>
  <w:num w:numId="13">
    <w:abstractNumId w:val="8"/>
  </w:num>
  <w:num w:numId="14">
    <w:abstractNumId w:val="13"/>
  </w:num>
  <w:num w:numId="15">
    <w:abstractNumId w:val="13"/>
  </w:num>
  <w:num w:numId="16">
    <w:abstractNumId w:val="13"/>
    <w:lvlOverride w:ilvl="0">
      <w:startOverride w:val="1"/>
    </w:lvlOverride>
  </w:num>
  <w:num w:numId="17">
    <w:abstractNumId w:val="13"/>
  </w:num>
  <w:num w:numId="18">
    <w:abstractNumId w:val="13"/>
  </w:num>
  <w:num w:numId="19">
    <w:abstractNumId w:val="13"/>
  </w:num>
  <w:num w:numId="20">
    <w:abstractNumId w:val="13"/>
    <w:lvlOverride w:ilvl="0">
      <w:startOverride w:val="1"/>
    </w:lvlOverride>
  </w:num>
  <w:num w:numId="21">
    <w:abstractNumId w:val="13"/>
  </w:num>
  <w:num w:numId="22">
    <w:abstractNumId w:val="13"/>
  </w:num>
  <w:num w:numId="23">
    <w:abstractNumId w:val="13"/>
    <w:lvlOverride w:ilvl="0">
      <w:startOverride w:val="1"/>
    </w:lvlOverride>
  </w:num>
  <w:num w:numId="24">
    <w:abstractNumId w:val="13"/>
  </w:num>
  <w:num w:numId="25">
    <w:abstractNumId w:val="13"/>
    <w:lvlOverride w:ilvl="0">
      <w:startOverride w:val="1"/>
    </w:lvlOverride>
  </w:num>
  <w:num w:numId="26">
    <w:abstractNumId w:val="13"/>
  </w:num>
  <w:num w:numId="27">
    <w:abstractNumId w:val="13"/>
    <w:lvlOverride w:ilvl="0">
      <w:startOverride w:val="1"/>
    </w:lvlOverride>
  </w:num>
  <w:num w:numId="28">
    <w:abstractNumId w:val="13"/>
  </w:num>
  <w:num w:numId="29">
    <w:abstractNumId w:val="13"/>
    <w:lvlOverride w:ilvl="0">
      <w:startOverride w:val="1"/>
    </w:lvlOverride>
  </w:num>
  <w:num w:numId="30">
    <w:abstractNumId w:val="13"/>
  </w:num>
  <w:num w:numId="31">
    <w:abstractNumId w:val="13"/>
    <w:lvlOverride w:ilvl="0">
      <w:startOverride w:val="1"/>
    </w:lvlOverride>
  </w:num>
  <w:num w:numId="32">
    <w:abstractNumId w:val="13"/>
  </w:num>
  <w:num w:numId="33">
    <w:abstractNumId w:val="13"/>
    <w:lvlOverride w:ilvl="0">
      <w:startOverride w:val="1"/>
    </w:lvlOverride>
  </w:num>
  <w:num w:numId="34">
    <w:abstractNumId w:val="8"/>
  </w:num>
  <w:num w:numId="35">
    <w:abstractNumId w:val="15"/>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0"/>
  </w:num>
  <w:num w:numId="42">
    <w:abstractNumId w:val="9"/>
  </w:num>
  <w:num w:numId="43">
    <w:abstractNumId w:val="10"/>
  </w:num>
  <w:num w:numId="44">
    <w:abstractNumId w:val="13"/>
  </w:num>
  <w:num w:numId="45">
    <w:abstractNumId w:val="13"/>
    <w:lvlOverride w:ilvl="0">
      <w:startOverride w:val="1"/>
    </w:lvlOverride>
  </w:num>
  <w:num w:numId="46">
    <w:abstractNumId w:val="7"/>
  </w:num>
  <w:num w:numId="47">
    <w:abstractNumId w:val="13"/>
  </w:num>
  <w:num w:numId="48">
    <w:abstractNumId w:val="13"/>
    <w:lvlOverride w:ilvl="0">
      <w:startOverride w:val="1"/>
    </w:lvlOverride>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BB1491"/>
    <w:rsid w:val="0000194E"/>
    <w:rsid w:val="00012079"/>
    <w:rsid w:val="00027ABC"/>
    <w:rsid w:val="000403B8"/>
    <w:rsid w:val="00046AAF"/>
    <w:rsid w:val="00056697"/>
    <w:rsid w:val="0006175D"/>
    <w:rsid w:val="000666FE"/>
    <w:rsid w:val="00070A67"/>
    <w:rsid w:val="000758A9"/>
    <w:rsid w:val="00085440"/>
    <w:rsid w:val="0008556D"/>
    <w:rsid w:val="00087508"/>
    <w:rsid w:val="00090749"/>
    <w:rsid w:val="000A0F41"/>
    <w:rsid w:val="000C5FCC"/>
    <w:rsid w:val="000F43F3"/>
    <w:rsid w:val="000F49CC"/>
    <w:rsid w:val="00105243"/>
    <w:rsid w:val="001059AD"/>
    <w:rsid w:val="00106FA7"/>
    <w:rsid w:val="00113C56"/>
    <w:rsid w:val="00114744"/>
    <w:rsid w:val="0011576E"/>
    <w:rsid w:val="00123F87"/>
    <w:rsid w:val="00134C38"/>
    <w:rsid w:val="00141D99"/>
    <w:rsid w:val="0017459C"/>
    <w:rsid w:val="00181440"/>
    <w:rsid w:val="0018251B"/>
    <w:rsid w:val="00192EBC"/>
    <w:rsid w:val="001C5CD9"/>
    <w:rsid w:val="001E55B0"/>
    <w:rsid w:val="001F1CEB"/>
    <w:rsid w:val="001F3B70"/>
    <w:rsid w:val="001F5A5F"/>
    <w:rsid w:val="002101FE"/>
    <w:rsid w:val="00212B5B"/>
    <w:rsid w:val="00220BC3"/>
    <w:rsid w:val="0023455B"/>
    <w:rsid w:val="002536A7"/>
    <w:rsid w:val="002649F8"/>
    <w:rsid w:val="00274F09"/>
    <w:rsid w:val="00294D7C"/>
    <w:rsid w:val="002A2BE5"/>
    <w:rsid w:val="002B0373"/>
    <w:rsid w:val="002B290D"/>
    <w:rsid w:val="002B51AD"/>
    <w:rsid w:val="002B7678"/>
    <w:rsid w:val="002C4050"/>
    <w:rsid w:val="002C44AE"/>
    <w:rsid w:val="002C5B7A"/>
    <w:rsid w:val="002E01C8"/>
    <w:rsid w:val="00301892"/>
    <w:rsid w:val="00307CCD"/>
    <w:rsid w:val="00314A58"/>
    <w:rsid w:val="00330834"/>
    <w:rsid w:val="00364F48"/>
    <w:rsid w:val="00383245"/>
    <w:rsid w:val="00384DBB"/>
    <w:rsid w:val="00387B54"/>
    <w:rsid w:val="00392AD2"/>
    <w:rsid w:val="00394218"/>
    <w:rsid w:val="003B0DC6"/>
    <w:rsid w:val="003C0BA9"/>
    <w:rsid w:val="003D2362"/>
    <w:rsid w:val="003F469D"/>
    <w:rsid w:val="004135CB"/>
    <w:rsid w:val="00420216"/>
    <w:rsid w:val="00422B2D"/>
    <w:rsid w:val="00436E83"/>
    <w:rsid w:val="004A0A3C"/>
    <w:rsid w:val="004A5621"/>
    <w:rsid w:val="004E565C"/>
    <w:rsid w:val="004E6EB6"/>
    <w:rsid w:val="004F0BA9"/>
    <w:rsid w:val="00511747"/>
    <w:rsid w:val="00517228"/>
    <w:rsid w:val="00532219"/>
    <w:rsid w:val="00551ADF"/>
    <w:rsid w:val="00552665"/>
    <w:rsid w:val="0055462E"/>
    <w:rsid w:val="00561BC4"/>
    <w:rsid w:val="00565D89"/>
    <w:rsid w:val="00593759"/>
    <w:rsid w:val="00596244"/>
    <w:rsid w:val="005D20E3"/>
    <w:rsid w:val="005E249A"/>
    <w:rsid w:val="005E40F2"/>
    <w:rsid w:val="005E631F"/>
    <w:rsid w:val="00610ED4"/>
    <w:rsid w:val="006130E6"/>
    <w:rsid w:val="00617180"/>
    <w:rsid w:val="00632AC8"/>
    <w:rsid w:val="006359FF"/>
    <w:rsid w:val="006618F8"/>
    <w:rsid w:val="006754FB"/>
    <w:rsid w:val="00676691"/>
    <w:rsid w:val="0068716A"/>
    <w:rsid w:val="006D46C7"/>
    <w:rsid w:val="006E34E9"/>
    <w:rsid w:val="006F32BF"/>
    <w:rsid w:val="006F40F3"/>
    <w:rsid w:val="006F4C83"/>
    <w:rsid w:val="007051C0"/>
    <w:rsid w:val="00715F9D"/>
    <w:rsid w:val="007433C7"/>
    <w:rsid w:val="00750B80"/>
    <w:rsid w:val="00751E9B"/>
    <w:rsid w:val="00752EB3"/>
    <w:rsid w:val="00763E6D"/>
    <w:rsid w:val="007645AB"/>
    <w:rsid w:val="00782F4E"/>
    <w:rsid w:val="007B3914"/>
    <w:rsid w:val="007B39B4"/>
    <w:rsid w:val="007B77A4"/>
    <w:rsid w:val="007C08FF"/>
    <w:rsid w:val="007E311D"/>
    <w:rsid w:val="007F3794"/>
    <w:rsid w:val="007F68EF"/>
    <w:rsid w:val="00803FCC"/>
    <w:rsid w:val="0081571A"/>
    <w:rsid w:val="008223C8"/>
    <w:rsid w:val="00830AD1"/>
    <w:rsid w:val="008338A3"/>
    <w:rsid w:val="00834140"/>
    <w:rsid w:val="00837CA2"/>
    <w:rsid w:val="0085648A"/>
    <w:rsid w:val="008574D3"/>
    <w:rsid w:val="00862E9C"/>
    <w:rsid w:val="00863BFD"/>
    <w:rsid w:val="008718F6"/>
    <w:rsid w:val="00876D1B"/>
    <w:rsid w:val="0087775B"/>
    <w:rsid w:val="008C0AA1"/>
    <w:rsid w:val="008C7290"/>
    <w:rsid w:val="008E385B"/>
    <w:rsid w:val="008F4D0C"/>
    <w:rsid w:val="00921A2E"/>
    <w:rsid w:val="00931938"/>
    <w:rsid w:val="009416AD"/>
    <w:rsid w:val="00942704"/>
    <w:rsid w:val="009719A5"/>
    <w:rsid w:val="009719A6"/>
    <w:rsid w:val="00976A6D"/>
    <w:rsid w:val="00983D66"/>
    <w:rsid w:val="009B7871"/>
    <w:rsid w:val="009F4780"/>
    <w:rsid w:val="00A023BC"/>
    <w:rsid w:val="00A329F6"/>
    <w:rsid w:val="00A472BB"/>
    <w:rsid w:val="00A71C02"/>
    <w:rsid w:val="00A82D62"/>
    <w:rsid w:val="00AA3246"/>
    <w:rsid w:val="00AA4312"/>
    <w:rsid w:val="00AC0E44"/>
    <w:rsid w:val="00AC23C1"/>
    <w:rsid w:val="00AD116F"/>
    <w:rsid w:val="00AE0B2E"/>
    <w:rsid w:val="00AE34D0"/>
    <w:rsid w:val="00B0533B"/>
    <w:rsid w:val="00B206A9"/>
    <w:rsid w:val="00B330C5"/>
    <w:rsid w:val="00B42226"/>
    <w:rsid w:val="00B43F36"/>
    <w:rsid w:val="00B52412"/>
    <w:rsid w:val="00B966B1"/>
    <w:rsid w:val="00BA2409"/>
    <w:rsid w:val="00BA7D95"/>
    <w:rsid w:val="00BB1491"/>
    <w:rsid w:val="00BD417D"/>
    <w:rsid w:val="00BE1E21"/>
    <w:rsid w:val="00BE34F3"/>
    <w:rsid w:val="00BF7C42"/>
    <w:rsid w:val="00C00A2B"/>
    <w:rsid w:val="00C059F9"/>
    <w:rsid w:val="00C106B9"/>
    <w:rsid w:val="00C26F55"/>
    <w:rsid w:val="00C27A92"/>
    <w:rsid w:val="00C62DB9"/>
    <w:rsid w:val="00C716F4"/>
    <w:rsid w:val="00C74BE6"/>
    <w:rsid w:val="00C85576"/>
    <w:rsid w:val="00CA7FDF"/>
    <w:rsid w:val="00CC1B8B"/>
    <w:rsid w:val="00CD52F9"/>
    <w:rsid w:val="00CD5DCD"/>
    <w:rsid w:val="00CF6459"/>
    <w:rsid w:val="00D070C1"/>
    <w:rsid w:val="00D12A72"/>
    <w:rsid w:val="00D136AA"/>
    <w:rsid w:val="00D14239"/>
    <w:rsid w:val="00D23B6E"/>
    <w:rsid w:val="00D30A24"/>
    <w:rsid w:val="00D466C6"/>
    <w:rsid w:val="00D50BA1"/>
    <w:rsid w:val="00D51350"/>
    <w:rsid w:val="00D659ED"/>
    <w:rsid w:val="00D77CF2"/>
    <w:rsid w:val="00D85CCD"/>
    <w:rsid w:val="00DB0323"/>
    <w:rsid w:val="00DB24C8"/>
    <w:rsid w:val="00DC2DC1"/>
    <w:rsid w:val="00DC488E"/>
    <w:rsid w:val="00DF3D80"/>
    <w:rsid w:val="00E11CFD"/>
    <w:rsid w:val="00E16B8A"/>
    <w:rsid w:val="00E2135C"/>
    <w:rsid w:val="00E562E7"/>
    <w:rsid w:val="00E74563"/>
    <w:rsid w:val="00E84EE2"/>
    <w:rsid w:val="00E85457"/>
    <w:rsid w:val="00E9469F"/>
    <w:rsid w:val="00E976B6"/>
    <w:rsid w:val="00E97827"/>
    <w:rsid w:val="00EA0FD9"/>
    <w:rsid w:val="00EA5C00"/>
    <w:rsid w:val="00EB2EEF"/>
    <w:rsid w:val="00EB4E14"/>
    <w:rsid w:val="00EB59B2"/>
    <w:rsid w:val="00EF6CD5"/>
    <w:rsid w:val="00F15DCC"/>
    <w:rsid w:val="00F22AEF"/>
    <w:rsid w:val="00F51150"/>
    <w:rsid w:val="00F53239"/>
    <w:rsid w:val="00F55959"/>
    <w:rsid w:val="00F624E9"/>
    <w:rsid w:val="00FA4544"/>
    <w:rsid w:val="00FA4902"/>
    <w:rsid w:val="00FB05D7"/>
    <w:rsid w:val="00FC25EC"/>
    <w:rsid w:val="00FC5D02"/>
    <w:rsid w:val="00FC7AF0"/>
    <w:rsid w:val="00FD04B4"/>
    <w:rsid w:val="00FD27DC"/>
    <w:rsid w:val="00FD6698"/>
    <w:rsid w:val="00FF1B9D"/>
    <w:rsid w:val="00FF7EA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AF0"/>
    <w:rPr>
      <w:sz w:val="24"/>
      <w:szCs w:val="24"/>
      <w:lang w:eastAsia="en-US"/>
    </w:rPr>
  </w:style>
  <w:style w:type="paragraph" w:styleId="Heading1">
    <w:name w:val="heading 1"/>
    <w:aliases w:val="h1,header 1"/>
    <w:next w:val="CommentText"/>
    <w:qFormat/>
    <w:rsid w:val="00FC7AF0"/>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FC7AF0"/>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FC7AF0"/>
    <w:pPr>
      <w:keepNext/>
      <w:spacing w:line="240" w:lineRule="atLeast"/>
      <w:ind w:left="357"/>
      <w:jc w:val="right"/>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FC7AF0"/>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FC7AF0"/>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FC7AF0"/>
    <w:pPr>
      <w:jc w:val="center"/>
    </w:pPr>
    <w:rPr>
      <w:i/>
      <w:iCs/>
    </w:rPr>
  </w:style>
  <w:style w:type="paragraph" w:customStyle="1" w:styleId="BodyTextcentred">
    <w:name w:val="Body Text centred"/>
    <w:basedOn w:val="BodyText"/>
    <w:rsid w:val="00FC7AF0"/>
    <w:pPr>
      <w:jc w:val="center"/>
    </w:pPr>
  </w:style>
  <w:style w:type="paragraph" w:customStyle="1" w:styleId="Subsubpara">
    <w:name w:val="Sub sub para"/>
    <w:basedOn w:val="Normal"/>
    <w:rsid w:val="00FC7AF0"/>
    <w:pPr>
      <w:numPr>
        <w:numId w:val="3"/>
      </w:numPr>
      <w:tabs>
        <w:tab w:val="left" w:pos="540"/>
      </w:tabs>
      <w:spacing w:before="100" w:line="300" w:lineRule="exact"/>
    </w:pPr>
  </w:style>
  <w:style w:type="paragraph" w:customStyle="1" w:styleId="Subpara">
    <w:name w:val="Sub para"/>
    <w:basedOn w:val="BodyText"/>
    <w:rsid w:val="00FC7AF0"/>
    <w:pPr>
      <w:numPr>
        <w:numId w:val="2"/>
      </w:numPr>
      <w:tabs>
        <w:tab w:val="clear" w:pos="567"/>
        <w:tab w:val="clear" w:pos="680"/>
      </w:tabs>
      <w:spacing w:before="100"/>
    </w:pPr>
  </w:style>
  <w:style w:type="paragraph" w:styleId="CommentText">
    <w:name w:val="annotation text"/>
    <w:basedOn w:val="Normal"/>
    <w:link w:val="CommentTextChar"/>
    <w:uiPriority w:val="99"/>
    <w:semiHidden/>
    <w:rsid w:val="00FC7AF0"/>
    <w:rPr>
      <w:sz w:val="20"/>
      <w:szCs w:val="20"/>
    </w:rPr>
  </w:style>
  <w:style w:type="paragraph" w:styleId="Header">
    <w:name w:val="header"/>
    <w:basedOn w:val="Normal"/>
    <w:link w:val="HeaderChar"/>
    <w:uiPriority w:val="99"/>
    <w:semiHidden/>
    <w:unhideWhenUsed/>
    <w:rsid w:val="00012079"/>
    <w:pPr>
      <w:tabs>
        <w:tab w:val="center" w:pos="4513"/>
        <w:tab w:val="right" w:pos="9026"/>
      </w:tabs>
    </w:pPr>
  </w:style>
  <w:style w:type="character" w:customStyle="1" w:styleId="HeaderChar">
    <w:name w:val="Header Char"/>
    <w:basedOn w:val="DefaultParagraphFont"/>
    <w:link w:val="Header"/>
    <w:uiPriority w:val="99"/>
    <w:semiHidden/>
    <w:rsid w:val="00012079"/>
    <w:rPr>
      <w:sz w:val="24"/>
      <w:szCs w:val="24"/>
      <w:lang w:eastAsia="en-US"/>
    </w:rPr>
  </w:style>
  <w:style w:type="paragraph" w:styleId="Footer">
    <w:name w:val="footer"/>
    <w:basedOn w:val="Normal"/>
    <w:link w:val="FooterChar"/>
    <w:uiPriority w:val="99"/>
    <w:unhideWhenUsed/>
    <w:rsid w:val="00012079"/>
    <w:pPr>
      <w:tabs>
        <w:tab w:val="center" w:pos="4513"/>
        <w:tab w:val="right" w:pos="9026"/>
      </w:tabs>
    </w:pPr>
  </w:style>
  <w:style w:type="character" w:customStyle="1" w:styleId="FooterChar">
    <w:name w:val="Footer Char"/>
    <w:basedOn w:val="DefaultParagraphFont"/>
    <w:link w:val="Footer"/>
    <w:uiPriority w:val="99"/>
    <w:rsid w:val="00012079"/>
    <w:rPr>
      <w:sz w:val="24"/>
      <w:szCs w:val="24"/>
      <w:lang w:eastAsia="en-US"/>
    </w:rPr>
  </w:style>
  <w:style w:type="character" w:styleId="CommentReference">
    <w:name w:val="annotation reference"/>
    <w:basedOn w:val="DefaultParagraphFont"/>
    <w:uiPriority w:val="99"/>
    <w:semiHidden/>
    <w:unhideWhenUsed/>
    <w:rsid w:val="007645AB"/>
    <w:rPr>
      <w:sz w:val="16"/>
      <w:szCs w:val="16"/>
    </w:rPr>
  </w:style>
  <w:style w:type="paragraph" w:styleId="BalloonText">
    <w:name w:val="Balloon Text"/>
    <w:basedOn w:val="Normal"/>
    <w:link w:val="BalloonTextChar"/>
    <w:uiPriority w:val="99"/>
    <w:semiHidden/>
    <w:unhideWhenUsed/>
    <w:rsid w:val="00751E9B"/>
    <w:rPr>
      <w:rFonts w:ascii="Tahoma" w:hAnsi="Tahoma" w:cs="Tahoma"/>
      <w:sz w:val="16"/>
      <w:szCs w:val="16"/>
    </w:rPr>
  </w:style>
  <w:style w:type="character" w:customStyle="1" w:styleId="BalloonTextChar">
    <w:name w:val="Balloon Text Char"/>
    <w:basedOn w:val="DefaultParagraphFont"/>
    <w:link w:val="BalloonText"/>
    <w:uiPriority w:val="99"/>
    <w:semiHidden/>
    <w:rsid w:val="00751E9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51E9B"/>
    <w:rPr>
      <w:b/>
      <w:bCs/>
    </w:rPr>
  </w:style>
  <w:style w:type="character" w:customStyle="1" w:styleId="CommentTextChar">
    <w:name w:val="Comment Text Char"/>
    <w:basedOn w:val="DefaultParagraphFont"/>
    <w:link w:val="CommentText"/>
    <w:uiPriority w:val="99"/>
    <w:semiHidden/>
    <w:rsid w:val="00751E9B"/>
    <w:rPr>
      <w:lang w:eastAsia="en-US"/>
    </w:rPr>
  </w:style>
  <w:style w:type="character" w:customStyle="1" w:styleId="CommentSubjectChar">
    <w:name w:val="Comment Subject Char"/>
    <w:basedOn w:val="CommentTextChar"/>
    <w:link w:val="CommentSubject"/>
    <w:rsid w:val="00751E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1CFD0-D930-4CB1-9481-735FDCF6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subject/>
  <dc:creator>Helen.Yu</dc:creator>
  <cp:keywords/>
  <dc:description/>
  <cp:lastModifiedBy>Maan Beydoun</cp:lastModifiedBy>
  <cp:revision>3</cp:revision>
  <cp:lastPrinted>2013-09-16T23:35:00Z</cp:lastPrinted>
  <dcterms:created xsi:type="dcterms:W3CDTF">2013-10-09T23:48:00Z</dcterms:created>
  <dcterms:modified xsi:type="dcterms:W3CDTF">2013-10-10T00:40:00Z</dcterms:modified>
</cp:coreProperties>
</file>