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C7" w:rsidRPr="00D856A2" w:rsidRDefault="004A61C7" w:rsidP="004A61C7">
      <w:pPr>
        <w:autoSpaceDE w:val="0"/>
        <w:autoSpaceDN w:val="0"/>
        <w:adjustRightInd w:val="0"/>
        <w:jc w:val="center"/>
        <w:outlineLvl w:val="0"/>
        <w:rPr>
          <w:b/>
          <w:bCs/>
          <w:color w:val="000000" w:themeColor="text1"/>
          <w:u w:val="single"/>
        </w:rPr>
      </w:pPr>
      <w:bookmarkStart w:id="0" w:name="_GoBack"/>
      <w:bookmarkEnd w:id="0"/>
      <w:r w:rsidRPr="00D856A2">
        <w:rPr>
          <w:b/>
          <w:bCs/>
          <w:color w:val="000000" w:themeColor="text1"/>
          <w:u w:val="single"/>
        </w:rPr>
        <w:t>EXPLANATORY STATEMENT</w:t>
      </w:r>
    </w:p>
    <w:p w:rsidR="004A61C7" w:rsidRPr="00D856A2" w:rsidRDefault="004A61C7" w:rsidP="004A61C7">
      <w:pPr>
        <w:autoSpaceDE w:val="0"/>
        <w:autoSpaceDN w:val="0"/>
        <w:adjustRightInd w:val="0"/>
        <w:jc w:val="center"/>
        <w:rPr>
          <w:b/>
          <w:bCs/>
          <w:color w:val="000000" w:themeColor="text1"/>
        </w:rPr>
      </w:pPr>
    </w:p>
    <w:p w:rsidR="004A61C7" w:rsidRPr="00D856A2" w:rsidRDefault="004A61C7" w:rsidP="004A61C7">
      <w:pPr>
        <w:autoSpaceDE w:val="0"/>
        <w:autoSpaceDN w:val="0"/>
        <w:adjustRightInd w:val="0"/>
        <w:jc w:val="center"/>
        <w:outlineLvl w:val="0"/>
        <w:rPr>
          <w:b/>
          <w:bCs/>
          <w:i/>
          <w:iCs/>
          <w:color w:val="000000" w:themeColor="text1"/>
        </w:rPr>
      </w:pPr>
      <w:r w:rsidRPr="00D856A2">
        <w:rPr>
          <w:b/>
          <w:bCs/>
          <w:i/>
          <w:iCs/>
          <w:color w:val="000000" w:themeColor="text1"/>
        </w:rPr>
        <w:t>Telecommunications Act 1997</w:t>
      </w:r>
    </w:p>
    <w:p w:rsidR="004A61C7" w:rsidRPr="00D856A2" w:rsidRDefault="004A61C7" w:rsidP="004A61C7">
      <w:pPr>
        <w:autoSpaceDE w:val="0"/>
        <w:autoSpaceDN w:val="0"/>
        <w:adjustRightInd w:val="0"/>
        <w:jc w:val="center"/>
        <w:outlineLvl w:val="0"/>
        <w:rPr>
          <w:b/>
          <w:bCs/>
          <w:i/>
          <w:iCs/>
          <w:color w:val="000000" w:themeColor="text1"/>
        </w:rPr>
      </w:pPr>
    </w:p>
    <w:p w:rsidR="004A61C7" w:rsidRPr="00D856A2" w:rsidRDefault="004A61C7" w:rsidP="004A61C7">
      <w:pPr>
        <w:autoSpaceDE w:val="0"/>
        <w:autoSpaceDN w:val="0"/>
        <w:adjustRightInd w:val="0"/>
        <w:jc w:val="center"/>
        <w:outlineLvl w:val="0"/>
        <w:rPr>
          <w:b/>
          <w:bCs/>
          <w:i/>
          <w:iCs/>
          <w:color w:val="000000" w:themeColor="text1"/>
        </w:rPr>
      </w:pPr>
      <w:r w:rsidRPr="00D856A2">
        <w:rPr>
          <w:b/>
          <w:bCs/>
          <w:i/>
          <w:iCs/>
          <w:color w:val="000000" w:themeColor="text1"/>
        </w:rPr>
        <w:t>Carrier Licence Conditions (</w:t>
      </w:r>
      <w:r w:rsidR="002F17B3">
        <w:rPr>
          <w:b/>
          <w:bCs/>
          <w:i/>
          <w:iCs/>
          <w:color w:val="000000" w:themeColor="text1"/>
        </w:rPr>
        <w:t xml:space="preserve">Pivit </w:t>
      </w:r>
      <w:r>
        <w:rPr>
          <w:b/>
          <w:bCs/>
          <w:i/>
          <w:iCs/>
          <w:color w:val="000000" w:themeColor="text1"/>
        </w:rPr>
        <w:t>Pty Ltd</w:t>
      </w:r>
      <w:r w:rsidRPr="00D856A2">
        <w:rPr>
          <w:b/>
          <w:bCs/>
          <w:i/>
          <w:iCs/>
          <w:color w:val="000000" w:themeColor="text1"/>
        </w:rPr>
        <w:t>) Declaration 2013</w:t>
      </w:r>
    </w:p>
    <w:p w:rsidR="004A61C7" w:rsidRPr="00D856A2" w:rsidRDefault="004A61C7" w:rsidP="004A61C7">
      <w:pPr>
        <w:autoSpaceDE w:val="0"/>
        <w:autoSpaceDN w:val="0"/>
        <w:adjustRightInd w:val="0"/>
        <w:jc w:val="center"/>
        <w:outlineLvl w:val="0"/>
        <w:rPr>
          <w:b/>
          <w:bCs/>
          <w:i/>
          <w:iCs/>
          <w:color w:val="000000" w:themeColor="text1"/>
        </w:rPr>
      </w:pPr>
    </w:p>
    <w:p w:rsidR="004A61C7" w:rsidRPr="00D856A2" w:rsidRDefault="004A61C7" w:rsidP="004A61C7">
      <w:pPr>
        <w:autoSpaceDE w:val="0"/>
        <w:autoSpaceDN w:val="0"/>
        <w:adjustRightInd w:val="0"/>
        <w:jc w:val="center"/>
        <w:rPr>
          <w:color w:val="000000" w:themeColor="text1"/>
        </w:rPr>
      </w:pPr>
      <w:r w:rsidRPr="00D856A2">
        <w:rPr>
          <w:color w:val="000000" w:themeColor="text1"/>
        </w:rPr>
        <w:t xml:space="preserve">Issued by the authority of the Minister for </w:t>
      </w:r>
      <w:r>
        <w:rPr>
          <w:color w:val="000000" w:themeColor="text1"/>
        </w:rPr>
        <w:t xml:space="preserve">Communications </w:t>
      </w:r>
    </w:p>
    <w:p w:rsidR="004A61C7" w:rsidRPr="00D856A2" w:rsidRDefault="004A61C7" w:rsidP="004A61C7">
      <w:pPr>
        <w:autoSpaceDE w:val="0"/>
        <w:autoSpaceDN w:val="0"/>
        <w:adjustRightInd w:val="0"/>
        <w:rPr>
          <w:color w:val="000000" w:themeColor="text1"/>
        </w:rPr>
      </w:pPr>
    </w:p>
    <w:p w:rsidR="004A61C7" w:rsidRPr="00D856A2" w:rsidRDefault="004A61C7" w:rsidP="004A61C7">
      <w:pPr>
        <w:autoSpaceDE w:val="0"/>
        <w:autoSpaceDN w:val="0"/>
        <w:adjustRightInd w:val="0"/>
        <w:rPr>
          <w:b/>
          <w:bCs/>
          <w:color w:val="000000" w:themeColor="text1"/>
        </w:rPr>
      </w:pPr>
      <w:r w:rsidRPr="00D856A2">
        <w:rPr>
          <w:b/>
          <w:bCs/>
          <w:color w:val="000000" w:themeColor="text1"/>
        </w:rPr>
        <w:t>Legislative Basis</w:t>
      </w:r>
    </w:p>
    <w:p w:rsidR="004A61C7" w:rsidRPr="0047414D" w:rsidRDefault="004A61C7" w:rsidP="004A61C7">
      <w:pPr>
        <w:spacing w:before="100" w:beforeAutospacing="1" w:after="100" w:afterAutospacing="1"/>
        <w:rPr>
          <w:color w:val="000000" w:themeColor="text1"/>
        </w:rPr>
      </w:pPr>
      <w:r w:rsidRPr="00D856A2">
        <w:rPr>
          <w:color w:val="000000" w:themeColor="text1"/>
        </w:rPr>
        <w:t xml:space="preserve">Subsection 63(2) of the </w:t>
      </w:r>
      <w:r w:rsidRPr="00D856A2">
        <w:rPr>
          <w:i/>
          <w:iCs/>
          <w:color w:val="000000" w:themeColor="text1"/>
        </w:rPr>
        <w:t xml:space="preserve">Telecommunications Act 1997 </w:t>
      </w:r>
      <w:r w:rsidRPr="00D856A2">
        <w:rPr>
          <w:color w:val="000000" w:themeColor="text1"/>
        </w:rPr>
        <w:t>(the ‘</w:t>
      </w:r>
      <w:r>
        <w:rPr>
          <w:color w:val="000000" w:themeColor="text1"/>
        </w:rPr>
        <w:t xml:space="preserve">Tel </w:t>
      </w:r>
      <w:r w:rsidRPr="00D856A2">
        <w:rPr>
          <w:color w:val="000000" w:themeColor="text1"/>
        </w:rPr>
        <w:t xml:space="preserve">Act’) provides that the Minister may, by written instrument, declare that a particular carrier is subject to licence conditions as specified in the instrument. </w:t>
      </w:r>
    </w:p>
    <w:p w:rsidR="004A61C7" w:rsidRPr="00D856A2" w:rsidRDefault="004A61C7" w:rsidP="004A61C7">
      <w:pPr>
        <w:autoSpaceDE w:val="0"/>
        <w:autoSpaceDN w:val="0"/>
        <w:adjustRightInd w:val="0"/>
        <w:rPr>
          <w:b/>
          <w:color w:val="000000" w:themeColor="text1"/>
        </w:rPr>
      </w:pPr>
      <w:r>
        <w:rPr>
          <w:b/>
          <w:color w:val="000000" w:themeColor="text1"/>
        </w:rPr>
        <w:br/>
      </w:r>
      <w:r w:rsidRPr="00D856A2">
        <w:rPr>
          <w:b/>
          <w:color w:val="000000" w:themeColor="text1"/>
        </w:rPr>
        <w:t xml:space="preserve">Purpose of the Declaration </w:t>
      </w:r>
    </w:p>
    <w:p w:rsidR="004A61C7" w:rsidRPr="00D856A2" w:rsidRDefault="004A61C7" w:rsidP="004A61C7">
      <w:pPr>
        <w:autoSpaceDE w:val="0"/>
        <w:autoSpaceDN w:val="0"/>
        <w:adjustRightInd w:val="0"/>
        <w:rPr>
          <w:b/>
          <w:color w:val="000000" w:themeColor="text1"/>
        </w:rPr>
      </w:pPr>
    </w:p>
    <w:p w:rsidR="004A61C7" w:rsidRDefault="004A61C7" w:rsidP="004A61C7">
      <w:pPr>
        <w:rPr>
          <w:color w:val="000000" w:themeColor="text1"/>
        </w:rPr>
      </w:pPr>
      <w:r>
        <w:rPr>
          <w:color w:val="000000" w:themeColor="text1"/>
        </w:rPr>
        <w:t>The purpose of the D</w:t>
      </w:r>
      <w:r w:rsidRPr="00D856A2">
        <w:rPr>
          <w:color w:val="000000" w:themeColor="text1"/>
        </w:rPr>
        <w:t xml:space="preserve">eclaration is to impose a new obligation upon the carrier, </w:t>
      </w:r>
      <w:r w:rsidR="002F17B3">
        <w:rPr>
          <w:color w:val="000000" w:themeColor="text1"/>
        </w:rPr>
        <w:t xml:space="preserve">Pivit </w:t>
      </w:r>
      <w:r>
        <w:rPr>
          <w:color w:val="000000" w:themeColor="text1"/>
        </w:rPr>
        <w:t>Pty Ltd (‘</w:t>
      </w:r>
      <w:r w:rsidR="002F17B3">
        <w:rPr>
          <w:color w:val="000000" w:themeColor="text1"/>
        </w:rPr>
        <w:t>Pivit</w:t>
      </w:r>
      <w:r>
        <w:rPr>
          <w:color w:val="000000" w:themeColor="text1"/>
        </w:rPr>
        <w:t xml:space="preserve">’), </w:t>
      </w:r>
      <w:r>
        <w:t>to connect (or arrange for a</w:t>
      </w:r>
      <w:r w:rsidR="000A4BD9">
        <w:t xml:space="preserve">nother person on its behalf to </w:t>
      </w:r>
      <w:r>
        <w:t xml:space="preserve">connect), upon reasonable request, any </w:t>
      </w:r>
      <w:r w:rsidRPr="00DA3C12">
        <w:t xml:space="preserve">premises </w:t>
      </w:r>
      <w:r>
        <w:t xml:space="preserve">located </w:t>
      </w:r>
      <w:r w:rsidRPr="00DA3C12">
        <w:t xml:space="preserve">within </w:t>
      </w:r>
      <w:r>
        <w:t xml:space="preserve">any of </w:t>
      </w:r>
      <w:r w:rsidR="002F17B3">
        <w:t>Pivit’</w:t>
      </w:r>
      <w:r>
        <w:t xml:space="preserve">s </w:t>
      </w:r>
      <w:r w:rsidR="002F17B3">
        <w:t xml:space="preserve">four </w:t>
      </w:r>
      <w:r w:rsidRPr="00DA3C12">
        <w:t>network footprint</w:t>
      </w:r>
      <w:r>
        <w:t xml:space="preserve">s (as set out in </w:t>
      </w:r>
      <w:r>
        <w:rPr>
          <w:color w:val="000000" w:themeColor="text1"/>
        </w:rPr>
        <w:t xml:space="preserve">Schedule 1 to the Declaration) to </w:t>
      </w:r>
      <w:r w:rsidR="002F17B3">
        <w:rPr>
          <w:color w:val="000000" w:themeColor="text1"/>
        </w:rPr>
        <w:t xml:space="preserve">Pivit’s </w:t>
      </w:r>
      <w:r>
        <w:rPr>
          <w:color w:val="000000" w:themeColor="text1"/>
        </w:rPr>
        <w:t xml:space="preserve">network. </w:t>
      </w:r>
    </w:p>
    <w:p w:rsidR="004A61C7" w:rsidRDefault="004A61C7" w:rsidP="004A61C7">
      <w:pPr>
        <w:rPr>
          <w:color w:val="000000" w:themeColor="text1"/>
        </w:rPr>
      </w:pPr>
    </w:p>
    <w:p w:rsidR="004A61C7" w:rsidRDefault="004A61C7" w:rsidP="004A61C7">
      <w:pPr>
        <w:rPr>
          <w:color w:val="000000" w:themeColor="text1"/>
        </w:rPr>
      </w:pPr>
      <w:r>
        <w:rPr>
          <w:color w:val="000000" w:themeColor="text1"/>
        </w:rPr>
        <w:t xml:space="preserve">The Declaration is part of the implementation of the ‘adequately served’ policy, in respect of </w:t>
      </w:r>
      <w:r w:rsidR="002F17B3">
        <w:rPr>
          <w:color w:val="000000" w:themeColor="text1"/>
        </w:rPr>
        <w:t>Pivit</w:t>
      </w:r>
      <w:r>
        <w:rPr>
          <w:color w:val="000000" w:themeColor="text1"/>
        </w:rPr>
        <w:t>’s successful applications under that policy (described in further detail below).</w:t>
      </w:r>
    </w:p>
    <w:p w:rsidR="004A61C7" w:rsidRPr="00D856A2" w:rsidRDefault="004A61C7" w:rsidP="004A61C7">
      <w:pPr>
        <w:autoSpaceDE w:val="0"/>
        <w:autoSpaceDN w:val="0"/>
        <w:adjustRightInd w:val="0"/>
        <w:rPr>
          <w:b/>
          <w:bCs/>
          <w:color w:val="000000" w:themeColor="text1"/>
        </w:rPr>
      </w:pPr>
      <w:r>
        <w:rPr>
          <w:b/>
          <w:bCs/>
          <w:color w:val="000000" w:themeColor="text1"/>
        </w:rPr>
        <w:br/>
      </w:r>
      <w:r w:rsidRPr="00D856A2">
        <w:rPr>
          <w:b/>
          <w:bCs/>
          <w:color w:val="000000" w:themeColor="text1"/>
        </w:rPr>
        <w:t>Background</w:t>
      </w:r>
    </w:p>
    <w:p w:rsidR="004A61C7" w:rsidRDefault="004A61C7" w:rsidP="004A61C7">
      <w:pPr>
        <w:pStyle w:val="NormalWeb"/>
        <w:rPr>
          <w:lang w:val="en"/>
        </w:rPr>
      </w:pPr>
      <w:r w:rsidRPr="00D856A2">
        <w:rPr>
          <w:lang w:val="en"/>
        </w:rPr>
        <w:t xml:space="preserve">On 27 April 2012 the </w:t>
      </w:r>
      <w:r>
        <w:rPr>
          <w:lang w:val="en"/>
        </w:rPr>
        <w:t xml:space="preserve">then </w:t>
      </w:r>
      <w:r w:rsidRPr="00D856A2">
        <w:rPr>
          <w:lang w:val="en"/>
        </w:rPr>
        <w:t xml:space="preserve">Minister released </w:t>
      </w:r>
      <w:r>
        <w:rPr>
          <w:lang w:val="en"/>
        </w:rPr>
        <w:t>a policy p</w:t>
      </w:r>
      <w:r w:rsidRPr="00D856A2">
        <w:rPr>
          <w:lang w:val="en"/>
        </w:rPr>
        <w:t>aper</w:t>
      </w:r>
      <w:r>
        <w:rPr>
          <w:lang w:val="en"/>
        </w:rPr>
        <w:t>, titled ‘</w:t>
      </w:r>
      <w:r>
        <w:rPr>
          <w:i/>
          <w:lang w:val="en"/>
        </w:rPr>
        <w:t>Adequately served: criteria and assessment process to facilitate the rollout of the National Broadband Network (NBN)</w:t>
      </w:r>
      <w:r>
        <w:rPr>
          <w:lang w:val="en"/>
        </w:rPr>
        <w:t>’ (the ‘a</w:t>
      </w:r>
      <w:r w:rsidRPr="005359C2">
        <w:rPr>
          <w:lang w:val="en"/>
        </w:rPr>
        <w:t>dequately served</w:t>
      </w:r>
      <w:r>
        <w:rPr>
          <w:lang w:val="en"/>
        </w:rPr>
        <w:t xml:space="preserve"> policy paper’). The ‘adequately served’</w:t>
      </w:r>
      <w:r w:rsidRPr="00D856A2">
        <w:rPr>
          <w:lang w:val="en"/>
        </w:rPr>
        <w:t xml:space="preserve"> policy is designed to prevent unnecessary duplication of fibre</w:t>
      </w:r>
      <w:r>
        <w:rPr>
          <w:lang w:val="en"/>
        </w:rPr>
        <w:t>-to-the-premises (</w:t>
      </w:r>
      <w:r w:rsidR="00481AE5">
        <w:rPr>
          <w:lang w:val="en"/>
        </w:rPr>
        <w:t>‘</w:t>
      </w:r>
      <w:r>
        <w:rPr>
          <w:lang w:val="en"/>
        </w:rPr>
        <w:t>FTTP</w:t>
      </w:r>
      <w:r w:rsidR="00481AE5">
        <w:rPr>
          <w:lang w:val="en"/>
        </w:rPr>
        <w:t>’</w:t>
      </w:r>
      <w:r>
        <w:rPr>
          <w:lang w:val="en"/>
        </w:rPr>
        <w:t>)</w:t>
      </w:r>
      <w:r w:rsidRPr="00D856A2">
        <w:rPr>
          <w:lang w:val="en"/>
        </w:rPr>
        <w:t xml:space="preserve"> networks</w:t>
      </w:r>
      <w:r>
        <w:rPr>
          <w:lang w:val="en"/>
        </w:rPr>
        <w:t>,</w:t>
      </w:r>
      <w:r w:rsidRPr="00D856A2">
        <w:rPr>
          <w:lang w:val="en"/>
        </w:rPr>
        <w:t xml:space="preserve"> existing</w:t>
      </w:r>
      <w:r>
        <w:rPr>
          <w:lang w:val="en"/>
        </w:rPr>
        <w:t xml:space="preserve"> in residential estates as at 1 January 2012, </w:t>
      </w:r>
      <w:r w:rsidRPr="00D856A2">
        <w:rPr>
          <w:lang w:val="en"/>
        </w:rPr>
        <w:t xml:space="preserve">which can deliver services that meet the government’s NBN objectives. </w:t>
      </w:r>
    </w:p>
    <w:p w:rsidR="004A61C7" w:rsidRDefault="004A61C7" w:rsidP="004A61C7">
      <w:pPr>
        <w:pStyle w:val="NormalWeb"/>
        <w:rPr>
          <w:lang w:val="en"/>
        </w:rPr>
      </w:pPr>
      <w:r>
        <w:rPr>
          <w:lang w:val="en"/>
        </w:rPr>
        <w:t>Under t</w:t>
      </w:r>
      <w:r w:rsidRPr="00D856A2">
        <w:rPr>
          <w:lang w:val="en"/>
        </w:rPr>
        <w:t>he policy</w:t>
      </w:r>
      <w:r>
        <w:rPr>
          <w:lang w:val="en"/>
        </w:rPr>
        <w:t xml:space="preserve">, </w:t>
      </w:r>
      <w:r w:rsidRPr="00D856A2">
        <w:rPr>
          <w:lang w:val="en"/>
        </w:rPr>
        <w:t xml:space="preserve">NBN </w:t>
      </w:r>
      <w:r>
        <w:rPr>
          <w:lang w:val="en"/>
        </w:rPr>
        <w:t xml:space="preserve">Co Limited (NBN Co) </w:t>
      </w:r>
      <w:r w:rsidRPr="00D856A2">
        <w:rPr>
          <w:lang w:val="en"/>
        </w:rPr>
        <w:t>will not overbuild</w:t>
      </w:r>
      <w:r>
        <w:rPr>
          <w:lang w:val="en"/>
        </w:rPr>
        <w:t xml:space="preserve"> telecommunications networks that service residential premises where those </w:t>
      </w:r>
      <w:r w:rsidRPr="00D856A2">
        <w:rPr>
          <w:lang w:val="en"/>
        </w:rPr>
        <w:t xml:space="preserve">networks </w:t>
      </w:r>
      <w:r>
        <w:rPr>
          <w:lang w:val="en"/>
        </w:rPr>
        <w:t xml:space="preserve">are </w:t>
      </w:r>
      <w:r w:rsidRPr="00D856A2">
        <w:rPr>
          <w:lang w:val="en"/>
        </w:rPr>
        <w:t xml:space="preserve">assessed </w:t>
      </w:r>
      <w:r>
        <w:rPr>
          <w:lang w:val="en"/>
        </w:rPr>
        <w:t xml:space="preserve">by the Minister </w:t>
      </w:r>
      <w:r w:rsidRPr="00D856A2">
        <w:rPr>
          <w:lang w:val="en"/>
        </w:rPr>
        <w:t xml:space="preserve">as </w:t>
      </w:r>
      <w:r>
        <w:rPr>
          <w:lang w:val="en"/>
        </w:rPr>
        <w:t>meeting the ‘</w:t>
      </w:r>
      <w:r w:rsidRPr="00D856A2">
        <w:rPr>
          <w:lang w:val="en"/>
        </w:rPr>
        <w:t>adequately served</w:t>
      </w:r>
      <w:r>
        <w:rPr>
          <w:lang w:val="en"/>
        </w:rPr>
        <w:t>’ criteria</w:t>
      </w:r>
      <w:r w:rsidRPr="00D856A2">
        <w:rPr>
          <w:lang w:val="en"/>
        </w:rPr>
        <w:t>, except in circumstances where not overbuilding a particular area will have a significant impact on NBN Co</w:t>
      </w:r>
      <w:r>
        <w:rPr>
          <w:lang w:val="en"/>
        </w:rPr>
        <w:t>’s</w:t>
      </w:r>
      <w:r w:rsidRPr="00D856A2">
        <w:rPr>
          <w:lang w:val="en"/>
        </w:rPr>
        <w:t xml:space="preserve"> ability to efficiently roll out the network. In such circumstances, NBN Co may seek permission from the Minister to overbuild those </w:t>
      </w:r>
      <w:r>
        <w:rPr>
          <w:lang w:val="en"/>
        </w:rPr>
        <w:t>networks</w:t>
      </w:r>
      <w:r w:rsidRPr="00D856A2">
        <w:rPr>
          <w:lang w:val="en"/>
        </w:rPr>
        <w:t>. If permission is granted</w:t>
      </w:r>
      <w:r>
        <w:rPr>
          <w:lang w:val="en"/>
        </w:rPr>
        <w:t xml:space="preserve"> by the Minister</w:t>
      </w:r>
      <w:r w:rsidRPr="00D856A2">
        <w:rPr>
          <w:lang w:val="en"/>
        </w:rPr>
        <w:t xml:space="preserve">, overbuild may occur, notwithstanding that the network </w:t>
      </w:r>
      <w:r>
        <w:rPr>
          <w:lang w:val="en"/>
        </w:rPr>
        <w:t>was granted ‘adequately served’ status.</w:t>
      </w:r>
    </w:p>
    <w:p w:rsidR="004A61C7" w:rsidRDefault="002F17B3" w:rsidP="004A61C7">
      <w:pPr>
        <w:pStyle w:val="NormalWeb"/>
      </w:pPr>
      <w:r>
        <w:rPr>
          <w:color w:val="000000" w:themeColor="text1"/>
        </w:rPr>
        <w:t>Pivit</w:t>
      </w:r>
      <w:r w:rsidR="004A61C7">
        <w:rPr>
          <w:color w:val="000000" w:themeColor="text1"/>
        </w:rPr>
        <w:t xml:space="preserve"> applied to have a number of its FTTP networks assessed under the policy. </w:t>
      </w:r>
      <w:r w:rsidR="002F2959">
        <w:rPr>
          <w:color w:val="000000" w:themeColor="text1"/>
        </w:rPr>
        <w:t>Four</w:t>
      </w:r>
      <w:r w:rsidR="004A61C7">
        <w:rPr>
          <w:color w:val="000000" w:themeColor="text1"/>
        </w:rPr>
        <w:t xml:space="preserve"> FTTP networks (as listed at Schedule 1 to the Declaration) were assessed </w:t>
      </w:r>
      <w:r w:rsidR="004A61C7" w:rsidRPr="00D856A2">
        <w:rPr>
          <w:color w:val="000000" w:themeColor="text1"/>
        </w:rPr>
        <w:t xml:space="preserve">by the Minster to </w:t>
      </w:r>
      <w:r w:rsidR="004A61C7">
        <w:rPr>
          <w:color w:val="000000" w:themeColor="text1"/>
        </w:rPr>
        <w:t>have met the ‘</w:t>
      </w:r>
      <w:r w:rsidR="004A61C7" w:rsidRPr="00D856A2">
        <w:rPr>
          <w:color w:val="000000" w:themeColor="text1"/>
        </w:rPr>
        <w:t>adequately serv</w:t>
      </w:r>
      <w:r w:rsidR="004A61C7">
        <w:rPr>
          <w:color w:val="000000" w:themeColor="text1"/>
        </w:rPr>
        <w:t xml:space="preserve">ed’ criteria as set out in the policy paper. </w:t>
      </w:r>
      <w:r w:rsidR="004A61C7">
        <w:rPr>
          <w:color w:val="000000" w:themeColor="text1"/>
        </w:rPr>
        <w:br/>
      </w:r>
      <w:r w:rsidR="004A61C7">
        <w:rPr>
          <w:color w:val="000000" w:themeColor="text1"/>
        </w:rPr>
        <w:br/>
        <w:t xml:space="preserve">As required under </w:t>
      </w:r>
      <w:r w:rsidR="004A61C7" w:rsidRPr="00D856A2">
        <w:rPr>
          <w:color w:val="000000" w:themeColor="text1"/>
        </w:rPr>
        <w:t>the policy</w:t>
      </w:r>
      <w:r w:rsidR="004A61C7">
        <w:rPr>
          <w:color w:val="000000" w:themeColor="text1"/>
        </w:rPr>
        <w:t xml:space="preserve">, </w:t>
      </w:r>
      <w:r w:rsidR="002F2959">
        <w:rPr>
          <w:color w:val="000000" w:themeColor="text1"/>
        </w:rPr>
        <w:t>Pivit</w:t>
      </w:r>
      <w:r w:rsidR="004A61C7" w:rsidRPr="00237F69">
        <w:rPr>
          <w:color w:val="000000" w:themeColor="text1"/>
        </w:rPr>
        <w:t xml:space="preserve"> has committed </w:t>
      </w:r>
      <w:r w:rsidR="004A61C7" w:rsidRPr="00237F69">
        <w:t xml:space="preserve">to offer a connection for services to all customer premises in each of the specified </w:t>
      </w:r>
      <w:r w:rsidR="002F2959">
        <w:t>four</w:t>
      </w:r>
      <w:r w:rsidR="004A61C7" w:rsidRPr="00237F69">
        <w:t xml:space="preserve"> network footprints. This </w:t>
      </w:r>
      <w:r w:rsidR="004A61C7" w:rsidRPr="00237F69">
        <w:lastRenderedPageBreak/>
        <w:t xml:space="preserve">commitment is being implemented through the </w:t>
      </w:r>
      <w:r w:rsidR="004A61C7">
        <w:t>D</w:t>
      </w:r>
      <w:r w:rsidR="004A61C7" w:rsidRPr="00237F69">
        <w:t>eclaration, namely by way of a carrier licence condition under section 63(2) of the Tel Act.</w:t>
      </w:r>
    </w:p>
    <w:p w:rsidR="004A61C7" w:rsidRDefault="004A61C7" w:rsidP="004A61C7">
      <w:pPr>
        <w:pStyle w:val="NormalWeb"/>
      </w:pPr>
      <w:r>
        <w:t xml:space="preserve">The effect of imposing the carrier licence </w:t>
      </w:r>
      <w:r w:rsidRPr="009B6EB7">
        <w:t xml:space="preserve">condition </w:t>
      </w:r>
      <w:r>
        <w:t xml:space="preserve">and NBN Co being directed not to overbuild in the areas covered by the Declaration </w:t>
      </w:r>
      <w:r w:rsidRPr="009B6EB7">
        <w:t>is to avoid unnecessary duplication of</w:t>
      </w:r>
      <w:r>
        <w:t xml:space="preserve"> fibre networks in the same area, whilst ensuring that retail competition for products and services is supported on a non-NBN FTTP network. </w:t>
      </w:r>
    </w:p>
    <w:p w:rsidR="004A61C7" w:rsidRPr="009B6EB7" w:rsidRDefault="004A61C7" w:rsidP="004A61C7">
      <w:pPr>
        <w:pStyle w:val="NormalWeb"/>
        <w:spacing w:after="0" w:afterAutospacing="0"/>
        <w:rPr>
          <w:color w:val="000000" w:themeColor="text1"/>
        </w:rPr>
      </w:pPr>
      <w:r>
        <w:t xml:space="preserve">All end users within each of </w:t>
      </w:r>
      <w:r w:rsidR="00687618">
        <w:t>Pivit</w:t>
      </w:r>
      <w:r>
        <w:t xml:space="preserve">’s </w:t>
      </w:r>
      <w:r w:rsidR="00687618">
        <w:t xml:space="preserve">four </w:t>
      </w:r>
      <w:r>
        <w:t xml:space="preserve">nominated network footprints will, upon reasonable request to </w:t>
      </w:r>
      <w:r w:rsidR="00687618">
        <w:t>Pivit</w:t>
      </w:r>
      <w:r>
        <w:t xml:space="preserve">, be able to have their premises connected to </w:t>
      </w:r>
      <w:r w:rsidR="00680E83">
        <w:t>Pivit</w:t>
      </w:r>
      <w:r>
        <w:t xml:space="preserve">’s network. The connection obligation imposed upon </w:t>
      </w:r>
      <w:r w:rsidR="00680E83">
        <w:t>Pivit</w:t>
      </w:r>
      <w:r>
        <w:t xml:space="preserve"> via the Declaration does not diminish or otherwise extinguish Telstra’s universal service obligation to supply standard telephone services to all people in Australia on request under the </w:t>
      </w:r>
      <w:r w:rsidRPr="00C4043B">
        <w:rPr>
          <w:i/>
        </w:rPr>
        <w:t xml:space="preserve">Telecommunications </w:t>
      </w:r>
      <w:r>
        <w:rPr>
          <w:i/>
        </w:rPr>
        <w:t>(</w:t>
      </w:r>
      <w:r w:rsidRPr="00237F69">
        <w:rPr>
          <w:i/>
        </w:rPr>
        <w:t>Consumer Protection and Service Standards) Act 1999</w:t>
      </w:r>
      <w:r>
        <w:rPr>
          <w:i/>
        </w:rPr>
        <w:t xml:space="preserve"> </w:t>
      </w:r>
      <w:r>
        <w:t>(</w:t>
      </w:r>
      <w:r w:rsidR="00481AE5">
        <w:t>‘</w:t>
      </w:r>
      <w:r>
        <w:t>TCPSS Act</w:t>
      </w:r>
      <w:r w:rsidR="00481AE5">
        <w:t>’</w:t>
      </w:r>
      <w:r>
        <w:t>) and its contract with the Telecommunications Universal Service Management Agency (TUSMA).</w:t>
      </w:r>
    </w:p>
    <w:p w:rsidR="004A61C7" w:rsidRPr="00D856A2" w:rsidRDefault="004A61C7" w:rsidP="004A61C7">
      <w:pPr>
        <w:autoSpaceDE w:val="0"/>
        <w:autoSpaceDN w:val="0"/>
        <w:adjustRightInd w:val="0"/>
        <w:rPr>
          <w:b/>
          <w:bCs/>
          <w:color w:val="000000" w:themeColor="text1"/>
        </w:rPr>
      </w:pPr>
      <w:r>
        <w:rPr>
          <w:color w:val="000000" w:themeColor="text1"/>
        </w:rPr>
        <w:br/>
      </w:r>
      <w:r w:rsidRPr="00D856A2">
        <w:rPr>
          <w:b/>
          <w:bCs/>
          <w:color w:val="000000" w:themeColor="text1"/>
        </w:rPr>
        <w:t>Consultation</w:t>
      </w:r>
    </w:p>
    <w:p w:rsidR="004A61C7" w:rsidRDefault="004A61C7" w:rsidP="004A61C7">
      <w:pPr>
        <w:spacing w:before="100" w:beforeAutospacing="1" w:after="100" w:afterAutospacing="1"/>
        <w:rPr>
          <w:color w:val="000000" w:themeColor="text1"/>
        </w:rPr>
      </w:pPr>
      <w:r w:rsidRPr="00D856A2">
        <w:rPr>
          <w:color w:val="000000" w:themeColor="text1"/>
        </w:rPr>
        <w:t xml:space="preserve">Section 64 of the </w:t>
      </w:r>
      <w:r>
        <w:rPr>
          <w:color w:val="000000" w:themeColor="text1"/>
        </w:rPr>
        <w:t xml:space="preserve">Tel </w:t>
      </w:r>
      <w:r w:rsidRPr="00D856A2">
        <w:rPr>
          <w:color w:val="000000" w:themeColor="text1"/>
        </w:rPr>
        <w:t>Act</w:t>
      </w:r>
      <w:r w:rsidRPr="00D856A2">
        <w:rPr>
          <w:i/>
          <w:iCs/>
          <w:color w:val="000000" w:themeColor="text1"/>
        </w:rPr>
        <w:t xml:space="preserve"> </w:t>
      </w:r>
      <w:r w:rsidRPr="00D856A2">
        <w:rPr>
          <w:color w:val="000000" w:themeColor="text1"/>
        </w:rPr>
        <w:t>provides that before making an instrument under subsection</w:t>
      </w:r>
      <w:r>
        <w:rPr>
          <w:color w:val="000000" w:themeColor="text1"/>
        </w:rPr>
        <w:t> </w:t>
      </w:r>
      <w:r w:rsidRPr="00D856A2">
        <w:rPr>
          <w:color w:val="000000" w:themeColor="text1"/>
        </w:rPr>
        <w:t>63(</w:t>
      </w:r>
      <w:r>
        <w:rPr>
          <w:color w:val="000000" w:themeColor="text1"/>
        </w:rPr>
        <w:t>2</w:t>
      </w:r>
      <w:r w:rsidRPr="00D856A2">
        <w:rPr>
          <w:color w:val="000000" w:themeColor="text1"/>
        </w:rPr>
        <w:t>) of the</w:t>
      </w:r>
      <w:r>
        <w:rPr>
          <w:color w:val="000000" w:themeColor="text1"/>
        </w:rPr>
        <w:t xml:space="preserve"> Tel</w:t>
      </w:r>
      <w:r w:rsidRPr="00D856A2">
        <w:rPr>
          <w:color w:val="000000" w:themeColor="text1"/>
        </w:rPr>
        <w:t xml:space="preserve"> Act, the Minister must arrange for a draft version of the instrument to be provided to the licence holder and invite the holder to make a submission to the Minister on the draft.  </w:t>
      </w:r>
      <w:r>
        <w:rPr>
          <w:color w:val="000000"/>
        </w:rPr>
        <w:t xml:space="preserve"> </w:t>
      </w:r>
      <w:r w:rsidRPr="00D856A2">
        <w:rPr>
          <w:color w:val="000000" w:themeColor="text1"/>
        </w:rPr>
        <w:t xml:space="preserve">Consistent with this requirement, the </w:t>
      </w:r>
      <w:r>
        <w:rPr>
          <w:color w:val="000000" w:themeColor="text1"/>
        </w:rPr>
        <w:t xml:space="preserve">then Minister for Broadband, Communications and the Digital Economy consulted with </w:t>
      </w:r>
      <w:r w:rsidR="00680E83">
        <w:rPr>
          <w:color w:val="000000" w:themeColor="text1"/>
        </w:rPr>
        <w:t>Pivit</w:t>
      </w:r>
      <w:r>
        <w:rPr>
          <w:color w:val="000000" w:themeColor="text1"/>
        </w:rPr>
        <w:t xml:space="preserve"> on 23 July 2013 regarding the proposed carrier licence condition. </w:t>
      </w:r>
    </w:p>
    <w:p w:rsidR="004A61C7" w:rsidRDefault="0026448C" w:rsidP="004A61C7">
      <w:pPr>
        <w:spacing w:before="100" w:beforeAutospacing="1" w:after="100" w:afterAutospacing="1"/>
        <w:rPr>
          <w:color w:val="000000" w:themeColor="text1"/>
        </w:rPr>
      </w:pPr>
      <w:r>
        <w:rPr>
          <w:color w:val="000000" w:themeColor="text1"/>
        </w:rPr>
        <w:t>On 2 October 2013,</w:t>
      </w:r>
      <w:r w:rsidR="004A61C7">
        <w:rPr>
          <w:color w:val="000000" w:themeColor="text1"/>
        </w:rPr>
        <w:t xml:space="preserve"> </w:t>
      </w:r>
      <w:r w:rsidR="00680E83">
        <w:rPr>
          <w:color w:val="000000" w:themeColor="text1"/>
        </w:rPr>
        <w:t xml:space="preserve">Pivit </w:t>
      </w:r>
      <w:r w:rsidR="00C46F36">
        <w:rPr>
          <w:color w:val="000000" w:themeColor="text1"/>
        </w:rPr>
        <w:t xml:space="preserve">confirmed with the </w:t>
      </w:r>
      <w:r w:rsidR="00680E83">
        <w:rPr>
          <w:color w:val="000000" w:themeColor="text1"/>
        </w:rPr>
        <w:t xml:space="preserve">Department </w:t>
      </w:r>
      <w:r w:rsidR="004A61C7">
        <w:rPr>
          <w:color w:val="000000" w:themeColor="text1"/>
        </w:rPr>
        <w:t>agreeing with the proposed carrier licence condition.</w:t>
      </w:r>
      <w:r w:rsidR="004A61C7" w:rsidRPr="00FC0139">
        <w:rPr>
          <w:color w:val="000000"/>
        </w:rPr>
        <w:t xml:space="preserve"> </w:t>
      </w:r>
      <w:r w:rsidR="004A61C7">
        <w:rPr>
          <w:color w:val="000000"/>
        </w:rPr>
        <w:t>The Department also consulted with the ACMA in respect of this matter.</w:t>
      </w:r>
    </w:p>
    <w:p w:rsidR="004A61C7" w:rsidRDefault="004A61C7" w:rsidP="004A61C7">
      <w:pPr>
        <w:spacing w:before="100" w:beforeAutospacing="1" w:after="100" w:afterAutospacing="1"/>
      </w:pPr>
      <w:r>
        <w:rPr>
          <w:color w:val="000000"/>
        </w:rPr>
        <w:t>The Office of Best Practice Regulation has advised that a regulatory impact statement is not required for this instrument.</w:t>
      </w:r>
    </w:p>
    <w:p w:rsidR="004A61C7" w:rsidRPr="00D856A2" w:rsidRDefault="004A61C7" w:rsidP="004A61C7">
      <w:pPr>
        <w:autoSpaceDE w:val="0"/>
        <w:autoSpaceDN w:val="0"/>
        <w:adjustRightInd w:val="0"/>
        <w:rPr>
          <w:b/>
          <w:bCs/>
          <w:color w:val="000000" w:themeColor="text1"/>
        </w:rPr>
      </w:pPr>
      <w:r w:rsidRPr="00D856A2">
        <w:rPr>
          <w:b/>
          <w:bCs/>
          <w:color w:val="000000" w:themeColor="text1"/>
        </w:rPr>
        <w:t>Details of the accompanying Declaration</w:t>
      </w:r>
      <w:r>
        <w:rPr>
          <w:b/>
          <w:bCs/>
          <w:color w:val="000000" w:themeColor="text1"/>
        </w:rPr>
        <w:br/>
      </w:r>
    </w:p>
    <w:p w:rsidR="004A61C7" w:rsidRDefault="004A61C7" w:rsidP="004A61C7">
      <w:pPr>
        <w:autoSpaceDE w:val="0"/>
        <w:autoSpaceDN w:val="0"/>
        <w:adjustRightInd w:val="0"/>
        <w:rPr>
          <w:color w:val="000000" w:themeColor="text1"/>
        </w:rPr>
      </w:pPr>
      <w:r>
        <w:rPr>
          <w:color w:val="000000" w:themeColor="text1"/>
        </w:rPr>
        <w:t xml:space="preserve">The Declaration </w:t>
      </w:r>
      <w:r w:rsidRPr="00D856A2">
        <w:rPr>
          <w:color w:val="000000" w:themeColor="text1"/>
        </w:rPr>
        <w:t xml:space="preserve">is a disallowable instrument for the purposes of the </w:t>
      </w:r>
      <w:r w:rsidRPr="00D856A2">
        <w:rPr>
          <w:i/>
          <w:color w:val="000000" w:themeColor="text1"/>
        </w:rPr>
        <w:t xml:space="preserve">Legislative Instruments </w:t>
      </w:r>
      <w:r w:rsidRPr="00D856A2">
        <w:rPr>
          <w:i/>
          <w:iCs/>
          <w:color w:val="000000" w:themeColor="text1"/>
        </w:rPr>
        <w:t>Act 2003</w:t>
      </w:r>
      <w:r w:rsidRPr="00D856A2">
        <w:rPr>
          <w:color w:val="000000" w:themeColor="text1"/>
        </w:rPr>
        <w:t>.</w:t>
      </w:r>
    </w:p>
    <w:p w:rsidR="004A61C7" w:rsidRPr="00D856A2" w:rsidRDefault="004A61C7" w:rsidP="004A61C7">
      <w:pPr>
        <w:autoSpaceDE w:val="0"/>
        <w:autoSpaceDN w:val="0"/>
        <w:adjustRightInd w:val="0"/>
        <w:rPr>
          <w:b/>
          <w:bCs/>
          <w:color w:val="000000" w:themeColor="text1"/>
        </w:rPr>
      </w:pPr>
    </w:p>
    <w:p w:rsidR="004A61C7" w:rsidRPr="00D856A2" w:rsidRDefault="004A61C7" w:rsidP="004A61C7">
      <w:pPr>
        <w:autoSpaceDE w:val="0"/>
        <w:autoSpaceDN w:val="0"/>
        <w:adjustRightInd w:val="0"/>
        <w:rPr>
          <w:color w:val="000000" w:themeColor="text1"/>
        </w:rPr>
      </w:pPr>
      <w:r w:rsidRPr="00D856A2">
        <w:rPr>
          <w:color w:val="000000" w:themeColor="text1"/>
        </w:rPr>
        <w:t xml:space="preserve">Details of the accompanying Declaration are set out in </w:t>
      </w:r>
      <w:r w:rsidRPr="00D856A2">
        <w:rPr>
          <w:b/>
          <w:color w:val="000000" w:themeColor="text1"/>
          <w:u w:val="single"/>
        </w:rPr>
        <w:t>Attachment 1</w:t>
      </w:r>
      <w:r w:rsidRPr="00D856A2">
        <w:rPr>
          <w:color w:val="000000" w:themeColor="text1"/>
        </w:rPr>
        <w:t>.</w:t>
      </w:r>
    </w:p>
    <w:p w:rsidR="004A61C7" w:rsidRPr="00D856A2" w:rsidRDefault="004A61C7" w:rsidP="004A61C7">
      <w:pPr>
        <w:pStyle w:val="acmabodytext"/>
        <w:spacing w:before="240" w:beforeAutospacing="0" w:after="0" w:afterAutospacing="0"/>
        <w:rPr>
          <w:rFonts w:ascii="Helvetica Neue" w:hAnsi="Helvetica Neue"/>
        </w:rPr>
      </w:pPr>
      <w:r w:rsidRPr="00D856A2">
        <w:rPr>
          <w:rFonts w:ascii="Helvetica Neue" w:hAnsi="Helvetica Neue"/>
          <w:b/>
          <w:bCs/>
          <w:lang w:val="en-US"/>
        </w:rPr>
        <w:t>Statement of Compatibility with Human Rights</w:t>
      </w:r>
    </w:p>
    <w:p w:rsidR="004A61C7" w:rsidRPr="00D856A2" w:rsidRDefault="004A61C7" w:rsidP="004A61C7">
      <w:pPr>
        <w:pStyle w:val="acmabodytextchar"/>
        <w:spacing w:before="0" w:beforeAutospacing="0" w:after="0" w:afterAutospacing="0"/>
        <w:jc w:val="both"/>
        <w:rPr>
          <w:rFonts w:ascii="Helvetica Neue" w:hAnsi="Helvetica Neue"/>
        </w:rPr>
      </w:pPr>
      <w:r w:rsidRPr="00D856A2">
        <w:rPr>
          <w:rFonts w:ascii="Helvetica Neue" w:hAnsi="Helvetica Neue"/>
        </w:rPr>
        <w:t> </w:t>
      </w:r>
    </w:p>
    <w:p w:rsidR="004A61C7" w:rsidRPr="00D856A2" w:rsidRDefault="004A61C7" w:rsidP="004A61C7">
      <w:pPr>
        <w:pStyle w:val="acmabodytextchar"/>
        <w:spacing w:before="0" w:beforeAutospacing="0" w:after="0" w:afterAutospacing="0"/>
        <w:jc w:val="both"/>
      </w:pPr>
      <w:r w:rsidRPr="00D856A2">
        <w:rPr>
          <w:lang w:val="en-GB"/>
        </w:rPr>
        <w:t xml:space="preserve">A statement of compatibility with human rights for the purposes of Part 3 of the </w:t>
      </w:r>
      <w:r w:rsidRPr="00D856A2">
        <w:rPr>
          <w:i/>
          <w:iCs/>
          <w:lang w:val="en-GB"/>
        </w:rPr>
        <w:t>Human Rights (Parliamentary Scrutiny) Act 2011</w:t>
      </w:r>
      <w:r w:rsidRPr="00D856A2">
        <w:rPr>
          <w:lang w:val="en-GB"/>
        </w:rPr>
        <w:t xml:space="preserve"> is set out in </w:t>
      </w:r>
      <w:r w:rsidRPr="00D856A2">
        <w:rPr>
          <w:b/>
          <w:u w:val="single"/>
          <w:lang w:val="en-GB"/>
        </w:rPr>
        <w:t>Attachment 2</w:t>
      </w:r>
      <w:r w:rsidRPr="00D856A2">
        <w:rPr>
          <w:lang w:val="en-GB"/>
        </w:rPr>
        <w:t>.</w:t>
      </w:r>
    </w:p>
    <w:p w:rsidR="004A61C7" w:rsidRPr="00C46F36" w:rsidRDefault="004A61C7" w:rsidP="004A61C7">
      <w:pPr>
        <w:autoSpaceDE w:val="0"/>
        <w:autoSpaceDN w:val="0"/>
        <w:adjustRightInd w:val="0"/>
        <w:ind w:left="5040" w:firstLine="720"/>
        <w:rPr>
          <w:b/>
          <w:color w:val="000000" w:themeColor="text1"/>
          <w:sz w:val="28"/>
          <w:szCs w:val="28"/>
        </w:rPr>
      </w:pPr>
      <w:r w:rsidRPr="00D856A2">
        <w:rPr>
          <w:color w:val="000000" w:themeColor="text1"/>
        </w:rPr>
        <w:br w:type="column"/>
      </w:r>
      <w:r w:rsidRPr="00C46F36">
        <w:rPr>
          <w:b/>
          <w:color w:val="000000" w:themeColor="text1"/>
          <w:sz w:val="28"/>
          <w:szCs w:val="28"/>
        </w:rPr>
        <w:lastRenderedPageBreak/>
        <w:t xml:space="preserve">Attachment 1 </w:t>
      </w:r>
    </w:p>
    <w:p w:rsidR="004A61C7" w:rsidRPr="00D856A2" w:rsidRDefault="004A61C7" w:rsidP="004A61C7">
      <w:pPr>
        <w:autoSpaceDE w:val="0"/>
        <w:autoSpaceDN w:val="0"/>
        <w:adjustRightInd w:val="0"/>
        <w:rPr>
          <w:color w:val="000000" w:themeColor="text1"/>
        </w:rPr>
      </w:pPr>
    </w:p>
    <w:p w:rsidR="004A61C7" w:rsidRPr="005076D8" w:rsidRDefault="004A61C7" w:rsidP="004A61C7">
      <w:pPr>
        <w:rPr>
          <w:b/>
        </w:rPr>
      </w:pPr>
      <w:r w:rsidRPr="00D856A2">
        <w:rPr>
          <w:b/>
        </w:rPr>
        <w:t xml:space="preserve">Details of the </w:t>
      </w:r>
      <w:r w:rsidRPr="00D856A2">
        <w:rPr>
          <w:b/>
          <w:bCs/>
          <w:i/>
          <w:iCs/>
          <w:color w:val="000000" w:themeColor="text1"/>
        </w:rPr>
        <w:t>Carrier Licence Conditions (</w:t>
      </w:r>
      <w:r w:rsidR="00680E83">
        <w:rPr>
          <w:b/>
          <w:bCs/>
          <w:i/>
          <w:iCs/>
          <w:color w:val="000000" w:themeColor="text1"/>
        </w:rPr>
        <w:t>Pivit</w:t>
      </w:r>
      <w:r>
        <w:rPr>
          <w:b/>
          <w:bCs/>
          <w:i/>
          <w:iCs/>
          <w:color w:val="000000" w:themeColor="text1"/>
        </w:rPr>
        <w:t xml:space="preserve"> Pty Ltd</w:t>
      </w:r>
      <w:r w:rsidRPr="00D856A2">
        <w:rPr>
          <w:b/>
          <w:bCs/>
          <w:i/>
          <w:iCs/>
          <w:color w:val="000000" w:themeColor="text1"/>
        </w:rPr>
        <w:t>) Declaration 2013</w:t>
      </w:r>
    </w:p>
    <w:p w:rsidR="004A61C7" w:rsidRPr="00D856A2" w:rsidRDefault="004A61C7" w:rsidP="004A61C7">
      <w:pPr>
        <w:rPr>
          <w:b/>
          <w:u w:val="single"/>
        </w:rPr>
      </w:pPr>
    </w:p>
    <w:p w:rsidR="004A61C7" w:rsidRPr="00D856A2" w:rsidRDefault="004A61C7" w:rsidP="004A61C7">
      <w:pPr>
        <w:rPr>
          <w:b/>
        </w:rPr>
      </w:pPr>
      <w:r w:rsidRPr="00D856A2">
        <w:rPr>
          <w:b/>
        </w:rPr>
        <w:t xml:space="preserve">Clause 1 – Name of Declaration </w:t>
      </w:r>
    </w:p>
    <w:p w:rsidR="004A61C7" w:rsidRPr="00D856A2" w:rsidRDefault="004A61C7" w:rsidP="004A61C7">
      <w:pPr>
        <w:rPr>
          <w:b/>
        </w:rPr>
      </w:pPr>
    </w:p>
    <w:p w:rsidR="004A61C7" w:rsidRPr="00D856A2" w:rsidRDefault="004A61C7" w:rsidP="004A61C7">
      <w:pPr>
        <w:rPr>
          <w:i/>
        </w:rPr>
      </w:pPr>
      <w:r w:rsidRPr="00D856A2">
        <w:t xml:space="preserve">Clause 1 of the </w:t>
      </w:r>
      <w:r>
        <w:t>D</w:t>
      </w:r>
      <w:r w:rsidRPr="00D856A2">
        <w:t xml:space="preserve">eclaration provides that the name of the instrument is the </w:t>
      </w:r>
      <w:r w:rsidRPr="00D856A2">
        <w:rPr>
          <w:i/>
        </w:rPr>
        <w:t xml:space="preserve">Carrier Licence Conditions </w:t>
      </w:r>
      <w:r>
        <w:rPr>
          <w:i/>
        </w:rPr>
        <w:t>(</w:t>
      </w:r>
      <w:r w:rsidR="00680E83">
        <w:rPr>
          <w:i/>
        </w:rPr>
        <w:t xml:space="preserve">Pivit </w:t>
      </w:r>
      <w:r>
        <w:rPr>
          <w:i/>
        </w:rPr>
        <w:t>Pty Ltd)</w:t>
      </w:r>
      <w:r w:rsidRPr="00D856A2">
        <w:rPr>
          <w:i/>
        </w:rPr>
        <w:t xml:space="preserve"> Declaration 2013. </w:t>
      </w:r>
    </w:p>
    <w:p w:rsidR="004A61C7" w:rsidRPr="00D856A2" w:rsidRDefault="004A61C7" w:rsidP="004A61C7"/>
    <w:p w:rsidR="004A61C7" w:rsidRPr="00D856A2" w:rsidRDefault="004A61C7" w:rsidP="004A61C7">
      <w:pPr>
        <w:rPr>
          <w:b/>
        </w:rPr>
      </w:pPr>
      <w:r w:rsidRPr="00D856A2">
        <w:rPr>
          <w:b/>
        </w:rPr>
        <w:t>Clause 2 – Commencement</w:t>
      </w:r>
    </w:p>
    <w:p w:rsidR="004A61C7" w:rsidRPr="00D856A2" w:rsidRDefault="004A61C7" w:rsidP="004A61C7">
      <w:pPr>
        <w:rPr>
          <w:b/>
        </w:rPr>
      </w:pPr>
    </w:p>
    <w:p w:rsidR="004A61C7" w:rsidRPr="00D856A2" w:rsidRDefault="004A61C7" w:rsidP="004A61C7">
      <w:r w:rsidRPr="00D856A2">
        <w:t xml:space="preserve">Clause 2 provides that the </w:t>
      </w:r>
      <w:r>
        <w:t>D</w:t>
      </w:r>
      <w:r w:rsidRPr="00D856A2">
        <w:t>eclaration commences on the day after it is registered on the Federal Register of Legislative Instruments.</w:t>
      </w:r>
    </w:p>
    <w:p w:rsidR="004A61C7" w:rsidRPr="00D856A2" w:rsidRDefault="004A61C7" w:rsidP="004A61C7">
      <w:pPr>
        <w:rPr>
          <w:b/>
        </w:rPr>
      </w:pPr>
    </w:p>
    <w:p w:rsidR="004A61C7" w:rsidRPr="00D856A2" w:rsidRDefault="004A61C7" w:rsidP="004A61C7">
      <w:pPr>
        <w:rPr>
          <w:b/>
        </w:rPr>
      </w:pPr>
      <w:r w:rsidRPr="00D856A2">
        <w:rPr>
          <w:b/>
        </w:rPr>
        <w:t xml:space="preserve">Clause </w:t>
      </w:r>
      <w:r>
        <w:rPr>
          <w:b/>
        </w:rPr>
        <w:t>3</w:t>
      </w:r>
      <w:r w:rsidRPr="00D856A2">
        <w:rPr>
          <w:b/>
        </w:rPr>
        <w:t xml:space="preserve"> – Definitions</w:t>
      </w:r>
    </w:p>
    <w:p w:rsidR="004A61C7" w:rsidRPr="00D856A2" w:rsidRDefault="004A61C7" w:rsidP="004A61C7">
      <w:pPr>
        <w:rPr>
          <w:b/>
        </w:rPr>
      </w:pPr>
    </w:p>
    <w:p w:rsidR="004A61C7" w:rsidRPr="00D856A2" w:rsidRDefault="004A61C7" w:rsidP="004A61C7">
      <w:r w:rsidRPr="00D856A2">
        <w:t xml:space="preserve">Subclause </w:t>
      </w:r>
      <w:r>
        <w:t>3</w:t>
      </w:r>
      <w:r w:rsidRPr="00D856A2">
        <w:t xml:space="preserve">(1) sets out the key definitions used in the </w:t>
      </w:r>
      <w:r>
        <w:t>D</w:t>
      </w:r>
      <w:r w:rsidRPr="00D856A2">
        <w:t>eclaration.</w:t>
      </w:r>
    </w:p>
    <w:p w:rsidR="004A61C7" w:rsidRDefault="004A61C7" w:rsidP="004A61C7"/>
    <w:p w:rsidR="004A61C7" w:rsidRDefault="004A61C7" w:rsidP="004A61C7">
      <w:r>
        <w:t xml:space="preserve">The term </w:t>
      </w:r>
      <w:r w:rsidRPr="00585D14">
        <w:rPr>
          <w:b/>
          <w:i/>
        </w:rPr>
        <w:t>development area</w:t>
      </w:r>
      <w:r>
        <w:t xml:space="preserve"> is used in clause 4 of the Declaration. It covers each of the </w:t>
      </w:r>
      <w:r w:rsidR="00680E83">
        <w:t>four</w:t>
      </w:r>
      <w:r>
        <w:t xml:space="preserve"> </w:t>
      </w:r>
      <w:r w:rsidRPr="00D856A2">
        <w:t>real estate development</w:t>
      </w:r>
      <w:r>
        <w:t xml:space="preserve">s listed </w:t>
      </w:r>
      <w:r w:rsidRPr="00D856A2">
        <w:t xml:space="preserve">in Schedule 1 to the </w:t>
      </w:r>
      <w:r>
        <w:t>D</w:t>
      </w:r>
      <w:r w:rsidRPr="00D856A2">
        <w:t xml:space="preserve">eclaration </w:t>
      </w:r>
      <w:r>
        <w:t>(</w:t>
      </w:r>
      <w:r w:rsidRPr="00D856A2">
        <w:t>and depicted in the respective maps at Annexure A to Schedule 1</w:t>
      </w:r>
      <w:r>
        <w:t>)</w:t>
      </w:r>
      <w:r w:rsidRPr="00D856A2">
        <w:t xml:space="preserve">. </w:t>
      </w:r>
      <w:r>
        <w:t xml:space="preserve"> These are the areas: (i) serviced by </w:t>
      </w:r>
      <w:r w:rsidR="00680E83">
        <w:t xml:space="preserve">Pivit </w:t>
      </w:r>
      <w:r>
        <w:t>Pty Ltd (</w:t>
      </w:r>
      <w:r w:rsidR="00680E83">
        <w:t>Pivit</w:t>
      </w:r>
      <w:r>
        <w:t xml:space="preserve">) FTTP telecommunications networks; and (ii) that have been determined by the Minister to meet the adequately served criteria under the ‘adequately served policy’. This term is used in defining the ‘Specified </w:t>
      </w:r>
      <w:r w:rsidR="00680E83">
        <w:t>Pivit</w:t>
      </w:r>
      <w:r>
        <w:t xml:space="preserve"> Networks’. </w:t>
      </w:r>
    </w:p>
    <w:p w:rsidR="004A61C7" w:rsidRDefault="004A61C7" w:rsidP="004A61C7"/>
    <w:p w:rsidR="004A61C7" w:rsidRPr="00136333" w:rsidRDefault="004A61C7" w:rsidP="004A61C7">
      <w:r>
        <w:t xml:space="preserve">The term </w:t>
      </w:r>
      <w:r w:rsidRPr="00585D14">
        <w:rPr>
          <w:b/>
          <w:i/>
        </w:rPr>
        <w:t xml:space="preserve">relevant </w:t>
      </w:r>
      <w:r w:rsidRPr="009D3CB2">
        <w:rPr>
          <w:b/>
          <w:i/>
        </w:rPr>
        <w:t>premises</w:t>
      </w:r>
      <w:r>
        <w:t xml:space="preserve"> </w:t>
      </w:r>
      <w:r w:rsidRPr="00585D14">
        <w:t xml:space="preserve">has been </w:t>
      </w:r>
      <w:r>
        <w:t xml:space="preserve">used to make clear </w:t>
      </w:r>
      <w:r w:rsidRPr="003768D1">
        <w:t xml:space="preserve">that premises that are occupied or used by an end-user and situated in the project area are taken to be ‘relevant premises’. This term is used in clause 4 of the </w:t>
      </w:r>
      <w:r>
        <w:t>D</w:t>
      </w:r>
      <w:r w:rsidRPr="003768D1">
        <w:t xml:space="preserve">eclaration which sets out the </w:t>
      </w:r>
      <w:r w:rsidRPr="00136333">
        <w:t>connection obligation.</w:t>
      </w:r>
      <w:r>
        <w:br/>
      </w:r>
    </w:p>
    <w:p w:rsidR="004A61C7" w:rsidRPr="00D856A2" w:rsidRDefault="004A61C7" w:rsidP="004A61C7">
      <w:r>
        <w:t xml:space="preserve">The term </w:t>
      </w:r>
      <w:r w:rsidRPr="00585D14">
        <w:rPr>
          <w:b/>
          <w:i/>
        </w:rPr>
        <w:t>Licensee</w:t>
      </w:r>
      <w:r>
        <w:t xml:space="preserve"> refers to </w:t>
      </w:r>
      <w:r w:rsidR="00680E83">
        <w:t>Pivit</w:t>
      </w:r>
      <w:r>
        <w:t xml:space="preserve"> Pty Ltd.</w:t>
      </w:r>
    </w:p>
    <w:p w:rsidR="004A61C7" w:rsidRPr="00D856A2" w:rsidRDefault="004A61C7" w:rsidP="004A61C7"/>
    <w:p w:rsidR="004A61C7" w:rsidRDefault="004A61C7" w:rsidP="004A61C7">
      <w:r w:rsidRPr="00D856A2">
        <w:t xml:space="preserve">The term </w:t>
      </w:r>
      <w:r>
        <w:rPr>
          <w:b/>
          <w:i/>
        </w:rPr>
        <w:t xml:space="preserve">Specified </w:t>
      </w:r>
      <w:r w:rsidR="00680E83">
        <w:rPr>
          <w:b/>
          <w:i/>
        </w:rPr>
        <w:t xml:space="preserve">Pivit </w:t>
      </w:r>
      <w:r>
        <w:rPr>
          <w:b/>
          <w:i/>
        </w:rPr>
        <w:t>N</w:t>
      </w:r>
      <w:r w:rsidRPr="00D856A2">
        <w:rPr>
          <w:b/>
          <w:i/>
        </w:rPr>
        <w:t>etwork</w:t>
      </w:r>
      <w:r w:rsidRPr="00D856A2">
        <w:t xml:space="preserve"> means</w:t>
      </w:r>
      <w:r w:rsidRPr="00D856A2">
        <w:rPr>
          <w:b/>
        </w:rPr>
        <w:t xml:space="preserve"> </w:t>
      </w:r>
      <w:r w:rsidRPr="00D856A2">
        <w:t xml:space="preserve">each of </w:t>
      </w:r>
      <w:r w:rsidR="00680E83">
        <w:t>Pivit</w:t>
      </w:r>
      <w:r>
        <w:t xml:space="preserve">’s </w:t>
      </w:r>
      <w:r w:rsidRPr="00D856A2">
        <w:t xml:space="preserve">telecommunications networks which use </w:t>
      </w:r>
      <w:r>
        <w:t xml:space="preserve">FTTP </w:t>
      </w:r>
      <w:r w:rsidRPr="00D856A2">
        <w:t xml:space="preserve">architecture and are located in one of the </w:t>
      </w:r>
      <w:r w:rsidR="00680E83">
        <w:t>four</w:t>
      </w:r>
      <w:r>
        <w:t xml:space="preserve"> ‘development areas’ (being the </w:t>
      </w:r>
      <w:r w:rsidRPr="00D856A2">
        <w:t>real estate development</w:t>
      </w:r>
      <w:r>
        <w:t xml:space="preserve"> </w:t>
      </w:r>
      <w:r w:rsidRPr="00D856A2">
        <w:t>project</w:t>
      </w:r>
      <w:r>
        <w:t xml:space="preserve"> area</w:t>
      </w:r>
      <w:r w:rsidRPr="00D856A2">
        <w:t xml:space="preserve">s listed in Schedule 1 to the </w:t>
      </w:r>
      <w:r>
        <w:t>D</w:t>
      </w:r>
      <w:r w:rsidRPr="00D856A2">
        <w:t>eclaration and depicted in the respective maps at Annexure A to Schedule 1</w:t>
      </w:r>
      <w:r>
        <w:t>).</w:t>
      </w:r>
    </w:p>
    <w:p w:rsidR="004A61C7" w:rsidRPr="009B6EB7" w:rsidRDefault="004A61C7" w:rsidP="004A61C7"/>
    <w:p w:rsidR="004A61C7" w:rsidRPr="00D856A2" w:rsidRDefault="004A61C7" w:rsidP="004A61C7">
      <w:r w:rsidRPr="00D856A2">
        <w:t xml:space="preserve">To aid the reader, a note is inserted at the end of clause 3 indicating that the terms </w:t>
      </w:r>
      <w:r w:rsidRPr="00D856A2">
        <w:rPr>
          <w:b/>
          <w:i/>
        </w:rPr>
        <w:t>carriage service</w:t>
      </w:r>
      <w:r w:rsidRPr="00D856A2">
        <w:t>,</w:t>
      </w:r>
      <w:r w:rsidRPr="00D856A2">
        <w:rPr>
          <w:b/>
          <w:i/>
        </w:rPr>
        <w:t xml:space="preserve"> service provider</w:t>
      </w:r>
      <w:r>
        <w:rPr>
          <w:b/>
          <w:i/>
        </w:rPr>
        <w:t xml:space="preserve">, </w:t>
      </w:r>
      <w:r w:rsidRPr="00EF1DC3">
        <w:t>and</w:t>
      </w:r>
      <w:r>
        <w:rPr>
          <w:b/>
          <w:i/>
        </w:rPr>
        <w:t xml:space="preserve"> telecommunications network</w:t>
      </w:r>
      <w:r w:rsidRPr="00D856A2">
        <w:rPr>
          <w:b/>
          <w:i/>
        </w:rPr>
        <w:t xml:space="preserve"> </w:t>
      </w:r>
      <w:r w:rsidRPr="00D856A2">
        <w:t xml:space="preserve">have the same meaning as in section 7 of the </w:t>
      </w:r>
      <w:r w:rsidR="00483803">
        <w:t xml:space="preserve">Tel </w:t>
      </w:r>
      <w:r w:rsidRPr="00D856A2">
        <w:t>Act.</w:t>
      </w:r>
    </w:p>
    <w:p w:rsidR="004A61C7" w:rsidRDefault="004A61C7" w:rsidP="004A61C7">
      <w:pPr>
        <w:rPr>
          <w:b/>
        </w:rPr>
      </w:pPr>
    </w:p>
    <w:p w:rsidR="004A61C7" w:rsidRPr="005E6223" w:rsidRDefault="004A61C7" w:rsidP="004A61C7">
      <w:pPr>
        <w:rPr>
          <w:b/>
          <w:color w:val="548DD4" w:themeColor="text2" w:themeTint="99"/>
        </w:rPr>
      </w:pPr>
    </w:p>
    <w:p w:rsidR="00FD7CDF" w:rsidRDefault="00FD7CDF" w:rsidP="004A61C7">
      <w:pPr>
        <w:rPr>
          <w:b/>
        </w:rPr>
      </w:pPr>
    </w:p>
    <w:p w:rsidR="004A61C7" w:rsidRPr="00A51457" w:rsidRDefault="004A61C7" w:rsidP="004A61C7">
      <w:pPr>
        <w:rPr>
          <w:b/>
        </w:rPr>
      </w:pPr>
      <w:r>
        <w:rPr>
          <w:b/>
        </w:rPr>
        <w:br/>
      </w:r>
      <w:r>
        <w:rPr>
          <w:b/>
        </w:rPr>
        <w:br/>
      </w:r>
      <w:r>
        <w:rPr>
          <w:b/>
        </w:rPr>
        <w:br/>
      </w:r>
      <w:r>
        <w:rPr>
          <w:b/>
        </w:rPr>
        <w:br/>
      </w:r>
      <w:r>
        <w:rPr>
          <w:b/>
        </w:rPr>
        <w:br/>
      </w:r>
      <w:r>
        <w:rPr>
          <w:b/>
        </w:rPr>
        <w:lastRenderedPageBreak/>
        <w:br/>
      </w:r>
      <w:r w:rsidRPr="00A51457">
        <w:rPr>
          <w:b/>
        </w:rPr>
        <w:t xml:space="preserve">Clause 4 </w:t>
      </w:r>
      <w:r w:rsidR="00481AE5" w:rsidRPr="00D856A2">
        <w:rPr>
          <w:b/>
        </w:rPr>
        <w:t xml:space="preserve">– </w:t>
      </w:r>
      <w:r>
        <w:rPr>
          <w:b/>
        </w:rPr>
        <w:t>O</w:t>
      </w:r>
      <w:r w:rsidRPr="00A51457">
        <w:rPr>
          <w:b/>
        </w:rPr>
        <w:t>bligation</w:t>
      </w:r>
      <w:r>
        <w:rPr>
          <w:b/>
        </w:rPr>
        <w:t xml:space="preserve"> to connect relevant premises </w:t>
      </w:r>
    </w:p>
    <w:p w:rsidR="004A61C7" w:rsidRPr="00A51457" w:rsidRDefault="004A61C7" w:rsidP="004A61C7">
      <w:pPr>
        <w:pStyle w:val="Heading2"/>
        <w:spacing w:after="120"/>
        <w:rPr>
          <w:rFonts w:ascii="Times New Roman" w:hAnsi="Times New Roman"/>
          <w:b w:val="0"/>
          <w:color w:val="auto"/>
          <w:sz w:val="24"/>
          <w:szCs w:val="24"/>
        </w:rPr>
      </w:pPr>
      <w:r w:rsidRPr="00A51457">
        <w:rPr>
          <w:rFonts w:ascii="Times New Roman" w:hAnsi="Times New Roman"/>
          <w:b w:val="0"/>
          <w:color w:val="auto"/>
          <w:sz w:val="24"/>
          <w:szCs w:val="24"/>
        </w:rPr>
        <w:t xml:space="preserve">Subclause </w:t>
      </w:r>
      <w:r>
        <w:rPr>
          <w:rFonts w:ascii="Times New Roman" w:hAnsi="Times New Roman"/>
          <w:b w:val="0"/>
          <w:color w:val="auto"/>
          <w:sz w:val="24"/>
          <w:szCs w:val="24"/>
        </w:rPr>
        <w:t>4</w:t>
      </w:r>
      <w:r w:rsidRPr="00A51457">
        <w:rPr>
          <w:rFonts w:ascii="Times New Roman" w:hAnsi="Times New Roman"/>
          <w:b w:val="0"/>
          <w:color w:val="auto"/>
          <w:sz w:val="24"/>
          <w:szCs w:val="24"/>
        </w:rPr>
        <w:t>(1) sets out the operative carrier licence condition</w:t>
      </w:r>
      <w:r>
        <w:rPr>
          <w:rFonts w:ascii="Times New Roman" w:hAnsi="Times New Roman"/>
          <w:b w:val="0"/>
          <w:color w:val="auto"/>
          <w:sz w:val="24"/>
          <w:szCs w:val="24"/>
        </w:rPr>
        <w:t>, n</w:t>
      </w:r>
      <w:r w:rsidRPr="00A51457">
        <w:rPr>
          <w:rFonts w:ascii="Times New Roman" w:hAnsi="Times New Roman"/>
          <w:b w:val="0"/>
          <w:color w:val="auto"/>
          <w:sz w:val="24"/>
          <w:szCs w:val="24"/>
        </w:rPr>
        <w:t xml:space="preserve">amely, the requirement upon </w:t>
      </w:r>
      <w:r w:rsidR="00680E83">
        <w:rPr>
          <w:rFonts w:ascii="Times New Roman" w:hAnsi="Times New Roman"/>
          <w:b w:val="0"/>
          <w:color w:val="auto"/>
          <w:sz w:val="24"/>
          <w:szCs w:val="24"/>
        </w:rPr>
        <w:t>Pivit</w:t>
      </w:r>
      <w:r w:rsidRPr="00A51457">
        <w:rPr>
          <w:rFonts w:ascii="Times New Roman" w:hAnsi="Times New Roman"/>
          <w:b w:val="0"/>
          <w:color w:val="auto"/>
          <w:sz w:val="24"/>
          <w:szCs w:val="24"/>
        </w:rPr>
        <w:t xml:space="preserve"> to connect relevant premises to its FTTP network so that a carriage service provider can provide any type of carriage services (e.g. a standard telephone service, broadband internet service) to that end-user. </w:t>
      </w:r>
    </w:p>
    <w:p w:rsidR="004A61C7" w:rsidRPr="00A51457" w:rsidRDefault="004A61C7" w:rsidP="004A61C7">
      <w:pPr>
        <w:pStyle w:val="Heading2"/>
        <w:spacing w:after="120"/>
        <w:rPr>
          <w:rFonts w:ascii="Times New Roman" w:hAnsi="Times New Roman"/>
          <w:b w:val="0"/>
          <w:color w:val="auto"/>
          <w:sz w:val="24"/>
          <w:szCs w:val="24"/>
        </w:rPr>
      </w:pPr>
      <w:r w:rsidRPr="00A51457">
        <w:rPr>
          <w:rFonts w:ascii="Times New Roman" w:hAnsi="Times New Roman"/>
          <w:b w:val="0"/>
          <w:color w:val="auto"/>
          <w:sz w:val="24"/>
          <w:szCs w:val="24"/>
        </w:rPr>
        <w:t>The obligation is stated to apply ‘upon reasonable request’:</w:t>
      </w:r>
    </w:p>
    <w:p w:rsidR="004A61C7" w:rsidRPr="00A51457" w:rsidRDefault="004A61C7" w:rsidP="004A61C7">
      <w:pPr>
        <w:pStyle w:val="Heading2"/>
        <w:numPr>
          <w:ilvl w:val="0"/>
          <w:numId w:val="1"/>
        </w:numPr>
        <w:spacing w:before="120" w:after="120"/>
        <w:ind w:left="357" w:firstLine="0"/>
        <w:rPr>
          <w:rFonts w:ascii="Times New Roman" w:hAnsi="Times New Roman"/>
          <w:b w:val="0"/>
          <w:color w:val="auto"/>
          <w:sz w:val="24"/>
          <w:szCs w:val="24"/>
        </w:rPr>
      </w:pPr>
      <w:r w:rsidRPr="00A51457">
        <w:rPr>
          <w:rFonts w:ascii="Times New Roman" w:hAnsi="Times New Roman"/>
          <w:b w:val="0"/>
          <w:color w:val="auto"/>
          <w:sz w:val="24"/>
          <w:szCs w:val="24"/>
        </w:rPr>
        <w:t>directly by the end-user; or</w:t>
      </w:r>
    </w:p>
    <w:p w:rsidR="004A61C7" w:rsidRPr="00A51457" w:rsidRDefault="004A61C7" w:rsidP="004A61C7">
      <w:pPr>
        <w:pStyle w:val="Heading2"/>
        <w:numPr>
          <w:ilvl w:val="0"/>
          <w:numId w:val="1"/>
        </w:numPr>
        <w:spacing w:before="120" w:after="120"/>
        <w:ind w:left="357" w:firstLine="0"/>
        <w:rPr>
          <w:rFonts w:ascii="Times New Roman" w:hAnsi="Times New Roman"/>
          <w:b w:val="0"/>
          <w:color w:val="auto"/>
          <w:sz w:val="24"/>
          <w:szCs w:val="24"/>
        </w:rPr>
      </w:pPr>
      <w:r w:rsidRPr="00A51457">
        <w:rPr>
          <w:rFonts w:ascii="Times New Roman" w:hAnsi="Times New Roman"/>
          <w:b w:val="0"/>
          <w:color w:val="auto"/>
          <w:sz w:val="24"/>
          <w:szCs w:val="24"/>
        </w:rPr>
        <w:t xml:space="preserve">by a service provider on the end-user’s behalf. </w:t>
      </w:r>
    </w:p>
    <w:p w:rsidR="004A61C7" w:rsidRPr="004A61C7" w:rsidRDefault="004A61C7" w:rsidP="004A61C7">
      <w:pPr>
        <w:pStyle w:val="Heading2"/>
        <w:spacing w:after="120"/>
        <w:rPr>
          <w:rFonts w:ascii="Times New Roman" w:hAnsi="Times New Roman"/>
          <w:b w:val="0"/>
          <w:color w:val="auto"/>
          <w:sz w:val="24"/>
          <w:szCs w:val="24"/>
        </w:rPr>
      </w:pPr>
      <w:r>
        <w:rPr>
          <w:rFonts w:ascii="Times New Roman" w:hAnsi="Times New Roman"/>
          <w:b w:val="0"/>
          <w:color w:val="auto"/>
          <w:sz w:val="24"/>
          <w:szCs w:val="24"/>
        </w:rPr>
        <w:t xml:space="preserve">Subclause 4(2) clarifies that a request for relevant premises to be connected to the relevant Specified </w:t>
      </w:r>
      <w:r w:rsidR="00680E83">
        <w:rPr>
          <w:rFonts w:ascii="Times New Roman" w:hAnsi="Times New Roman"/>
          <w:b w:val="0"/>
          <w:color w:val="auto"/>
          <w:sz w:val="24"/>
          <w:szCs w:val="24"/>
        </w:rPr>
        <w:t>Pivit</w:t>
      </w:r>
      <w:r>
        <w:rPr>
          <w:rFonts w:ascii="Times New Roman" w:hAnsi="Times New Roman"/>
          <w:b w:val="0"/>
          <w:color w:val="auto"/>
          <w:sz w:val="24"/>
          <w:szCs w:val="24"/>
        </w:rPr>
        <w:t xml:space="preserve"> Network may be made directly by an end-user or by a carriage service provider on that end-user’s behalf. This recognises that an end-user may request connection to the Specified </w:t>
      </w:r>
      <w:r w:rsidR="00680E83">
        <w:rPr>
          <w:rFonts w:ascii="Times New Roman" w:hAnsi="Times New Roman"/>
          <w:b w:val="0"/>
          <w:color w:val="auto"/>
          <w:sz w:val="24"/>
          <w:szCs w:val="24"/>
        </w:rPr>
        <w:t>Pivit</w:t>
      </w:r>
      <w:r>
        <w:rPr>
          <w:rFonts w:ascii="Times New Roman" w:hAnsi="Times New Roman"/>
          <w:b w:val="0"/>
          <w:color w:val="auto"/>
          <w:sz w:val="24"/>
          <w:szCs w:val="24"/>
        </w:rPr>
        <w:t xml:space="preserve"> Network through that end-user’s preferred retail service provider, who will supply that end-user with retail carriage services over that network.</w:t>
      </w:r>
    </w:p>
    <w:p w:rsidR="004A61C7" w:rsidRPr="00A51457" w:rsidRDefault="004A61C7" w:rsidP="004A61C7">
      <w:pPr>
        <w:pStyle w:val="Heading2"/>
        <w:spacing w:after="120"/>
        <w:rPr>
          <w:rFonts w:ascii="Times New Roman" w:hAnsi="Times New Roman"/>
          <w:b w:val="0"/>
          <w:color w:val="auto"/>
          <w:sz w:val="24"/>
          <w:szCs w:val="24"/>
        </w:rPr>
      </w:pPr>
      <w:r w:rsidRPr="00A51457">
        <w:rPr>
          <w:rFonts w:ascii="Times New Roman" w:hAnsi="Times New Roman"/>
          <w:b w:val="0"/>
          <w:color w:val="auto"/>
          <w:sz w:val="24"/>
          <w:szCs w:val="24"/>
        </w:rPr>
        <w:t xml:space="preserve">The </w:t>
      </w:r>
      <w:r>
        <w:rPr>
          <w:rFonts w:ascii="Times New Roman" w:hAnsi="Times New Roman"/>
          <w:b w:val="0"/>
          <w:color w:val="auto"/>
          <w:sz w:val="24"/>
          <w:szCs w:val="24"/>
        </w:rPr>
        <w:t xml:space="preserve">‘upon </w:t>
      </w:r>
      <w:r w:rsidRPr="00A51457">
        <w:rPr>
          <w:rFonts w:ascii="Times New Roman" w:hAnsi="Times New Roman"/>
          <w:b w:val="0"/>
          <w:color w:val="auto"/>
          <w:sz w:val="24"/>
          <w:szCs w:val="24"/>
        </w:rPr>
        <w:t>reasonable request</w:t>
      </w:r>
      <w:r>
        <w:rPr>
          <w:rFonts w:ascii="Times New Roman" w:hAnsi="Times New Roman"/>
          <w:b w:val="0"/>
          <w:color w:val="auto"/>
          <w:sz w:val="24"/>
          <w:szCs w:val="24"/>
        </w:rPr>
        <w:t xml:space="preserve">’ </w:t>
      </w:r>
      <w:r w:rsidRPr="00A51457">
        <w:rPr>
          <w:rFonts w:ascii="Times New Roman" w:hAnsi="Times New Roman"/>
          <w:b w:val="0"/>
          <w:color w:val="auto"/>
          <w:sz w:val="24"/>
          <w:szCs w:val="24"/>
        </w:rPr>
        <w:t>requirement is included because</w:t>
      </w:r>
      <w:r>
        <w:rPr>
          <w:rFonts w:ascii="Times New Roman" w:hAnsi="Times New Roman"/>
          <w:b w:val="0"/>
          <w:color w:val="auto"/>
          <w:sz w:val="24"/>
          <w:szCs w:val="24"/>
        </w:rPr>
        <w:t xml:space="preserve"> there may be circumstances in which </w:t>
      </w:r>
      <w:r w:rsidR="00680E83">
        <w:rPr>
          <w:rFonts w:ascii="Times New Roman" w:hAnsi="Times New Roman"/>
          <w:b w:val="0"/>
          <w:color w:val="auto"/>
          <w:sz w:val="24"/>
          <w:szCs w:val="24"/>
        </w:rPr>
        <w:t xml:space="preserve">Pivit </w:t>
      </w:r>
      <w:r>
        <w:rPr>
          <w:rFonts w:ascii="Times New Roman" w:hAnsi="Times New Roman"/>
          <w:b w:val="0"/>
          <w:color w:val="auto"/>
          <w:sz w:val="24"/>
          <w:szCs w:val="24"/>
        </w:rPr>
        <w:t xml:space="preserve">is prevented from connecting particular premises. For example, </w:t>
      </w:r>
      <w:r w:rsidRPr="00A51457">
        <w:rPr>
          <w:rFonts w:ascii="Times New Roman" w:hAnsi="Times New Roman"/>
          <w:b w:val="0"/>
          <w:color w:val="auto"/>
          <w:sz w:val="24"/>
          <w:szCs w:val="24"/>
        </w:rPr>
        <w:t xml:space="preserve">it would not be appropriate to require </w:t>
      </w:r>
      <w:r w:rsidR="00680E83">
        <w:rPr>
          <w:rFonts w:ascii="Times New Roman" w:hAnsi="Times New Roman"/>
          <w:b w:val="0"/>
          <w:color w:val="auto"/>
          <w:sz w:val="24"/>
          <w:szCs w:val="24"/>
        </w:rPr>
        <w:t>Pivit</w:t>
      </w:r>
      <w:r w:rsidRPr="00A51457">
        <w:rPr>
          <w:rFonts w:ascii="Times New Roman" w:hAnsi="Times New Roman"/>
          <w:b w:val="0"/>
          <w:color w:val="auto"/>
          <w:sz w:val="24"/>
          <w:szCs w:val="24"/>
        </w:rPr>
        <w:t xml:space="preserve"> to connect relevant premises if doing so would pose (for whatever reason) a risk to the safety or health of </w:t>
      </w:r>
      <w:r w:rsidR="00680E83">
        <w:rPr>
          <w:rFonts w:ascii="Times New Roman" w:hAnsi="Times New Roman"/>
          <w:b w:val="0"/>
          <w:color w:val="auto"/>
          <w:sz w:val="24"/>
          <w:szCs w:val="24"/>
        </w:rPr>
        <w:t>Pivit</w:t>
      </w:r>
      <w:r w:rsidRPr="00A51457">
        <w:rPr>
          <w:rFonts w:ascii="Times New Roman" w:hAnsi="Times New Roman"/>
          <w:b w:val="0"/>
          <w:color w:val="auto"/>
          <w:sz w:val="24"/>
          <w:szCs w:val="24"/>
        </w:rPr>
        <w:t xml:space="preserve">’s employees or contractors. Another example where a request to connect would be unreasonable is where the premises is in a hazardous or dangerous area. </w:t>
      </w:r>
    </w:p>
    <w:p w:rsidR="004A61C7" w:rsidRDefault="004A61C7" w:rsidP="004A61C7">
      <w:r w:rsidRPr="00A51457">
        <w:t xml:space="preserve">The connection obligation under clause 4(1) of the </w:t>
      </w:r>
      <w:r>
        <w:t>D</w:t>
      </w:r>
      <w:r w:rsidRPr="00A51457">
        <w:t xml:space="preserve">eclaration does not guarantee that end-users situated </w:t>
      </w:r>
      <w:r>
        <w:t xml:space="preserve">in </w:t>
      </w:r>
      <w:r w:rsidRPr="00A51457">
        <w:t xml:space="preserve">the relevant areas will be supplied services; rather it requires that </w:t>
      </w:r>
      <w:r w:rsidR="00680E83">
        <w:t>Pivit</w:t>
      </w:r>
      <w:r w:rsidRPr="00A51457">
        <w:t xml:space="preserve"> make available its network which will then enable a retail service provider to supply carriage services to the end-user.  </w:t>
      </w:r>
    </w:p>
    <w:p w:rsidR="004A61C7" w:rsidRDefault="004A61C7" w:rsidP="004A61C7"/>
    <w:p w:rsidR="004A61C7" w:rsidRDefault="004A61C7" w:rsidP="004A61C7">
      <w:r>
        <w:t>The universal service obligation (USO), set out in Part 2 of the TCPSS Act, remains the primary regulatory safeguard for ensuring all people in Australia have reasonable access to a standard telephone service on an equitable basis, regardless of where they live or carry on business. Since 1 July 2012, Telstra has also had a contractual obligation to supply standard telephone services, which is overseen by TUSMA.</w:t>
      </w:r>
    </w:p>
    <w:p w:rsidR="004A61C7" w:rsidRPr="00B34150" w:rsidRDefault="004A61C7" w:rsidP="004A61C7">
      <w:r w:rsidRPr="00B34150">
        <w:t xml:space="preserve">The question of whether Telstra uses any of the </w:t>
      </w:r>
      <w:r w:rsidR="00680E83">
        <w:t xml:space="preserve">four Pivit </w:t>
      </w:r>
      <w:r w:rsidRPr="00B34150">
        <w:t>adequately served network</w:t>
      </w:r>
      <w:r w:rsidR="00680E83">
        <w:t>s</w:t>
      </w:r>
      <w:r w:rsidRPr="00B34150">
        <w:t xml:space="preserve"> (which are the subject of the Declaration) or another carrier’s network (including its own) will be a commercial matter for the company to decide.</w:t>
      </w:r>
    </w:p>
    <w:p w:rsidR="004A61C7" w:rsidRDefault="004A61C7" w:rsidP="004A61C7">
      <w:pPr>
        <w:rPr>
          <w:b/>
        </w:rPr>
      </w:pPr>
    </w:p>
    <w:p w:rsidR="004A61C7" w:rsidRPr="00D856A2" w:rsidRDefault="004A61C7" w:rsidP="004A61C7">
      <w:pPr>
        <w:rPr>
          <w:b/>
        </w:rPr>
      </w:pPr>
      <w:r w:rsidRPr="00D856A2">
        <w:rPr>
          <w:b/>
        </w:rPr>
        <w:t>Schedule 1</w:t>
      </w:r>
    </w:p>
    <w:p w:rsidR="004A61C7" w:rsidRDefault="004A61C7" w:rsidP="004A61C7"/>
    <w:p w:rsidR="004A61C7" w:rsidRDefault="004A61C7" w:rsidP="004A61C7">
      <w:r w:rsidRPr="00D856A2">
        <w:t xml:space="preserve">Schedule </w:t>
      </w:r>
      <w:r>
        <w:t xml:space="preserve">1 to the Declaration provides a list of </w:t>
      </w:r>
      <w:r w:rsidR="00680E83">
        <w:t>four</w:t>
      </w:r>
      <w:r>
        <w:t xml:space="preserve"> real estate developments </w:t>
      </w:r>
      <w:r>
        <w:br/>
        <w:t xml:space="preserve">(i.e. ‘development areas’) serviced by the Specified </w:t>
      </w:r>
      <w:r w:rsidR="00680E83">
        <w:t>Pivit</w:t>
      </w:r>
      <w:r>
        <w:t xml:space="preserve"> Networks. The maps at Schedule 1 depict the respective geographical limits of the areas serviced by these networks. </w:t>
      </w:r>
    </w:p>
    <w:p w:rsidR="004A61C7" w:rsidRPr="00C46F36" w:rsidRDefault="004A61C7" w:rsidP="004A61C7">
      <w:pPr>
        <w:autoSpaceDE w:val="0"/>
        <w:autoSpaceDN w:val="0"/>
        <w:adjustRightInd w:val="0"/>
        <w:ind w:left="5040" w:firstLine="720"/>
        <w:rPr>
          <w:b/>
          <w:color w:val="000000" w:themeColor="text1"/>
          <w:sz w:val="28"/>
          <w:szCs w:val="28"/>
        </w:rPr>
      </w:pPr>
      <w:r w:rsidRPr="00D856A2">
        <w:rPr>
          <w:color w:val="000000" w:themeColor="text1"/>
        </w:rPr>
        <w:br w:type="column"/>
      </w:r>
      <w:r w:rsidRPr="00C46F36">
        <w:rPr>
          <w:sz w:val="28"/>
          <w:szCs w:val="28"/>
          <w:lang w:val="en-GB"/>
        </w:rPr>
        <w:lastRenderedPageBreak/>
        <w:t> </w:t>
      </w:r>
      <w:r w:rsidRPr="00C46F36">
        <w:rPr>
          <w:b/>
          <w:color w:val="000000" w:themeColor="text1"/>
          <w:sz w:val="28"/>
          <w:szCs w:val="28"/>
        </w:rPr>
        <w:t>Attachment 2</w:t>
      </w:r>
    </w:p>
    <w:p w:rsidR="004A61C7" w:rsidRPr="00D856A2" w:rsidRDefault="004A61C7" w:rsidP="004A61C7">
      <w:pPr>
        <w:spacing w:before="100" w:beforeAutospacing="1" w:after="100" w:afterAutospacing="1"/>
        <w:jc w:val="center"/>
      </w:pPr>
    </w:p>
    <w:p w:rsidR="004A61C7" w:rsidRPr="00D856A2" w:rsidRDefault="004A61C7" w:rsidP="004A61C7">
      <w:pPr>
        <w:spacing w:before="100" w:beforeAutospacing="1" w:after="100" w:afterAutospacing="1"/>
        <w:jc w:val="center"/>
      </w:pPr>
      <w:r w:rsidRPr="00D856A2">
        <w:rPr>
          <w:b/>
          <w:bCs/>
          <w:lang w:val="en-GB"/>
        </w:rPr>
        <w:t>Statement of Compatibility with Human Rights</w:t>
      </w:r>
    </w:p>
    <w:p w:rsidR="004A61C7" w:rsidRPr="00D856A2" w:rsidRDefault="004A61C7" w:rsidP="004A61C7">
      <w:pPr>
        <w:jc w:val="center"/>
        <w:rPr>
          <w:i/>
          <w:iCs/>
          <w:lang w:val="en-GB"/>
        </w:rPr>
      </w:pPr>
      <w:r w:rsidRPr="00D856A2">
        <w:rPr>
          <w:lang w:val="en-GB"/>
        </w:rPr>
        <w:t xml:space="preserve">Prepared in accordance with Part 3 of the </w:t>
      </w:r>
    </w:p>
    <w:p w:rsidR="004A61C7" w:rsidRPr="00D856A2" w:rsidRDefault="004A61C7" w:rsidP="004A61C7">
      <w:pPr>
        <w:jc w:val="center"/>
      </w:pPr>
      <w:r w:rsidRPr="00D856A2">
        <w:rPr>
          <w:i/>
          <w:iCs/>
          <w:lang w:val="en-GB"/>
        </w:rPr>
        <w:t>Human Rights (Parliamentary Scrutiny) Act 2011</w:t>
      </w:r>
    </w:p>
    <w:p w:rsidR="004A61C7" w:rsidRPr="00D856A2" w:rsidRDefault="004A61C7" w:rsidP="004A61C7">
      <w:pPr>
        <w:spacing w:before="120" w:after="100" w:afterAutospacing="1"/>
        <w:jc w:val="center"/>
      </w:pPr>
      <w:r w:rsidRPr="00D856A2">
        <w:rPr>
          <w:rFonts w:ascii="Arial" w:hAnsi="Arial" w:cs="Arial"/>
          <w:lang w:val="en-GB"/>
        </w:rPr>
        <w:t> </w:t>
      </w:r>
    </w:p>
    <w:p w:rsidR="004A61C7" w:rsidRPr="00A51457" w:rsidRDefault="004A61C7" w:rsidP="004A61C7">
      <w:pPr>
        <w:autoSpaceDE w:val="0"/>
        <w:autoSpaceDN w:val="0"/>
        <w:adjustRightInd w:val="0"/>
        <w:jc w:val="center"/>
        <w:outlineLvl w:val="0"/>
        <w:rPr>
          <w:b/>
          <w:bCs/>
          <w:i/>
          <w:iCs/>
          <w:color w:val="000000" w:themeColor="text1"/>
        </w:rPr>
      </w:pPr>
      <w:r w:rsidRPr="00D856A2">
        <w:rPr>
          <w:b/>
          <w:bCs/>
          <w:i/>
          <w:iCs/>
          <w:color w:val="000000" w:themeColor="text1"/>
        </w:rPr>
        <w:t>Carrier Licence Conditions (</w:t>
      </w:r>
      <w:r w:rsidR="005F0D32">
        <w:rPr>
          <w:b/>
          <w:bCs/>
          <w:i/>
          <w:iCs/>
          <w:color w:val="000000" w:themeColor="text1"/>
        </w:rPr>
        <w:t xml:space="preserve">Pivit </w:t>
      </w:r>
      <w:r>
        <w:rPr>
          <w:b/>
          <w:bCs/>
          <w:i/>
          <w:iCs/>
          <w:color w:val="000000" w:themeColor="text1"/>
        </w:rPr>
        <w:t>Pty Ltd</w:t>
      </w:r>
      <w:r w:rsidRPr="00D856A2">
        <w:rPr>
          <w:b/>
          <w:bCs/>
          <w:i/>
          <w:iCs/>
          <w:color w:val="000000" w:themeColor="text1"/>
        </w:rPr>
        <w:t>) Declaration 2013</w:t>
      </w:r>
      <w:r>
        <w:rPr>
          <w:b/>
          <w:bCs/>
          <w:i/>
          <w:iCs/>
          <w:color w:val="000000" w:themeColor="text1"/>
        </w:rPr>
        <w:br/>
      </w:r>
    </w:p>
    <w:p w:rsidR="004A61C7" w:rsidRPr="00D856A2" w:rsidRDefault="004A61C7" w:rsidP="004A61C7">
      <w:pPr>
        <w:spacing w:before="120" w:after="100" w:afterAutospacing="1"/>
      </w:pPr>
      <w:r w:rsidRPr="00D856A2">
        <w:rPr>
          <w:lang w:val="en-GB"/>
        </w:rPr>
        <w:t xml:space="preserve">The </w:t>
      </w:r>
      <w:r w:rsidRPr="00D856A2">
        <w:rPr>
          <w:i/>
          <w:lang w:val="en-GB"/>
        </w:rPr>
        <w:t>Carrier Licence Conditions (</w:t>
      </w:r>
      <w:r w:rsidR="00680E83">
        <w:rPr>
          <w:i/>
          <w:lang w:val="en-GB"/>
        </w:rPr>
        <w:t xml:space="preserve">Pivit </w:t>
      </w:r>
      <w:r>
        <w:rPr>
          <w:i/>
          <w:lang w:val="en-GB"/>
        </w:rPr>
        <w:t>Pty Ltd</w:t>
      </w:r>
      <w:r w:rsidRPr="00D856A2">
        <w:rPr>
          <w:i/>
          <w:lang w:val="en-GB"/>
        </w:rPr>
        <w:t>) Declaration 2013</w:t>
      </w:r>
      <w:r w:rsidRPr="00D856A2">
        <w:rPr>
          <w:lang w:val="en-GB"/>
        </w:rPr>
        <w:t xml:space="preserve"> (the Declaration) is compatible with the human rights and freedoms recognised or declared in the international instruments listed in section 3 of the </w:t>
      </w:r>
      <w:r w:rsidRPr="00D856A2">
        <w:rPr>
          <w:i/>
          <w:iCs/>
          <w:lang w:val="en-GB"/>
        </w:rPr>
        <w:t>Human Rights (Parliamentary Scrutiny) Act 2011</w:t>
      </w:r>
      <w:r w:rsidRPr="00D856A2">
        <w:rPr>
          <w:lang w:val="en-GB"/>
        </w:rPr>
        <w:t>.</w:t>
      </w:r>
    </w:p>
    <w:p w:rsidR="004A61C7" w:rsidRPr="00D856A2" w:rsidRDefault="004A61C7" w:rsidP="004A61C7">
      <w:pPr>
        <w:spacing w:before="120" w:after="100" w:afterAutospacing="1"/>
      </w:pPr>
      <w:r w:rsidRPr="00D856A2">
        <w:rPr>
          <w:b/>
          <w:bCs/>
          <w:lang w:val="en-GB"/>
        </w:rPr>
        <w:t xml:space="preserve"> Overview of the </w:t>
      </w:r>
      <w:r>
        <w:rPr>
          <w:b/>
          <w:bCs/>
          <w:lang w:val="en-GB"/>
        </w:rPr>
        <w:t>d</w:t>
      </w:r>
      <w:r w:rsidRPr="00D856A2">
        <w:rPr>
          <w:b/>
          <w:bCs/>
          <w:lang w:val="en-GB"/>
        </w:rPr>
        <w:t>eclaration</w:t>
      </w:r>
    </w:p>
    <w:p w:rsidR="004A61C7" w:rsidRPr="00D856A2" w:rsidRDefault="004A61C7" w:rsidP="004A61C7">
      <w:pPr>
        <w:spacing w:before="100" w:beforeAutospacing="1" w:after="100" w:afterAutospacing="1"/>
        <w:rPr>
          <w:color w:val="000000" w:themeColor="text1"/>
        </w:rPr>
      </w:pPr>
      <w:r w:rsidRPr="00D856A2">
        <w:t xml:space="preserve">The </w:t>
      </w:r>
      <w:r>
        <w:t>D</w:t>
      </w:r>
      <w:r w:rsidRPr="00D856A2">
        <w:rPr>
          <w:iCs/>
        </w:rPr>
        <w:t>eclaration</w:t>
      </w:r>
      <w:r w:rsidRPr="00D856A2">
        <w:rPr>
          <w:i/>
          <w:iCs/>
        </w:rPr>
        <w:t xml:space="preserve"> </w:t>
      </w:r>
      <w:r w:rsidRPr="00D856A2">
        <w:t xml:space="preserve">has been made by the Minister for </w:t>
      </w:r>
      <w:r>
        <w:t xml:space="preserve">Communications </w:t>
      </w:r>
      <w:r w:rsidRPr="00D856A2">
        <w:t>(the Minister) under subsection</w:t>
      </w:r>
      <w:r w:rsidRPr="00D856A2">
        <w:rPr>
          <w:color w:val="000000" w:themeColor="text1"/>
        </w:rPr>
        <w:t xml:space="preserve"> 63(2) of the </w:t>
      </w:r>
      <w:r w:rsidRPr="00D856A2">
        <w:rPr>
          <w:i/>
          <w:iCs/>
          <w:color w:val="000000" w:themeColor="text1"/>
        </w:rPr>
        <w:t>Telecommunications Act 1997</w:t>
      </w:r>
      <w:r w:rsidRPr="00D856A2">
        <w:rPr>
          <w:color w:val="000000" w:themeColor="text1"/>
        </w:rPr>
        <w:t xml:space="preserve">. </w:t>
      </w:r>
    </w:p>
    <w:p w:rsidR="004A61C7" w:rsidRDefault="004A61C7" w:rsidP="004A61C7">
      <w:pPr>
        <w:spacing w:before="100" w:beforeAutospacing="1" w:after="100" w:afterAutospacing="1"/>
        <w:rPr>
          <w:color w:val="000000" w:themeColor="text1"/>
        </w:rPr>
      </w:pPr>
      <w:r>
        <w:rPr>
          <w:color w:val="000000" w:themeColor="text1"/>
        </w:rPr>
        <w:t xml:space="preserve">The networks owned and operated by </w:t>
      </w:r>
      <w:r w:rsidR="00680E83">
        <w:rPr>
          <w:color w:val="000000" w:themeColor="text1"/>
        </w:rPr>
        <w:t xml:space="preserve">Pivit </w:t>
      </w:r>
      <w:r>
        <w:rPr>
          <w:color w:val="000000" w:themeColor="text1"/>
        </w:rPr>
        <w:t>Pty Ltd (</w:t>
      </w:r>
      <w:r w:rsidR="00680E83">
        <w:rPr>
          <w:color w:val="000000" w:themeColor="text1"/>
        </w:rPr>
        <w:t>Pivit</w:t>
      </w:r>
      <w:r>
        <w:rPr>
          <w:color w:val="000000" w:themeColor="text1"/>
        </w:rPr>
        <w:t>) have been determined to be ‘adequately serving’ the area depicted in the maps annexed to the Declaration, in accordance with t</w:t>
      </w:r>
      <w:r w:rsidRPr="0059001F">
        <w:rPr>
          <w:color w:val="000000" w:themeColor="text1"/>
        </w:rPr>
        <w:t xml:space="preserve">he </w:t>
      </w:r>
      <w:r>
        <w:rPr>
          <w:color w:val="000000" w:themeColor="text1"/>
        </w:rPr>
        <w:t xml:space="preserve">government’s adequately served policy released on 27 April 2012. Under this </w:t>
      </w:r>
      <w:r w:rsidRPr="0059001F">
        <w:rPr>
          <w:color w:val="000000" w:themeColor="text1"/>
        </w:rPr>
        <w:t xml:space="preserve">policy NBN </w:t>
      </w:r>
      <w:r>
        <w:rPr>
          <w:color w:val="000000" w:themeColor="text1"/>
        </w:rPr>
        <w:t xml:space="preserve">Co Limited (NBN Co) is prevented from </w:t>
      </w:r>
      <w:r w:rsidRPr="0059001F">
        <w:rPr>
          <w:color w:val="000000" w:themeColor="text1"/>
        </w:rPr>
        <w:t>overbuild</w:t>
      </w:r>
      <w:r>
        <w:rPr>
          <w:color w:val="000000" w:themeColor="text1"/>
        </w:rPr>
        <w:t>ing</w:t>
      </w:r>
      <w:r w:rsidRPr="0059001F">
        <w:rPr>
          <w:color w:val="000000" w:themeColor="text1"/>
        </w:rPr>
        <w:t xml:space="preserve"> residential premises passed by networks </w:t>
      </w:r>
      <w:r>
        <w:rPr>
          <w:color w:val="000000" w:themeColor="text1"/>
        </w:rPr>
        <w:t xml:space="preserve">determined to be </w:t>
      </w:r>
      <w:r w:rsidRPr="0059001F">
        <w:rPr>
          <w:color w:val="000000" w:themeColor="text1"/>
        </w:rPr>
        <w:t xml:space="preserve">adequately served, except in circumstances where NBN Co </w:t>
      </w:r>
      <w:r>
        <w:rPr>
          <w:color w:val="000000" w:themeColor="text1"/>
        </w:rPr>
        <w:t xml:space="preserve">obtains </w:t>
      </w:r>
      <w:r w:rsidRPr="0059001F">
        <w:rPr>
          <w:color w:val="000000" w:themeColor="text1"/>
        </w:rPr>
        <w:t>permission from the Minister to overbuild those premises. If permission is granted, overbuild may occur, notwithsta</w:t>
      </w:r>
      <w:r>
        <w:rPr>
          <w:color w:val="000000" w:themeColor="text1"/>
        </w:rPr>
        <w:t>nding that the network met the adequately served</w:t>
      </w:r>
      <w:r w:rsidRPr="0059001F">
        <w:rPr>
          <w:color w:val="000000" w:themeColor="text1"/>
        </w:rPr>
        <w:t xml:space="preserve"> criteria.</w:t>
      </w:r>
    </w:p>
    <w:p w:rsidR="004A61C7" w:rsidRDefault="004A61C7" w:rsidP="004A61C7">
      <w:pPr>
        <w:spacing w:before="100" w:beforeAutospacing="1" w:after="100" w:afterAutospacing="1"/>
        <w:rPr>
          <w:color w:val="000000" w:themeColor="text1"/>
        </w:rPr>
      </w:pPr>
      <w:r w:rsidRPr="00D856A2">
        <w:rPr>
          <w:color w:val="000000" w:themeColor="text1"/>
        </w:rPr>
        <w:t xml:space="preserve">The </w:t>
      </w:r>
      <w:r>
        <w:rPr>
          <w:color w:val="000000" w:themeColor="text1"/>
        </w:rPr>
        <w:t>D</w:t>
      </w:r>
      <w:r w:rsidRPr="00D856A2">
        <w:rPr>
          <w:color w:val="000000" w:themeColor="text1"/>
        </w:rPr>
        <w:t xml:space="preserve">eclaration sets out </w:t>
      </w:r>
      <w:r>
        <w:rPr>
          <w:color w:val="000000" w:themeColor="text1"/>
        </w:rPr>
        <w:t>a new carrier licence condition</w:t>
      </w:r>
      <w:r w:rsidRPr="00D856A2">
        <w:rPr>
          <w:color w:val="000000" w:themeColor="text1"/>
        </w:rPr>
        <w:t xml:space="preserve"> to be complied with by </w:t>
      </w:r>
      <w:r w:rsidR="00680E83">
        <w:rPr>
          <w:color w:val="000000" w:themeColor="text1"/>
        </w:rPr>
        <w:t>Pivit</w:t>
      </w:r>
      <w:r>
        <w:rPr>
          <w:color w:val="000000" w:themeColor="text1"/>
        </w:rPr>
        <w:t xml:space="preserve">. </w:t>
      </w:r>
      <w:r w:rsidRPr="00C46F36">
        <w:rPr>
          <w:color w:val="000000" w:themeColor="text1"/>
        </w:rPr>
        <w:t xml:space="preserve">This condition has been voluntarily agreed to by </w:t>
      </w:r>
      <w:r w:rsidR="00680E83" w:rsidRPr="00C46F36">
        <w:rPr>
          <w:color w:val="000000" w:themeColor="text1"/>
        </w:rPr>
        <w:t>Pivit</w:t>
      </w:r>
      <w:r>
        <w:rPr>
          <w:color w:val="000000" w:themeColor="text1"/>
        </w:rPr>
        <w:t xml:space="preserve">, as part of the adequately served determination process. Under this obligation, </w:t>
      </w:r>
      <w:r w:rsidR="00680E83">
        <w:rPr>
          <w:color w:val="000000" w:themeColor="text1"/>
        </w:rPr>
        <w:t>Pivit</w:t>
      </w:r>
      <w:r>
        <w:rPr>
          <w:color w:val="000000" w:themeColor="text1"/>
        </w:rPr>
        <w:t xml:space="preserve"> is required to </w:t>
      </w:r>
      <w:r>
        <w:t xml:space="preserve">connect (or arrange for another person on its behalf to connect), to its networks, upon reasonable request, </w:t>
      </w:r>
      <w:r w:rsidRPr="00DA3C12">
        <w:t xml:space="preserve">premises </w:t>
      </w:r>
      <w:r>
        <w:t xml:space="preserve">located </w:t>
      </w:r>
      <w:r w:rsidRPr="00DA3C12">
        <w:t xml:space="preserve">within </w:t>
      </w:r>
      <w:r>
        <w:t xml:space="preserve">any of the real estate development project areas </w:t>
      </w:r>
      <w:r>
        <w:rPr>
          <w:color w:val="000000" w:themeColor="text1"/>
        </w:rPr>
        <w:t xml:space="preserve"> listed at Schedule 1 to the Declaration. </w:t>
      </w:r>
    </w:p>
    <w:p w:rsidR="004A61C7" w:rsidRDefault="004A61C7" w:rsidP="004A61C7">
      <w:pPr>
        <w:rPr>
          <w:color w:val="000000" w:themeColor="text1"/>
        </w:rPr>
      </w:pPr>
      <w:r>
        <w:t>The obligation under clause 4</w:t>
      </w:r>
      <w:r w:rsidRPr="00D856A2">
        <w:t xml:space="preserve"> does not guarantee that </w:t>
      </w:r>
      <w:r>
        <w:t xml:space="preserve">end-user carriage services will be supplied services; rather it requires that </w:t>
      </w:r>
      <w:r w:rsidR="00481AE5">
        <w:t xml:space="preserve">Pivit, as the </w:t>
      </w:r>
      <w:r>
        <w:t>Licensee</w:t>
      </w:r>
      <w:r w:rsidR="00481AE5">
        <w:t xml:space="preserve">, </w:t>
      </w:r>
      <w:r>
        <w:t>make</w:t>
      </w:r>
      <w:r w:rsidR="00481AE5">
        <w:t>s</w:t>
      </w:r>
      <w:r>
        <w:t xml:space="preserve"> available its network to enable the supply of such services.  The universal service obligation (USO) remains the primary legislative safeguard for ensuring all people in Australia have reasonable access to a standard telephone service on an equitable basis, regardless of where they live or carry on business. Telstra’s supply of services under the USO continues to be governed by the provisions set out in Part 2 of the</w:t>
      </w:r>
      <w:r w:rsidRPr="00F6780C">
        <w:rPr>
          <w:i/>
        </w:rPr>
        <w:t xml:space="preserve"> </w:t>
      </w:r>
      <w:r w:rsidRPr="00C4043B">
        <w:rPr>
          <w:i/>
        </w:rPr>
        <w:t xml:space="preserve">Telecommunications </w:t>
      </w:r>
      <w:r>
        <w:rPr>
          <w:i/>
        </w:rPr>
        <w:t>(</w:t>
      </w:r>
      <w:r w:rsidRPr="00237F69">
        <w:rPr>
          <w:i/>
        </w:rPr>
        <w:t>Consumer Protection and Service Standards) Act 1999</w:t>
      </w:r>
      <w:r>
        <w:t xml:space="preserve">, as well as its contract with </w:t>
      </w:r>
      <w:r w:rsidR="00A73542">
        <w:t>the Telecommunications Universal Service Management Agency</w:t>
      </w:r>
      <w:r>
        <w:t xml:space="preserve">.  </w:t>
      </w:r>
      <w:r>
        <w:rPr>
          <w:color w:val="000000" w:themeColor="text1"/>
        </w:rPr>
        <w:t xml:space="preserve"> </w:t>
      </w:r>
      <w:r>
        <w:rPr>
          <w:color w:val="000000" w:themeColor="text1"/>
        </w:rPr>
        <w:br/>
      </w:r>
      <w:r>
        <w:rPr>
          <w:color w:val="000000" w:themeColor="text1"/>
        </w:rPr>
        <w:br/>
      </w:r>
    </w:p>
    <w:p w:rsidR="004A61C7" w:rsidRPr="00D856A2" w:rsidRDefault="004A61C7" w:rsidP="004A61C7">
      <w:pPr>
        <w:rPr>
          <w:color w:val="000000" w:themeColor="text1"/>
        </w:rPr>
      </w:pPr>
      <w:r w:rsidRPr="00D856A2">
        <w:rPr>
          <w:color w:val="000000" w:themeColor="text1"/>
        </w:rPr>
        <w:lastRenderedPageBreak/>
        <w:t xml:space="preserve">No human rights issues were raised during consultation on the draft Declaration. The imposition of the </w:t>
      </w:r>
      <w:r>
        <w:rPr>
          <w:color w:val="000000" w:themeColor="text1"/>
        </w:rPr>
        <w:t>new carrier licence condition</w:t>
      </w:r>
      <w:r w:rsidRPr="00D856A2">
        <w:rPr>
          <w:color w:val="000000" w:themeColor="text1"/>
        </w:rPr>
        <w:t xml:space="preserve"> does not raise any human rights issues. </w:t>
      </w:r>
    </w:p>
    <w:p w:rsidR="004A61C7" w:rsidRPr="00D856A2" w:rsidRDefault="004A61C7" w:rsidP="004A61C7">
      <w:pPr>
        <w:pStyle w:val="acmabodytext"/>
        <w:spacing w:before="0" w:beforeAutospacing="0" w:after="0" w:afterAutospacing="0"/>
      </w:pPr>
    </w:p>
    <w:p w:rsidR="004A61C7" w:rsidRPr="00D856A2" w:rsidRDefault="004A61C7" w:rsidP="004A61C7">
      <w:pPr>
        <w:spacing w:before="120" w:after="100" w:afterAutospacing="1"/>
      </w:pPr>
      <w:r w:rsidRPr="00D856A2">
        <w:rPr>
          <w:b/>
          <w:bCs/>
          <w:lang w:val="en-GB"/>
        </w:rPr>
        <w:t>Human rights implications</w:t>
      </w:r>
    </w:p>
    <w:p w:rsidR="004A61C7" w:rsidRPr="00D856A2" w:rsidRDefault="004A61C7" w:rsidP="004A61C7">
      <w:pPr>
        <w:spacing w:before="120" w:after="100" w:afterAutospacing="1"/>
      </w:pPr>
      <w:r w:rsidRPr="00D856A2">
        <w:rPr>
          <w:lang w:val="en-GB"/>
        </w:rPr>
        <w:t xml:space="preserve">This </w:t>
      </w:r>
      <w:r>
        <w:rPr>
          <w:lang w:val="en-GB"/>
        </w:rPr>
        <w:t>l</w:t>
      </w:r>
      <w:r w:rsidRPr="00D856A2">
        <w:rPr>
          <w:lang w:val="en-GB"/>
        </w:rPr>
        <w:t xml:space="preserve">egislative </w:t>
      </w:r>
      <w:r>
        <w:rPr>
          <w:lang w:val="en-GB"/>
        </w:rPr>
        <w:t>i</w:t>
      </w:r>
      <w:r w:rsidRPr="00D856A2">
        <w:rPr>
          <w:lang w:val="en-GB"/>
        </w:rPr>
        <w:t>nstrument does not engage any of the applicable rights or freedoms.</w:t>
      </w:r>
    </w:p>
    <w:p w:rsidR="004A61C7" w:rsidRPr="00D856A2" w:rsidRDefault="004A61C7" w:rsidP="004A61C7">
      <w:pPr>
        <w:spacing w:before="120" w:after="100" w:afterAutospacing="1"/>
      </w:pPr>
      <w:r w:rsidRPr="00D856A2">
        <w:rPr>
          <w:b/>
          <w:bCs/>
          <w:lang w:val="en-GB"/>
        </w:rPr>
        <w:t>Conclusion</w:t>
      </w:r>
    </w:p>
    <w:p w:rsidR="004A61C7" w:rsidRPr="00D856A2" w:rsidRDefault="004A61C7" w:rsidP="004A61C7">
      <w:pPr>
        <w:spacing w:before="120" w:after="100" w:afterAutospacing="1"/>
      </w:pPr>
      <w:r w:rsidRPr="00D856A2">
        <w:rPr>
          <w:lang w:val="en-GB"/>
        </w:rPr>
        <w:t xml:space="preserve">This </w:t>
      </w:r>
      <w:r>
        <w:rPr>
          <w:lang w:val="en-GB"/>
        </w:rPr>
        <w:t>l</w:t>
      </w:r>
      <w:r w:rsidRPr="00D856A2">
        <w:rPr>
          <w:lang w:val="en-GB"/>
        </w:rPr>
        <w:t xml:space="preserve">egislative </w:t>
      </w:r>
      <w:r>
        <w:rPr>
          <w:lang w:val="en-GB"/>
        </w:rPr>
        <w:t>i</w:t>
      </w:r>
      <w:r w:rsidRPr="00D856A2">
        <w:rPr>
          <w:lang w:val="en-GB"/>
        </w:rPr>
        <w:t>nstrument is compatible with human rights as it does not raise any human rights issues.</w:t>
      </w:r>
    </w:p>
    <w:p w:rsidR="004A61C7" w:rsidRPr="00D856A2" w:rsidRDefault="004A61C7" w:rsidP="004A61C7">
      <w:pPr>
        <w:rPr>
          <w:color w:val="000000" w:themeColor="text1"/>
        </w:rPr>
      </w:pPr>
    </w:p>
    <w:p w:rsidR="004A61C7" w:rsidRDefault="004A61C7" w:rsidP="004A61C7"/>
    <w:p w:rsidR="004A61C7" w:rsidRDefault="004A61C7" w:rsidP="004A61C7"/>
    <w:p w:rsidR="004A61C7" w:rsidRPr="0047414D" w:rsidRDefault="004A61C7" w:rsidP="004A61C7"/>
    <w:p w:rsidR="004A61C7" w:rsidRPr="009F7137" w:rsidRDefault="004A61C7" w:rsidP="004A61C7"/>
    <w:p w:rsidR="00A83672" w:rsidRPr="004A61C7" w:rsidRDefault="001651FC" w:rsidP="004A61C7"/>
    <w:sectPr w:rsidR="00A83672" w:rsidRPr="004A61C7" w:rsidSect="008220B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4C" w:rsidRDefault="0095304C">
      <w:r>
        <w:separator/>
      </w:r>
    </w:p>
  </w:endnote>
  <w:endnote w:type="continuationSeparator" w:id="0">
    <w:p w:rsidR="0095304C" w:rsidRDefault="0095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5590"/>
      <w:docPartObj>
        <w:docPartGallery w:val="Page Numbers (Bottom of Page)"/>
        <w:docPartUnique/>
      </w:docPartObj>
    </w:sdtPr>
    <w:sdtEndPr/>
    <w:sdtContent>
      <w:p w:rsidR="00EE19A1" w:rsidRDefault="00D92E4C">
        <w:pPr>
          <w:pStyle w:val="Footer"/>
          <w:jc w:val="center"/>
        </w:pPr>
        <w:r>
          <w:fldChar w:fldCharType="begin"/>
        </w:r>
        <w:r>
          <w:instrText xml:space="preserve"> PAGE   \* MERGEFORMAT </w:instrText>
        </w:r>
        <w:r>
          <w:fldChar w:fldCharType="separate"/>
        </w:r>
        <w:r w:rsidR="001651FC">
          <w:rPr>
            <w:noProof/>
          </w:rPr>
          <w:t>1</w:t>
        </w:r>
        <w:r>
          <w:rPr>
            <w:noProof/>
          </w:rPr>
          <w:fldChar w:fldCharType="end"/>
        </w:r>
      </w:p>
    </w:sdtContent>
  </w:sdt>
  <w:p w:rsidR="00EE19A1" w:rsidRDefault="00165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4C" w:rsidRDefault="0095304C">
      <w:r>
        <w:separator/>
      </w:r>
    </w:p>
  </w:footnote>
  <w:footnote w:type="continuationSeparator" w:id="0">
    <w:p w:rsidR="0095304C" w:rsidRDefault="00953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A1" w:rsidRDefault="00D92E4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17F34"/>
    <w:multiLevelType w:val="hybridMultilevel"/>
    <w:tmpl w:val="5BBC9392"/>
    <w:lvl w:ilvl="0" w:tplc="891C8C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C2"/>
    <w:rsid w:val="000A4BD9"/>
    <w:rsid w:val="000D7215"/>
    <w:rsid w:val="001506B2"/>
    <w:rsid w:val="001651FC"/>
    <w:rsid w:val="002342CE"/>
    <w:rsid w:val="0026448C"/>
    <w:rsid w:val="002F17B3"/>
    <w:rsid w:val="002F2959"/>
    <w:rsid w:val="003F1308"/>
    <w:rsid w:val="0047414D"/>
    <w:rsid w:val="00477F84"/>
    <w:rsid w:val="00481AE5"/>
    <w:rsid w:val="00483803"/>
    <w:rsid w:val="004A61C7"/>
    <w:rsid w:val="005001B8"/>
    <w:rsid w:val="005076D8"/>
    <w:rsid w:val="005359C2"/>
    <w:rsid w:val="005F0D32"/>
    <w:rsid w:val="005F5EA2"/>
    <w:rsid w:val="00680E83"/>
    <w:rsid w:val="00687618"/>
    <w:rsid w:val="007D408F"/>
    <w:rsid w:val="007F73A1"/>
    <w:rsid w:val="00902655"/>
    <w:rsid w:val="00920AD1"/>
    <w:rsid w:val="0095304C"/>
    <w:rsid w:val="009B6EB7"/>
    <w:rsid w:val="009C3C1B"/>
    <w:rsid w:val="009F7137"/>
    <w:rsid w:val="00A51457"/>
    <w:rsid w:val="00A73542"/>
    <w:rsid w:val="00A945EC"/>
    <w:rsid w:val="00AC7717"/>
    <w:rsid w:val="00B90292"/>
    <w:rsid w:val="00BC2BE5"/>
    <w:rsid w:val="00C2356D"/>
    <w:rsid w:val="00C46F36"/>
    <w:rsid w:val="00D92E4C"/>
    <w:rsid w:val="00F0512A"/>
    <w:rsid w:val="00F649A5"/>
    <w:rsid w:val="00FD3C89"/>
    <w:rsid w:val="00FD7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C2"/>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5359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9C2"/>
    <w:rPr>
      <w:rFonts w:ascii="Cambria" w:eastAsia="Times New Roman" w:hAnsi="Cambria" w:cs="Times New Roman"/>
      <w:b/>
      <w:bCs/>
      <w:color w:val="4F81BD"/>
      <w:sz w:val="26"/>
      <w:szCs w:val="26"/>
      <w:lang w:eastAsia="en-AU"/>
    </w:rPr>
  </w:style>
  <w:style w:type="character" w:styleId="CommentReference">
    <w:name w:val="annotation reference"/>
    <w:basedOn w:val="DefaultParagraphFont"/>
    <w:semiHidden/>
    <w:rsid w:val="005359C2"/>
    <w:rPr>
      <w:sz w:val="16"/>
      <w:szCs w:val="16"/>
    </w:rPr>
  </w:style>
  <w:style w:type="paragraph" w:styleId="CommentText">
    <w:name w:val="annotation text"/>
    <w:basedOn w:val="Normal"/>
    <w:link w:val="CommentTextChar"/>
    <w:semiHidden/>
    <w:rsid w:val="005359C2"/>
    <w:rPr>
      <w:sz w:val="20"/>
      <w:szCs w:val="20"/>
    </w:rPr>
  </w:style>
  <w:style w:type="character" w:customStyle="1" w:styleId="CommentTextChar">
    <w:name w:val="Comment Text Char"/>
    <w:basedOn w:val="DefaultParagraphFont"/>
    <w:link w:val="CommentText"/>
    <w:semiHidden/>
    <w:rsid w:val="005359C2"/>
    <w:rPr>
      <w:rFonts w:ascii="Times New Roman" w:eastAsia="Times New Roman" w:hAnsi="Times New Roman" w:cs="Times New Roman"/>
      <w:sz w:val="20"/>
      <w:szCs w:val="20"/>
      <w:lang w:eastAsia="en-AU"/>
    </w:rPr>
  </w:style>
  <w:style w:type="paragraph" w:styleId="Header">
    <w:name w:val="header"/>
    <w:basedOn w:val="Normal"/>
    <w:link w:val="HeaderChar"/>
    <w:rsid w:val="005359C2"/>
    <w:pPr>
      <w:tabs>
        <w:tab w:val="center" w:pos="4153"/>
        <w:tab w:val="right" w:pos="8306"/>
      </w:tabs>
    </w:pPr>
  </w:style>
  <w:style w:type="character" w:customStyle="1" w:styleId="HeaderChar">
    <w:name w:val="Header Char"/>
    <w:basedOn w:val="DefaultParagraphFont"/>
    <w:link w:val="Header"/>
    <w:rsid w:val="005359C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5359C2"/>
    <w:pPr>
      <w:tabs>
        <w:tab w:val="center" w:pos="4153"/>
        <w:tab w:val="right" w:pos="8306"/>
      </w:tabs>
    </w:pPr>
  </w:style>
  <w:style w:type="character" w:customStyle="1" w:styleId="FooterChar">
    <w:name w:val="Footer Char"/>
    <w:basedOn w:val="DefaultParagraphFont"/>
    <w:link w:val="Footer"/>
    <w:uiPriority w:val="99"/>
    <w:rsid w:val="005359C2"/>
    <w:rPr>
      <w:rFonts w:ascii="Times New Roman" w:eastAsia="Times New Roman" w:hAnsi="Times New Roman" w:cs="Times New Roman"/>
      <w:sz w:val="24"/>
      <w:szCs w:val="24"/>
      <w:lang w:eastAsia="en-AU"/>
    </w:rPr>
  </w:style>
  <w:style w:type="paragraph" w:customStyle="1" w:styleId="acmabodytextchar">
    <w:name w:val="acmabodytextchar"/>
    <w:basedOn w:val="Normal"/>
    <w:rsid w:val="005359C2"/>
    <w:pPr>
      <w:spacing w:before="100" w:beforeAutospacing="1" w:after="100" w:afterAutospacing="1"/>
    </w:pPr>
  </w:style>
  <w:style w:type="paragraph" w:customStyle="1" w:styleId="acmabodytext">
    <w:name w:val="acmabodytext"/>
    <w:basedOn w:val="Normal"/>
    <w:rsid w:val="005359C2"/>
    <w:pPr>
      <w:spacing w:before="100" w:beforeAutospacing="1" w:after="100" w:afterAutospacing="1"/>
    </w:pPr>
  </w:style>
  <w:style w:type="paragraph" w:styleId="NormalWeb">
    <w:name w:val="Normal (Web)"/>
    <w:basedOn w:val="Normal"/>
    <w:uiPriority w:val="99"/>
    <w:unhideWhenUsed/>
    <w:rsid w:val="005359C2"/>
    <w:pPr>
      <w:spacing w:before="100" w:beforeAutospacing="1" w:after="100" w:afterAutospacing="1"/>
    </w:pPr>
  </w:style>
  <w:style w:type="character" w:styleId="Emphasis">
    <w:name w:val="Emphasis"/>
    <w:basedOn w:val="DefaultParagraphFont"/>
    <w:uiPriority w:val="20"/>
    <w:qFormat/>
    <w:rsid w:val="005359C2"/>
    <w:rPr>
      <w:i/>
      <w:iCs/>
    </w:rPr>
  </w:style>
  <w:style w:type="paragraph" w:customStyle="1" w:styleId="R1">
    <w:name w:val="R1"/>
    <w:aliases w:val="1. or 1.(1)"/>
    <w:basedOn w:val="Normal"/>
    <w:next w:val="Normal"/>
    <w:rsid w:val="005359C2"/>
    <w:pPr>
      <w:tabs>
        <w:tab w:val="right" w:pos="1080"/>
        <w:tab w:val="left" w:pos="1260"/>
        <w:tab w:val="left" w:pos="1800"/>
      </w:tabs>
      <w:spacing w:before="120"/>
      <w:jc w:val="both"/>
    </w:pPr>
    <w:rPr>
      <w:rFonts w:ascii="Times" w:hAnsi="Times"/>
      <w:sz w:val="26"/>
      <w:szCs w:val="20"/>
      <w:lang w:eastAsia="en-US"/>
    </w:rPr>
  </w:style>
  <w:style w:type="paragraph" w:customStyle="1" w:styleId="NoteBody2">
    <w:name w:val="Note Body 2"/>
    <w:basedOn w:val="Normal"/>
    <w:rsid w:val="005359C2"/>
    <w:pPr>
      <w:autoSpaceDE w:val="0"/>
      <w:autoSpaceDN w:val="0"/>
      <w:spacing w:before="120" w:after="120" w:line="260" w:lineRule="atLeast"/>
      <w:jc w:val="both"/>
    </w:pPr>
    <w:rPr>
      <w:rFonts w:ascii="Times" w:hAnsi="Times" w:cs="Times"/>
      <w:sz w:val="22"/>
      <w:szCs w:val="22"/>
    </w:rPr>
  </w:style>
  <w:style w:type="paragraph" w:styleId="BalloonText">
    <w:name w:val="Balloon Text"/>
    <w:basedOn w:val="Normal"/>
    <w:link w:val="BalloonTextChar"/>
    <w:uiPriority w:val="99"/>
    <w:semiHidden/>
    <w:unhideWhenUsed/>
    <w:rsid w:val="005359C2"/>
    <w:rPr>
      <w:rFonts w:ascii="Tahoma" w:hAnsi="Tahoma" w:cs="Tahoma"/>
      <w:sz w:val="16"/>
      <w:szCs w:val="16"/>
    </w:rPr>
  </w:style>
  <w:style w:type="character" w:customStyle="1" w:styleId="BalloonTextChar">
    <w:name w:val="Balloon Text Char"/>
    <w:basedOn w:val="DefaultParagraphFont"/>
    <w:link w:val="BalloonText"/>
    <w:uiPriority w:val="99"/>
    <w:semiHidden/>
    <w:rsid w:val="005359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9F7137"/>
    <w:rPr>
      <w:b/>
      <w:bCs/>
    </w:rPr>
  </w:style>
  <w:style w:type="character" w:customStyle="1" w:styleId="CommentSubjectChar">
    <w:name w:val="Comment Subject Char"/>
    <w:basedOn w:val="CommentTextChar"/>
    <w:link w:val="CommentSubject"/>
    <w:uiPriority w:val="99"/>
    <w:semiHidden/>
    <w:rsid w:val="009F7137"/>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3F1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C2"/>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5359C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9C2"/>
    <w:rPr>
      <w:rFonts w:ascii="Cambria" w:eastAsia="Times New Roman" w:hAnsi="Cambria" w:cs="Times New Roman"/>
      <w:b/>
      <w:bCs/>
      <w:color w:val="4F81BD"/>
      <w:sz w:val="26"/>
      <w:szCs w:val="26"/>
      <w:lang w:eastAsia="en-AU"/>
    </w:rPr>
  </w:style>
  <w:style w:type="character" w:styleId="CommentReference">
    <w:name w:val="annotation reference"/>
    <w:basedOn w:val="DefaultParagraphFont"/>
    <w:semiHidden/>
    <w:rsid w:val="005359C2"/>
    <w:rPr>
      <w:sz w:val="16"/>
      <w:szCs w:val="16"/>
    </w:rPr>
  </w:style>
  <w:style w:type="paragraph" w:styleId="CommentText">
    <w:name w:val="annotation text"/>
    <w:basedOn w:val="Normal"/>
    <w:link w:val="CommentTextChar"/>
    <w:semiHidden/>
    <w:rsid w:val="005359C2"/>
    <w:rPr>
      <w:sz w:val="20"/>
      <w:szCs w:val="20"/>
    </w:rPr>
  </w:style>
  <w:style w:type="character" w:customStyle="1" w:styleId="CommentTextChar">
    <w:name w:val="Comment Text Char"/>
    <w:basedOn w:val="DefaultParagraphFont"/>
    <w:link w:val="CommentText"/>
    <w:semiHidden/>
    <w:rsid w:val="005359C2"/>
    <w:rPr>
      <w:rFonts w:ascii="Times New Roman" w:eastAsia="Times New Roman" w:hAnsi="Times New Roman" w:cs="Times New Roman"/>
      <w:sz w:val="20"/>
      <w:szCs w:val="20"/>
      <w:lang w:eastAsia="en-AU"/>
    </w:rPr>
  </w:style>
  <w:style w:type="paragraph" w:styleId="Header">
    <w:name w:val="header"/>
    <w:basedOn w:val="Normal"/>
    <w:link w:val="HeaderChar"/>
    <w:rsid w:val="005359C2"/>
    <w:pPr>
      <w:tabs>
        <w:tab w:val="center" w:pos="4153"/>
        <w:tab w:val="right" w:pos="8306"/>
      </w:tabs>
    </w:pPr>
  </w:style>
  <w:style w:type="character" w:customStyle="1" w:styleId="HeaderChar">
    <w:name w:val="Header Char"/>
    <w:basedOn w:val="DefaultParagraphFont"/>
    <w:link w:val="Header"/>
    <w:rsid w:val="005359C2"/>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5359C2"/>
    <w:pPr>
      <w:tabs>
        <w:tab w:val="center" w:pos="4153"/>
        <w:tab w:val="right" w:pos="8306"/>
      </w:tabs>
    </w:pPr>
  </w:style>
  <w:style w:type="character" w:customStyle="1" w:styleId="FooterChar">
    <w:name w:val="Footer Char"/>
    <w:basedOn w:val="DefaultParagraphFont"/>
    <w:link w:val="Footer"/>
    <w:uiPriority w:val="99"/>
    <w:rsid w:val="005359C2"/>
    <w:rPr>
      <w:rFonts w:ascii="Times New Roman" w:eastAsia="Times New Roman" w:hAnsi="Times New Roman" w:cs="Times New Roman"/>
      <w:sz w:val="24"/>
      <w:szCs w:val="24"/>
      <w:lang w:eastAsia="en-AU"/>
    </w:rPr>
  </w:style>
  <w:style w:type="paragraph" w:customStyle="1" w:styleId="acmabodytextchar">
    <w:name w:val="acmabodytextchar"/>
    <w:basedOn w:val="Normal"/>
    <w:rsid w:val="005359C2"/>
    <w:pPr>
      <w:spacing w:before="100" w:beforeAutospacing="1" w:after="100" w:afterAutospacing="1"/>
    </w:pPr>
  </w:style>
  <w:style w:type="paragraph" w:customStyle="1" w:styleId="acmabodytext">
    <w:name w:val="acmabodytext"/>
    <w:basedOn w:val="Normal"/>
    <w:rsid w:val="005359C2"/>
    <w:pPr>
      <w:spacing w:before="100" w:beforeAutospacing="1" w:after="100" w:afterAutospacing="1"/>
    </w:pPr>
  </w:style>
  <w:style w:type="paragraph" w:styleId="NormalWeb">
    <w:name w:val="Normal (Web)"/>
    <w:basedOn w:val="Normal"/>
    <w:uiPriority w:val="99"/>
    <w:unhideWhenUsed/>
    <w:rsid w:val="005359C2"/>
    <w:pPr>
      <w:spacing w:before="100" w:beforeAutospacing="1" w:after="100" w:afterAutospacing="1"/>
    </w:pPr>
  </w:style>
  <w:style w:type="character" w:styleId="Emphasis">
    <w:name w:val="Emphasis"/>
    <w:basedOn w:val="DefaultParagraphFont"/>
    <w:uiPriority w:val="20"/>
    <w:qFormat/>
    <w:rsid w:val="005359C2"/>
    <w:rPr>
      <w:i/>
      <w:iCs/>
    </w:rPr>
  </w:style>
  <w:style w:type="paragraph" w:customStyle="1" w:styleId="R1">
    <w:name w:val="R1"/>
    <w:aliases w:val="1. or 1.(1)"/>
    <w:basedOn w:val="Normal"/>
    <w:next w:val="Normal"/>
    <w:rsid w:val="005359C2"/>
    <w:pPr>
      <w:tabs>
        <w:tab w:val="right" w:pos="1080"/>
        <w:tab w:val="left" w:pos="1260"/>
        <w:tab w:val="left" w:pos="1800"/>
      </w:tabs>
      <w:spacing w:before="120"/>
      <w:jc w:val="both"/>
    </w:pPr>
    <w:rPr>
      <w:rFonts w:ascii="Times" w:hAnsi="Times"/>
      <w:sz w:val="26"/>
      <w:szCs w:val="20"/>
      <w:lang w:eastAsia="en-US"/>
    </w:rPr>
  </w:style>
  <w:style w:type="paragraph" w:customStyle="1" w:styleId="NoteBody2">
    <w:name w:val="Note Body 2"/>
    <w:basedOn w:val="Normal"/>
    <w:rsid w:val="005359C2"/>
    <w:pPr>
      <w:autoSpaceDE w:val="0"/>
      <w:autoSpaceDN w:val="0"/>
      <w:spacing w:before="120" w:after="120" w:line="260" w:lineRule="atLeast"/>
      <w:jc w:val="both"/>
    </w:pPr>
    <w:rPr>
      <w:rFonts w:ascii="Times" w:hAnsi="Times" w:cs="Times"/>
      <w:sz w:val="22"/>
      <w:szCs w:val="22"/>
    </w:rPr>
  </w:style>
  <w:style w:type="paragraph" w:styleId="BalloonText">
    <w:name w:val="Balloon Text"/>
    <w:basedOn w:val="Normal"/>
    <w:link w:val="BalloonTextChar"/>
    <w:uiPriority w:val="99"/>
    <w:semiHidden/>
    <w:unhideWhenUsed/>
    <w:rsid w:val="005359C2"/>
    <w:rPr>
      <w:rFonts w:ascii="Tahoma" w:hAnsi="Tahoma" w:cs="Tahoma"/>
      <w:sz w:val="16"/>
      <w:szCs w:val="16"/>
    </w:rPr>
  </w:style>
  <w:style w:type="character" w:customStyle="1" w:styleId="BalloonTextChar">
    <w:name w:val="Balloon Text Char"/>
    <w:basedOn w:val="DefaultParagraphFont"/>
    <w:link w:val="BalloonText"/>
    <w:uiPriority w:val="99"/>
    <w:semiHidden/>
    <w:rsid w:val="005359C2"/>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9F7137"/>
    <w:rPr>
      <w:b/>
      <w:bCs/>
    </w:rPr>
  </w:style>
  <w:style w:type="character" w:customStyle="1" w:styleId="CommentSubjectChar">
    <w:name w:val="Comment Subject Char"/>
    <w:basedOn w:val="CommentTextChar"/>
    <w:link w:val="CommentSubject"/>
    <w:uiPriority w:val="99"/>
    <w:semiHidden/>
    <w:rsid w:val="009F7137"/>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3F1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51F3C-4AD4-4F17-BCBF-3ED072EF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Pugh</dc:creator>
  <cp:lastModifiedBy>bmetschke</cp:lastModifiedBy>
  <cp:revision>2</cp:revision>
  <cp:lastPrinted>2013-10-02T05:35:00Z</cp:lastPrinted>
  <dcterms:created xsi:type="dcterms:W3CDTF">2013-10-16T04:14:00Z</dcterms:created>
  <dcterms:modified xsi:type="dcterms:W3CDTF">2013-10-16T04:14:00Z</dcterms:modified>
</cp:coreProperties>
</file>