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1F" w:rsidRDefault="00452D1F" w:rsidP="00452D1F">
      <w:pPr>
        <w:rPr>
          <w:rFonts w:ascii="Times New Roman" w:hAnsi="Times New Roman" w:cs="Times New Roman"/>
          <w:sz w:val="24"/>
          <w:szCs w:val="24"/>
        </w:rPr>
      </w:pPr>
    </w:p>
    <w:p w:rsidR="00452D1F" w:rsidRDefault="00452D1F" w:rsidP="00452D1F">
      <w:pPr>
        <w:tabs>
          <w:tab w:val="left" w:pos="1843"/>
        </w:tabs>
        <w:ind w:left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2D1F" w:rsidRDefault="00452D1F" w:rsidP="00452D1F">
      <w:pPr>
        <w:spacing w:before="40" w:after="4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EXPLANATORY STATEMENT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452D1F" w:rsidRDefault="00452D1F" w:rsidP="00452D1F">
      <w:pPr>
        <w:spacing w:before="40" w:after="40"/>
        <w:jc w:val="center"/>
        <w:rPr>
          <w:rFonts w:ascii="Times New Roman" w:hAnsi="Times New Roman" w:cs="Times New Roman"/>
          <w:i/>
          <w:color w:val="A6A6A6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Ministerial Direction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No.2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of 2013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452D1F" w:rsidRDefault="00452D1F" w:rsidP="00452D1F">
      <w:pPr>
        <w:spacing w:before="40" w:after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Issued by authority of the Minister for Education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Authority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Under subsection 155(1) of the </w:t>
      </w:r>
      <w:r>
        <w:rPr>
          <w:rFonts w:ascii="Times New Roman" w:hAnsi="Times New Roman" w:cs="Times New Roman"/>
          <w:i/>
          <w:sz w:val="24"/>
          <w:szCs w:val="24"/>
        </w:rPr>
        <w:t>Tertiary Education Quality and Standards Agency Act 2011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(the Act) the Minister may give a direction, by legislative instrument, to the Chief Executive Officer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of the Tertiary Education and Quality Standards Agency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TEQSA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about the performance of her functions. 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accordance with sections 44 and 54 of the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Legislative Instruments Act 2003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the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Ministerial Direction No. 2 of 2013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not subject to disallowance 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sunsetting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Purpose and operation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the instrument is to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TEQSA’s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consult and seek advice on a range of matters and to detail deregulatory initiatives undertaken to improve the efficiency and timeliness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TEQSA’s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core compliance activities.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Consultation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Extensive consultation with the sector was undertaken by Professor </w:t>
      </w:r>
      <w:proofErr w:type="spellStart"/>
      <w:r>
        <w:rPr>
          <w:rFonts w:ascii="Times New Roman" w:hAnsi="Times New Roman" w:cs="Times New Roman"/>
          <w:sz w:val="24"/>
          <w:szCs w:val="24"/>
        </w:rPr>
        <w:t>Kwong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Lee Dow AO and Professor Valerie Braithwaite in their independent Review of Higher Education Regulation. This legislative instrument is part of the Government’s response to this Report.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sz w:val="24"/>
          <w:szCs w:val="24"/>
        </w:rPr>
      </w:pPr>
    </w:p>
    <w:p w:rsidR="00452D1F" w:rsidRDefault="00452D1F" w:rsidP="00452D1F">
      <w:pPr>
        <w:spacing w:before="40" w:after="4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Commencement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The legislative instrument will commence on the day after registration on the Federal Register of Legislative Instruments.</w:t>
      </w:r>
    </w:p>
    <w:p w:rsidR="00452D1F" w:rsidRDefault="00452D1F" w:rsidP="00452D1F">
      <w:pPr>
        <w:spacing w:before="40" w:after="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D1F" w:rsidRDefault="00452D1F" w:rsidP="00452D1F">
      <w:pPr>
        <w:spacing w:before="40" w:after="40"/>
        <w:rPr>
          <w:bCs/>
          <w:color w:val="000000"/>
          <w:sz w:val="24"/>
          <w:szCs w:val="24"/>
        </w:rPr>
      </w:pPr>
    </w:p>
    <w:p w:rsidR="00E15A8C" w:rsidRDefault="00E15A8C" w:rsidP="00452D1F"/>
    <w:sectPr w:rsidR="00E15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1F"/>
    <w:rsid w:val="00452D1F"/>
    <w:rsid w:val="00E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1F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1F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Pulford</dc:creator>
  <cp:lastModifiedBy>Nicole Pulford</cp:lastModifiedBy>
  <cp:revision>1</cp:revision>
  <dcterms:created xsi:type="dcterms:W3CDTF">2013-10-23T01:06:00Z</dcterms:created>
  <dcterms:modified xsi:type="dcterms:W3CDTF">2013-10-23T01:08:00Z</dcterms:modified>
</cp:coreProperties>
</file>