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0E" w:rsidRDefault="0019510E" w:rsidP="0019510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Commonwealth of Australia</w:t>
      </w:r>
    </w:p>
    <w:p w:rsidR="0019510E" w:rsidRDefault="0019510E" w:rsidP="0019510E">
      <w:pPr>
        <w:jc w:val="center"/>
        <w:rPr>
          <w:rFonts w:ascii="Times New Roman" w:hAnsi="Times New Roman" w:cs="Times New Roman"/>
          <w:b/>
          <w:bCs/>
          <w:color w:val="000000"/>
          <w:sz w:val="24"/>
          <w:szCs w:val="24"/>
        </w:rPr>
      </w:pPr>
    </w:p>
    <w:p w:rsidR="0019510E" w:rsidRDefault="0019510E" w:rsidP="0019510E">
      <w:pPr>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Tertiary Education Quality and Standards Agency Act 2011</w:t>
      </w:r>
    </w:p>
    <w:p w:rsidR="0019510E" w:rsidRDefault="0019510E" w:rsidP="0019510E">
      <w:pPr>
        <w:jc w:val="center"/>
        <w:rPr>
          <w:rFonts w:ascii="Times New Roman" w:hAnsi="Times New Roman" w:cs="Times New Roman"/>
          <w:b/>
          <w:bCs/>
          <w:i/>
          <w:iCs/>
          <w:color w:val="000000"/>
          <w:sz w:val="24"/>
          <w:szCs w:val="24"/>
        </w:rPr>
      </w:pPr>
    </w:p>
    <w:p w:rsidR="0019510E" w:rsidRDefault="0019510E" w:rsidP="0019510E">
      <w:pPr>
        <w:jc w:val="center"/>
        <w:rPr>
          <w:rFonts w:ascii="Times New Roman" w:hAnsi="Times New Roman" w:cs="Times New Roman"/>
          <w:color w:val="A6A6A6"/>
          <w:sz w:val="24"/>
          <w:szCs w:val="24"/>
        </w:rPr>
      </w:pPr>
      <w:r>
        <w:rPr>
          <w:rFonts w:ascii="Times New Roman" w:hAnsi="Times New Roman" w:cs="Times New Roman"/>
          <w:b/>
          <w:bCs/>
          <w:color w:val="000000"/>
          <w:sz w:val="24"/>
          <w:szCs w:val="24"/>
        </w:rPr>
        <w:t>Ministerial Direction No. 2 of 2013</w:t>
      </w:r>
    </w:p>
    <w:p w:rsidR="0019510E" w:rsidRDefault="0019510E" w:rsidP="0019510E">
      <w:pPr>
        <w:rPr>
          <w:rFonts w:ascii="Times New Roman" w:hAnsi="Times New Roman" w:cs="Times New Roman"/>
          <w:color w:val="A6A6A6"/>
          <w:sz w:val="24"/>
          <w:szCs w:val="24"/>
        </w:rPr>
      </w:pPr>
      <w:bookmarkStart w:id="0" w:name="bkDocumentTitle"/>
      <w:bookmarkEnd w:id="0"/>
    </w:p>
    <w:p w:rsidR="0019510E" w:rsidRDefault="0019510E" w:rsidP="0019510E">
      <w:pPr>
        <w:rPr>
          <w:rFonts w:ascii="Times New Roman" w:hAnsi="Times New Roman" w:cs="Times New Roman"/>
          <w:color w:val="A6A6A6"/>
          <w:sz w:val="24"/>
          <w:szCs w:val="24"/>
        </w:rPr>
      </w:pPr>
    </w:p>
    <w:p w:rsidR="0019510E" w:rsidRDefault="0019510E" w:rsidP="0019510E">
      <w:pPr>
        <w:rPr>
          <w:rFonts w:ascii="Times New Roman" w:hAnsi="Times New Roman" w:cs="Times New Roman"/>
          <w:color w:val="A6A6A6"/>
          <w:sz w:val="24"/>
          <w:szCs w:val="24"/>
        </w:rPr>
      </w:pPr>
    </w:p>
    <w:p w:rsidR="0019510E" w:rsidRDefault="0019510E" w:rsidP="0019510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 Christopher </w:t>
      </w:r>
      <w:proofErr w:type="spellStart"/>
      <w:r>
        <w:rPr>
          <w:rFonts w:ascii="Times New Roman" w:hAnsi="Times New Roman" w:cs="Times New Roman"/>
          <w:color w:val="000000"/>
          <w:sz w:val="24"/>
          <w:szCs w:val="24"/>
        </w:rPr>
        <w:t>Pyne</w:t>
      </w:r>
      <w:proofErr w:type="spellEnd"/>
      <w:r>
        <w:rPr>
          <w:rFonts w:ascii="Times New Roman" w:hAnsi="Times New Roman" w:cs="Times New Roman"/>
          <w:color w:val="000000"/>
          <w:sz w:val="24"/>
          <w:szCs w:val="24"/>
        </w:rPr>
        <w:t xml:space="preserve">, Minister for Education, make this Direction under subsection 155(1) of the </w:t>
      </w:r>
      <w:r>
        <w:rPr>
          <w:rFonts w:ascii="Times New Roman" w:hAnsi="Times New Roman" w:cs="Times New Roman"/>
          <w:i/>
          <w:color w:val="000000"/>
          <w:sz w:val="24"/>
          <w:szCs w:val="24"/>
        </w:rPr>
        <w:t>Tertiary Education Quality and Standards Agency Act 2011</w:t>
      </w:r>
      <w:r>
        <w:rPr>
          <w:rFonts w:ascii="Times New Roman" w:hAnsi="Times New Roman" w:cs="Times New Roman"/>
          <w:color w:val="000000"/>
          <w:sz w:val="24"/>
          <w:szCs w:val="24"/>
        </w:rPr>
        <w:t>.</w:t>
      </w:r>
      <w:bookmarkStart w:id="1" w:name="MadeByDate"/>
    </w:p>
    <w:p w:rsidR="0019510E" w:rsidRDefault="0019510E" w:rsidP="0019510E">
      <w:pPr>
        <w:rPr>
          <w:rFonts w:ascii="Times New Roman" w:hAnsi="Times New Roman" w:cs="Times New Roman"/>
          <w:color w:val="000000"/>
          <w:sz w:val="24"/>
          <w:szCs w:val="24"/>
        </w:rPr>
      </w:pPr>
    </w:p>
    <w:p w:rsidR="0019510E" w:rsidRDefault="0019510E" w:rsidP="0019510E">
      <w:pPr>
        <w:rPr>
          <w:rFonts w:ascii="Times New Roman" w:hAnsi="Times New Roman" w:cs="Times New Roman"/>
          <w:color w:val="000000"/>
          <w:sz w:val="24"/>
          <w:szCs w:val="24"/>
        </w:rPr>
      </w:pPr>
    </w:p>
    <w:p w:rsidR="0019510E" w:rsidRDefault="0019510E" w:rsidP="0019510E">
      <w:pPr>
        <w:rPr>
          <w:rFonts w:ascii="Times New Roman" w:hAnsi="Times New Roman" w:cs="Times New Roman"/>
          <w:color w:val="000000"/>
          <w:sz w:val="24"/>
          <w:szCs w:val="24"/>
        </w:rPr>
      </w:pPr>
    </w:p>
    <w:p w:rsidR="0019510E" w:rsidRDefault="0019510E" w:rsidP="0019510E">
      <w:pPr>
        <w:rPr>
          <w:rFonts w:ascii="Times New Roman" w:hAnsi="Times New Roman" w:cs="Times New Roman"/>
          <w:color w:val="000000"/>
          <w:sz w:val="24"/>
          <w:szCs w:val="24"/>
        </w:rPr>
      </w:pPr>
    </w:p>
    <w:p w:rsidR="0019510E" w:rsidRDefault="0019510E" w:rsidP="0019510E">
      <w:pPr>
        <w:rPr>
          <w:rFonts w:ascii="Times New Roman" w:hAnsi="Times New Roman" w:cs="Times New Roman"/>
          <w:color w:val="000000"/>
          <w:sz w:val="24"/>
          <w:szCs w:val="24"/>
        </w:rPr>
      </w:pPr>
      <w:r>
        <w:rPr>
          <w:rFonts w:ascii="Times New Roman" w:hAnsi="Times New Roman" w:cs="Times New Roman"/>
          <w:color w:val="000000"/>
          <w:sz w:val="24"/>
          <w:szCs w:val="24"/>
        </w:rPr>
        <w:t>Date</w:t>
      </w:r>
      <w:bookmarkEnd w:id="1"/>
      <w:r>
        <w:rPr>
          <w:rFonts w:ascii="Times New Roman" w:hAnsi="Times New Roman" w:cs="Times New Roman"/>
          <w:color w:val="000000"/>
          <w:sz w:val="24"/>
          <w:szCs w:val="24"/>
        </w:rPr>
        <w:t>d:  22</w:t>
      </w:r>
      <w:r w:rsidRPr="00DB7BE8">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October 2013</w:t>
      </w:r>
    </w:p>
    <w:p w:rsidR="0019510E" w:rsidRDefault="0019510E" w:rsidP="0019510E">
      <w:pPr>
        <w:rPr>
          <w:rFonts w:ascii="Times New Roman" w:hAnsi="Times New Roman" w:cs="Times New Roman"/>
          <w:color w:val="000000"/>
          <w:sz w:val="24"/>
          <w:szCs w:val="24"/>
        </w:rPr>
      </w:pPr>
    </w:p>
    <w:p w:rsidR="0019510E" w:rsidRDefault="0019510E" w:rsidP="0019510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Signed </w:t>
      </w:r>
    </w:p>
    <w:p w:rsidR="0019510E" w:rsidRDefault="0019510E" w:rsidP="0019510E">
      <w:pPr>
        <w:rPr>
          <w:rFonts w:ascii="Times New Roman" w:hAnsi="Times New Roman" w:cs="Times New Roman"/>
          <w:color w:val="000000"/>
          <w:sz w:val="24"/>
          <w:szCs w:val="24"/>
        </w:rPr>
      </w:pPr>
    </w:p>
    <w:p w:rsidR="0019510E" w:rsidRDefault="0019510E" w:rsidP="0019510E">
      <w:pPr>
        <w:rPr>
          <w:rFonts w:ascii="Times New Roman" w:hAnsi="Times New Roman" w:cs="Times New Roman"/>
          <w:color w:val="000000"/>
          <w:sz w:val="24"/>
          <w:szCs w:val="24"/>
        </w:rPr>
      </w:pPr>
    </w:p>
    <w:p w:rsidR="0019510E" w:rsidRDefault="0019510E" w:rsidP="0019510E">
      <w:pPr>
        <w:rPr>
          <w:rFonts w:ascii="Times New Roman" w:hAnsi="Times New Roman" w:cs="Times New Roman"/>
          <w:color w:val="000000"/>
          <w:sz w:val="24"/>
          <w:szCs w:val="24"/>
        </w:rPr>
      </w:pPr>
    </w:p>
    <w:p w:rsidR="0019510E" w:rsidRDefault="0019510E" w:rsidP="0019510E">
      <w:pPr>
        <w:rPr>
          <w:rFonts w:ascii="Times New Roman" w:hAnsi="Times New Roman" w:cs="Times New Roman"/>
          <w:color w:val="000000"/>
          <w:sz w:val="24"/>
          <w:szCs w:val="24"/>
        </w:rPr>
      </w:pPr>
    </w:p>
    <w:p w:rsidR="0019510E" w:rsidRDefault="0019510E" w:rsidP="0019510E">
      <w:pPr>
        <w:rPr>
          <w:rFonts w:ascii="Times New Roman" w:hAnsi="Times New Roman" w:cs="Times New Roman"/>
          <w:color w:val="000000"/>
          <w:sz w:val="24"/>
          <w:szCs w:val="24"/>
        </w:rPr>
      </w:pPr>
    </w:p>
    <w:p w:rsidR="0019510E" w:rsidRDefault="0019510E" w:rsidP="0019510E">
      <w:pP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19510E" w:rsidRDefault="0019510E" w:rsidP="0019510E">
      <w:pPr>
        <w:rPr>
          <w:rFonts w:ascii="Times New Roman" w:hAnsi="Times New Roman" w:cs="Times New Roman"/>
          <w:color w:val="000000"/>
          <w:sz w:val="24"/>
          <w:szCs w:val="24"/>
        </w:rPr>
      </w:pPr>
    </w:p>
    <w:p w:rsidR="0019510E" w:rsidRDefault="0019510E" w:rsidP="0019510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CHRISTOPHER </w:t>
      </w:r>
      <w:proofErr w:type="spellStart"/>
      <w:r>
        <w:rPr>
          <w:rFonts w:ascii="Times New Roman" w:hAnsi="Times New Roman" w:cs="Times New Roman"/>
          <w:color w:val="000000"/>
          <w:sz w:val="24"/>
          <w:szCs w:val="24"/>
        </w:rPr>
        <w:t>PYNE</w:t>
      </w:r>
      <w:proofErr w:type="spellEnd"/>
    </w:p>
    <w:p w:rsidR="0019510E" w:rsidRDefault="0019510E" w:rsidP="0019510E">
      <w:pPr>
        <w:rPr>
          <w:rFonts w:ascii="Times New Roman" w:hAnsi="Times New Roman" w:cs="Times New Roman"/>
          <w:color w:val="000000"/>
          <w:sz w:val="24"/>
          <w:szCs w:val="24"/>
        </w:rPr>
      </w:pPr>
      <w:r>
        <w:rPr>
          <w:rFonts w:ascii="Times New Roman" w:hAnsi="Times New Roman" w:cs="Times New Roman"/>
          <w:color w:val="000000"/>
          <w:sz w:val="24"/>
          <w:szCs w:val="24"/>
        </w:rPr>
        <w:t>Minister for Education</w:t>
      </w:r>
    </w:p>
    <w:p w:rsidR="0019510E" w:rsidRDefault="0019510E" w:rsidP="0019510E">
      <w:pPr>
        <w:rPr>
          <w:rFonts w:ascii="Times New Roman" w:hAnsi="Times New Roman" w:cs="Times New Roman"/>
          <w:color w:val="000000"/>
          <w:sz w:val="24"/>
          <w:szCs w:val="24"/>
        </w:rPr>
      </w:pPr>
    </w:p>
    <w:p w:rsidR="0019510E" w:rsidRDefault="0019510E" w:rsidP="0019510E">
      <w:pPr>
        <w:rPr>
          <w:rFonts w:ascii="Times New Roman" w:hAnsi="Times New Roman" w:cs="Times New Roman"/>
          <w:color w:val="000000"/>
          <w:sz w:val="24"/>
          <w:szCs w:val="24"/>
        </w:rPr>
      </w:pPr>
    </w:p>
    <w:p w:rsidR="0019510E" w:rsidRDefault="0019510E" w:rsidP="0019510E">
      <w:pPr>
        <w:rPr>
          <w:rFonts w:ascii="Times New Roman" w:hAnsi="Times New Roman" w:cs="Times New Roman"/>
          <w:sz w:val="24"/>
          <w:szCs w:val="24"/>
        </w:rPr>
        <w:sectPr w:rsidR="0019510E" w:rsidSect="00DA6F3A">
          <w:pgSz w:w="11907" w:h="16839" w:code="9"/>
          <w:pgMar w:top="1134" w:right="1134" w:bottom="1134" w:left="1276" w:header="720" w:footer="720" w:gutter="0"/>
          <w:cols w:space="720"/>
          <w:titlePg/>
        </w:sectPr>
      </w:pPr>
    </w:p>
    <w:p w:rsidR="0019510E" w:rsidRDefault="0019510E" w:rsidP="0019510E">
      <w:pPr>
        <w:pStyle w:val="IH"/>
        <w:ind w:hanging="255"/>
        <w:rPr>
          <w:rFonts w:ascii="Times New Roman" w:hAnsi="Times New Roman"/>
        </w:rPr>
      </w:pPr>
      <w:r>
        <w:rPr>
          <w:rFonts w:ascii="Times New Roman" w:hAnsi="Times New Roman"/>
        </w:rPr>
        <w:lastRenderedPageBreak/>
        <w:t xml:space="preserve">Part 1 </w:t>
      </w:r>
      <w:r>
        <w:rPr>
          <w:rFonts w:ascii="Times New Roman" w:hAnsi="Times New Roman"/>
        </w:rPr>
        <w:tab/>
      </w:r>
      <w:r>
        <w:rPr>
          <w:rFonts w:ascii="Times New Roman" w:hAnsi="Times New Roman"/>
        </w:rPr>
        <w:tab/>
        <w:t>Preliminary</w:t>
      </w:r>
    </w:p>
    <w:p w:rsidR="0019510E" w:rsidRDefault="0019510E" w:rsidP="0019510E">
      <w:pPr>
        <w:pStyle w:val="IH"/>
        <w:ind w:hanging="255"/>
        <w:rPr>
          <w:rFonts w:ascii="Times New Roman" w:hAnsi="Times New Roman"/>
        </w:rPr>
      </w:pPr>
      <w:r>
        <w:rPr>
          <w:rFonts w:ascii="Times New Roman" w:hAnsi="Times New Roman"/>
        </w:rPr>
        <w:t>1</w:t>
      </w:r>
      <w:r>
        <w:rPr>
          <w:rFonts w:ascii="Times New Roman" w:hAnsi="Times New Roman"/>
        </w:rPr>
        <w:tab/>
        <w:t>Citation</w:t>
      </w:r>
    </w:p>
    <w:p w:rsidR="0019510E" w:rsidRDefault="0019510E" w:rsidP="0019510E">
      <w:pPr>
        <w:ind w:hanging="255"/>
        <w:rPr>
          <w:rFonts w:ascii="Times New Roman" w:hAnsi="Times New Roman" w:cs="Times New Roman"/>
          <w:sz w:val="24"/>
          <w:szCs w:val="24"/>
        </w:rPr>
      </w:pPr>
    </w:p>
    <w:p w:rsidR="0019510E" w:rsidRDefault="0019510E" w:rsidP="0019510E">
      <w:pPr>
        <w:ind w:left="964" w:hanging="255"/>
        <w:rPr>
          <w:rFonts w:ascii="Times New Roman" w:hAnsi="Times New Roman" w:cs="Times New Roman"/>
          <w:sz w:val="24"/>
          <w:szCs w:val="24"/>
        </w:rPr>
      </w:pPr>
      <w:r>
        <w:rPr>
          <w:rFonts w:ascii="Times New Roman" w:hAnsi="Times New Roman" w:cs="Times New Roman"/>
          <w:sz w:val="24"/>
          <w:szCs w:val="24"/>
        </w:rPr>
        <w:t xml:space="preserve">This Direction may be cited as </w:t>
      </w:r>
      <w:r>
        <w:rPr>
          <w:rFonts w:ascii="Times New Roman" w:hAnsi="Times New Roman" w:cs="Times New Roman"/>
          <w:i/>
          <w:sz w:val="24"/>
          <w:szCs w:val="24"/>
        </w:rPr>
        <w:t>Ministerial Direction No. 2 of 2013</w:t>
      </w:r>
      <w:r>
        <w:rPr>
          <w:rFonts w:ascii="Times New Roman" w:hAnsi="Times New Roman" w:cs="Times New Roman"/>
          <w:sz w:val="24"/>
          <w:szCs w:val="24"/>
        </w:rPr>
        <w:t>.</w:t>
      </w:r>
    </w:p>
    <w:p w:rsidR="0019510E" w:rsidRDefault="0019510E" w:rsidP="0019510E">
      <w:pPr>
        <w:pStyle w:val="IH"/>
        <w:ind w:hanging="255"/>
        <w:rPr>
          <w:rFonts w:ascii="Times New Roman" w:hAnsi="Times New Roman"/>
        </w:rPr>
      </w:pPr>
      <w:r>
        <w:rPr>
          <w:rFonts w:ascii="Times New Roman" w:hAnsi="Times New Roman"/>
        </w:rPr>
        <w:t>2.</w:t>
      </w:r>
      <w:r>
        <w:rPr>
          <w:rFonts w:ascii="Times New Roman" w:hAnsi="Times New Roman"/>
        </w:rPr>
        <w:tab/>
        <w:t>Commencement</w:t>
      </w:r>
    </w:p>
    <w:p w:rsidR="0019510E" w:rsidRDefault="0019510E" w:rsidP="0019510E">
      <w:pPr>
        <w:ind w:hanging="255"/>
        <w:rPr>
          <w:rFonts w:ascii="Times New Roman" w:hAnsi="Times New Roman" w:cs="Times New Roman"/>
          <w:b/>
          <w:sz w:val="24"/>
          <w:szCs w:val="24"/>
        </w:rPr>
      </w:pPr>
    </w:p>
    <w:p w:rsidR="0019510E" w:rsidRDefault="0019510E" w:rsidP="0019510E">
      <w:pPr>
        <w:ind w:left="709"/>
        <w:rPr>
          <w:rFonts w:ascii="Times New Roman" w:hAnsi="Times New Roman" w:cs="Times New Roman"/>
          <w:color w:val="000000"/>
          <w:sz w:val="24"/>
          <w:szCs w:val="24"/>
        </w:rPr>
      </w:pPr>
      <w:r>
        <w:rPr>
          <w:rFonts w:ascii="Times New Roman" w:hAnsi="Times New Roman" w:cs="Times New Roman"/>
          <w:color w:val="000000"/>
          <w:sz w:val="24"/>
          <w:szCs w:val="24"/>
        </w:rPr>
        <w:t xml:space="preserve">This legislative instrument commences on the day after it is registered on the Federal </w:t>
      </w:r>
      <w:r w:rsidRPr="006E6478">
        <w:rPr>
          <w:rFonts w:ascii="Times New Roman" w:hAnsi="Times New Roman" w:cs="Times New Roman"/>
          <w:color w:val="000000"/>
          <w:sz w:val="24"/>
          <w:szCs w:val="24"/>
        </w:rPr>
        <w:t>Register of Legislative Instruments.</w:t>
      </w:r>
    </w:p>
    <w:p w:rsidR="0019510E" w:rsidRDefault="0019510E" w:rsidP="0019510E">
      <w:pPr>
        <w:ind w:hanging="255"/>
        <w:rPr>
          <w:rFonts w:ascii="Times New Roman" w:hAnsi="Times New Roman" w:cs="Times New Roman"/>
          <w:color w:val="000000"/>
          <w:sz w:val="24"/>
          <w:szCs w:val="24"/>
        </w:rPr>
      </w:pPr>
    </w:p>
    <w:p w:rsidR="0019510E" w:rsidRDefault="0019510E" w:rsidP="0019510E">
      <w:pPr>
        <w:pStyle w:val="IH"/>
        <w:ind w:hanging="255"/>
        <w:rPr>
          <w:rFonts w:ascii="Times New Roman" w:hAnsi="Times New Roman"/>
        </w:rPr>
      </w:pPr>
      <w:r>
        <w:rPr>
          <w:rFonts w:ascii="Times New Roman" w:hAnsi="Times New Roman"/>
        </w:rPr>
        <w:t>3.</w:t>
      </w:r>
      <w:r>
        <w:rPr>
          <w:rFonts w:ascii="Times New Roman" w:hAnsi="Times New Roman"/>
        </w:rPr>
        <w:tab/>
        <w:t>Interpretation</w:t>
      </w:r>
    </w:p>
    <w:p w:rsidR="0019510E" w:rsidRDefault="0019510E" w:rsidP="0019510E">
      <w:pPr>
        <w:ind w:left="964" w:hanging="255"/>
        <w:rPr>
          <w:rFonts w:ascii="Times New Roman" w:hAnsi="Times New Roman" w:cs="Times New Roman"/>
          <w:color w:val="000000"/>
          <w:sz w:val="24"/>
          <w:szCs w:val="24"/>
        </w:rPr>
      </w:pPr>
    </w:p>
    <w:p w:rsidR="0019510E" w:rsidRDefault="0019510E" w:rsidP="0019510E">
      <w:pPr>
        <w:ind w:left="964" w:hanging="255"/>
        <w:rPr>
          <w:rFonts w:ascii="Times New Roman" w:hAnsi="Times New Roman" w:cs="Times New Roman"/>
          <w:color w:val="000000"/>
          <w:sz w:val="24"/>
          <w:szCs w:val="24"/>
        </w:rPr>
      </w:pPr>
      <w:r>
        <w:rPr>
          <w:rFonts w:ascii="Times New Roman" w:hAnsi="Times New Roman" w:cs="Times New Roman"/>
          <w:color w:val="000000"/>
          <w:sz w:val="24"/>
          <w:szCs w:val="24"/>
        </w:rPr>
        <w:t>In this instrument:</w:t>
      </w:r>
    </w:p>
    <w:p w:rsidR="0019510E" w:rsidRDefault="0019510E" w:rsidP="0019510E">
      <w:pPr>
        <w:ind w:hanging="255"/>
        <w:rPr>
          <w:rFonts w:ascii="Times New Roman" w:hAnsi="Times New Roman" w:cs="Times New Roman"/>
          <w:sz w:val="24"/>
          <w:szCs w:val="24"/>
        </w:rPr>
      </w:pPr>
    </w:p>
    <w:p w:rsidR="0019510E" w:rsidRDefault="0019510E" w:rsidP="0019510E">
      <w:pPr>
        <w:spacing w:after="80"/>
        <w:ind w:left="993" w:hanging="40"/>
        <w:rPr>
          <w:rFonts w:ascii="Times New Roman" w:hAnsi="Times New Roman" w:cs="Times New Roman"/>
          <w:sz w:val="24"/>
          <w:szCs w:val="24"/>
        </w:rPr>
      </w:pPr>
      <w:r>
        <w:rPr>
          <w:rFonts w:ascii="Times New Roman" w:hAnsi="Times New Roman" w:cs="Times New Roman"/>
          <w:b/>
          <w:i/>
          <w:sz w:val="24"/>
          <w:szCs w:val="24"/>
        </w:rPr>
        <w:t>Act</w:t>
      </w:r>
      <w:r>
        <w:rPr>
          <w:rFonts w:ascii="Times New Roman" w:hAnsi="Times New Roman" w:cs="Times New Roman"/>
          <w:b/>
          <w:sz w:val="24"/>
          <w:szCs w:val="24"/>
        </w:rPr>
        <w:t xml:space="preserve"> </w:t>
      </w:r>
      <w:r>
        <w:rPr>
          <w:rFonts w:ascii="Times New Roman" w:hAnsi="Times New Roman" w:cs="Times New Roman"/>
          <w:sz w:val="24"/>
          <w:szCs w:val="24"/>
        </w:rPr>
        <w:t xml:space="preserve">means the </w:t>
      </w:r>
      <w:r>
        <w:rPr>
          <w:rFonts w:ascii="Times New Roman" w:hAnsi="Times New Roman" w:cs="Times New Roman"/>
          <w:i/>
          <w:iCs/>
          <w:color w:val="000000"/>
          <w:sz w:val="24"/>
          <w:szCs w:val="24"/>
        </w:rPr>
        <w:t xml:space="preserve">Tertiary Education Quality and Standards Agency </w:t>
      </w:r>
      <w:r>
        <w:rPr>
          <w:rFonts w:ascii="Times New Roman" w:hAnsi="Times New Roman" w:cs="Times New Roman"/>
          <w:i/>
          <w:sz w:val="24"/>
          <w:szCs w:val="24"/>
        </w:rPr>
        <w:t>Act 2011.</w:t>
      </w:r>
    </w:p>
    <w:p w:rsidR="0019510E" w:rsidRDefault="0019510E" w:rsidP="0019510E">
      <w:pPr>
        <w:spacing w:after="80"/>
        <w:ind w:left="993" w:hanging="40"/>
        <w:rPr>
          <w:rFonts w:ascii="Times New Roman" w:hAnsi="Times New Roman" w:cs="Times New Roman"/>
          <w:b/>
          <w:bCs/>
          <w:i/>
          <w:iCs/>
          <w:sz w:val="24"/>
          <w:szCs w:val="24"/>
        </w:rPr>
      </w:pPr>
    </w:p>
    <w:p w:rsidR="0019510E" w:rsidRDefault="0019510E" w:rsidP="0019510E">
      <w:pPr>
        <w:spacing w:after="80"/>
        <w:ind w:left="993" w:hanging="40"/>
        <w:rPr>
          <w:rFonts w:ascii="Times New Roman" w:hAnsi="Times New Roman" w:cs="Times New Roman"/>
          <w:bCs/>
          <w:iCs/>
          <w:sz w:val="24"/>
          <w:szCs w:val="24"/>
        </w:rPr>
      </w:pPr>
      <w:r>
        <w:rPr>
          <w:rFonts w:ascii="Times New Roman" w:hAnsi="Times New Roman" w:cs="Times New Roman"/>
          <w:b/>
          <w:bCs/>
          <w:i/>
          <w:iCs/>
          <w:sz w:val="24"/>
          <w:szCs w:val="24"/>
        </w:rPr>
        <w:t xml:space="preserve">Chief Executive Officer </w:t>
      </w:r>
      <w:r>
        <w:rPr>
          <w:rFonts w:ascii="Times New Roman" w:hAnsi="Times New Roman" w:cs="Times New Roman"/>
          <w:bCs/>
          <w:iCs/>
          <w:sz w:val="24"/>
          <w:szCs w:val="24"/>
        </w:rPr>
        <w:t xml:space="preserve">has the same meaning as given at section 5 of the Act. </w:t>
      </w:r>
    </w:p>
    <w:p w:rsidR="0019510E" w:rsidRDefault="0019510E" w:rsidP="0019510E">
      <w:pPr>
        <w:spacing w:after="80"/>
        <w:ind w:left="993" w:hanging="40"/>
        <w:rPr>
          <w:rFonts w:ascii="Times New Roman" w:hAnsi="Times New Roman" w:cs="Times New Roman"/>
          <w:bCs/>
          <w:i/>
          <w:iCs/>
          <w:sz w:val="24"/>
          <w:szCs w:val="24"/>
        </w:rPr>
      </w:pPr>
    </w:p>
    <w:p w:rsidR="0019510E" w:rsidRDefault="0019510E" w:rsidP="0019510E">
      <w:pPr>
        <w:spacing w:after="80"/>
        <w:ind w:left="993" w:hanging="40"/>
        <w:rPr>
          <w:rFonts w:ascii="Times New Roman" w:hAnsi="Times New Roman" w:cs="Times New Roman"/>
          <w:sz w:val="24"/>
          <w:szCs w:val="24"/>
        </w:rPr>
      </w:pPr>
      <w:r>
        <w:rPr>
          <w:rFonts w:ascii="Times New Roman" w:hAnsi="Times New Roman" w:cs="Times New Roman"/>
          <w:b/>
          <w:bCs/>
          <w:i/>
          <w:iCs/>
          <w:sz w:val="24"/>
          <w:szCs w:val="24"/>
        </w:rPr>
        <w:t>Tertiary Education Quality and Standards Agency</w:t>
      </w:r>
      <w:r>
        <w:rPr>
          <w:rFonts w:ascii="Times New Roman" w:hAnsi="Times New Roman" w:cs="Times New Roman"/>
          <w:i/>
          <w:iCs/>
          <w:color w:val="000000"/>
          <w:sz w:val="24"/>
          <w:szCs w:val="24"/>
        </w:rPr>
        <w:t xml:space="preserve"> </w:t>
      </w:r>
      <w:r>
        <w:rPr>
          <w:rFonts w:ascii="Times New Roman" w:hAnsi="Times New Roman" w:cs="Times New Roman"/>
          <w:sz w:val="24"/>
          <w:szCs w:val="24"/>
        </w:rPr>
        <w:t xml:space="preserve">or </w:t>
      </w:r>
      <w:proofErr w:type="spellStart"/>
      <w:r>
        <w:rPr>
          <w:rFonts w:ascii="Times New Roman" w:hAnsi="Times New Roman" w:cs="Times New Roman"/>
          <w:b/>
          <w:bCs/>
          <w:i/>
          <w:iCs/>
          <w:sz w:val="24"/>
          <w:szCs w:val="24"/>
        </w:rPr>
        <w:t>TEQSA</w:t>
      </w:r>
      <w:proofErr w:type="spellEnd"/>
      <w:r>
        <w:rPr>
          <w:rFonts w:ascii="Times New Roman" w:hAnsi="Times New Roman" w:cs="Times New Roman"/>
          <w:b/>
          <w:bCs/>
          <w:i/>
          <w:iCs/>
          <w:sz w:val="24"/>
          <w:szCs w:val="24"/>
        </w:rPr>
        <w:t xml:space="preserve"> </w:t>
      </w:r>
      <w:r>
        <w:rPr>
          <w:rFonts w:ascii="Times New Roman" w:hAnsi="Times New Roman" w:cs="Times New Roman"/>
          <w:sz w:val="24"/>
          <w:szCs w:val="24"/>
        </w:rPr>
        <w:t>has the same meaning given at section 5 of the Act.</w:t>
      </w:r>
    </w:p>
    <w:p w:rsidR="0019510E" w:rsidRDefault="0019510E" w:rsidP="0019510E">
      <w:pPr>
        <w:spacing w:after="80"/>
        <w:ind w:left="244" w:hanging="255"/>
        <w:rPr>
          <w:rFonts w:ascii="Times New Roman" w:hAnsi="Times New Roman" w:cs="Times New Roman"/>
          <w:b/>
          <w:bCs/>
          <w:szCs w:val="24"/>
        </w:rPr>
      </w:pPr>
    </w:p>
    <w:p w:rsidR="0019510E" w:rsidRDefault="0019510E" w:rsidP="0019510E">
      <w:pPr>
        <w:spacing w:after="80"/>
        <w:ind w:left="244" w:hanging="255"/>
        <w:rPr>
          <w:rFonts w:ascii="Times New Roman" w:hAnsi="Times New Roman" w:cs="Times New Roman"/>
          <w:szCs w:val="24"/>
        </w:rPr>
      </w:pPr>
      <w:r>
        <w:rPr>
          <w:rFonts w:ascii="Times New Roman" w:hAnsi="Times New Roman" w:cs="Times New Roman"/>
          <w:szCs w:val="24"/>
        </w:rPr>
        <w:t xml:space="preserve"> </w:t>
      </w:r>
    </w:p>
    <w:p w:rsidR="0019510E" w:rsidRPr="00235CC4" w:rsidRDefault="0019510E" w:rsidP="0019510E">
      <w:pPr>
        <w:rPr>
          <w:rFonts w:ascii="Times New Roman" w:hAnsi="Times New Roman" w:cs="Times New Roman"/>
          <w:b/>
          <w:bCs/>
          <w:szCs w:val="24"/>
        </w:rPr>
      </w:pPr>
      <w:r>
        <w:rPr>
          <w:rFonts w:ascii="Times New Roman" w:hAnsi="Times New Roman" w:cs="Times New Roman"/>
          <w:b/>
          <w:bCs/>
          <w:szCs w:val="24"/>
        </w:rPr>
        <w:br w:type="page"/>
      </w:r>
      <w:r>
        <w:rPr>
          <w:rFonts w:ascii="Times New Roman" w:hAnsi="Times New Roman" w:cs="Times New Roman"/>
          <w:b/>
          <w:bCs/>
          <w:sz w:val="24"/>
          <w:szCs w:val="24"/>
        </w:rPr>
        <w:lastRenderedPageBreak/>
        <w:t>Part 2</w:t>
      </w:r>
      <w:r>
        <w:rPr>
          <w:rFonts w:ascii="Times New Roman" w:hAnsi="Times New Roman" w:cs="Times New Roman"/>
          <w:b/>
          <w:bCs/>
          <w:sz w:val="24"/>
          <w:szCs w:val="24"/>
        </w:rPr>
        <w:tab/>
      </w:r>
      <w:r>
        <w:rPr>
          <w:rFonts w:ascii="Times New Roman" w:hAnsi="Times New Roman" w:cs="Times New Roman"/>
          <w:b/>
          <w:bCs/>
          <w:sz w:val="24"/>
          <w:szCs w:val="24"/>
        </w:rPr>
        <w:tab/>
        <w:t>Direction</w:t>
      </w:r>
    </w:p>
    <w:p w:rsidR="0019510E" w:rsidRDefault="0019510E" w:rsidP="0019510E">
      <w:pPr>
        <w:rPr>
          <w:rFonts w:ascii="Times New Roman" w:hAnsi="Times New Roman" w:cs="Times New Roman"/>
          <w:color w:val="000000"/>
          <w:sz w:val="24"/>
          <w:szCs w:val="24"/>
        </w:rPr>
      </w:pPr>
    </w:p>
    <w:p w:rsidR="0019510E" w:rsidRDefault="0019510E" w:rsidP="0019510E">
      <w:pPr>
        <w:rPr>
          <w:rFonts w:ascii="Times New Roman" w:hAnsi="Times New Roman" w:cs="Times New Roman"/>
          <w:color w:val="000000"/>
          <w:sz w:val="24"/>
          <w:szCs w:val="24"/>
        </w:rPr>
      </w:pPr>
      <w:r>
        <w:rPr>
          <w:rFonts w:ascii="Times New Roman" w:hAnsi="Times New Roman" w:cs="Times New Roman"/>
          <w:color w:val="000000"/>
          <w:sz w:val="24"/>
          <w:szCs w:val="24"/>
        </w:rPr>
        <w:t>The Government seeks to support higher education providers to deliver teaching, learning and research of the highest quality. This will require the application of a deregulatory and quality enhancement philosophy and deliberate action to remove red tape, to enable providers to spend more time on the things they do best and less on compliance and reporting.</w:t>
      </w:r>
    </w:p>
    <w:p w:rsidR="0019510E" w:rsidRDefault="0019510E" w:rsidP="0019510E">
      <w:pPr>
        <w:rPr>
          <w:rFonts w:ascii="Times New Roman" w:hAnsi="Times New Roman" w:cs="Times New Roman"/>
          <w:color w:val="000000"/>
          <w:sz w:val="24"/>
          <w:szCs w:val="24"/>
        </w:rPr>
      </w:pPr>
    </w:p>
    <w:p w:rsidR="0019510E" w:rsidRDefault="0019510E" w:rsidP="0019510E">
      <w:pPr>
        <w:keepNext/>
        <w:ind w:left="56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To consult and seek advice</w:t>
      </w:r>
    </w:p>
    <w:p w:rsidR="0019510E" w:rsidRDefault="0019510E" w:rsidP="0019510E">
      <w:pPr>
        <w:keepNext/>
        <w:ind w:left="964" w:hanging="964"/>
        <w:rPr>
          <w:rFonts w:ascii="Times New Roman" w:eastAsia="Times New Roman" w:hAnsi="Times New Roman" w:cs="Times New Roman"/>
          <w:b/>
          <w:sz w:val="24"/>
          <w:szCs w:val="24"/>
        </w:rPr>
      </w:pPr>
    </w:p>
    <w:p w:rsidR="0019510E" w:rsidRDefault="0019510E" w:rsidP="0019510E">
      <w:pPr>
        <w:rPr>
          <w:rFonts w:ascii="Times New Roman" w:hAnsi="Times New Roman" w:cs="Times New Roman"/>
          <w:sz w:val="24"/>
          <w:szCs w:val="24"/>
        </w:rPr>
      </w:pPr>
      <w:r>
        <w:rPr>
          <w:rFonts w:ascii="Times New Roman" w:hAnsi="Times New Roman" w:cs="Times New Roman"/>
          <w:sz w:val="24"/>
          <w:szCs w:val="24"/>
        </w:rPr>
        <w:t>The Chief Executive Officer should consult broadly across the higher education sector and its constituent parts in the formulation of strategies and implementation plans and in their execution, and must at least seek the advice of:</w:t>
      </w:r>
    </w:p>
    <w:p w:rsidR="0019510E" w:rsidRDefault="0019510E" w:rsidP="0019510E">
      <w:pPr>
        <w:ind w:left="720" w:hanging="720"/>
        <w:rPr>
          <w:rFonts w:ascii="Times New Roman" w:hAnsi="Times New Roman" w:cs="Times New Roman"/>
          <w:b/>
          <w:sz w:val="24"/>
          <w:szCs w:val="24"/>
        </w:rPr>
      </w:pPr>
    </w:p>
    <w:p w:rsidR="0019510E" w:rsidRDefault="0019510E" w:rsidP="0019510E">
      <w:pPr>
        <w:numPr>
          <w:ilvl w:val="0"/>
          <w:numId w:val="1"/>
        </w:numPr>
        <w:tabs>
          <w:tab w:val="left" w:pos="851"/>
        </w:tabs>
        <w:spacing w:after="120"/>
        <w:ind w:left="851" w:hanging="499"/>
        <w:rPr>
          <w:rFonts w:ascii="Times New Roman" w:hAnsi="Times New Roman" w:cs="Times New Roman"/>
          <w:color w:val="000000"/>
          <w:sz w:val="24"/>
          <w:szCs w:val="24"/>
        </w:rPr>
      </w:pPr>
      <w:r>
        <w:rPr>
          <w:rFonts w:ascii="Times New Roman" w:hAnsi="Times New Roman" w:cs="Times New Roman"/>
          <w:color w:val="000000"/>
          <w:sz w:val="24"/>
          <w:szCs w:val="24"/>
        </w:rPr>
        <w:t>the National Advisory Group for Higher Education Data and Information (</w:t>
      </w:r>
      <w:proofErr w:type="spellStart"/>
      <w:r>
        <w:rPr>
          <w:rFonts w:ascii="Times New Roman" w:hAnsi="Times New Roman" w:cs="Times New Roman"/>
          <w:color w:val="000000"/>
          <w:sz w:val="24"/>
          <w:szCs w:val="24"/>
        </w:rPr>
        <w:t>NAGHEDI</w:t>
      </w:r>
      <w:proofErr w:type="spellEnd"/>
      <w:r>
        <w:rPr>
          <w:rFonts w:ascii="Times New Roman" w:hAnsi="Times New Roman" w:cs="Times New Roman"/>
          <w:color w:val="000000"/>
          <w:sz w:val="24"/>
          <w:szCs w:val="24"/>
        </w:rPr>
        <w:t xml:space="preserve">), (on which </w:t>
      </w:r>
      <w:proofErr w:type="spellStart"/>
      <w:r>
        <w:rPr>
          <w:rFonts w:ascii="Times New Roman" w:hAnsi="Times New Roman" w:cs="Times New Roman"/>
          <w:color w:val="000000"/>
          <w:sz w:val="24"/>
          <w:szCs w:val="24"/>
        </w:rPr>
        <w:t>TEQSA</w:t>
      </w:r>
      <w:proofErr w:type="spellEnd"/>
      <w:r>
        <w:rPr>
          <w:rFonts w:ascii="Times New Roman" w:hAnsi="Times New Roman" w:cs="Times New Roman"/>
          <w:color w:val="000000"/>
          <w:sz w:val="24"/>
          <w:szCs w:val="24"/>
        </w:rPr>
        <w:t xml:space="preserve"> is represented) regarding its policies and approaches for Provider Information Requests and any sector-wide data collection and/or survey activities; and</w:t>
      </w:r>
    </w:p>
    <w:p w:rsidR="0019510E" w:rsidRDefault="0019510E" w:rsidP="0019510E">
      <w:pPr>
        <w:numPr>
          <w:ilvl w:val="0"/>
          <w:numId w:val="1"/>
        </w:numPr>
        <w:tabs>
          <w:tab w:val="left" w:pos="851"/>
        </w:tabs>
        <w:spacing w:after="120"/>
        <w:ind w:left="851" w:hanging="499"/>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proofErr w:type="spellStart"/>
      <w:r>
        <w:rPr>
          <w:rFonts w:ascii="Times New Roman" w:hAnsi="Times New Roman" w:cs="Times New Roman"/>
          <w:color w:val="000000"/>
          <w:sz w:val="24"/>
          <w:szCs w:val="24"/>
        </w:rPr>
        <w:t>TEQSA</w:t>
      </w:r>
      <w:proofErr w:type="spellEnd"/>
      <w:r>
        <w:rPr>
          <w:rFonts w:ascii="Times New Roman" w:hAnsi="Times New Roman" w:cs="Times New Roman"/>
          <w:color w:val="000000"/>
          <w:sz w:val="24"/>
          <w:szCs w:val="24"/>
        </w:rPr>
        <w:t xml:space="preserve"> Advisory Council, when established, regarding:</w:t>
      </w:r>
    </w:p>
    <w:p w:rsidR="0019510E" w:rsidRDefault="0019510E" w:rsidP="0019510E">
      <w:pPr>
        <w:numPr>
          <w:ilvl w:val="1"/>
          <w:numId w:val="1"/>
        </w:numPr>
        <w:spacing w:after="120"/>
        <w:ind w:left="1134" w:hanging="283"/>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TEQSA’s</w:t>
      </w:r>
      <w:proofErr w:type="spellEnd"/>
      <w:r>
        <w:rPr>
          <w:rFonts w:ascii="Times New Roman" w:hAnsi="Times New Roman" w:cs="Times New Roman"/>
          <w:color w:val="000000"/>
          <w:sz w:val="24"/>
          <w:szCs w:val="24"/>
        </w:rPr>
        <w:t xml:space="preserve"> strategic objectives and plans, performance against these plans, reform agenda, streamlining activities and resourcing requirements;</w:t>
      </w:r>
    </w:p>
    <w:p w:rsidR="0019510E" w:rsidRDefault="0019510E" w:rsidP="0019510E">
      <w:pPr>
        <w:numPr>
          <w:ilvl w:val="1"/>
          <w:numId w:val="1"/>
        </w:numPr>
        <w:spacing w:after="120"/>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approaches to deregulation, including by the application of the principles of risk, necessity and proportionality to different types and categories of higher education providers; and</w:t>
      </w:r>
    </w:p>
    <w:p w:rsidR="0019510E" w:rsidRDefault="0019510E" w:rsidP="0019510E">
      <w:pPr>
        <w:numPr>
          <w:ilvl w:val="1"/>
          <w:numId w:val="1"/>
        </w:numPr>
        <w:spacing w:after="120"/>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approaches to use existing reporting processes such as compacts, funding agreements and the Institutional Performance Portfolios to streamline re</w:t>
      </w:r>
      <w:r>
        <w:rPr>
          <w:rFonts w:ascii="Times New Roman" w:hAnsi="Times New Roman" w:cs="Times New Roman"/>
          <w:color w:val="000000"/>
          <w:sz w:val="24"/>
          <w:szCs w:val="24"/>
        </w:rPr>
        <w:noBreakHyphen/>
        <w:t xml:space="preserve">registration processes, </w:t>
      </w:r>
    </w:p>
    <w:p w:rsidR="0019510E" w:rsidRDefault="0019510E" w:rsidP="0019510E">
      <w:pPr>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perform his or her functions under the Act consistently with the advice.</w:t>
      </w:r>
    </w:p>
    <w:p w:rsidR="0019510E" w:rsidRDefault="0019510E" w:rsidP="0019510E">
      <w:pPr>
        <w:keepNext/>
        <w:ind w:left="964" w:hanging="964"/>
        <w:rPr>
          <w:rFonts w:ascii="Times New Roman" w:eastAsia="Times New Roman" w:hAnsi="Times New Roman" w:cs="Times New Roman"/>
          <w:b/>
          <w:sz w:val="24"/>
          <w:szCs w:val="24"/>
        </w:rPr>
      </w:pPr>
    </w:p>
    <w:p w:rsidR="0019510E" w:rsidRDefault="0019510E" w:rsidP="0019510E">
      <w:pPr>
        <w:keepNext/>
        <w:ind w:left="56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To improve the focus and timeliness of regulatory activities, and to advance the appropriate deregulation of the higher education sector:</w:t>
      </w:r>
    </w:p>
    <w:p w:rsidR="0019510E" w:rsidRDefault="0019510E" w:rsidP="0019510E">
      <w:pPr>
        <w:rPr>
          <w:rFonts w:ascii="Times New Roman" w:hAnsi="Times New Roman" w:cs="Times New Roman"/>
          <w:sz w:val="24"/>
          <w:szCs w:val="24"/>
        </w:rPr>
      </w:pPr>
    </w:p>
    <w:p w:rsidR="0019510E" w:rsidRDefault="0019510E" w:rsidP="0019510E">
      <w:pPr>
        <w:rPr>
          <w:rFonts w:ascii="Times New Roman" w:hAnsi="Times New Roman" w:cs="Times New Roman"/>
          <w:sz w:val="24"/>
          <w:szCs w:val="24"/>
        </w:rPr>
      </w:pPr>
      <w:r>
        <w:rPr>
          <w:rFonts w:ascii="Times New Roman" w:hAnsi="Times New Roman" w:cs="Times New Roman"/>
          <w:sz w:val="24"/>
          <w:szCs w:val="24"/>
        </w:rPr>
        <w:t xml:space="preserve">The Chief Executive Officer must prioritise tasks to ensure deregulation, including through: </w:t>
      </w:r>
    </w:p>
    <w:p w:rsidR="0019510E" w:rsidRDefault="0019510E" w:rsidP="0019510E">
      <w:pPr>
        <w:rPr>
          <w:rFonts w:ascii="Times New Roman" w:hAnsi="Times New Roman" w:cs="Times New Roman"/>
          <w:sz w:val="24"/>
          <w:szCs w:val="24"/>
        </w:rPr>
      </w:pPr>
    </w:p>
    <w:p w:rsidR="0019510E" w:rsidRDefault="0019510E" w:rsidP="0019510E">
      <w:pPr>
        <w:numPr>
          <w:ilvl w:val="0"/>
          <w:numId w:val="4"/>
        </w:numPr>
        <w:tabs>
          <w:tab w:val="left" w:pos="851"/>
        </w:tabs>
        <w:spacing w:after="120"/>
        <w:ind w:left="851"/>
        <w:rPr>
          <w:rFonts w:ascii="Times New Roman" w:hAnsi="Times New Roman" w:cs="Times New Roman"/>
          <w:color w:val="000000"/>
          <w:sz w:val="24"/>
          <w:szCs w:val="24"/>
        </w:rPr>
      </w:pPr>
      <w:r>
        <w:rPr>
          <w:rFonts w:ascii="Times New Roman" w:hAnsi="Times New Roman" w:cs="Times New Roman"/>
          <w:color w:val="000000"/>
          <w:sz w:val="24"/>
          <w:szCs w:val="24"/>
        </w:rPr>
        <w:t>simplified processes and improved timelines of decisions for its key activities of provider registration and re</w:t>
      </w:r>
      <w:r>
        <w:rPr>
          <w:rFonts w:ascii="Times New Roman" w:hAnsi="Times New Roman" w:cs="Times New Roman"/>
          <w:color w:val="000000"/>
          <w:sz w:val="24"/>
          <w:szCs w:val="24"/>
        </w:rPr>
        <w:noBreakHyphen/>
        <w:t>registration applications, course accreditation and re</w:t>
      </w:r>
      <w:r>
        <w:rPr>
          <w:rFonts w:ascii="Times New Roman" w:hAnsi="Times New Roman" w:cs="Times New Roman"/>
          <w:color w:val="000000"/>
          <w:sz w:val="24"/>
          <w:szCs w:val="24"/>
        </w:rPr>
        <w:noBreakHyphen/>
        <w:t>accreditation applications; and</w:t>
      </w:r>
    </w:p>
    <w:p w:rsidR="0019510E" w:rsidRDefault="0019510E" w:rsidP="0019510E">
      <w:pPr>
        <w:numPr>
          <w:ilvl w:val="0"/>
          <w:numId w:val="4"/>
        </w:numPr>
        <w:tabs>
          <w:tab w:val="left" w:pos="851"/>
        </w:tabs>
        <w:spacing w:after="120"/>
        <w:ind w:left="851"/>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only</w:t>
      </w:r>
      <w:proofErr w:type="gramEnd"/>
      <w:r>
        <w:rPr>
          <w:rFonts w:ascii="Times New Roman" w:hAnsi="Times New Roman" w:cs="Times New Roman"/>
          <w:color w:val="000000"/>
          <w:sz w:val="24"/>
          <w:szCs w:val="24"/>
        </w:rPr>
        <w:t xml:space="preserve"> working on sectoral quality assessment activities if </w:t>
      </w:r>
      <w:proofErr w:type="spellStart"/>
      <w:r>
        <w:rPr>
          <w:rFonts w:ascii="Times New Roman" w:hAnsi="Times New Roman" w:cs="Times New Roman"/>
          <w:color w:val="000000"/>
          <w:sz w:val="24"/>
          <w:szCs w:val="24"/>
        </w:rPr>
        <w:t>TEQSA</w:t>
      </w:r>
      <w:proofErr w:type="spellEnd"/>
      <w:r>
        <w:rPr>
          <w:rFonts w:ascii="Times New Roman" w:hAnsi="Times New Roman" w:cs="Times New Roman"/>
          <w:color w:val="000000"/>
          <w:sz w:val="24"/>
          <w:szCs w:val="24"/>
        </w:rPr>
        <w:t xml:space="preserve"> has surplus resources after fully achieving the above tasks and priorities. </w:t>
      </w:r>
    </w:p>
    <w:p w:rsidR="0019510E" w:rsidRDefault="0019510E" w:rsidP="0019510E">
      <w:pPr>
        <w:spacing w:after="120"/>
        <w:rPr>
          <w:rFonts w:ascii="Times New Roman" w:hAnsi="Times New Roman" w:cs="Times New Roman"/>
          <w:color w:val="000000"/>
          <w:sz w:val="24"/>
          <w:szCs w:val="24"/>
        </w:rPr>
      </w:pPr>
    </w:p>
    <w:p w:rsidR="0019510E" w:rsidRDefault="0019510E" w:rsidP="0019510E">
      <w:pPr>
        <w:keepNext/>
        <w:ind w:left="567" w:hanging="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ab/>
        <w:t xml:space="preserve">To enhance accountability and reporting, the </w:t>
      </w:r>
      <w:r>
        <w:rPr>
          <w:rFonts w:ascii="Times New Roman" w:hAnsi="Times New Roman" w:cs="Times New Roman"/>
          <w:b/>
          <w:color w:val="000000"/>
          <w:sz w:val="24"/>
          <w:szCs w:val="24"/>
        </w:rPr>
        <w:t>Chief Executive Officer must detail in writing to the Minister for Education:</w:t>
      </w:r>
    </w:p>
    <w:p w:rsidR="0019510E" w:rsidRDefault="0019510E" w:rsidP="0019510E">
      <w:pPr>
        <w:rPr>
          <w:rFonts w:ascii="Times New Roman" w:hAnsi="Times New Roman" w:cs="Times New Roman"/>
          <w:color w:val="000000"/>
          <w:sz w:val="24"/>
          <w:szCs w:val="24"/>
        </w:rPr>
      </w:pPr>
    </w:p>
    <w:p w:rsidR="0019510E" w:rsidRDefault="0019510E" w:rsidP="0019510E">
      <w:pPr>
        <w:numPr>
          <w:ilvl w:val="0"/>
          <w:numId w:val="3"/>
        </w:numPr>
        <w:spacing w:after="120"/>
        <w:ind w:left="851"/>
        <w:rPr>
          <w:rFonts w:ascii="Times New Roman" w:hAnsi="Times New Roman" w:cs="Times New Roman"/>
          <w:color w:val="000000"/>
          <w:sz w:val="24"/>
          <w:szCs w:val="24"/>
        </w:rPr>
      </w:pPr>
      <w:r>
        <w:rPr>
          <w:rFonts w:ascii="Times New Roman" w:hAnsi="Times New Roman" w:cs="Times New Roman"/>
          <w:color w:val="000000"/>
          <w:sz w:val="24"/>
          <w:szCs w:val="24"/>
        </w:rPr>
        <w:t xml:space="preserve">The number and status of all applications being assessed by </w:t>
      </w:r>
      <w:proofErr w:type="spellStart"/>
      <w:r>
        <w:rPr>
          <w:rFonts w:ascii="Times New Roman" w:hAnsi="Times New Roman" w:cs="Times New Roman"/>
          <w:color w:val="000000"/>
          <w:sz w:val="24"/>
          <w:szCs w:val="24"/>
        </w:rPr>
        <w:t>TEQSA</w:t>
      </w:r>
      <w:proofErr w:type="spellEnd"/>
      <w:r>
        <w:rPr>
          <w:rFonts w:ascii="Times New Roman" w:hAnsi="Times New Roman" w:cs="Times New Roman"/>
          <w:color w:val="000000"/>
          <w:sz w:val="24"/>
          <w:szCs w:val="24"/>
        </w:rPr>
        <w:t xml:space="preserve"> and the expected date of completion for these applications; </w:t>
      </w:r>
    </w:p>
    <w:p w:rsidR="0019510E" w:rsidRDefault="0019510E" w:rsidP="0019510E">
      <w:pPr>
        <w:numPr>
          <w:ilvl w:val="0"/>
          <w:numId w:val="3"/>
        </w:numPr>
        <w:spacing w:after="120"/>
        <w:ind w:left="709" w:hanging="218"/>
        <w:rPr>
          <w:rFonts w:ascii="Times New Roman" w:hAnsi="Times New Roman" w:cs="Times New Roman"/>
          <w:color w:val="000000"/>
          <w:sz w:val="24"/>
          <w:szCs w:val="24"/>
        </w:rPr>
      </w:pPr>
      <w:r>
        <w:rPr>
          <w:rFonts w:ascii="Times New Roman" w:hAnsi="Times New Roman" w:cs="Times New Roman"/>
          <w:color w:val="000000"/>
          <w:sz w:val="24"/>
          <w:szCs w:val="24"/>
        </w:rPr>
        <w:t xml:space="preserve">the number and type of decisions made by a delegate of </w:t>
      </w:r>
      <w:proofErr w:type="spellStart"/>
      <w:r>
        <w:rPr>
          <w:rFonts w:ascii="Times New Roman" w:hAnsi="Times New Roman" w:cs="Times New Roman"/>
          <w:color w:val="000000"/>
          <w:sz w:val="24"/>
          <w:szCs w:val="24"/>
        </w:rPr>
        <w:t>TEQSA</w:t>
      </w:r>
      <w:proofErr w:type="spellEnd"/>
      <w:r>
        <w:rPr>
          <w:rFonts w:ascii="Times New Roman" w:hAnsi="Times New Roman" w:cs="Times New Roman"/>
          <w:color w:val="000000"/>
          <w:sz w:val="24"/>
          <w:szCs w:val="24"/>
        </w:rPr>
        <w:t xml:space="preserve"> pursuant to a delegation of </w:t>
      </w:r>
      <w:proofErr w:type="spellStart"/>
      <w:r>
        <w:rPr>
          <w:rFonts w:ascii="Times New Roman" w:hAnsi="Times New Roman" w:cs="Times New Roman"/>
          <w:color w:val="000000"/>
          <w:sz w:val="24"/>
          <w:szCs w:val="24"/>
        </w:rPr>
        <w:t>TEQSA’s</w:t>
      </w:r>
      <w:proofErr w:type="spellEnd"/>
      <w:r>
        <w:rPr>
          <w:rFonts w:ascii="Times New Roman" w:hAnsi="Times New Roman" w:cs="Times New Roman"/>
          <w:color w:val="000000"/>
          <w:sz w:val="24"/>
          <w:szCs w:val="24"/>
        </w:rPr>
        <w:t xml:space="preserve"> powers under section 200 of the Act; </w:t>
      </w:r>
    </w:p>
    <w:p w:rsidR="0019510E" w:rsidRDefault="0019510E" w:rsidP="0019510E">
      <w:pPr>
        <w:numPr>
          <w:ilvl w:val="0"/>
          <w:numId w:val="3"/>
        </w:numPr>
        <w:spacing w:after="120"/>
        <w:ind w:left="851"/>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resourcing allocated to carry out each activity in 4(</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xml:space="preserve">) and its usage; </w:t>
      </w:r>
    </w:p>
    <w:p w:rsidR="0019510E" w:rsidRDefault="0019510E" w:rsidP="0019510E">
      <w:pPr>
        <w:numPr>
          <w:ilvl w:val="0"/>
          <w:numId w:val="3"/>
        </w:numPr>
        <w:spacing w:after="120"/>
        <w:ind w:left="709" w:hanging="218"/>
        <w:rPr>
          <w:rFonts w:ascii="Times New Roman" w:hAnsi="Times New Roman" w:cs="Times New Roman"/>
          <w:color w:val="000000"/>
          <w:sz w:val="24"/>
          <w:szCs w:val="24"/>
        </w:rPr>
      </w:pPr>
      <w:r>
        <w:rPr>
          <w:rFonts w:ascii="Times New Roman" w:hAnsi="Times New Roman" w:cs="Times New Roman"/>
          <w:color w:val="000000"/>
          <w:sz w:val="24"/>
          <w:szCs w:val="24"/>
        </w:rPr>
        <w:t xml:space="preserve">progress on implementing </w:t>
      </w:r>
      <w:proofErr w:type="spellStart"/>
      <w:r>
        <w:rPr>
          <w:rFonts w:ascii="Times New Roman" w:hAnsi="Times New Roman" w:cs="Times New Roman"/>
          <w:color w:val="000000"/>
          <w:sz w:val="24"/>
          <w:szCs w:val="24"/>
        </w:rPr>
        <w:t>TEQSA’s</w:t>
      </w:r>
      <w:proofErr w:type="spellEnd"/>
      <w:r>
        <w:rPr>
          <w:rFonts w:ascii="Times New Roman" w:hAnsi="Times New Roman" w:cs="Times New Roman"/>
          <w:color w:val="000000"/>
          <w:sz w:val="24"/>
          <w:szCs w:val="24"/>
        </w:rPr>
        <w:t xml:space="preserve"> reform agenda, in particular, the use of risk assessments to reduce the information required of providers; and</w:t>
      </w:r>
    </w:p>
    <w:p w:rsidR="0019510E" w:rsidRDefault="0019510E" w:rsidP="0019510E">
      <w:pPr>
        <w:numPr>
          <w:ilvl w:val="0"/>
          <w:numId w:val="3"/>
        </w:numPr>
        <w:spacing w:after="120"/>
        <w:ind w:left="709" w:hanging="21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estimated cost savings for providers from deregulation arising from the above strategies.</w:t>
      </w:r>
    </w:p>
    <w:p w:rsidR="0019510E" w:rsidRDefault="0019510E" w:rsidP="0019510E">
      <w:pPr>
        <w:rPr>
          <w:rFonts w:ascii="Times New Roman" w:hAnsi="Times New Roman" w:cs="Times New Roman"/>
          <w:color w:val="000000"/>
          <w:sz w:val="24"/>
          <w:szCs w:val="24"/>
        </w:rPr>
      </w:pPr>
    </w:p>
    <w:p w:rsidR="0019510E" w:rsidRDefault="0019510E" w:rsidP="0019510E">
      <w:pPr>
        <w:keepNext/>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These reports will report on progress to-date at the end of the identified period and must be delivered:</w:t>
      </w:r>
    </w:p>
    <w:p w:rsidR="0019510E" w:rsidRDefault="0019510E" w:rsidP="0019510E">
      <w:pPr>
        <w:numPr>
          <w:ilvl w:val="0"/>
          <w:numId w:val="2"/>
        </w:numPr>
        <w:spacing w:after="120"/>
        <w:ind w:left="851"/>
        <w:rPr>
          <w:rFonts w:ascii="Times New Roman" w:hAnsi="Times New Roman" w:cs="Times New Roman"/>
          <w:color w:val="000000"/>
          <w:sz w:val="24"/>
          <w:szCs w:val="24"/>
        </w:rPr>
      </w:pPr>
      <w:r>
        <w:rPr>
          <w:rFonts w:ascii="Times New Roman" w:hAnsi="Times New Roman" w:cs="Times New Roman"/>
          <w:color w:val="000000"/>
          <w:sz w:val="24"/>
          <w:szCs w:val="24"/>
        </w:rPr>
        <w:t>within 30 days of this notice;</w:t>
      </w:r>
    </w:p>
    <w:p w:rsidR="0019510E" w:rsidRDefault="0019510E" w:rsidP="0019510E">
      <w:pPr>
        <w:numPr>
          <w:ilvl w:val="0"/>
          <w:numId w:val="2"/>
        </w:numPr>
        <w:spacing w:after="120"/>
        <w:ind w:left="851"/>
        <w:rPr>
          <w:rFonts w:ascii="Times New Roman" w:hAnsi="Times New Roman" w:cs="Times New Roman"/>
          <w:color w:val="000000"/>
          <w:sz w:val="24"/>
          <w:szCs w:val="24"/>
        </w:rPr>
      </w:pPr>
      <w:r>
        <w:rPr>
          <w:rFonts w:ascii="Times New Roman" w:hAnsi="Times New Roman" w:cs="Times New Roman"/>
          <w:color w:val="000000"/>
          <w:sz w:val="24"/>
          <w:szCs w:val="24"/>
        </w:rPr>
        <w:t>within six weeks of 31 December 2013; and</w:t>
      </w:r>
    </w:p>
    <w:p w:rsidR="0019510E" w:rsidRDefault="0019510E" w:rsidP="0019510E">
      <w:pPr>
        <w:numPr>
          <w:ilvl w:val="0"/>
          <w:numId w:val="2"/>
        </w:numPr>
        <w:spacing w:after="120"/>
        <w:ind w:left="851"/>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within</w:t>
      </w:r>
      <w:proofErr w:type="gramEnd"/>
      <w:r>
        <w:rPr>
          <w:rFonts w:ascii="Times New Roman" w:hAnsi="Times New Roman" w:cs="Times New Roman"/>
          <w:color w:val="000000"/>
          <w:sz w:val="24"/>
          <w:szCs w:val="24"/>
        </w:rPr>
        <w:t xml:space="preserve"> six weeks of 30 June 2014.</w:t>
      </w:r>
    </w:p>
    <w:p w:rsidR="0019510E" w:rsidRDefault="0019510E" w:rsidP="0019510E">
      <w:pPr>
        <w:spacing w:after="120"/>
        <w:ind w:left="491"/>
        <w:rPr>
          <w:rFonts w:ascii="Times New Roman" w:hAnsi="Times New Roman" w:cs="Times New Roman"/>
          <w:color w:val="000000"/>
          <w:sz w:val="24"/>
          <w:szCs w:val="24"/>
        </w:rPr>
      </w:pPr>
    </w:p>
    <w:p w:rsidR="00E15A8C" w:rsidRDefault="00E15A8C">
      <w:bookmarkStart w:id="2" w:name="_GoBack"/>
      <w:bookmarkEnd w:id="2"/>
    </w:p>
    <w:sectPr w:rsidR="00E15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6333"/>
    <w:multiLevelType w:val="hybridMultilevel"/>
    <w:tmpl w:val="07441D0E"/>
    <w:lvl w:ilvl="0" w:tplc="F280B164">
      <w:start w:val="1"/>
      <w:numFmt w:val="lowerRoman"/>
      <w:lvlText w:val="%1."/>
      <w:lvlJc w:val="right"/>
      <w:pPr>
        <w:ind w:left="2273" w:hanging="360"/>
      </w:pPr>
    </w:lvl>
    <w:lvl w:ilvl="1" w:tplc="E026A600">
      <w:start w:val="1"/>
      <w:numFmt w:val="lowerLetter"/>
      <w:lvlText w:val="%2."/>
      <w:lvlJc w:val="left"/>
      <w:pPr>
        <w:ind w:left="2993" w:hanging="360"/>
      </w:pPr>
    </w:lvl>
    <w:lvl w:ilvl="2" w:tplc="DE2AB358" w:tentative="1">
      <w:start w:val="1"/>
      <w:numFmt w:val="lowerRoman"/>
      <w:lvlText w:val="%3."/>
      <w:lvlJc w:val="right"/>
      <w:pPr>
        <w:ind w:left="3713" w:hanging="180"/>
      </w:pPr>
    </w:lvl>
    <w:lvl w:ilvl="3" w:tplc="C8584B86" w:tentative="1">
      <w:start w:val="1"/>
      <w:numFmt w:val="decimal"/>
      <w:lvlText w:val="%4."/>
      <w:lvlJc w:val="left"/>
      <w:pPr>
        <w:ind w:left="4433" w:hanging="360"/>
      </w:pPr>
    </w:lvl>
    <w:lvl w:ilvl="4" w:tplc="D0E6AD90" w:tentative="1">
      <w:start w:val="1"/>
      <w:numFmt w:val="lowerLetter"/>
      <w:lvlText w:val="%5."/>
      <w:lvlJc w:val="left"/>
      <w:pPr>
        <w:ind w:left="5153" w:hanging="360"/>
      </w:pPr>
    </w:lvl>
    <w:lvl w:ilvl="5" w:tplc="1EEEF0EE" w:tentative="1">
      <w:start w:val="1"/>
      <w:numFmt w:val="lowerRoman"/>
      <w:lvlText w:val="%6."/>
      <w:lvlJc w:val="right"/>
      <w:pPr>
        <w:ind w:left="5873" w:hanging="180"/>
      </w:pPr>
    </w:lvl>
    <w:lvl w:ilvl="6" w:tplc="90F6C56A" w:tentative="1">
      <w:start w:val="1"/>
      <w:numFmt w:val="decimal"/>
      <w:lvlText w:val="%7."/>
      <w:lvlJc w:val="left"/>
      <w:pPr>
        <w:ind w:left="6593" w:hanging="360"/>
      </w:pPr>
    </w:lvl>
    <w:lvl w:ilvl="7" w:tplc="171024BE" w:tentative="1">
      <w:start w:val="1"/>
      <w:numFmt w:val="lowerLetter"/>
      <w:lvlText w:val="%8."/>
      <w:lvlJc w:val="left"/>
      <w:pPr>
        <w:ind w:left="7313" w:hanging="360"/>
      </w:pPr>
    </w:lvl>
    <w:lvl w:ilvl="8" w:tplc="D742A5F4" w:tentative="1">
      <w:start w:val="1"/>
      <w:numFmt w:val="lowerRoman"/>
      <w:lvlText w:val="%9."/>
      <w:lvlJc w:val="right"/>
      <w:pPr>
        <w:ind w:left="8033" w:hanging="180"/>
      </w:pPr>
    </w:lvl>
  </w:abstractNum>
  <w:abstractNum w:abstractNumId="1">
    <w:nsid w:val="1D4C34F0"/>
    <w:multiLevelType w:val="hybridMultilevel"/>
    <w:tmpl w:val="07441D0E"/>
    <w:lvl w:ilvl="0" w:tplc="F280B164">
      <w:start w:val="1"/>
      <w:numFmt w:val="lowerRoman"/>
      <w:lvlText w:val="%1."/>
      <w:lvlJc w:val="right"/>
      <w:pPr>
        <w:ind w:left="2273" w:hanging="360"/>
      </w:pPr>
    </w:lvl>
    <w:lvl w:ilvl="1" w:tplc="E026A600">
      <w:start w:val="1"/>
      <w:numFmt w:val="lowerLetter"/>
      <w:lvlText w:val="%2."/>
      <w:lvlJc w:val="left"/>
      <w:pPr>
        <w:ind w:left="2993" w:hanging="360"/>
      </w:pPr>
    </w:lvl>
    <w:lvl w:ilvl="2" w:tplc="DE2AB358" w:tentative="1">
      <w:start w:val="1"/>
      <w:numFmt w:val="lowerRoman"/>
      <w:lvlText w:val="%3."/>
      <w:lvlJc w:val="right"/>
      <w:pPr>
        <w:ind w:left="3713" w:hanging="180"/>
      </w:pPr>
    </w:lvl>
    <w:lvl w:ilvl="3" w:tplc="C8584B86" w:tentative="1">
      <w:start w:val="1"/>
      <w:numFmt w:val="decimal"/>
      <w:lvlText w:val="%4."/>
      <w:lvlJc w:val="left"/>
      <w:pPr>
        <w:ind w:left="4433" w:hanging="360"/>
      </w:pPr>
    </w:lvl>
    <w:lvl w:ilvl="4" w:tplc="D0E6AD90" w:tentative="1">
      <w:start w:val="1"/>
      <w:numFmt w:val="lowerLetter"/>
      <w:lvlText w:val="%5."/>
      <w:lvlJc w:val="left"/>
      <w:pPr>
        <w:ind w:left="5153" w:hanging="360"/>
      </w:pPr>
    </w:lvl>
    <w:lvl w:ilvl="5" w:tplc="1EEEF0EE" w:tentative="1">
      <w:start w:val="1"/>
      <w:numFmt w:val="lowerRoman"/>
      <w:lvlText w:val="%6."/>
      <w:lvlJc w:val="right"/>
      <w:pPr>
        <w:ind w:left="5873" w:hanging="180"/>
      </w:pPr>
    </w:lvl>
    <w:lvl w:ilvl="6" w:tplc="90F6C56A" w:tentative="1">
      <w:start w:val="1"/>
      <w:numFmt w:val="decimal"/>
      <w:lvlText w:val="%7."/>
      <w:lvlJc w:val="left"/>
      <w:pPr>
        <w:ind w:left="6593" w:hanging="360"/>
      </w:pPr>
    </w:lvl>
    <w:lvl w:ilvl="7" w:tplc="171024BE" w:tentative="1">
      <w:start w:val="1"/>
      <w:numFmt w:val="lowerLetter"/>
      <w:lvlText w:val="%8."/>
      <w:lvlJc w:val="left"/>
      <w:pPr>
        <w:ind w:left="7313" w:hanging="360"/>
      </w:pPr>
    </w:lvl>
    <w:lvl w:ilvl="8" w:tplc="D742A5F4" w:tentative="1">
      <w:start w:val="1"/>
      <w:numFmt w:val="lowerRoman"/>
      <w:lvlText w:val="%9."/>
      <w:lvlJc w:val="right"/>
      <w:pPr>
        <w:ind w:left="8033" w:hanging="180"/>
      </w:pPr>
    </w:lvl>
  </w:abstractNum>
  <w:abstractNum w:abstractNumId="2">
    <w:nsid w:val="3AA21C27"/>
    <w:multiLevelType w:val="hybridMultilevel"/>
    <w:tmpl w:val="242C03D2"/>
    <w:lvl w:ilvl="0" w:tplc="FFA87050">
      <w:start w:val="1"/>
      <w:numFmt w:val="lowerRoman"/>
      <w:lvlText w:val="%1."/>
      <w:lvlJc w:val="right"/>
      <w:pPr>
        <w:ind w:left="2138" w:hanging="360"/>
      </w:pPr>
      <w:rPr>
        <w:rFonts w:hint="default"/>
      </w:rPr>
    </w:lvl>
    <w:lvl w:ilvl="1" w:tplc="31C49954">
      <w:start w:val="1"/>
      <w:numFmt w:val="lowerLetter"/>
      <w:lvlText w:val="%2."/>
      <w:lvlJc w:val="left"/>
      <w:pPr>
        <w:ind w:left="2858" w:hanging="360"/>
      </w:pPr>
    </w:lvl>
    <w:lvl w:ilvl="2" w:tplc="B8C60DD2" w:tentative="1">
      <w:start w:val="1"/>
      <w:numFmt w:val="lowerRoman"/>
      <w:lvlText w:val="%3."/>
      <w:lvlJc w:val="right"/>
      <w:pPr>
        <w:ind w:left="3578" w:hanging="180"/>
      </w:pPr>
    </w:lvl>
    <w:lvl w:ilvl="3" w:tplc="7C6CCE88" w:tentative="1">
      <w:start w:val="1"/>
      <w:numFmt w:val="decimal"/>
      <w:lvlText w:val="%4."/>
      <w:lvlJc w:val="left"/>
      <w:pPr>
        <w:ind w:left="4298" w:hanging="360"/>
      </w:pPr>
    </w:lvl>
    <w:lvl w:ilvl="4" w:tplc="EB140896" w:tentative="1">
      <w:start w:val="1"/>
      <w:numFmt w:val="lowerLetter"/>
      <w:lvlText w:val="%5."/>
      <w:lvlJc w:val="left"/>
      <w:pPr>
        <w:ind w:left="5018" w:hanging="360"/>
      </w:pPr>
    </w:lvl>
    <w:lvl w:ilvl="5" w:tplc="B194FF12" w:tentative="1">
      <w:start w:val="1"/>
      <w:numFmt w:val="lowerRoman"/>
      <w:lvlText w:val="%6."/>
      <w:lvlJc w:val="right"/>
      <w:pPr>
        <w:ind w:left="5738" w:hanging="180"/>
      </w:pPr>
    </w:lvl>
    <w:lvl w:ilvl="6" w:tplc="E19A5ABC" w:tentative="1">
      <w:start w:val="1"/>
      <w:numFmt w:val="decimal"/>
      <w:lvlText w:val="%7."/>
      <w:lvlJc w:val="left"/>
      <w:pPr>
        <w:ind w:left="6458" w:hanging="360"/>
      </w:pPr>
    </w:lvl>
    <w:lvl w:ilvl="7" w:tplc="7C46F282" w:tentative="1">
      <w:start w:val="1"/>
      <w:numFmt w:val="lowerLetter"/>
      <w:lvlText w:val="%8."/>
      <w:lvlJc w:val="left"/>
      <w:pPr>
        <w:ind w:left="7178" w:hanging="360"/>
      </w:pPr>
    </w:lvl>
    <w:lvl w:ilvl="8" w:tplc="05608F04" w:tentative="1">
      <w:start w:val="1"/>
      <w:numFmt w:val="lowerRoman"/>
      <w:lvlText w:val="%9."/>
      <w:lvlJc w:val="right"/>
      <w:pPr>
        <w:ind w:left="7898" w:hanging="180"/>
      </w:pPr>
    </w:lvl>
  </w:abstractNum>
  <w:abstractNum w:abstractNumId="3">
    <w:nsid w:val="48396751"/>
    <w:multiLevelType w:val="hybridMultilevel"/>
    <w:tmpl w:val="07441D0E"/>
    <w:lvl w:ilvl="0" w:tplc="C40EDBB8">
      <w:start w:val="1"/>
      <w:numFmt w:val="lowerRoman"/>
      <w:lvlText w:val="%1."/>
      <w:lvlJc w:val="right"/>
      <w:pPr>
        <w:ind w:left="2138" w:hanging="360"/>
      </w:pPr>
    </w:lvl>
    <w:lvl w:ilvl="1" w:tplc="C23C206C" w:tentative="1">
      <w:start w:val="1"/>
      <w:numFmt w:val="lowerLetter"/>
      <w:lvlText w:val="%2."/>
      <w:lvlJc w:val="left"/>
      <w:pPr>
        <w:ind w:left="2858" w:hanging="360"/>
      </w:pPr>
    </w:lvl>
    <w:lvl w:ilvl="2" w:tplc="3E828114" w:tentative="1">
      <w:start w:val="1"/>
      <w:numFmt w:val="lowerRoman"/>
      <w:lvlText w:val="%3."/>
      <w:lvlJc w:val="right"/>
      <w:pPr>
        <w:ind w:left="3578" w:hanging="180"/>
      </w:pPr>
    </w:lvl>
    <w:lvl w:ilvl="3" w:tplc="4B86BE0A" w:tentative="1">
      <w:start w:val="1"/>
      <w:numFmt w:val="decimal"/>
      <w:lvlText w:val="%4."/>
      <w:lvlJc w:val="left"/>
      <w:pPr>
        <w:ind w:left="4298" w:hanging="360"/>
      </w:pPr>
    </w:lvl>
    <w:lvl w:ilvl="4" w:tplc="297A86D2" w:tentative="1">
      <w:start w:val="1"/>
      <w:numFmt w:val="lowerLetter"/>
      <w:lvlText w:val="%5."/>
      <w:lvlJc w:val="left"/>
      <w:pPr>
        <w:ind w:left="5018" w:hanging="360"/>
      </w:pPr>
    </w:lvl>
    <w:lvl w:ilvl="5" w:tplc="A04E47AA" w:tentative="1">
      <w:start w:val="1"/>
      <w:numFmt w:val="lowerRoman"/>
      <w:lvlText w:val="%6."/>
      <w:lvlJc w:val="right"/>
      <w:pPr>
        <w:ind w:left="5738" w:hanging="180"/>
      </w:pPr>
    </w:lvl>
    <w:lvl w:ilvl="6" w:tplc="C336A352" w:tentative="1">
      <w:start w:val="1"/>
      <w:numFmt w:val="decimal"/>
      <w:lvlText w:val="%7."/>
      <w:lvlJc w:val="left"/>
      <w:pPr>
        <w:ind w:left="6458" w:hanging="360"/>
      </w:pPr>
    </w:lvl>
    <w:lvl w:ilvl="7" w:tplc="FF8C6B6A" w:tentative="1">
      <w:start w:val="1"/>
      <w:numFmt w:val="lowerLetter"/>
      <w:lvlText w:val="%8."/>
      <w:lvlJc w:val="left"/>
      <w:pPr>
        <w:ind w:left="7178" w:hanging="360"/>
      </w:pPr>
    </w:lvl>
    <w:lvl w:ilvl="8" w:tplc="36DAA920" w:tentative="1">
      <w:start w:val="1"/>
      <w:numFmt w:val="lowerRoman"/>
      <w:lvlText w:val="%9."/>
      <w:lvlJc w:val="right"/>
      <w:pPr>
        <w:ind w:left="789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0E"/>
    <w:rsid w:val="0019510E"/>
    <w:rsid w:val="00E15A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0E"/>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H">
    <w:name w:val="IH"/>
    <w:aliases w:val="Interpretation heading"/>
    <w:basedOn w:val="Normal"/>
    <w:next w:val="Normal"/>
    <w:rsid w:val="0019510E"/>
    <w:pPr>
      <w:keepNext/>
      <w:spacing w:before="480"/>
      <w:ind w:left="964" w:hanging="964"/>
    </w:pPr>
    <w:rPr>
      <w:rFonts w:eastAsia="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0E"/>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H">
    <w:name w:val="IH"/>
    <w:aliases w:val="Interpretation heading"/>
    <w:basedOn w:val="Normal"/>
    <w:next w:val="Normal"/>
    <w:rsid w:val="0019510E"/>
    <w:pPr>
      <w:keepNext/>
      <w:spacing w:before="480"/>
      <w:ind w:left="964" w:hanging="964"/>
    </w:pPr>
    <w:rPr>
      <w:rFonts w:eastAsia="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Pulford</dc:creator>
  <cp:lastModifiedBy>Nicole Pulford</cp:lastModifiedBy>
  <cp:revision>1</cp:revision>
  <dcterms:created xsi:type="dcterms:W3CDTF">2013-10-23T01:16:00Z</dcterms:created>
  <dcterms:modified xsi:type="dcterms:W3CDTF">2013-10-23T01:17:00Z</dcterms:modified>
</cp:coreProperties>
</file>