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E3A8D" w:rsidRDefault="00193461" w:rsidP="0048364F">
      <w:pPr>
        <w:rPr>
          <w:sz w:val="28"/>
        </w:rPr>
      </w:pPr>
      <w:r w:rsidRPr="008E3A8D">
        <w:rPr>
          <w:noProof/>
          <w:lang w:eastAsia="en-AU"/>
        </w:rPr>
        <w:drawing>
          <wp:inline distT="0" distB="0" distL="0" distR="0" wp14:anchorId="0112772E" wp14:editId="3C72DB6E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E3A8D" w:rsidRDefault="0048364F" w:rsidP="0048364F">
      <w:pPr>
        <w:rPr>
          <w:sz w:val="19"/>
        </w:rPr>
      </w:pPr>
    </w:p>
    <w:p w:rsidR="0048364F" w:rsidRPr="008E3A8D" w:rsidRDefault="00E74A91" w:rsidP="0048364F">
      <w:pPr>
        <w:pStyle w:val="ShortT"/>
      </w:pPr>
      <w:r w:rsidRPr="008E3A8D">
        <w:t xml:space="preserve">Offshore Petroleum and Greenhouse Gas Storage </w:t>
      </w:r>
      <w:r w:rsidR="00A25154" w:rsidRPr="008E3A8D">
        <w:t xml:space="preserve">Legislation </w:t>
      </w:r>
      <w:r w:rsidR="00052814" w:rsidRPr="008E3A8D">
        <w:t xml:space="preserve">Amendment (2013 </w:t>
      </w:r>
      <w:r w:rsidR="00D01A99" w:rsidRPr="008E3A8D">
        <w:t>M</w:t>
      </w:r>
      <w:r w:rsidR="00052814" w:rsidRPr="008E3A8D">
        <w:t xml:space="preserve">easures </w:t>
      </w:r>
      <w:r w:rsidR="00D01A99" w:rsidRPr="008E3A8D">
        <w:t>N</w:t>
      </w:r>
      <w:r w:rsidR="00052814" w:rsidRPr="008E3A8D">
        <w:t>o.</w:t>
      </w:r>
      <w:r w:rsidR="008E3A8D" w:rsidRPr="008E3A8D">
        <w:t> </w:t>
      </w:r>
      <w:r w:rsidR="00DA0C93" w:rsidRPr="008E3A8D">
        <w:t>2</w:t>
      </w:r>
      <w:r w:rsidR="00052814" w:rsidRPr="008E3A8D">
        <w:t xml:space="preserve">) </w:t>
      </w:r>
      <w:r w:rsidRPr="008E3A8D">
        <w:t>Regulation</w:t>
      </w:r>
      <w:r w:rsidR="008E3A8D" w:rsidRPr="008E3A8D">
        <w:t> </w:t>
      </w:r>
      <w:r w:rsidRPr="008E3A8D">
        <w:t>2013</w:t>
      </w:r>
    </w:p>
    <w:p w:rsidR="0048364F" w:rsidRPr="008E3A8D" w:rsidRDefault="0048364F" w:rsidP="0048364F"/>
    <w:p w:rsidR="0048364F" w:rsidRPr="008E3A8D" w:rsidRDefault="00A4361F" w:rsidP="00680F17">
      <w:pPr>
        <w:pStyle w:val="InstNo"/>
      </w:pPr>
      <w:r w:rsidRPr="008E3A8D">
        <w:t>Select Legislative Instrument</w:t>
      </w:r>
      <w:r w:rsidR="00154EAC" w:rsidRPr="008E3A8D">
        <w:t xml:space="preserve"> </w:t>
      </w:r>
      <w:bookmarkStart w:id="0" w:name="BKCheck15B_1"/>
      <w:bookmarkEnd w:id="0"/>
      <w:r w:rsidR="00D0104A" w:rsidRPr="008E3A8D">
        <w:fldChar w:fldCharType="begin"/>
      </w:r>
      <w:r w:rsidR="00D0104A" w:rsidRPr="008E3A8D">
        <w:instrText xml:space="preserve"> DOCPROPERTY  ActNo </w:instrText>
      </w:r>
      <w:r w:rsidR="00D0104A" w:rsidRPr="008E3A8D">
        <w:fldChar w:fldCharType="separate"/>
      </w:r>
      <w:r w:rsidR="009A3D45">
        <w:t>No. 238, 2013</w:t>
      </w:r>
      <w:r w:rsidR="00D0104A" w:rsidRPr="008E3A8D">
        <w:fldChar w:fldCharType="end"/>
      </w:r>
    </w:p>
    <w:p w:rsidR="00D525A3" w:rsidRPr="008E3A8D" w:rsidRDefault="00D525A3" w:rsidP="007748CC">
      <w:pPr>
        <w:pStyle w:val="SignCoverPageStart"/>
        <w:spacing w:before="240"/>
      </w:pPr>
      <w:r w:rsidRPr="008E3A8D">
        <w:t xml:space="preserve">I, </w:t>
      </w:r>
      <w:r w:rsidR="00B96D3A" w:rsidRPr="008E3A8D">
        <w:t>RADM Kevin Scarce AC CSC RANR, Administrator of the Government of the Commonwealth of Australia,</w:t>
      </w:r>
      <w:r w:rsidRPr="008E3A8D">
        <w:t xml:space="preserve"> acting with the advice of the Federal Executive Council, make the following regulation under the </w:t>
      </w:r>
      <w:r w:rsidRPr="008E3A8D">
        <w:rPr>
          <w:i/>
        </w:rPr>
        <w:t>Offshore Petroleum and Greenhouse Gas Storage Act 2006</w:t>
      </w:r>
      <w:r w:rsidRPr="008E3A8D">
        <w:t>.</w:t>
      </w:r>
    </w:p>
    <w:p w:rsidR="00D525A3" w:rsidRPr="008E3A8D" w:rsidRDefault="00D525A3" w:rsidP="007748CC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E3A8D">
        <w:rPr>
          <w:sz w:val="24"/>
          <w:szCs w:val="24"/>
        </w:rPr>
        <w:t xml:space="preserve">Dated </w:t>
      </w:r>
      <w:bookmarkStart w:id="1" w:name="BKCheck15B_2"/>
      <w:bookmarkStart w:id="2" w:name="_GoBack"/>
      <w:bookmarkEnd w:id="1"/>
      <w:bookmarkEnd w:id="2"/>
      <w:r w:rsidRPr="008E3A8D">
        <w:rPr>
          <w:sz w:val="24"/>
          <w:szCs w:val="24"/>
        </w:rPr>
        <w:fldChar w:fldCharType="begin"/>
      </w:r>
      <w:r w:rsidRPr="008E3A8D">
        <w:rPr>
          <w:sz w:val="24"/>
          <w:szCs w:val="24"/>
        </w:rPr>
        <w:instrText xml:space="preserve"> DOCPROPERTY  DateMade </w:instrText>
      </w:r>
      <w:r w:rsidRPr="008E3A8D">
        <w:rPr>
          <w:sz w:val="24"/>
          <w:szCs w:val="24"/>
        </w:rPr>
        <w:fldChar w:fldCharType="separate"/>
      </w:r>
      <w:r w:rsidR="009A3D45">
        <w:rPr>
          <w:sz w:val="24"/>
          <w:szCs w:val="24"/>
        </w:rPr>
        <w:t>08 November 2013</w:t>
      </w:r>
      <w:r w:rsidRPr="008E3A8D">
        <w:rPr>
          <w:sz w:val="24"/>
          <w:szCs w:val="24"/>
        </w:rPr>
        <w:fldChar w:fldCharType="end"/>
      </w:r>
    </w:p>
    <w:p w:rsidR="00D525A3" w:rsidRPr="008E3A8D" w:rsidRDefault="00B96D3A" w:rsidP="007748CC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E3A8D">
        <w:t>Kevin Scarce</w:t>
      </w:r>
    </w:p>
    <w:p w:rsidR="00D525A3" w:rsidRPr="008E3A8D" w:rsidRDefault="00B96D3A" w:rsidP="007748C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E3A8D">
        <w:rPr>
          <w:sz w:val="24"/>
          <w:szCs w:val="24"/>
        </w:rPr>
        <w:t>Administrator</w:t>
      </w:r>
    </w:p>
    <w:p w:rsidR="00D525A3" w:rsidRPr="008E3A8D" w:rsidRDefault="00D525A3" w:rsidP="007748CC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E3A8D">
        <w:rPr>
          <w:sz w:val="24"/>
          <w:szCs w:val="24"/>
        </w:rPr>
        <w:t>By H</w:t>
      </w:r>
      <w:r w:rsidR="00B96D3A" w:rsidRPr="008E3A8D">
        <w:rPr>
          <w:sz w:val="24"/>
          <w:szCs w:val="24"/>
        </w:rPr>
        <w:t>is</w:t>
      </w:r>
      <w:r w:rsidRPr="008E3A8D">
        <w:rPr>
          <w:sz w:val="24"/>
          <w:szCs w:val="24"/>
        </w:rPr>
        <w:t xml:space="preserve"> Excellency’s Command</w:t>
      </w:r>
    </w:p>
    <w:p w:rsidR="00D525A3" w:rsidRPr="008E3A8D" w:rsidRDefault="00D525A3" w:rsidP="007748C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E3A8D">
        <w:rPr>
          <w:szCs w:val="22"/>
        </w:rPr>
        <w:t>Ian Mac</w:t>
      </w:r>
      <w:r w:rsidR="000409B1" w:rsidRPr="008E3A8D">
        <w:rPr>
          <w:szCs w:val="22"/>
        </w:rPr>
        <w:t>f</w:t>
      </w:r>
      <w:r w:rsidRPr="008E3A8D">
        <w:rPr>
          <w:szCs w:val="22"/>
        </w:rPr>
        <w:t>arlane</w:t>
      </w:r>
    </w:p>
    <w:p w:rsidR="00D525A3" w:rsidRPr="008E3A8D" w:rsidRDefault="00D525A3" w:rsidP="007748CC">
      <w:pPr>
        <w:pStyle w:val="SignCoverPageEnd"/>
      </w:pPr>
      <w:r w:rsidRPr="008E3A8D">
        <w:t>Minister for Industry</w:t>
      </w:r>
    </w:p>
    <w:p w:rsidR="00D525A3" w:rsidRPr="008E3A8D" w:rsidRDefault="00D525A3" w:rsidP="00D525A3"/>
    <w:p w:rsidR="0048364F" w:rsidRPr="008E3A8D" w:rsidRDefault="0048364F" w:rsidP="0048364F">
      <w:pPr>
        <w:pStyle w:val="Header"/>
        <w:tabs>
          <w:tab w:val="clear" w:pos="4150"/>
          <w:tab w:val="clear" w:pos="8307"/>
        </w:tabs>
      </w:pPr>
      <w:r w:rsidRPr="008E3A8D">
        <w:rPr>
          <w:rStyle w:val="CharAmSchNo"/>
        </w:rPr>
        <w:t xml:space="preserve"> </w:t>
      </w:r>
      <w:r w:rsidRPr="008E3A8D">
        <w:rPr>
          <w:rStyle w:val="CharAmSchText"/>
        </w:rPr>
        <w:t xml:space="preserve"> </w:t>
      </w:r>
    </w:p>
    <w:p w:rsidR="0048364F" w:rsidRPr="008E3A8D" w:rsidRDefault="0048364F" w:rsidP="0048364F">
      <w:pPr>
        <w:pStyle w:val="Header"/>
        <w:tabs>
          <w:tab w:val="clear" w:pos="4150"/>
          <w:tab w:val="clear" w:pos="8307"/>
        </w:tabs>
      </w:pPr>
      <w:r w:rsidRPr="008E3A8D">
        <w:rPr>
          <w:rStyle w:val="CharAmPartNo"/>
        </w:rPr>
        <w:t xml:space="preserve"> </w:t>
      </w:r>
      <w:r w:rsidRPr="008E3A8D">
        <w:rPr>
          <w:rStyle w:val="CharAmPartText"/>
        </w:rPr>
        <w:t xml:space="preserve"> </w:t>
      </w:r>
    </w:p>
    <w:p w:rsidR="0048364F" w:rsidRPr="008E3A8D" w:rsidRDefault="0048364F" w:rsidP="0048364F">
      <w:pPr>
        <w:sectPr w:rsidR="0048364F" w:rsidRPr="008E3A8D" w:rsidSect="007E1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E3A8D" w:rsidRDefault="0048364F" w:rsidP="00DD5F2F">
      <w:pPr>
        <w:rPr>
          <w:sz w:val="36"/>
        </w:rPr>
      </w:pPr>
      <w:r w:rsidRPr="008E3A8D">
        <w:rPr>
          <w:sz w:val="36"/>
        </w:rPr>
        <w:lastRenderedPageBreak/>
        <w:t>Contents</w:t>
      </w:r>
    </w:p>
    <w:bookmarkStart w:id="3" w:name="BKCheck15B_3"/>
    <w:bookmarkEnd w:id="3"/>
    <w:p w:rsidR="008E3A8D" w:rsidRPr="008E3A8D" w:rsidRDefault="008E3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A8D">
        <w:fldChar w:fldCharType="begin"/>
      </w:r>
      <w:r w:rsidRPr="008E3A8D">
        <w:instrText xml:space="preserve"> TOC \o "1-9" </w:instrText>
      </w:r>
      <w:r w:rsidRPr="008E3A8D">
        <w:fldChar w:fldCharType="separate"/>
      </w:r>
      <w:r w:rsidRPr="008E3A8D">
        <w:rPr>
          <w:noProof/>
        </w:rPr>
        <w:t>1</w:t>
      </w:r>
      <w:r w:rsidRPr="008E3A8D">
        <w:rPr>
          <w:noProof/>
        </w:rPr>
        <w:tab/>
        <w:t>Name of regulation</w:t>
      </w:r>
      <w:r w:rsidRPr="008E3A8D">
        <w:rPr>
          <w:noProof/>
        </w:rPr>
        <w:tab/>
      </w:r>
      <w:r w:rsidRPr="008E3A8D">
        <w:rPr>
          <w:noProof/>
        </w:rPr>
        <w:fldChar w:fldCharType="begin"/>
      </w:r>
      <w:r w:rsidRPr="008E3A8D">
        <w:rPr>
          <w:noProof/>
        </w:rPr>
        <w:instrText xml:space="preserve"> PAGEREF _Toc369875574 \h </w:instrText>
      </w:r>
      <w:r w:rsidRPr="008E3A8D">
        <w:rPr>
          <w:noProof/>
        </w:rPr>
      </w:r>
      <w:r w:rsidRPr="008E3A8D">
        <w:rPr>
          <w:noProof/>
        </w:rPr>
        <w:fldChar w:fldCharType="separate"/>
      </w:r>
      <w:r w:rsidR="009A3D45">
        <w:rPr>
          <w:noProof/>
        </w:rPr>
        <w:t>1</w:t>
      </w:r>
      <w:r w:rsidRPr="008E3A8D">
        <w:rPr>
          <w:noProof/>
        </w:rPr>
        <w:fldChar w:fldCharType="end"/>
      </w:r>
    </w:p>
    <w:p w:rsidR="008E3A8D" w:rsidRPr="008E3A8D" w:rsidRDefault="008E3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A8D">
        <w:rPr>
          <w:noProof/>
        </w:rPr>
        <w:t>2</w:t>
      </w:r>
      <w:r w:rsidRPr="008E3A8D">
        <w:rPr>
          <w:noProof/>
        </w:rPr>
        <w:tab/>
        <w:t>Commencement</w:t>
      </w:r>
      <w:r w:rsidRPr="008E3A8D">
        <w:rPr>
          <w:noProof/>
        </w:rPr>
        <w:tab/>
      </w:r>
      <w:r w:rsidRPr="008E3A8D">
        <w:rPr>
          <w:noProof/>
        </w:rPr>
        <w:fldChar w:fldCharType="begin"/>
      </w:r>
      <w:r w:rsidRPr="008E3A8D">
        <w:rPr>
          <w:noProof/>
        </w:rPr>
        <w:instrText xml:space="preserve"> PAGEREF _Toc369875575 \h </w:instrText>
      </w:r>
      <w:r w:rsidRPr="008E3A8D">
        <w:rPr>
          <w:noProof/>
        </w:rPr>
      </w:r>
      <w:r w:rsidRPr="008E3A8D">
        <w:rPr>
          <w:noProof/>
        </w:rPr>
        <w:fldChar w:fldCharType="separate"/>
      </w:r>
      <w:r w:rsidR="009A3D45">
        <w:rPr>
          <w:noProof/>
        </w:rPr>
        <w:t>1</w:t>
      </w:r>
      <w:r w:rsidRPr="008E3A8D">
        <w:rPr>
          <w:noProof/>
        </w:rPr>
        <w:fldChar w:fldCharType="end"/>
      </w:r>
    </w:p>
    <w:p w:rsidR="008E3A8D" w:rsidRPr="008E3A8D" w:rsidRDefault="008E3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A8D">
        <w:rPr>
          <w:noProof/>
        </w:rPr>
        <w:t>3</w:t>
      </w:r>
      <w:r w:rsidRPr="008E3A8D">
        <w:rPr>
          <w:noProof/>
        </w:rPr>
        <w:tab/>
        <w:t>Authority</w:t>
      </w:r>
      <w:r w:rsidRPr="008E3A8D">
        <w:rPr>
          <w:noProof/>
        </w:rPr>
        <w:tab/>
      </w:r>
      <w:r w:rsidRPr="008E3A8D">
        <w:rPr>
          <w:noProof/>
        </w:rPr>
        <w:fldChar w:fldCharType="begin"/>
      </w:r>
      <w:r w:rsidRPr="008E3A8D">
        <w:rPr>
          <w:noProof/>
        </w:rPr>
        <w:instrText xml:space="preserve"> PAGEREF _Toc369875576 \h </w:instrText>
      </w:r>
      <w:r w:rsidRPr="008E3A8D">
        <w:rPr>
          <w:noProof/>
        </w:rPr>
      </w:r>
      <w:r w:rsidRPr="008E3A8D">
        <w:rPr>
          <w:noProof/>
        </w:rPr>
        <w:fldChar w:fldCharType="separate"/>
      </w:r>
      <w:r w:rsidR="009A3D45">
        <w:rPr>
          <w:noProof/>
        </w:rPr>
        <w:t>1</w:t>
      </w:r>
      <w:r w:rsidRPr="008E3A8D">
        <w:rPr>
          <w:noProof/>
        </w:rPr>
        <w:fldChar w:fldCharType="end"/>
      </w:r>
    </w:p>
    <w:p w:rsidR="008E3A8D" w:rsidRPr="008E3A8D" w:rsidRDefault="008E3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A8D">
        <w:rPr>
          <w:noProof/>
        </w:rPr>
        <w:t>4</w:t>
      </w:r>
      <w:r w:rsidRPr="008E3A8D">
        <w:rPr>
          <w:noProof/>
        </w:rPr>
        <w:tab/>
        <w:t>Schedule(s)</w:t>
      </w:r>
      <w:r w:rsidRPr="008E3A8D">
        <w:rPr>
          <w:noProof/>
        </w:rPr>
        <w:tab/>
      </w:r>
      <w:r w:rsidRPr="008E3A8D">
        <w:rPr>
          <w:noProof/>
        </w:rPr>
        <w:fldChar w:fldCharType="begin"/>
      </w:r>
      <w:r w:rsidRPr="008E3A8D">
        <w:rPr>
          <w:noProof/>
        </w:rPr>
        <w:instrText xml:space="preserve"> PAGEREF _Toc369875577 \h </w:instrText>
      </w:r>
      <w:r w:rsidRPr="008E3A8D">
        <w:rPr>
          <w:noProof/>
        </w:rPr>
      </w:r>
      <w:r w:rsidRPr="008E3A8D">
        <w:rPr>
          <w:noProof/>
        </w:rPr>
        <w:fldChar w:fldCharType="separate"/>
      </w:r>
      <w:r w:rsidR="009A3D45">
        <w:rPr>
          <w:noProof/>
        </w:rPr>
        <w:t>1</w:t>
      </w:r>
      <w:r w:rsidRPr="008E3A8D">
        <w:rPr>
          <w:noProof/>
        </w:rPr>
        <w:fldChar w:fldCharType="end"/>
      </w:r>
    </w:p>
    <w:p w:rsidR="008E3A8D" w:rsidRPr="008E3A8D" w:rsidRDefault="008E3A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3A8D">
        <w:rPr>
          <w:noProof/>
        </w:rPr>
        <w:t>Schedule 1—Amendments commencing day after registration</w:t>
      </w:r>
      <w:r w:rsidRPr="008E3A8D">
        <w:rPr>
          <w:b w:val="0"/>
          <w:noProof/>
          <w:sz w:val="18"/>
        </w:rPr>
        <w:tab/>
      </w:r>
      <w:r w:rsidRPr="008E3A8D">
        <w:rPr>
          <w:b w:val="0"/>
          <w:noProof/>
          <w:sz w:val="18"/>
        </w:rPr>
        <w:fldChar w:fldCharType="begin"/>
      </w:r>
      <w:r w:rsidRPr="008E3A8D">
        <w:rPr>
          <w:b w:val="0"/>
          <w:noProof/>
          <w:sz w:val="18"/>
        </w:rPr>
        <w:instrText xml:space="preserve"> PAGEREF _Toc369875578 \h </w:instrText>
      </w:r>
      <w:r w:rsidRPr="008E3A8D">
        <w:rPr>
          <w:b w:val="0"/>
          <w:noProof/>
          <w:sz w:val="18"/>
        </w:rPr>
      </w:r>
      <w:r w:rsidRPr="008E3A8D">
        <w:rPr>
          <w:b w:val="0"/>
          <w:noProof/>
          <w:sz w:val="18"/>
        </w:rPr>
        <w:fldChar w:fldCharType="separate"/>
      </w:r>
      <w:r w:rsidR="009A3D45">
        <w:rPr>
          <w:b w:val="0"/>
          <w:noProof/>
          <w:sz w:val="18"/>
        </w:rPr>
        <w:t>3</w:t>
      </w:r>
      <w:r w:rsidRPr="008E3A8D">
        <w:rPr>
          <w:b w:val="0"/>
          <w:noProof/>
          <w:sz w:val="18"/>
        </w:rPr>
        <w:fldChar w:fldCharType="end"/>
      </w:r>
    </w:p>
    <w:p w:rsidR="008E3A8D" w:rsidRPr="008E3A8D" w:rsidRDefault="008E3A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3A8D">
        <w:rPr>
          <w:noProof/>
        </w:rPr>
        <w:t>Offshore Petroleum and Greenhouse Gas Storage (Resource Management and Administration) Regulations 2011</w:t>
      </w:r>
      <w:r w:rsidRPr="008E3A8D">
        <w:rPr>
          <w:i w:val="0"/>
          <w:noProof/>
          <w:sz w:val="18"/>
        </w:rPr>
        <w:tab/>
      </w:r>
      <w:r w:rsidRPr="008E3A8D">
        <w:rPr>
          <w:i w:val="0"/>
          <w:noProof/>
          <w:sz w:val="18"/>
        </w:rPr>
        <w:fldChar w:fldCharType="begin"/>
      </w:r>
      <w:r w:rsidRPr="008E3A8D">
        <w:rPr>
          <w:i w:val="0"/>
          <w:noProof/>
          <w:sz w:val="18"/>
        </w:rPr>
        <w:instrText xml:space="preserve"> PAGEREF _Toc369875579 \h </w:instrText>
      </w:r>
      <w:r w:rsidRPr="008E3A8D">
        <w:rPr>
          <w:i w:val="0"/>
          <w:noProof/>
          <w:sz w:val="18"/>
        </w:rPr>
      </w:r>
      <w:r w:rsidRPr="008E3A8D">
        <w:rPr>
          <w:i w:val="0"/>
          <w:noProof/>
          <w:sz w:val="18"/>
        </w:rPr>
        <w:fldChar w:fldCharType="separate"/>
      </w:r>
      <w:r w:rsidR="009A3D45">
        <w:rPr>
          <w:i w:val="0"/>
          <w:noProof/>
          <w:sz w:val="18"/>
        </w:rPr>
        <w:t>3</w:t>
      </w:r>
      <w:r w:rsidRPr="008E3A8D">
        <w:rPr>
          <w:i w:val="0"/>
          <w:noProof/>
          <w:sz w:val="18"/>
        </w:rPr>
        <w:fldChar w:fldCharType="end"/>
      </w:r>
    </w:p>
    <w:p w:rsidR="008E3A8D" w:rsidRPr="008E3A8D" w:rsidRDefault="008E3A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3A8D">
        <w:rPr>
          <w:noProof/>
        </w:rPr>
        <w:t>Schedule 2—Amendments commencing immediately after commencement of Part 1 of Schedule 4 to the Offshore Petroleum and Greenhouse Gas Storage Amendment (Compliance Measures No. 2) Act 2013</w:t>
      </w:r>
      <w:r w:rsidRPr="008E3A8D">
        <w:rPr>
          <w:b w:val="0"/>
          <w:noProof/>
          <w:sz w:val="18"/>
        </w:rPr>
        <w:tab/>
      </w:r>
      <w:r w:rsidRPr="008E3A8D">
        <w:rPr>
          <w:b w:val="0"/>
          <w:noProof/>
          <w:sz w:val="18"/>
        </w:rPr>
        <w:fldChar w:fldCharType="begin"/>
      </w:r>
      <w:r w:rsidRPr="008E3A8D">
        <w:rPr>
          <w:b w:val="0"/>
          <w:noProof/>
          <w:sz w:val="18"/>
        </w:rPr>
        <w:instrText xml:space="preserve"> PAGEREF _Toc369875589 \h </w:instrText>
      </w:r>
      <w:r w:rsidRPr="008E3A8D">
        <w:rPr>
          <w:b w:val="0"/>
          <w:noProof/>
          <w:sz w:val="18"/>
        </w:rPr>
      </w:r>
      <w:r w:rsidRPr="008E3A8D">
        <w:rPr>
          <w:b w:val="0"/>
          <w:noProof/>
          <w:sz w:val="18"/>
        </w:rPr>
        <w:fldChar w:fldCharType="separate"/>
      </w:r>
      <w:r w:rsidR="009A3D45">
        <w:rPr>
          <w:b w:val="0"/>
          <w:noProof/>
          <w:sz w:val="18"/>
        </w:rPr>
        <w:t>10</w:t>
      </w:r>
      <w:r w:rsidRPr="008E3A8D">
        <w:rPr>
          <w:b w:val="0"/>
          <w:noProof/>
          <w:sz w:val="18"/>
        </w:rPr>
        <w:fldChar w:fldCharType="end"/>
      </w:r>
    </w:p>
    <w:p w:rsidR="008E3A8D" w:rsidRPr="008E3A8D" w:rsidRDefault="008E3A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3A8D">
        <w:rPr>
          <w:noProof/>
        </w:rPr>
        <w:t>Offshore Petroleum and Greenhouse Gas Storage (Environment) Regulations 2009</w:t>
      </w:r>
      <w:r w:rsidRPr="008E3A8D">
        <w:rPr>
          <w:i w:val="0"/>
          <w:noProof/>
          <w:sz w:val="18"/>
        </w:rPr>
        <w:tab/>
      </w:r>
      <w:r w:rsidRPr="008E3A8D">
        <w:rPr>
          <w:i w:val="0"/>
          <w:noProof/>
          <w:sz w:val="18"/>
        </w:rPr>
        <w:fldChar w:fldCharType="begin"/>
      </w:r>
      <w:r w:rsidRPr="008E3A8D">
        <w:rPr>
          <w:i w:val="0"/>
          <w:noProof/>
          <w:sz w:val="18"/>
        </w:rPr>
        <w:instrText xml:space="preserve"> PAGEREF _Toc369875590 \h </w:instrText>
      </w:r>
      <w:r w:rsidRPr="008E3A8D">
        <w:rPr>
          <w:i w:val="0"/>
          <w:noProof/>
          <w:sz w:val="18"/>
        </w:rPr>
      </w:r>
      <w:r w:rsidRPr="008E3A8D">
        <w:rPr>
          <w:i w:val="0"/>
          <w:noProof/>
          <w:sz w:val="18"/>
        </w:rPr>
        <w:fldChar w:fldCharType="separate"/>
      </w:r>
      <w:r w:rsidR="009A3D45">
        <w:rPr>
          <w:i w:val="0"/>
          <w:noProof/>
          <w:sz w:val="18"/>
        </w:rPr>
        <w:t>10</w:t>
      </w:r>
      <w:r w:rsidRPr="008E3A8D">
        <w:rPr>
          <w:i w:val="0"/>
          <w:noProof/>
          <w:sz w:val="18"/>
        </w:rPr>
        <w:fldChar w:fldCharType="end"/>
      </w:r>
    </w:p>
    <w:p w:rsidR="008E3A8D" w:rsidRPr="008E3A8D" w:rsidRDefault="008E3A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3A8D">
        <w:rPr>
          <w:noProof/>
        </w:rPr>
        <w:t>Offshore Petroleum and Greenhouse Gas Storage (Resource Management and Administration) Regulations 2011</w:t>
      </w:r>
      <w:r w:rsidRPr="008E3A8D">
        <w:rPr>
          <w:i w:val="0"/>
          <w:noProof/>
          <w:sz w:val="18"/>
        </w:rPr>
        <w:tab/>
      </w:r>
      <w:r w:rsidRPr="008E3A8D">
        <w:rPr>
          <w:i w:val="0"/>
          <w:noProof/>
          <w:sz w:val="18"/>
        </w:rPr>
        <w:fldChar w:fldCharType="begin"/>
      </w:r>
      <w:r w:rsidRPr="008E3A8D">
        <w:rPr>
          <w:i w:val="0"/>
          <w:noProof/>
          <w:sz w:val="18"/>
        </w:rPr>
        <w:instrText xml:space="preserve"> PAGEREF _Toc369875591 \h </w:instrText>
      </w:r>
      <w:r w:rsidRPr="008E3A8D">
        <w:rPr>
          <w:i w:val="0"/>
          <w:noProof/>
          <w:sz w:val="18"/>
        </w:rPr>
      </w:r>
      <w:r w:rsidRPr="008E3A8D">
        <w:rPr>
          <w:i w:val="0"/>
          <w:noProof/>
          <w:sz w:val="18"/>
        </w:rPr>
        <w:fldChar w:fldCharType="separate"/>
      </w:r>
      <w:r w:rsidR="009A3D45">
        <w:rPr>
          <w:i w:val="0"/>
          <w:noProof/>
          <w:sz w:val="18"/>
        </w:rPr>
        <w:t>10</w:t>
      </w:r>
      <w:r w:rsidRPr="008E3A8D">
        <w:rPr>
          <w:i w:val="0"/>
          <w:noProof/>
          <w:sz w:val="18"/>
        </w:rPr>
        <w:fldChar w:fldCharType="end"/>
      </w:r>
    </w:p>
    <w:p w:rsidR="008E3A8D" w:rsidRPr="008E3A8D" w:rsidRDefault="008E3A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3A8D">
        <w:rPr>
          <w:noProof/>
        </w:rPr>
        <w:t>Offshore Petroleum and Greenhouse Gas Storage (Safety) Regulations 2009</w:t>
      </w:r>
      <w:r w:rsidRPr="008E3A8D">
        <w:rPr>
          <w:i w:val="0"/>
          <w:noProof/>
          <w:sz w:val="18"/>
        </w:rPr>
        <w:tab/>
      </w:r>
      <w:r w:rsidRPr="008E3A8D">
        <w:rPr>
          <w:i w:val="0"/>
          <w:noProof/>
          <w:sz w:val="18"/>
        </w:rPr>
        <w:fldChar w:fldCharType="begin"/>
      </w:r>
      <w:r w:rsidRPr="008E3A8D">
        <w:rPr>
          <w:i w:val="0"/>
          <w:noProof/>
          <w:sz w:val="18"/>
        </w:rPr>
        <w:instrText xml:space="preserve"> PAGEREF _Toc369875599 \h </w:instrText>
      </w:r>
      <w:r w:rsidRPr="008E3A8D">
        <w:rPr>
          <w:i w:val="0"/>
          <w:noProof/>
          <w:sz w:val="18"/>
        </w:rPr>
      </w:r>
      <w:r w:rsidRPr="008E3A8D">
        <w:rPr>
          <w:i w:val="0"/>
          <w:noProof/>
          <w:sz w:val="18"/>
        </w:rPr>
        <w:fldChar w:fldCharType="separate"/>
      </w:r>
      <w:r w:rsidR="009A3D45">
        <w:rPr>
          <w:i w:val="0"/>
          <w:noProof/>
          <w:sz w:val="18"/>
        </w:rPr>
        <w:t>21</w:t>
      </w:r>
      <w:r w:rsidRPr="008E3A8D">
        <w:rPr>
          <w:i w:val="0"/>
          <w:noProof/>
          <w:sz w:val="18"/>
        </w:rPr>
        <w:fldChar w:fldCharType="end"/>
      </w:r>
    </w:p>
    <w:p w:rsidR="00833416" w:rsidRPr="008E3A8D" w:rsidRDefault="008E3A8D" w:rsidP="0048364F">
      <w:r w:rsidRPr="008E3A8D">
        <w:fldChar w:fldCharType="end"/>
      </w:r>
    </w:p>
    <w:p w:rsidR="00722023" w:rsidRPr="008E3A8D" w:rsidRDefault="00722023" w:rsidP="0048364F">
      <w:pPr>
        <w:sectPr w:rsidR="00722023" w:rsidRPr="008E3A8D" w:rsidSect="007E16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E3A8D" w:rsidRDefault="0048364F" w:rsidP="0048364F">
      <w:pPr>
        <w:pStyle w:val="ActHead5"/>
      </w:pPr>
      <w:bookmarkStart w:id="4" w:name="_Toc369875574"/>
      <w:r w:rsidRPr="008E3A8D">
        <w:rPr>
          <w:rStyle w:val="CharSectno"/>
        </w:rPr>
        <w:lastRenderedPageBreak/>
        <w:t>1</w:t>
      </w:r>
      <w:r w:rsidRPr="008E3A8D">
        <w:t xml:space="preserve">  </w:t>
      </w:r>
      <w:r w:rsidR="004F676E" w:rsidRPr="008E3A8D">
        <w:t xml:space="preserve">Name of </w:t>
      </w:r>
      <w:r w:rsidR="00E74A91" w:rsidRPr="008E3A8D">
        <w:t>regulation</w:t>
      </w:r>
      <w:bookmarkEnd w:id="4"/>
    </w:p>
    <w:p w:rsidR="00761F24" w:rsidRPr="008E3A8D" w:rsidRDefault="00761F24" w:rsidP="00761F24">
      <w:pPr>
        <w:pStyle w:val="subsection"/>
      </w:pPr>
      <w:r w:rsidRPr="008E3A8D">
        <w:tab/>
      </w:r>
      <w:r w:rsidRPr="008E3A8D">
        <w:tab/>
        <w:t xml:space="preserve">This regulation is the </w:t>
      </w:r>
      <w:bookmarkStart w:id="5" w:name="BKCheck15B_4"/>
      <w:bookmarkEnd w:id="5"/>
      <w:r w:rsidRPr="008E3A8D">
        <w:rPr>
          <w:i/>
        </w:rPr>
        <w:fldChar w:fldCharType="begin"/>
      </w:r>
      <w:r w:rsidRPr="008E3A8D">
        <w:rPr>
          <w:i/>
        </w:rPr>
        <w:instrText xml:space="preserve"> STYLEREF  ShortT </w:instrText>
      </w:r>
      <w:r w:rsidRPr="008E3A8D">
        <w:rPr>
          <w:i/>
        </w:rPr>
        <w:fldChar w:fldCharType="separate"/>
      </w:r>
      <w:r w:rsidR="009A3D45">
        <w:rPr>
          <w:i/>
          <w:noProof/>
        </w:rPr>
        <w:t>Offshore Petroleum and Greenhouse Gas Storage Legislation Amendment (2013 Measures No. 2) Regulation 2013</w:t>
      </w:r>
      <w:r w:rsidRPr="008E3A8D">
        <w:rPr>
          <w:i/>
        </w:rPr>
        <w:fldChar w:fldCharType="end"/>
      </w:r>
      <w:r w:rsidRPr="008E3A8D">
        <w:t>.</w:t>
      </w:r>
    </w:p>
    <w:p w:rsidR="00761F24" w:rsidRPr="008E3A8D" w:rsidRDefault="00761F24" w:rsidP="00761F24">
      <w:pPr>
        <w:pStyle w:val="ActHead5"/>
      </w:pPr>
      <w:bookmarkStart w:id="6" w:name="_Toc369875575"/>
      <w:r w:rsidRPr="008E3A8D">
        <w:rPr>
          <w:rStyle w:val="CharSectno"/>
        </w:rPr>
        <w:t>2</w:t>
      </w:r>
      <w:r w:rsidRPr="008E3A8D">
        <w:t xml:space="preserve">  Commencement</w:t>
      </w:r>
      <w:bookmarkEnd w:id="6"/>
    </w:p>
    <w:p w:rsidR="00761F24" w:rsidRPr="008E3A8D" w:rsidRDefault="00761F24" w:rsidP="00D4634C">
      <w:pPr>
        <w:pStyle w:val="subsection"/>
      </w:pPr>
      <w:r w:rsidRPr="008E3A8D">
        <w:tab/>
      </w:r>
      <w:r w:rsidRPr="008E3A8D">
        <w:tab/>
        <w:t>Each provision of this regulation specified in column 1 of the table commences, or is taken to have commenced, in accordance with column 2 of the table. Any other statement in column 2 has effect according to its terms.</w:t>
      </w:r>
    </w:p>
    <w:p w:rsidR="00761F24" w:rsidRPr="008E3A8D" w:rsidRDefault="00761F24" w:rsidP="00D4634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61F24" w:rsidRPr="008E3A8D" w:rsidTr="009A2B2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Commencement information</w:t>
            </w:r>
          </w:p>
        </w:tc>
      </w:tr>
      <w:tr w:rsidR="00761F24" w:rsidRPr="008E3A8D" w:rsidTr="009A2B2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Column 3</w:t>
            </w:r>
          </w:p>
        </w:tc>
      </w:tr>
      <w:tr w:rsidR="00761F24" w:rsidRPr="008E3A8D" w:rsidTr="009A2B2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61F24" w:rsidRPr="008E3A8D" w:rsidRDefault="00761F2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Date/Details</w:t>
            </w:r>
          </w:p>
        </w:tc>
      </w:tr>
      <w:tr w:rsidR="00761F24" w:rsidRPr="008E3A8D" w:rsidTr="009A2B2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61F24" w:rsidRPr="008E3A8D" w:rsidRDefault="00761F24" w:rsidP="00AA57A5">
            <w:pPr>
              <w:pStyle w:val="Tabletext"/>
            </w:pPr>
            <w:r w:rsidRPr="008E3A8D">
              <w:t>1.  Sections</w:t>
            </w:r>
            <w:r w:rsidR="008E3A8D" w:rsidRPr="008E3A8D">
              <w:t> </w:t>
            </w:r>
            <w:r w:rsidRPr="008E3A8D">
              <w:t xml:space="preserve">1 to </w:t>
            </w:r>
            <w:r w:rsidR="00AA57A5" w:rsidRPr="008E3A8D">
              <w:t>4</w:t>
            </w:r>
            <w:r w:rsidRPr="008E3A8D">
              <w:t xml:space="preserve"> and anything in this regulation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61F24" w:rsidRPr="008E3A8D" w:rsidRDefault="00594786" w:rsidP="00AA57A5">
            <w:pPr>
              <w:pStyle w:val="Tabletext"/>
            </w:pPr>
            <w:r w:rsidRPr="008E3A8D">
              <w:t>The day after th</w:t>
            </w:r>
            <w:r w:rsidR="00AA57A5" w:rsidRPr="008E3A8D">
              <w:t>is</w:t>
            </w:r>
            <w:r w:rsidRPr="008E3A8D">
              <w:t xml:space="preserve"> regulation</w:t>
            </w:r>
            <w:r w:rsidR="00AA57A5" w:rsidRPr="008E3A8D">
              <w:t xml:space="preserve"> is</w:t>
            </w:r>
            <w:r w:rsidRPr="008E3A8D">
              <w:t xml:space="preserve"> registered</w:t>
            </w:r>
            <w:r w:rsidR="00761F24" w:rsidRPr="008E3A8D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761F24" w:rsidRPr="008E3A8D" w:rsidRDefault="00761F24" w:rsidP="00D4634C">
            <w:pPr>
              <w:pStyle w:val="Tabletext"/>
            </w:pPr>
          </w:p>
        </w:tc>
      </w:tr>
      <w:tr w:rsidR="00761F24" w:rsidRPr="008E3A8D" w:rsidTr="009A2B2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1F24" w:rsidRPr="008E3A8D" w:rsidRDefault="00385055" w:rsidP="00385055">
            <w:pPr>
              <w:pStyle w:val="Tabletext"/>
            </w:pPr>
            <w:r w:rsidRPr="008E3A8D">
              <w:t>2</w:t>
            </w:r>
            <w:r w:rsidR="00761F24" w:rsidRPr="008E3A8D">
              <w:t xml:space="preserve">.  </w:t>
            </w:r>
            <w:r w:rsidR="009720A5" w:rsidRPr="008E3A8D">
              <w:t>Schedule</w:t>
            </w:r>
            <w:r w:rsidR="008E3A8D" w:rsidRPr="008E3A8D">
              <w:t> </w:t>
            </w:r>
            <w:r w:rsidRPr="008E3A8D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61F24" w:rsidRPr="008E3A8D" w:rsidRDefault="00594786" w:rsidP="00AA57A5">
            <w:pPr>
              <w:pStyle w:val="Tabletext"/>
            </w:pPr>
            <w:r w:rsidRPr="008E3A8D">
              <w:t>The day after th</w:t>
            </w:r>
            <w:r w:rsidR="00AA57A5" w:rsidRPr="008E3A8D">
              <w:t>is</w:t>
            </w:r>
            <w:r w:rsidRPr="008E3A8D">
              <w:t xml:space="preserve"> regulation</w:t>
            </w:r>
            <w:r w:rsidR="00AA57A5" w:rsidRPr="008E3A8D">
              <w:t xml:space="preserve"> is</w:t>
            </w:r>
            <w:r w:rsidRPr="008E3A8D">
              <w:t xml:space="preserve"> registered</w:t>
            </w:r>
            <w:r w:rsidR="009720A5" w:rsidRPr="008E3A8D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761F24" w:rsidRPr="008E3A8D" w:rsidRDefault="00761F24" w:rsidP="00D4634C">
            <w:pPr>
              <w:pStyle w:val="Tabletext"/>
            </w:pPr>
          </w:p>
        </w:tc>
      </w:tr>
      <w:tr w:rsidR="00761F24" w:rsidRPr="008E3A8D" w:rsidTr="009A2B20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61F24" w:rsidRPr="008E3A8D" w:rsidRDefault="00385055" w:rsidP="00385055">
            <w:pPr>
              <w:pStyle w:val="Tabletext"/>
            </w:pPr>
            <w:r w:rsidRPr="008E3A8D">
              <w:t>3</w:t>
            </w:r>
            <w:r w:rsidR="00205236" w:rsidRPr="008E3A8D">
              <w:t>.  Schedule</w:t>
            </w:r>
            <w:r w:rsidR="008E3A8D" w:rsidRPr="008E3A8D">
              <w:t> </w:t>
            </w:r>
            <w:r w:rsidRPr="008E3A8D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761F24" w:rsidRPr="008E3A8D" w:rsidRDefault="00AA57A5" w:rsidP="00AA57A5">
            <w:pPr>
              <w:pStyle w:val="Tabletext"/>
            </w:pPr>
            <w:r w:rsidRPr="008E3A8D">
              <w:t>Immediately after t</w:t>
            </w:r>
            <w:r w:rsidR="00205236" w:rsidRPr="008E3A8D">
              <w:t>he commencement of Part</w:t>
            </w:r>
            <w:r w:rsidR="008E3A8D" w:rsidRPr="008E3A8D">
              <w:t> </w:t>
            </w:r>
            <w:r w:rsidR="00205236" w:rsidRPr="008E3A8D">
              <w:t>1 of Schedule</w:t>
            </w:r>
            <w:r w:rsidR="008E3A8D" w:rsidRPr="008E3A8D">
              <w:t> </w:t>
            </w:r>
            <w:r w:rsidR="00205236" w:rsidRPr="008E3A8D">
              <w:t xml:space="preserve">4 to the </w:t>
            </w:r>
            <w:r w:rsidR="00205236" w:rsidRPr="008E3A8D">
              <w:rPr>
                <w:i/>
              </w:rPr>
              <w:t>Offshore Petroleum and Greenhouse Gas Storage Amendment (Compliance Measures No.</w:t>
            </w:r>
            <w:r w:rsidR="008E3A8D" w:rsidRPr="008E3A8D">
              <w:rPr>
                <w:i/>
              </w:rPr>
              <w:t> </w:t>
            </w:r>
            <w:r w:rsidR="00205236" w:rsidRPr="008E3A8D">
              <w:rPr>
                <w:i/>
              </w:rPr>
              <w:t>2) Act 2013</w:t>
            </w:r>
            <w:r w:rsidR="00205236" w:rsidRPr="008E3A8D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61F24" w:rsidRPr="008E3A8D" w:rsidRDefault="00761F24" w:rsidP="00D4634C">
            <w:pPr>
              <w:pStyle w:val="Tabletext"/>
            </w:pPr>
          </w:p>
        </w:tc>
      </w:tr>
    </w:tbl>
    <w:p w:rsidR="00761F24" w:rsidRPr="008E3A8D" w:rsidRDefault="00761F24" w:rsidP="00D4634C">
      <w:pPr>
        <w:pStyle w:val="Tabletext"/>
      </w:pPr>
    </w:p>
    <w:p w:rsidR="007769D4" w:rsidRPr="008E3A8D" w:rsidRDefault="007769D4" w:rsidP="007769D4">
      <w:pPr>
        <w:pStyle w:val="ActHead5"/>
      </w:pPr>
      <w:bookmarkStart w:id="7" w:name="_Toc369875576"/>
      <w:r w:rsidRPr="008E3A8D">
        <w:rPr>
          <w:rStyle w:val="CharSectno"/>
        </w:rPr>
        <w:t>3</w:t>
      </w:r>
      <w:r w:rsidRPr="008E3A8D">
        <w:t xml:space="preserve">  Authority</w:t>
      </w:r>
      <w:bookmarkEnd w:id="7"/>
    </w:p>
    <w:p w:rsidR="007769D4" w:rsidRPr="008E3A8D" w:rsidRDefault="007769D4" w:rsidP="007769D4">
      <w:pPr>
        <w:pStyle w:val="subsection"/>
      </w:pPr>
      <w:r w:rsidRPr="008E3A8D">
        <w:tab/>
      </w:r>
      <w:r w:rsidRPr="008E3A8D">
        <w:tab/>
      </w:r>
      <w:r w:rsidR="00AF0336" w:rsidRPr="008E3A8D">
        <w:t xml:space="preserve">This </w:t>
      </w:r>
      <w:r w:rsidR="00E74A91" w:rsidRPr="008E3A8D">
        <w:t>regulation</w:t>
      </w:r>
      <w:r w:rsidR="00AF0336" w:rsidRPr="008E3A8D">
        <w:t xml:space="preserve"> is made under the </w:t>
      </w:r>
      <w:r w:rsidR="00E74A91" w:rsidRPr="008E3A8D">
        <w:rPr>
          <w:i/>
        </w:rPr>
        <w:t xml:space="preserve">Offshore Petroleum and Greenhouse Gas Storage </w:t>
      </w:r>
      <w:r w:rsidR="00761F24" w:rsidRPr="008E3A8D">
        <w:rPr>
          <w:i/>
        </w:rPr>
        <w:t xml:space="preserve">Act </w:t>
      </w:r>
      <w:r w:rsidR="00E74A91" w:rsidRPr="008E3A8D">
        <w:rPr>
          <w:i/>
        </w:rPr>
        <w:t>2006</w:t>
      </w:r>
      <w:r w:rsidR="00D83D21" w:rsidRPr="008E3A8D">
        <w:rPr>
          <w:i/>
        </w:rPr>
        <w:t>.</w:t>
      </w:r>
    </w:p>
    <w:p w:rsidR="00557C7A" w:rsidRPr="008E3A8D" w:rsidRDefault="007769D4" w:rsidP="00557C7A">
      <w:pPr>
        <w:pStyle w:val="ActHead5"/>
      </w:pPr>
      <w:bookmarkStart w:id="8" w:name="_Toc369875577"/>
      <w:r w:rsidRPr="008E3A8D">
        <w:rPr>
          <w:rStyle w:val="CharSectno"/>
        </w:rPr>
        <w:t>4</w:t>
      </w:r>
      <w:r w:rsidR="00557C7A" w:rsidRPr="008E3A8D">
        <w:t xml:space="preserve">  </w:t>
      </w:r>
      <w:r w:rsidR="00B332B8" w:rsidRPr="008E3A8D">
        <w:t>Schedule(s)</w:t>
      </w:r>
      <w:bookmarkEnd w:id="8"/>
    </w:p>
    <w:p w:rsidR="00557C7A" w:rsidRPr="008E3A8D" w:rsidRDefault="00557C7A" w:rsidP="00557C7A">
      <w:pPr>
        <w:pStyle w:val="subsection"/>
      </w:pPr>
      <w:r w:rsidRPr="008E3A8D">
        <w:tab/>
      </w:r>
      <w:r w:rsidRPr="008E3A8D">
        <w:tab/>
      </w:r>
      <w:r w:rsidR="00CD7ECB" w:rsidRPr="008E3A8D">
        <w:t xml:space="preserve">Each instrument that is specified in a Schedule to this instrument is amended or repealed as set out in the applicable items in the </w:t>
      </w:r>
      <w:r w:rsidR="00CD7ECB" w:rsidRPr="008E3A8D">
        <w:lastRenderedPageBreak/>
        <w:t>Schedule concerned, and any other item in a Schedule to this instrument has effect according to its terms.</w:t>
      </w:r>
    </w:p>
    <w:p w:rsidR="00045A9B" w:rsidRPr="008E3A8D" w:rsidRDefault="0048364F" w:rsidP="00FF3089">
      <w:pPr>
        <w:pStyle w:val="ActHead6"/>
        <w:pageBreakBefore/>
      </w:pPr>
      <w:bookmarkStart w:id="9" w:name="_Toc369875578"/>
      <w:bookmarkStart w:id="10" w:name="opcAmSched"/>
      <w:r w:rsidRPr="008E3A8D">
        <w:rPr>
          <w:rStyle w:val="CharAmSchNo"/>
        </w:rPr>
        <w:lastRenderedPageBreak/>
        <w:t>Schedule</w:t>
      </w:r>
      <w:r w:rsidR="008E3A8D" w:rsidRPr="008E3A8D">
        <w:rPr>
          <w:rStyle w:val="CharAmSchNo"/>
        </w:rPr>
        <w:t> </w:t>
      </w:r>
      <w:r w:rsidRPr="008E3A8D">
        <w:rPr>
          <w:rStyle w:val="CharAmSchNo"/>
        </w:rPr>
        <w:t>1</w:t>
      </w:r>
      <w:r w:rsidRPr="008E3A8D">
        <w:t>—</w:t>
      </w:r>
      <w:r w:rsidR="00460499" w:rsidRPr="008E3A8D">
        <w:rPr>
          <w:rStyle w:val="CharAmSchText"/>
        </w:rPr>
        <w:t>Amendments</w:t>
      </w:r>
      <w:r w:rsidR="005C6496" w:rsidRPr="008E3A8D">
        <w:rPr>
          <w:rStyle w:val="CharAmSchText"/>
        </w:rPr>
        <w:t xml:space="preserve"> commencing </w:t>
      </w:r>
      <w:r w:rsidR="00594786" w:rsidRPr="008E3A8D">
        <w:rPr>
          <w:rStyle w:val="CharAmSchText"/>
        </w:rPr>
        <w:t>day after registration</w:t>
      </w:r>
      <w:bookmarkEnd w:id="9"/>
    </w:p>
    <w:bookmarkEnd w:id="10"/>
    <w:p w:rsidR="00045A9B" w:rsidRPr="008E3A8D" w:rsidRDefault="00045A9B" w:rsidP="00045A9B">
      <w:pPr>
        <w:pStyle w:val="Header"/>
      </w:pPr>
      <w:r w:rsidRPr="008E3A8D">
        <w:rPr>
          <w:rStyle w:val="CharAmPartNo"/>
        </w:rPr>
        <w:t xml:space="preserve"> </w:t>
      </w:r>
      <w:r w:rsidRPr="008E3A8D">
        <w:rPr>
          <w:rStyle w:val="CharAmPartText"/>
        </w:rPr>
        <w:t xml:space="preserve"> </w:t>
      </w:r>
    </w:p>
    <w:p w:rsidR="00045A9B" w:rsidRPr="008E3A8D" w:rsidRDefault="00045A9B" w:rsidP="00045A9B">
      <w:pPr>
        <w:pStyle w:val="ActHead9"/>
      </w:pPr>
      <w:bookmarkStart w:id="11" w:name="_Toc369875579"/>
      <w:r w:rsidRPr="008E3A8D">
        <w:t>Offshore Petroleum and Greenhouse Gas Storage (Resource Management and Administration) Regulations</w:t>
      </w:r>
      <w:r w:rsidR="008E3A8D" w:rsidRPr="008E3A8D">
        <w:t> </w:t>
      </w:r>
      <w:r w:rsidRPr="008E3A8D">
        <w:t>2011</w:t>
      </w:r>
      <w:bookmarkEnd w:id="11"/>
    </w:p>
    <w:p w:rsidR="00045A9B" w:rsidRPr="008E3A8D" w:rsidRDefault="00045A9B" w:rsidP="00045A9B">
      <w:pPr>
        <w:pStyle w:val="ItemHead"/>
      </w:pPr>
      <w:r w:rsidRPr="008E3A8D">
        <w:t>1  Subparagraph 7.14(1)(b)(i)</w:t>
      </w:r>
    </w:p>
    <w:p w:rsidR="00045A9B" w:rsidRPr="008E3A8D" w:rsidRDefault="00045A9B" w:rsidP="00045A9B">
      <w:pPr>
        <w:pStyle w:val="Item"/>
      </w:pPr>
      <w:r w:rsidRPr="008E3A8D">
        <w:t>Omit “12”, substitute “18”.</w:t>
      </w:r>
    </w:p>
    <w:p w:rsidR="00045A9B" w:rsidRPr="008E3A8D" w:rsidRDefault="00045A9B" w:rsidP="00045A9B">
      <w:pPr>
        <w:pStyle w:val="ItemHead"/>
      </w:pPr>
      <w:r w:rsidRPr="008E3A8D">
        <w:t>2  Regulation</w:t>
      </w:r>
      <w:r w:rsidR="008E3A8D" w:rsidRPr="008E3A8D">
        <w:t> </w:t>
      </w:r>
      <w:r w:rsidRPr="008E3A8D">
        <w:t>7.15 (note)</w:t>
      </w:r>
    </w:p>
    <w:p w:rsidR="00045A9B" w:rsidRPr="008E3A8D" w:rsidRDefault="00045A9B" w:rsidP="00045A9B">
      <w:pPr>
        <w:pStyle w:val="Item"/>
      </w:pPr>
      <w:r w:rsidRPr="008E3A8D">
        <w:t>Repeal the note.</w:t>
      </w:r>
    </w:p>
    <w:p w:rsidR="00045A9B" w:rsidRPr="008E3A8D" w:rsidRDefault="00045A9B" w:rsidP="00045A9B">
      <w:pPr>
        <w:pStyle w:val="ItemHead"/>
      </w:pPr>
      <w:r w:rsidRPr="008E3A8D">
        <w:t xml:space="preserve">3  </w:t>
      </w:r>
      <w:bookmarkStart w:id="12" w:name="OLE_LINK4"/>
      <w:bookmarkStart w:id="13" w:name="OLE_LINK3"/>
      <w:r w:rsidRPr="008E3A8D">
        <w:t>Subparagraphs</w:t>
      </w:r>
      <w:r w:rsidR="008E3A8D" w:rsidRPr="008E3A8D">
        <w:t> </w:t>
      </w:r>
      <w:r w:rsidRPr="008E3A8D">
        <w:t>7.16(1)(b)</w:t>
      </w:r>
      <w:bookmarkEnd w:id="12"/>
      <w:bookmarkEnd w:id="13"/>
      <w:r w:rsidRPr="008E3A8D">
        <w:t>(i)</w:t>
      </w:r>
      <w:r w:rsidR="00AA57A5" w:rsidRPr="008E3A8D">
        <w:t xml:space="preserve"> to</w:t>
      </w:r>
      <w:r w:rsidRPr="008E3A8D">
        <w:t xml:space="preserve"> (iv)</w:t>
      </w:r>
    </w:p>
    <w:p w:rsidR="00045A9B" w:rsidRPr="008E3A8D" w:rsidRDefault="00045A9B" w:rsidP="00045A9B">
      <w:pPr>
        <w:pStyle w:val="Item"/>
      </w:pPr>
      <w:r w:rsidRPr="008E3A8D">
        <w:t>Repeal the subparagraphs, substitute:</w:t>
      </w:r>
    </w:p>
    <w:p w:rsidR="00045A9B" w:rsidRPr="008E3A8D" w:rsidRDefault="00045A9B" w:rsidP="00045A9B">
      <w:pPr>
        <w:pStyle w:val="paragraphsub"/>
      </w:pPr>
      <w:r w:rsidRPr="008E3A8D">
        <w:tab/>
        <w:t>(i)</w:t>
      </w:r>
      <w:r w:rsidRPr="008E3A8D">
        <w:tab/>
        <w:t>18 months after the day that the acquisition of the data is completed; or</w:t>
      </w:r>
    </w:p>
    <w:p w:rsidR="00045A9B" w:rsidRPr="008E3A8D" w:rsidRDefault="00045A9B" w:rsidP="00045A9B">
      <w:pPr>
        <w:pStyle w:val="paragraphsub"/>
      </w:pPr>
      <w:r w:rsidRPr="008E3A8D">
        <w:tab/>
        <w:t>(ii)</w:t>
      </w:r>
      <w:r w:rsidRPr="008E3A8D">
        <w:tab/>
        <w:t>if the Titles Administrator authorises the titleholder to give the report and data within another period—the other period.</w:t>
      </w:r>
    </w:p>
    <w:p w:rsidR="00045A9B" w:rsidRPr="008E3A8D" w:rsidRDefault="00045A9B" w:rsidP="00045A9B">
      <w:pPr>
        <w:pStyle w:val="ItemHead"/>
      </w:pPr>
      <w:r w:rsidRPr="008E3A8D">
        <w:t xml:space="preserve">4  </w:t>
      </w:r>
      <w:bookmarkStart w:id="14" w:name="OLE_LINK6"/>
      <w:bookmarkStart w:id="15" w:name="OLE_LINK5"/>
      <w:r w:rsidRPr="008E3A8D">
        <w:t>Subparagraphs</w:t>
      </w:r>
      <w:r w:rsidR="008E3A8D" w:rsidRPr="008E3A8D">
        <w:t> </w:t>
      </w:r>
      <w:r w:rsidRPr="008E3A8D">
        <w:t>7.17(1)(b)(i)</w:t>
      </w:r>
      <w:r w:rsidR="00AA57A5" w:rsidRPr="008E3A8D">
        <w:t xml:space="preserve"> to</w:t>
      </w:r>
      <w:r w:rsidRPr="008E3A8D">
        <w:t xml:space="preserve"> (iv)</w:t>
      </w:r>
    </w:p>
    <w:p w:rsidR="00045A9B" w:rsidRPr="008E3A8D" w:rsidRDefault="00045A9B" w:rsidP="00045A9B">
      <w:pPr>
        <w:pStyle w:val="Item"/>
      </w:pPr>
      <w:r w:rsidRPr="008E3A8D">
        <w:t>Repeal the subparagraphs, substitute:</w:t>
      </w:r>
    </w:p>
    <w:p w:rsidR="00045A9B" w:rsidRPr="008E3A8D" w:rsidRDefault="00045A9B" w:rsidP="00045A9B">
      <w:pPr>
        <w:pStyle w:val="paragraphsub"/>
      </w:pPr>
      <w:r w:rsidRPr="008E3A8D">
        <w:tab/>
        <w:t>(i)</w:t>
      </w:r>
      <w:r w:rsidRPr="008E3A8D">
        <w:tab/>
        <w:t>24 months after the day that the acquisition of the data is completed; or</w:t>
      </w:r>
    </w:p>
    <w:p w:rsidR="00045A9B" w:rsidRPr="008E3A8D" w:rsidRDefault="00045A9B" w:rsidP="00045A9B">
      <w:pPr>
        <w:pStyle w:val="paragraphsub"/>
      </w:pPr>
      <w:r w:rsidRPr="008E3A8D">
        <w:tab/>
        <w:t>(ii)</w:t>
      </w:r>
      <w:r w:rsidRPr="008E3A8D">
        <w:tab/>
        <w:t>if the Titles Administrator authorises the titleholder to give the report and data within another period—the other period.</w:t>
      </w:r>
      <w:bookmarkEnd w:id="14"/>
      <w:bookmarkEnd w:id="15"/>
    </w:p>
    <w:p w:rsidR="00045A9B" w:rsidRPr="008E3A8D" w:rsidRDefault="00045A9B" w:rsidP="00045A9B">
      <w:pPr>
        <w:pStyle w:val="ItemHead"/>
      </w:pPr>
      <w:bookmarkStart w:id="16" w:name="OLE_LINK8"/>
      <w:bookmarkStart w:id="17" w:name="OLE_LINK7"/>
      <w:r w:rsidRPr="008E3A8D">
        <w:t>5  Subparagraphs</w:t>
      </w:r>
      <w:r w:rsidR="008E3A8D" w:rsidRPr="008E3A8D">
        <w:t> </w:t>
      </w:r>
      <w:r w:rsidRPr="008E3A8D">
        <w:t>7.18(1)(b)(i)</w:t>
      </w:r>
      <w:r w:rsidR="00AA57A5" w:rsidRPr="008E3A8D">
        <w:t xml:space="preserve"> to </w:t>
      </w:r>
      <w:r w:rsidRPr="008E3A8D">
        <w:t>(iii)</w:t>
      </w:r>
    </w:p>
    <w:p w:rsidR="00045A9B" w:rsidRPr="008E3A8D" w:rsidRDefault="00045A9B" w:rsidP="00045A9B">
      <w:pPr>
        <w:pStyle w:val="Item"/>
      </w:pPr>
      <w:r w:rsidRPr="008E3A8D">
        <w:t>Repeal the subparagraphs, substitute:</w:t>
      </w:r>
    </w:p>
    <w:p w:rsidR="00045A9B" w:rsidRPr="008E3A8D" w:rsidRDefault="00045A9B" w:rsidP="00045A9B">
      <w:pPr>
        <w:pStyle w:val="paragraphsub"/>
      </w:pPr>
      <w:r w:rsidRPr="008E3A8D">
        <w:tab/>
        <w:t>(i)</w:t>
      </w:r>
      <w:r w:rsidRPr="008E3A8D">
        <w:tab/>
        <w:t>30 months after the day that the acquisition of the data is completed; or</w:t>
      </w:r>
    </w:p>
    <w:p w:rsidR="00045A9B" w:rsidRPr="008E3A8D" w:rsidRDefault="00045A9B" w:rsidP="00045A9B">
      <w:pPr>
        <w:pStyle w:val="paragraphsub"/>
      </w:pPr>
      <w:r w:rsidRPr="008E3A8D">
        <w:tab/>
        <w:t>(ii)</w:t>
      </w:r>
      <w:r w:rsidRPr="008E3A8D">
        <w:tab/>
        <w:t>if the Titles Administrator authorises the titleholder to give the report and data within another period—the other period.</w:t>
      </w:r>
      <w:bookmarkEnd w:id="16"/>
      <w:bookmarkEnd w:id="17"/>
    </w:p>
    <w:p w:rsidR="00045A9B" w:rsidRPr="008E3A8D" w:rsidRDefault="00045A9B" w:rsidP="00045A9B">
      <w:pPr>
        <w:pStyle w:val="ItemHead"/>
      </w:pPr>
      <w:bookmarkStart w:id="18" w:name="OLE_LINK9"/>
      <w:r w:rsidRPr="008E3A8D">
        <w:lastRenderedPageBreak/>
        <w:t>6  Subregulation</w:t>
      </w:r>
      <w:r w:rsidR="008E3A8D" w:rsidRPr="008E3A8D">
        <w:t> </w:t>
      </w:r>
      <w:r w:rsidRPr="008E3A8D">
        <w:t>7.20(4) (table items</w:t>
      </w:r>
      <w:r w:rsidR="008E3A8D" w:rsidRPr="008E3A8D">
        <w:t> </w:t>
      </w:r>
      <w:r w:rsidRPr="008E3A8D">
        <w:t>6 and 7)</w:t>
      </w:r>
    </w:p>
    <w:p w:rsidR="00045A9B" w:rsidRPr="008E3A8D" w:rsidRDefault="00045A9B" w:rsidP="00045A9B">
      <w:pPr>
        <w:pStyle w:val="Item"/>
      </w:pPr>
      <w:r w:rsidRPr="008E3A8D">
        <w:t>Omit “12”, substitute “18”.</w:t>
      </w:r>
      <w:bookmarkEnd w:id="18"/>
    </w:p>
    <w:p w:rsidR="00045A9B" w:rsidRPr="008E3A8D" w:rsidRDefault="00045A9B" w:rsidP="00045A9B">
      <w:pPr>
        <w:pStyle w:val="ItemHead"/>
      </w:pPr>
      <w:r w:rsidRPr="008E3A8D">
        <w:t>7  Subregulation</w:t>
      </w:r>
      <w:r w:rsidR="008E3A8D" w:rsidRPr="008E3A8D">
        <w:t> </w:t>
      </w:r>
      <w:r w:rsidRPr="008E3A8D">
        <w:t>8.11(2) (table item</w:t>
      </w:r>
      <w:r w:rsidR="00E475A0" w:rsidRPr="008E3A8D">
        <w:t>s</w:t>
      </w:r>
      <w:r w:rsidR="008E3A8D" w:rsidRPr="008E3A8D">
        <w:t> </w:t>
      </w:r>
      <w:r w:rsidRPr="008E3A8D">
        <w:t>1</w:t>
      </w:r>
      <w:r w:rsidR="00E475A0" w:rsidRPr="008E3A8D">
        <w:t xml:space="preserve"> and 2</w:t>
      </w:r>
      <w:r w:rsidRPr="008E3A8D">
        <w:t>)</w:t>
      </w:r>
    </w:p>
    <w:p w:rsidR="00045A9B" w:rsidRPr="008E3A8D" w:rsidRDefault="00E475A0" w:rsidP="00045A9B">
      <w:pPr>
        <w:pStyle w:val="Item"/>
      </w:pPr>
      <w:r w:rsidRPr="008E3A8D">
        <w:t xml:space="preserve">Repeal the items, </w:t>
      </w:r>
      <w:r w:rsidR="00045A9B" w:rsidRPr="008E3A8D">
        <w:t>substitute</w:t>
      </w:r>
      <w:r w:rsidRPr="008E3A8D">
        <w:t>:</w:t>
      </w:r>
    </w:p>
    <w:tbl>
      <w:tblPr>
        <w:tblW w:w="7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3669"/>
        <w:gridCol w:w="2838"/>
      </w:tblGrid>
      <w:tr w:rsidR="00E475A0" w:rsidRPr="008E3A8D" w:rsidTr="009A2B20">
        <w:tc>
          <w:tcPr>
            <w:tcW w:w="588" w:type="dxa"/>
            <w:shd w:val="clear" w:color="auto" w:fill="auto"/>
            <w:hideMark/>
          </w:tcPr>
          <w:p w:rsidR="00E475A0" w:rsidRPr="008E3A8D" w:rsidRDefault="00E475A0" w:rsidP="00876549">
            <w:pPr>
              <w:pStyle w:val="Tabletext"/>
            </w:pPr>
            <w:r w:rsidRPr="008E3A8D">
              <w:t>1</w:t>
            </w:r>
          </w:p>
        </w:tc>
        <w:tc>
          <w:tcPr>
            <w:tcW w:w="3665" w:type="dxa"/>
            <w:shd w:val="clear" w:color="auto" w:fill="auto"/>
            <w:hideMark/>
          </w:tcPr>
          <w:p w:rsidR="00E475A0" w:rsidRPr="008E3A8D" w:rsidRDefault="00E475A0" w:rsidP="007748CC">
            <w:pPr>
              <w:pStyle w:val="Tabletext"/>
            </w:pPr>
            <w:r w:rsidRPr="008E3A8D">
              <w:t xml:space="preserve">A survey that collected exclusive data, if the survey was conducted under a petroleum </w:t>
            </w:r>
            <w:r w:rsidR="007748CC" w:rsidRPr="008E3A8D">
              <w:t>title that is still in force</w:t>
            </w:r>
          </w:p>
        </w:tc>
        <w:tc>
          <w:tcPr>
            <w:tcW w:w="2835" w:type="dxa"/>
            <w:shd w:val="clear" w:color="auto" w:fill="auto"/>
            <w:hideMark/>
          </w:tcPr>
          <w:p w:rsidR="00E475A0" w:rsidRPr="008E3A8D" w:rsidRDefault="00E475A0" w:rsidP="00876549">
            <w:pPr>
              <w:pStyle w:val="Tabletext"/>
            </w:pPr>
            <w:r w:rsidRPr="008E3A8D">
              <w:t>The day 3 years after the acquisition of the data was completed</w:t>
            </w:r>
          </w:p>
        </w:tc>
      </w:tr>
    </w:tbl>
    <w:p w:rsidR="00045A9B" w:rsidRPr="008E3A8D" w:rsidRDefault="00045A9B" w:rsidP="00045A9B">
      <w:pPr>
        <w:pStyle w:val="ItemHead"/>
      </w:pPr>
      <w:r w:rsidRPr="008E3A8D">
        <w:t>8  Subregulation</w:t>
      </w:r>
      <w:r w:rsidR="008E3A8D" w:rsidRPr="008E3A8D">
        <w:t> </w:t>
      </w:r>
      <w:r w:rsidRPr="008E3A8D">
        <w:t>8.11(4) (table item</w:t>
      </w:r>
      <w:r w:rsidR="00E475A0" w:rsidRPr="008E3A8D">
        <w:t>s</w:t>
      </w:r>
      <w:r w:rsidR="008E3A8D" w:rsidRPr="008E3A8D">
        <w:t> </w:t>
      </w:r>
      <w:r w:rsidRPr="008E3A8D">
        <w:t>1</w:t>
      </w:r>
      <w:r w:rsidR="00E475A0" w:rsidRPr="008E3A8D">
        <w:t xml:space="preserve"> and 2</w:t>
      </w:r>
      <w:r w:rsidRPr="008E3A8D">
        <w:t>)</w:t>
      </w:r>
    </w:p>
    <w:p w:rsidR="00045A9B" w:rsidRPr="008E3A8D" w:rsidRDefault="00E475A0" w:rsidP="00045A9B">
      <w:pPr>
        <w:pStyle w:val="Item"/>
      </w:pPr>
      <w:r w:rsidRPr="008E3A8D">
        <w:t xml:space="preserve">Repeal the items, </w:t>
      </w:r>
      <w:r w:rsidR="00045A9B" w:rsidRPr="008E3A8D">
        <w:t>substitute</w:t>
      </w:r>
      <w:r w:rsidRPr="008E3A8D">
        <w:t>:</w:t>
      </w:r>
    </w:p>
    <w:tbl>
      <w:tblPr>
        <w:tblW w:w="7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3669"/>
        <w:gridCol w:w="2838"/>
      </w:tblGrid>
      <w:tr w:rsidR="00E475A0" w:rsidRPr="008E3A8D" w:rsidTr="009A2B20">
        <w:tc>
          <w:tcPr>
            <w:tcW w:w="588" w:type="dxa"/>
            <w:shd w:val="clear" w:color="auto" w:fill="auto"/>
            <w:hideMark/>
          </w:tcPr>
          <w:p w:rsidR="00E475A0" w:rsidRPr="008E3A8D" w:rsidRDefault="00E475A0" w:rsidP="00876549">
            <w:pPr>
              <w:pStyle w:val="Tabletext"/>
            </w:pPr>
            <w:r w:rsidRPr="008E3A8D">
              <w:t>1</w:t>
            </w:r>
          </w:p>
        </w:tc>
        <w:tc>
          <w:tcPr>
            <w:tcW w:w="3665" w:type="dxa"/>
            <w:shd w:val="clear" w:color="auto" w:fill="auto"/>
            <w:hideMark/>
          </w:tcPr>
          <w:p w:rsidR="00E475A0" w:rsidRPr="008E3A8D" w:rsidRDefault="00E475A0" w:rsidP="00876549">
            <w:pPr>
              <w:pStyle w:val="Tabletext"/>
            </w:pPr>
            <w:r w:rsidRPr="008E3A8D">
              <w:t>A survey that was conducted under a petroleum production licence, petroleum exploration permit, petroleum retention lease or scientific investigation consent that is still in force</w:t>
            </w:r>
          </w:p>
        </w:tc>
        <w:tc>
          <w:tcPr>
            <w:tcW w:w="2835" w:type="dxa"/>
            <w:shd w:val="clear" w:color="auto" w:fill="auto"/>
            <w:hideMark/>
          </w:tcPr>
          <w:p w:rsidR="00E475A0" w:rsidRPr="008E3A8D" w:rsidRDefault="00E475A0" w:rsidP="00876549">
            <w:pPr>
              <w:pStyle w:val="Tabletext"/>
            </w:pPr>
            <w:r w:rsidRPr="008E3A8D">
              <w:t>The day 3 years after the acquisition of the data was completed</w:t>
            </w:r>
          </w:p>
        </w:tc>
      </w:tr>
    </w:tbl>
    <w:p w:rsidR="00045A9B" w:rsidRPr="008E3A8D" w:rsidRDefault="00045A9B" w:rsidP="00045A9B">
      <w:pPr>
        <w:pStyle w:val="ItemHead"/>
      </w:pPr>
      <w:r w:rsidRPr="008E3A8D">
        <w:t>9  Subregulation</w:t>
      </w:r>
      <w:r w:rsidR="008E3A8D" w:rsidRPr="008E3A8D">
        <w:t> </w:t>
      </w:r>
      <w:r w:rsidRPr="008E3A8D">
        <w:t>8.11(5) (table item</w:t>
      </w:r>
      <w:r w:rsidR="00F7710B" w:rsidRPr="008E3A8D">
        <w:t>s</w:t>
      </w:r>
      <w:r w:rsidR="008E3A8D" w:rsidRPr="008E3A8D">
        <w:t> </w:t>
      </w:r>
      <w:r w:rsidRPr="008E3A8D">
        <w:t>1</w:t>
      </w:r>
      <w:r w:rsidR="00F7710B" w:rsidRPr="008E3A8D">
        <w:t xml:space="preserve"> and 2</w:t>
      </w:r>
      <w:r w:rsidRPr="008E3A8D">
        <w:t>)</w:t>
      </w:r>
    </w:p>
    <w:p w:rsidR="00476754" w:rsidRPr="008E3A8D" w:rsidRDefault="00F7710B" w:rsidP="00476754">
      <w:pPr>
        <w:pStyle w:val="Item"/>
      </w:pPr>
      <w:r w:rsidRPr="008E3A8D">
        <w:t>Repeal the items</w:t>
      </w:r>
      <w:r w:rsidR="00045A9B" w:rsidRPr="008E3A8D">
        <w:t>, substitute</w:t>
      </w:r>
      <w:r w:rsidRPr="008E3A8D">
        <w:t>:</w:t>
      </w:r>
    </w:p>
    <w:tbl>
      <w:tblPr>
        <w:tblW w:w="7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3669"/>
        <w:gridCol w:w="2838"/>
      </w:tblGrid>
      <w:tr w:rsidR="00F7710B" w:rsidRPr="008E3A8D" w:rsidTr="009A2B20">
        <w:tc>
          <w:tcPr>
            <w:tcW w:w="588" w:type="dxa"/>
            <w:shd w:val="clear" w:color="auto" w:fill="auto"/>
            <w:hideMark/>
          </w:tcPr>
          <w:p w:rsidR="00F7710B" w:rsidRPr="008E3A8D" w:rsidRDefault="00F7710B" w:rsidP="00876549">
            <w:pPr>
              <w:pStyle w:val="Tabletext"/>
            </w:pPr>
            <w:r w:rsidRPr="008E3A8D">
              <w:t>1</w:t>
            </w:r>
          </w:p>
        </w:tc>
        <w:tc>
          <w:tcPr>
            <w:tcW w:w="3665" w:type="dxa"/>
            <w:shd w:val="clear" w:color="auto" w:fill="auto"/>
            <w:hideMark/>
          </w:tcPr>
          <w:p w:rsidR="00F7710B" w:rsidRPr="008E3A8D" w:rsidRDefault="00F7710B" w:rsidP="00876549">
            <w:pPr>
              <w:pStyle w:val="Tabletext"/>
            </w:pPr>
            <w:r w:rsidRPr="008E3A8D">
              <w:t>a petroleum title</w:t>
            </w:r>
            <w:r w:rsidR="007748CC" w:rsidRPr="008E3A8D">
              <w:t xml:space="preserve"> that is still in force</w:t>
            </w:r>
          </w:p>
        </w:tc>
        <w:tc>
          <w:tcPr>
            <w:tcW w:w="2835" w:type="dxa"/>
            <w:shd w:val="clear" w:color="auto" w:fill="auto"/>
            <w:hideMark/>
          </w:tcPr>
          <w:p w:rsidR="00F7710B" w:rsidRPr="008E3A8D" w:rsidRDefault="00F7710B" w:rsidP="00876549">
            <w:pPr>
              <w:pStyle w:val="Tabletext"/>
            </w:pPr>
            <w:r w:rsidRPr="008E3A8D">
              <w:t>the day 2 years after the end of the operation</w:t>
            </w:r>
          </w:p>
        </w:tc>
      </w:tr>
    </w:tbl>
    <w:p w:rsidR="00045A9B" w:rsidRPr="008E3A8D" w:rsidRDefault="00E16614" w:rsidP="00045A9B">
      <w:pPr>
        <w:pStyle w:val="ItemHead"/>
      </w:pPr>
      <w:r w:rsidRPr="008E3A8D">
        <w:t>1</w:t>
      </w:r>
      <w:r w:rsidR="0054750B" w:rsidRPr="008E3A8D">
        <w:t>0</w:t>
      </w:r>
      <w:r w:rsidR="00045A9B" w:rsidRPr="008E3A8D">
        <w:t xml:space="preserve">  Subregulation</w:t>
      </w:r>
      <w:r w:rsidR="008E3A8D" w:rsidRPr="008E3A8D">
        <w:t> </w:t>
      </w:r>
      <w:r w:rsidR="00045A9B" w:rsidRPr="008E3A8D">
        <w:t>8.12(1)</w:t>
      </w:r>
    </w:p>
    <w:p w:rsidR="00045A9B" w:rsidRPr="008E3A8D" w:rsidRDefault="00045A9B" w:rsidP="00045A9B">
      <w:pPr>
        <w:pStyle w:val="Item"/>
      </w:pPr>
      <w:r w:rsidRPr="008E3A8D">
        <w:t>Omit “(1)”.</w:t>
      </w:r>
    </w:p>
    <w:p w:rsidR="00045A9B" w:rsidRPr="008E3A8D" w:rsidRDefault="0054750B" w:rsidP="00045A9B">
      <w:pPr>
        <w:pStyle w:val="ItemHead"/>
      </w:pPr>
      <w:r w:rsidRPr="008E3A8D">
        <w:t>11</w:t>
      </w:r>
      <w:r w:rsidR="00045A9B" w:rsidRPr="008E3A8D">
        <w:t xml:space="preserve">  Subregulations</w:t>
      </w:r>
      <w:r w:rsidR="008E3A8D" w:rsidRPr="008E3A8D">
        <w:t> </w:t>
      </w:r>
      <w:r w:rsidR="00045A9B" w:rsidRPr="008E3A8D">
        <w:t>8.12(2), 8.13(3) and 8.16(3)</w:t>
      </w:r>
    </w:p>
    <w:p w:rsidR="00045A9B" w:rsidRPr="008E3A8D" w:rsidRDefault="00045A9B" w:rsidP="00045A9B">
      <w:pPr>
        <w:pStyle w:val="Item"/>
      </w:pPr>
      <w:r w:rsidRPr="008E3A8D">
        <w:t>Repeal the subregulations.</w:t>
      </w:r>
    </w:p>
    <w:p w:rsidR="00045A9B" w:rsidRPr="008E3A8D" w:rsidRDefault="0054750B" w:rsidP="00045A9B">
      <w:pPr>
        <w:pStyle w:val="ItemHead"/>
      </w:pPr>
      <w:r w:rsidRPr="008E3A8D">
        <w:t>12</w:t>
      </w:r>
      <w:r w:rsidR="00045A9B" w:rsidRPr="008E3A8D">
        <w:t xml:space="preserve">  Subregulation</w:t>
      </w:r>
      <w:r w:rsidR="008E3A8D" w:rsidRPr="008E3A8D">
        <w:t> </w:t>
      </w:r>
      <w:r w:rsidR="00045A9B" w:rsidRPr="008E3A8D">
        <w:t>10.12(1)</w:t>
      </w:r>
    </w:p>
    <w:p w:rsidR="00045A9B" w:rsidRPr="008E3A8D" w:rsidRDefault="00045A9B" w:rsidP="00045A9B">
      <w:pPr>
        <w:pStyle w:val="Item"/>
      </w:pPr>
      <w:r w:rsidRPr="008E3A8D">
        <w:t>Omit “(1)”.</w:t>
      </w:r>
    </w:p>
    <w:p w:rsidR="00045A9B" w:rsidRPr="008E3A8D" w:rsidRDefault="0054750B" w:rsidP="00045A9B">
      <w:pPr>
        <w:pStyle w:val="ItemHead"/>
      </w:pPr>
      <w:r w:rsidRPr="008E3A8D">
        <w:t>13</w:t>
      </w:r>
      <w:r w:rsidR="00045A9B" w:rsidRPr="008E3A8D">
        <w:t xml:space="preserve">  Subregulations</w:t>
      </w:r>
      <w:r w:rsidR="008E3A8D" w:rsidRPr="008E3A8D">
        <w:t> </w:t>
      </w:r>
      <w:r w:rsidR="00045A9B" w:rsidRPr="008E3A8D">
        <w:t>10.12(2), 10.13(3) and 10.16(3)</w:t>
      </w:r>
    </w:p>
    <w:p w:rsidR="00045A9B" w:rsidRPr="008E3A8D" w:rsidRDefault="00045A9B" w:rsidP="00045A9B">
      <w:pPr>
        <w:pStyle w:val="Item"/>
      </w:pPr>
      <w:r w:rsidRPr="008E3A8D">
        <w:t>Repeal the subregulations.</w:t>
      </w:r>
    </w:p>
    <w:p w:rsidR="007A5371" w:rsidRPr="008E3A8D" w:rsidRDefault="007A5371" w:rsidP="007A5371">
      <w:pPr>
        <w:pStyle w:val="ItemHead"/>
      </w:pPr>
      <w:r w:rsidRPr="008E3A8D">
        <w:t>1</w:t>
      </w:r>
      <w:r w:rsidR="00005881" w:rsidRPr="008E3A8D">
        <w:t>4</w:t>
      </w:r>
      <w:r w:rsidRPr="008E3A8D">
        <w:t xml:space="preserve">  Regulation</w:t>
      </w:r>
      <w:r w:rsidR="008E3A8D" w:rsidRPr="008E3A8D">
        <w:t> </w:t>
      </w:r>
      <w:r w:rsidRPr="008E3A8D">
        <w:t>11.01</w:t>
      </w:r>
      <w:r w:rsidR="00AA57A5" w:rsidRPr="008E3A8D">
        <w:t xml:space="preserve"> </w:t>
      </w:r>
      <w:r w:rsidRPr="008E3A8D">
        <w:t>(heading</w:t>
      </w:r>
      <w:r w:rsidR="00AA57A5" w:rsidRPr="008E3A8D">
        <w:t>)</w:t>
      </w:r>
    </w:p>
    <w:p w:rsidR="007A5371" w:rsidRPr="008E3A8D" w:rsidRDefault="007A5371" w:rsidP="007A5371">
      <w:pPr>
        <w:pStyle w:val="Item"/>
      </w:pPr>
      <w:r w:rsidRPr="008E3A8D">
        <w:t>Repeal the heading, substitute:</w:t>
      </w:r>
    </w:p>
    <w:p w:rsidR="007A5371" w:rsidRPr="008E3A8D" w:rsidRDefault="007A5371" w:rsidP="007A5371">
      <w:pPr>
        <w:pStyle w:val="ActHead5"/>
      </w:pPr>
      <w:bookmarkStart w:id="19" w:name="_Toc369875580"/>
      <w:r w:rsidRPr="008E3A8D">
        <w:rPr>
          <w:rStyle w:val="CharSectno"/>
        </w:rPr>
        <w:lastRenderedPageBreak/>
        <w:t>11.01</w:t>
      </w:r>
      <w:r w:rsidRPr="008E3A8D">
        <w:t xml:space="preserve">  Fees in relation to applications</w:t>
      </w:r>
      <w:bookmarkEnd w:id="19"/>
    </w:p>
    <w:p w:rsidR="007A5371" w:rsidRPr="008E3A8D" w:rsidRDefault="0054750B" w:rsidP="007A5371">
      <w:pPr>
        <w:pStyle w:val="ItemHead"/>
      </w:pPr>
      <w:r w:rsidRPr="008E3A8D">
        <w:t>15</w:t>
      </w:r>
      <w:r w:rsidR="00045A9B" w:rsidRPr="008E3A8D">
        <w:t xml:space="preserve">  </w:t>
      </w:r>
      <w:r w:rsidR="007A5371" w:rsidRPr="008E3A8D">
        <w:t>S</w:t>
      </w:r>
      <w:r w:rsidR="00045A9B" w:rsidRPr="008E3A8D">
        <w:t>ubregulation</w:t>
      </w:r>
      <w:r w:rsidR="008E3A8D" w:rsidRPr="008E3A8D">
        <w:t> </w:t>
      </w:r>
      <w:r w:rsidR="00045A9B" w:rsidRPr="008E3A8D">
        <w:t>11.01(1)</w:t>
      </w:r>
    </w:p>
    <w:p w:rsidR="00045A9B" w:rsidRPr="008E3A8D" w:rsidRDefault="007A5371" w:rsidP="00045A9B">
      <w:pPr>
        <w:pStyle w:val="Item"/>
      </w:pPr>
      <w:r w:rsidRPr="008E3A8D">
        <w:t>Repeal the subregulation, substitute:</w:t>
      </w:r>
    </w:p>
    <w:p w:rsidR="007A5371" w:rsidRPr="008E3A8D" w:rsidRDefault="007A5371" w:rsidP="007A5371">
      <w:pPr>
        <w:pStyle w:val="subsection"/>
      </w:pPr>
      <w:r w:rsidRPr="008E3A8D">
        <w:tab/>
        <w:t>(1)</w:t>
      </w:r>
      <w:r w:rsidRPr="008E3A8D">
        <w:tab/>
        <w:t>For subsection</w:t>
      </w:r>
      <w:r w:rsidR="008E3A8D" w:rsidRPr="008E3A8D">
        <w:t> </w:t>
      </w:r>
      <w:r w:rsidRPr="008E3A8D">
        <w:t>256(2) of the Act, the prescribed fee for an application is the fee specified in Division</w:t>
      </w:r>
      <w:r w:rsidR="008E3A8D" w:rsidRPr="008E3A8D">
        <w:t> </w:t>
      </w:r>
      <w:r w:rsidRPr="008E3A8D">
        <w:t>1 of Part</w:t>
      </w:r>
      <w:r w:rsidR="008E3A8D" w:rsidRPr="008E3A8D">
        <w:t> </w:t>
      </w:r>
      <w:r w:rsidRPr="008E3A8D">
        <w:t>1 of Schedule</w:t>
      </w:r>
      <w:r w:rsidR="008E3A8D" w:rsidRPr="008E3A8D">
        <w:t> </w:t>
      </w:r>
      <w:r w:rsidRPr="008E3A8D">
        <w:t>6 for the application.</w:t>
      </w:r>
    </w:p>
    <w:p w:rsidR="00AA57A5" w:rsidRPr="008E3A8D" w:rsidRDefault="00045A9B" w:rsidP="00045A9B">
      <w:pPr>
        <w:pStyle w:val="subsection"/>
      </w:pPr>
      <w:r w:rsidRPr="008E3A8D">
        <w:tab/>
        <w:t>(1A)</w:t>
      </w:r>
      <w:r w:rsidRPr="008E3A8D">
        <w:tab/>
      </w:r>
      <w:r w:rsidR="00AA57A5" w:rsidRPr="008E3A8D">
        <w:t>For subsection</w:t>
      </w:r>
      <w:r w:rsidR="008E3A8D" w:rsidRPr="008E3A8D">
        <w:t> </w:t>
      </w:r>
      <w:r w:rsidR="00AA57A5" w:rsidRPr="008E3A8D">
        <w:t>516A(1) of the Act, the prescribed fee for an application is the fee specified in Division</w:t>
      </w:r>
      <w:r w:rsidR="008E3A8D" w:rsidRPr="008E3A8D">
        <w:t> </w:t>
      </w:r>
      <w:r w:rsidR="00AA57A5" w:rsidRPr="008E3A8D">
        <w:t>2 of Part</w:t>
      </w:r>
      <w:r w:rsidR="008E3A8D" w:rsidRPr="008E3A8D">
        <w:t> </w:t>
      </w:r>
      <w:r w:rsidR="00AA57A5" w:rsidRPr="008E3A8D">
        <w:t>1 of Schedule</w:t>
      </w:r>
      <w:r w:rsidR="008E3A8D" w:rsidRPr="008E3A8D">
        <w:t> </w:t>
      </w:r>
      <w:r w:rsidR="00AA57A5" w:rsidRPr="008E3A8D">
        <w:t>6 for the application.</w:t>
      </w:r>
    </w:p>
    <w:p w:rsidR="00AA57A5" w:rsidRPr="008E3A8D" w:rsidRDefault="007A5371" w:rsidP="00AA57A5">
      <w:pPr>
        <w:pStyle w:val="subsection"/>
      </w:pPr>
      <w:r w:rsidRPr="008E3A8D">
        <w:tab/>
        <w:t>(1B)</w:t>
      </w:r>
      <w:r w:rsidRPr="008E3A8D">
        <w:tab/>
      </w:r>
      <w:r w:rsidR="00AA57A5" w:rsidRPr="008E3A8D">
        <w:t>For subsection</w:t>
      </w:r>
      <w:r w:rsidR="008E3A8D" w:rsidRPr="008E3A8D">
        <w:t> </w:t>
      </w:r>
      <w:r w:rsidR="00AA57A5" w:rsidRPr="008E3A8D">
        <w:t>695L(1) of the Act, the prescribed fee for processing an application or nomination is the fee specified in Division</w:t>
      </w:r>
      <w:r w:rsidR="008E3A8D" w:rsidRPr="008E3A8D">
        <w:t> </w:t>
      </w:r>
      <w:r w:rsidR="00AA57A5" w:rsidRPr="008E3A8D">
        <w:t>3 of Part</w:t>
      </w:r>
      <w:r w:rsidR="008E3A8D" w:rsidRPr="008E3A8D">
        <w:t> </w:t>
      </w:r>
      <w:r w:rsidR="00AA57A5" w:rsidRPr="008E3A8D">
        <w:t>1 of Schedule</w:t>
      </w:r>
      <w:r w:rsidR="008E3A8D" w:rsidRPr="008E3A8D">
        <w:t> </w:t>
      </w:r>
      <w:r w:rsidR="00AA57A5" w:rsidRPr="008E3A8D">
        <w:t>6 for the application.</w:t>
      </w:r>
    </w:p>
    <w:p w:rsidR="00045A9B" w:rsidRPr="008E3A8D" w:rsidRDefault="0054750B" w:rsidP="00045A9B">
      <w:pPr>
        <w:pStyle w:val="ItemHead"/>
      </w:pPr>
      <w:r w:rsidRPr="008E3A8D">
        <w:t>16</w:t>
      </w:r>
      <w:r w:rsidR="00045A9B" w:rsidRPr="008E3A8D">
        <w:t xml:space="preserve">  Regulations</w:t>
      </w:r>
      <w:r w:rsidR="008E3A8D" w:rsidRPr="008E3A8D">
        <w:t> </w:t>
      </w:r>
      <w:r w:rsidR="00045A9B" w:rsidRPr="008E3A8D">
        <w:t>11.02 to 11.06</w:t>
      </w:r>
    </w:p>
    <w:p w:rsidR="00045A9B" w:rsidRPr="008E3A8D" w:rsidRDefault="00045A9B" w:rsidP="00045A9B">
      <w:pPr>
        <w:pStyle w:val="Item"/>
      </w:pPr>
      <w:r w:rsidRPr="008E3A8D">
        <w:t>Repeal the regulations.</w:t>
      </w:r>
    </w:p>
    <w:p w:rsidR="0006733A" w:rsidRPr="008E3A8D" w:rsidRDefault="0006733A" w:rsidP="0006733A">
      <w:pPr>
        <w:pStyle w:val="ItemHead"/>
      </w:pPr>
      <w:r w:rsidRPr="008E3A8D">
        <w:t>1</w:t>
      </w:r>
      <w:r w:rsidR="00695042" w:rsidRPr="008E3A8D">
        <w:t>7</w:t>
      </w:r>
      <w:r w:rsidRPr="008E3A8D">
        <w:t xml:space="preserve">  Paragraphs 12.02(1)(f)</w:t>
      </w:r>
      <w:r w:rsidR="00F6760D" w:rsidRPr="008E3A8D">
        <w:t xml:space="preserve"> to</w:t>
      </w:r>
      <w:r w:rsidRPr="008E3A8D">
        <w:t xml:space="preserve"> (h)</w:t>
      </w:r>
    </w:p>
    <w:p w:rsidR="0006733A" w:rsidRPr="008E3A8D" w:rsidRDefault="0006733A" w:rsidP="0006733A">
      <w:pPr>
        <w:pStyle w:val="Item"/>
      </w:pPr>
      <w:r w:rsidRPr="008E3A8D">
        <w:t>Repeal the paragraphs.</w:t>
      </w:r>
    </w:p>
    <w:p w:rsidR="00594786" w:rsidRPr="008E3A8D" w:rsidRDefault="00594786" w:rsidP="00594786">
      <w:pPr>
        <w:pStyle w:val="ItemHead"/>
      </w:pPr>
      <w:r w:rsidRPr="008E3A8D">
        <w:t>1</w:t>
      </w:r>
      <w:r w:rsidR="00695042" w:rsidRPr="008E3A8D">
        <w:t>8</w:t>
      </w:r>
      <w:r w:rsidRPr="008E3A8D">
        <w:t xml:space="preserve">  After Part</w:t>
      </w:r>
      <w:r w:rsidR="008E3A8D" w:rsidRPr="008E3A8D">
        <w:t> </w:t>
      </w:r>
      <w:r w:rsidRPr="008E3A8D">
        <w:t>12</w:t>
      </w:r>
    </w:p>
    <w:p w:rsidR="00594786" w:rsidRPr="008E3A8D" w:rsidRDefault="00594786" w:rsidP="00594786">
      <w:pPr>
        <w:pStyle w:val="Item"/>
      </w:pPr>
      <w:r w:rsidRPr="008E3A8D">
        <w:t>Insert:</w:t>
      </w:r>
    </w:p>
    <w:p w:rsidR="00594786" w:rsidRPr="008E3A8D" w:rsidRDefault="00594786" w:rsidP="00594786">
      <w:pPr>
        <w:pStyle w:val="ActHead2"/>
      </w:pPr>
      <w:bookmarkStart w:id="20" w:name="_Toc369875581"/>
      <w:r w:rsidRPr="008E3A8D">
        <w:rPr>
          <w:rStyle w:val="CharPartNo"/>
        </w:rPr>
        <w:t>Part</w:t>
      </w:r>
      <w:r w:rsidR="008E3A8D" w:rsidRPr="008E3A8D">
        <w:rPr>
          <w:rStyle w:val="CharPartNo"/>
        </w:rPr>
        <w:t> </w:t>
      </w:r>
      <w:r w:rsidRPr="008E3A8D">
        <w:rPr>
          <w:rStyle w:val="CharPartNo"/>
        </w:rPr>
        <w:t>13</w:t>
      </w:r>
      <w:r w:rsidRPr="008E3A8D">
        <w:t>—</w:t>
      </w:r>
      <w:r w:rsidRPr="008E3A8D">
        <w:rPr>
          <w:rStyle w:val="CharPartText"/>
        </w:rPr>
        <w:t>Transitional</w:t>
      </w:r>
      <w:r w:rsidR="007A5371" w:rsidRPr="008E3A8D">
        <w:rPr>
          <w:rStyle w:val="CharPartText"/>
        </w:rPr>
        <w:t xml:space="preserve"> arrangements</w:t>
      </w:r>
      <w:bookmarkEnd w:id="20"/>
    </w:p>
    <w:p w:rsidR="00A96BF9" w:rsidRPr="008E3A8D" w:rsidRDefault="00695042" w:rsidP="00A96BF9">
      <w:pPr>
        <w:pStyle w:val="ActHead3"/>
      </w:pPr>
      <w:bookmarkStart w:id="21" w:name="_Toc369875582"/>
      <w:r w:rsidRPr="008E3A8D">
        <w:rPr>
          <w:rStyle w:val="CharDivNo"/>
        </w:rPr>
        <w:t>Division</w:t>
      </w:r>
      <w:r w:rsidR="008E3A8D" w:rsidRPr="008E3A8D">
        <w:rPr>
          <w:rStyle w:val="CharDivNo"/>
        </w:rPr>
        <w:t> </w:t>
      </w:r>
      <w:r w:rsidRPr="008E3A8D">
        <w:rPr>
          <w:rStyle w:val="CharDivNo"/>
        </w:rPr>
        <w:t>1</w:t>
      </w:r>
      <w:r w:rsidRPr="008E3A8D">
        <w:t>—</w:t>
      </w:r>
      <w:r w:rsidRPr="008E3A8D">
        <w:rPr>
          <w:rStyle w:val="CharDivText"/>
        </w:rPr>
        <w:t>Transitional arrangements</w:t>
      </w:r>
      <w:r w:rsidR="00F6760D" w:rsidRPr="008E3A8D">
        <w:rPr>
          <w:rStyle w:val="CharDivText"/>
        </w:rPr>
        <w:t>—</w:t>
      </w:r>
      <w:r w:rsidRPr="008E3A8D">
        <w:rPr>
          <w:rStyle w:val="CharDivText"/>
        </w:rPr>
        <w:t>Offshore Petroleum and Greenhouse Gas Storage Legislation Amendment (2013 Measures No.</w:t>
      </w:r>
      <w:r w:rsidR="008E3A8D" w:rsidRPr="008E3A8D">
        <w:rPr>
          <w:rStyle w:val="CharDivText"/>
        </w:rPr>
        <w:t> </w:t>
      </w:r>
      <w:r w:rsidRPr="008E3A8D">
        <w:rPr>
          <w:rStyle w:val="CharDivText"/>
        </w:rPr>
        <w:t>2) Regulation</w:t>
      </w:r>
      <w:r w:rsidR="008E3A8D" w:rsidRPr="008E3A8D">
        <w:rPr>
          <w:rStyle w:val="CharDivText"/>
        </w:rPr>
        <w:t> </w:t>
      </w:r>
      <w:r w:rsidRPr="008E3A8D">
        <w:rPr>
          <w:rStyle w:val="CharDivText"/>
        </w:rPr>
        <w:t>2013</w:t>
      </w:r>
      <w:bookmarkEnd w:id="21"/>
    </w:p>
    <w:p w:rsidR="00594786" w:rsidRPr="008E3A8D" w:rsidRDefault="00594786" w:rsidP="00594786">
      <w:pPr>
        <w:pStyle w:val="ActHead5"/>
      </w:pPr>
      <w:bookmarkStart w:id="22" w:name="_Toc369875583"/>
      <w:r w:rsidRPr="008E3A8D">
        <w:rPr>
          <w:rStyle w:val="CharSectno"/>
        </w:rPr>
        <w:t>13.01</w:t>
      </w:r>
      <w:r w:rsidRPr="008E3A8D">
        <w:t xml:space="preserve">  Requirements for giving reports and samples</w:t>
      </w:r>
      <w:bookmarkEnd w:id="22"/>
    </w:p>
    <w:p w:rsidR="00594786" w:rsidRPr="008E3A8D" w:rsidRDefault="00594786" w:rsidP="00594786">
      <w:pPr>
        <w:pStyle w:val="subsection"/>
        <w:rPr>
          <w:strike/>
        </w:rPr>
      </w:pPr>
      <w:r w:rsidRPr="008E3A8D">
        <w:tab/>
      </w:r>
      <w:r w:rsidRPr="008E3A8D">
        <w:tab/>
      </w:r>
      <w:r w:rsidR="00695042" w:rsidRPr="008E3A8D">
        <w:t>The amendments made to these Regulations by items [1] and [3] to [</w:t>
      </w:r>
      <w:r w:rsidR="00005881" w:rsidRPr="008E3A8D">
        <w:t>6</w:t>
      </w:r>
      <w:r w:rsidR="00695042" w:rsidRPr="008E3A8D">
        <w:t>] of Schedule</w:t>
      </w:r>
      <w:r w:rsidR="008E3A8D" w:rsidRPr="008E3A8D">
        <w:t> </w:t>
      </w:r>
      <w:r w:rsidR="00695042" w:rsidRPr="008E3A8D">
        <w:t xml:space="preserve">1 to the </w:t>
      </w:r>
      <w:r w:rsidR="00695042" w:rsidRPr="008E3A8D">
        <w:rPr>
          <w:i/>
        </w:rPr>
        <w:t>Offshore Petroleum and Greenhouse Gas Storage Legislation Amendment (2013 Measures No.</w:t>
      </w:r>
      <w:r w:rsidR="008E3A8D" w:rsidRPr="008E3A8D">
        <w:rPr>
          <w:i/>
        </w:rPr>
        <w:t> </w:t>
      </w:r>
      <w:r w:rsidR="00695042" w:rsidRPr="008E3A8D">
        <w:rPr>
          <w:i/>
        </w:rPr>
        <w:t>2) Regulation</w:t>
      </w:r>
      <w:r w:rsidR="008E3A8D" w:rsidRPr="008E3A8D">
        <w:rPr>
          <w:i/>
        </w:rPr>
        <w:t> </w:t>
      </w:r>
      <w:r w:rsidR="00695042" w:rsidRPr="008E3A8D">
        <w:rPr>
          <w:i/>
        </w:rPr>
        <w:t>2013</w:t>
      </w:r>
      <w:r w:rsidR="00695042" w:rsidRPr="008E3A8D">
        <w:t xml:space="preserve"> apply in relation to a report or data that relates to </w:t>
      </w:r>
      <w:r w:rsidR="00695042" w:rsidRPr="008E3A8D">
        <w:lastRenderedPageBreak/>
        <w:t>an activity commenced before, on or after the day that Schedule commences.</w:t>
      </w:r>
    </w:p>
    <w:p w:rsidR="00594786" w:rsidRPr="008E3A8D" w:rsidRDefault="00594786" w:rsidP="00594786">
      <w:pPr>
        <w:pStyle w:val="ActHead5"/>
      </w:pPr>
      <w:bookmarkStart w:id="23" w:name="_Toc369875584"/>
      <w:r w:rsidRPr="008E3A8D">
        <w:rPr>
          <w:rStyle w:val="CharSectno"/>
        </w:rPr>
        <w:t>13.02</w:t>
      </w:r>
      <w:r w:rsidRPr="008E3A8D">
        <w:t xml:space="preserve">  Release of data</w:t>
      </w:r>
      <w:bookmarkEnd w:id="23"/>
    </w:p>
    <w:p w:rsidR="00695042" w:rsidRPr="008E3A8D" w:rsidRDefault="00594786" w:rsidP="00695042">
      <w:pPr>
        <w:pStyle w:val="subsection"/>
      </w:pPr>
      <w:r w:rsidRPr="008E3A8D">
        <w:tab/>
      </w:r>
      <w:r w:rsidRPr="008E3A8D">
        <w:tab/>
      </w:r>
      <w:r w:rsidR="00695042" w:rsidRPr="008E3A8D">
        <w:t>The amendments made to these Regulations by items [7] to [9] of Schedule</w:t>
      </w:r>
      <w:r w:rsidR="008E3A8D" w:rsidRPr="008E3A8D">
        <w:t> </w:t>
      </w:r>
      <w:r w:rsidR="00695042" w:rsidRPr="008E3A8D">
        <w:t xml:space="preserve">1 to the </w:t>
      </w:r>
      <w:r w:rsidR="00695042" w:rsidRPr="008E3A8D">
        <w:rPr>
          <w:i/>
        </w:rPr>
        <w:t>Offshore Petroleum and Greenhouse Gas Storage Legislation Amendment (2013 Measures No.</w:t>
      </w:r>
      <w:r w:rsidR="008E3A8D" w:rsidRPr="008E3A8D">
        <w:rPr>
          <w:i/>
        </w:rPr>
        <w:t> </w:t>
      </w:r>
      <w:r w:rsidR="00695042" w:rsidRPr="008E3A8D">
        <w:rPr>
          <w:i/>
        </w:rPr>
        <w:t>2) Regulation</w:t>
      </w:r>
      <w:r w:rsidR="008E3A8D" w:rsidRPr="008E3A8D">
        <w:rPr>
          <w:i/>
        </w:rPr>
        <w:t> </w:t>
      </w:r>
      <w:r w:rsidR="00695042" w:rsidRPr="008E3A8D">
        <w:rPr>
          <w:i/>
        </w:rPr>
        <w:t>2013</w:t>
      </w:r>
      <w:r w:rsidR="00695042" w:rsidRPr="008E3A8D">
        <w:t xml:space="preserve"> apply in relation to documentary information:</w:t>
      </w:r>
    </w:p>
    <w:p w:rsidR="00695042" w:rsidRPr="008E3A8D" w:rsidRDefault="00695042" w:rsidP="00695042">
      <w:pPr>
        <w:pStyle w:val="paragraph"/>
      </w:pPr>
      <w:r w:rsidRPr="008E3A8D">
        <w:tab/>
        <w:t>(a)</w:t>
      </w:r>
      <w:r w:rsidRPr="008E3A8D">
        <w:tab/>
        <w:t xml:space="preserve">acquired before, on or after the day that Schedule commences; </w:t>
      </w:r>
      <w:r w:rsidR="001B7D94" w:rsidRPr="008E3A8D">
        <w:t>and</w:t>
      </w:r>
    </w:p>
    <w:p w:rsidR="00594786" w:rsidRPr="008E3A8D" w:rsidRDefault="00695042" w:rsidP="00113CA2">
      <w:pPr>
        <w:pStyle w:val="paragraph"/>
        <w:rPr>
          <w:strike/>
        </w:rPr>
      </w:pPr>
      <w:r w:rsidRPr="008E3A8D">
        <w:tab/>
        <w:t>(b)</w:t>
      </w:r>
      <w:r w:rsidRPr="008E3A8D">
        <w:tab/>
        <w:t>not made available under regulation</w:t>
      </w:r>
      <w:r w:rsidR="008E3A8D" w:rsidRPr="008E3A8D">
        <w:t> </w:t>
      </w:r>
      <w:r w:rsidRPr="008E3A8D">
        <w:t>8.11 before that day.</w:t>
      </w:r>
    </w:p>
    <w:p w:rsidR="00583B78" w:rsidRPr="008E3A8D" w:rsidRDefault="00583B78" w:rsidP="00583B78">
      <w:pPr>
        <w:pStyle w:val="ItemHead"/>
      </w:pPr>
      <w:r w:rsidRPr="008E3A8D">
        <w:t>19  Part</w:t>
      </w:r>
      <w:r w:rsidR="008E3A8D" w:rsidRPr="008E3A8D">
        <w:t> </w:t>
      </w:r>
      <w:r w:rsidRPr="008E3A8D">
        <w:t>1 of Schedule</w:t>
      </w:r>
      <w:r w:rsidR="008E3A8D" w:rsidRPr="008E3A8D">
        <w:t> </w:t>
      </w:r>
      <w:r w:rsidRPr="008E3A8D">
        <w:t>6 (heading)</w:t>
      </w:r>
    </w:p>
    <w:p w:rsidR="00583B78" w:rsidRPr="008E3A8D" w:rsidRDefault="00583B78" w:rsidP="00583B78">
      <w:pPr>
        <w:pStyle w:val="Item"/>
      </w:pPr>
      <w:r w:rsidRPr="008E3A8D">
        <w:t>Repeal the heading, substitute:</w:t>
      </w:r>
    </w:p>
    <w:p w:rsidR="00583B78" w:rsidRPr="008E3A8D" w:rsidRDefault="00583B78" w:rsidP="00583B78">
      <w:pPr>
        <w:pStyle w:val="ActHead2"/>
      </w:pPr>
      <w:bookmarkStart w:id="24" w:name="_Toc369875585"/>
      <w:r w:rsidRPr="008E3A8D">
        <w:rPr>
          <w:rStyle w:val="CharPartNo"/>
        </w:rPr>
        <w:t>Part</w:t>
      </w:r>
      <w:r w:rsidR="008E3A8D" w:rsidRPr="008E3A8D">
        <w:rPr>
          <w:rStyle w:val="CharPartNo"/>
        </w:rPr>
        <w:t> </w:t>
      </w:r>
      <w:r w:rsidRPr="008E3A8D">
        <w:rPr>
          <w:rStyle w:val="CharPartNo"/>
        </w:rPr>
        <w:t>1</w:t>
      </w:r>
      <w:r w:rsidRPr="008E3A8D">
        <w:t>—</w:t>
      </w:r>
      <w:r w:rsidRPr="008E3A8D">
        <w:rPr>
          <w:rStyle w:val="CharPartText"/>
        </w:rPr>
        <w:t>Fees in relation to applications</w:t>
      </w:r>
      <w:bookmarkEnd w:id="24"/>
    </w:p>
    <w:p w:rsidR="00583B78" w:rsidRPr="008E3A8D" w:rsidRDefault="00583B78" w:rsidP="00583B78">
      <w:pPr>
        <w:pStyle w:val="Header"/>
      </w:pPr>
      <w:bookmarkStart w:id="25" w:name="f_Check_Lines_above"/>
      <w:bookmarkEnd w:id="25"/>
      <w:r w:rsidRPr="008E3A8D">
        <w:rPr>
          <w:rStyle w:val="CharDivNo"/>
        </w:rPr>
        <w:t xml:space="preserve"> </w:t>
      </w:r>
      <w:r w:rsidRPr="008E3A8D">
        <w:rPr>
          <w:rStyle w:val="CharDivText"/>
        </w:rPr>
        <w:t xml:space="preserve"> </w:t>
      </w:r>
    </w:p>
    <w:p w:rsidR="0006733A" w:rsidRPr="008E3A8D" w:rsidRDefault="0006733A" w:rsidP="0006733A">
      <w:pPr>
        <w:pStyle w:val="ActHead3"/>
      </w:pPr>
      <w:bookmarkStart w:id="26" w:name="_Toc369875586"/>
      <w:r w:rsidRPr="008E3A8D">
        <w:rPr>
          <w:rStyle w:val="CharDivNo"/>
        </w:rPr>
        <w:t>Division</w:t>
      </w:r>
      <w:r w:rsidR="008E3A8D" w:rsidRPr="008E3A8D">
        <w:rPr>
          <w:rStyle w:val="CharDivNo"/>
        </w:rPr>
        <w:t> </w:t>
      </w:r>
      <w:r w:rsidRPr="008E3A8D">
        <w:rPr>
          <w:rStyle w:val="CharDivNo"/>
        </w:rPr>
        <w:t>1</w:t>
      </w:r>
      <w:r w:rsidRPr="008E3A8D">
        <w:t>—</w:t>
      </w:r>
      <w:r w:rsidRPr="008E3A8D">
        <w:rPr>
          <w:rStyle w:val="CharDivText"/>
        </w:rPr>
        <w:t>Fees payable under section</w:t>
      </w:r>
      <w:r w:rsidR="008E3A8D" w:rsidRPr="008E3A8D">
        <w:rPr>
          <w:rStyle w:val="CharDivText"/>
        </w:rPr>
        <w:t> </w:t>
      </w:r>
      <w:r w:rsidRPr="008E3A8D">
        <w:rPr>
          <w:rStyle w:val="CharDivText"/>
        </w:rPr>
        <w:t>256 of the Act</w:t>
      </w:r>
      <w:bookmarkEnd w:id="26"/>
    </w:p>
    <w:p w:rsidR="0006733A" w:rsidRPr="008E3A8D" w:rsidRDefault="00695042" w:rsidP="0006733A">
      <w:pPr>
        <w:pStyle w:val="ItemHead"/>
      </w:pPr>
      <w:r w:rsidRPr="008E3A8D">
        <w:t>20</w:t>
      </w:r>
      <w:r w:rsidR="0006733A" w:rsidRPr="008E3A8D">
        <w:t xml:space="preserve">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101</w:t>
      </w:r>
      <w:r w:rsidR="0079491C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79491C" w:rsidRPr="008E3A8D">
        <w:t>dd</w:t>
      </w:r>
      <w:r w:rsidRPr="008E3A8D">
        <w:t xml:space="preserve"> “under section</w:t>
      </w:r>
      <w:r w:rsidR="008E3A8D" w:rsidRPr="008E3A8D">
        <w:t> </w:t>
      </w:r>
      <w:r w:rsidRPr="008E3A8D">
        <w:t>104 of the Act”.</w:t>
      </w:r>
    </w:p>
    <w:p w:rsidR="0006733A" w:rsidRPr="008E3A8D" w:rsidRDefault="00695042" w:rsidP="0006733A">
      <w:pPr>
        <w:pStyle w:val="ItemHead"/>
      </w:pPr>
      <w:r w:rsidRPr="008E3A8D">
        <w:t>2</w:t>
      </w:r>
      <w:r w:rsidR="0006733A" w:rsidRPr="008E3A8D">
        <w:t xml:space="preserve">1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cell at </w:t>
      </w:r>
      <w:r w:rsidR="0006733A" w:rsidRPr="008E3A8D">
        <w:t>table item</w:t>
      </w:r>
      <w:r w:rsidR="008E3A8D" w:rsidRPr="008E3A8D">
        <w:t> </w:t>
      </w:r>
      <w:r w:rsidR="0006733A" w:rsidRPr="008E3A8D">
        <w:t>101</w:t>
      </w:r>
      <w:r w:rsidR="0079491C" w:rsidRPr="008E3A8D">
        <w:t>, column headed “Fee ($)”</w:t>
      </w:r>
      <w:r w:rsidR="0006733A" w:rsidRPr="008E3A8D">
        <w:t>)</w:t>
      </w:r>
    </w:p>
    <w:p w:rsidR="0079491C" w:rsidRPr="008E3A8D" w:rsidRDefault="0079491C" w:rsidP="0006733A">
      <w:pPr>
        <w:pStyle w:val="Item"/>
      </w:pPr>
      <w:r w:rsidRPr="008E3A8D">
        <w:t>Repeal the cell, substitute:</w:t>
      </w:r>
    </w:p>
    <w:p w:rsidR="0006733A" w:rsidRPr="008E3A8D" w:rsidRDefault="0079491C" w:rsidP="00BE5FEF">
      <w:pPr>
        <w:pStyle w:val="Tabletext"/>
        <w:ind w:left="709"/>
      </w:pPr>
      <w:r w:rsidRPr="008E3A8D">
        <w:t>8183</w:t>
      </w:r>
    </w:p>
    <w:p w:rsidR="0006733A" w:rsidRPr="008E3A8D" w:rsidRDefault="00695042" w:rsidP="0006733A">
      <w:pPr>
        <w:pStyle w:val="ItemHead"/>
      </w:pPr>
      <w:r w:rsidRPr="008E3A8D">
        <w:t>22</w:t>
      </w:r>
      <w:r w:rsidR="0006733A" w:rsidRPr="008E3A8D">
        <w:t xml:space="preserve">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102</w:t>
      </w:r>
      <w:r w:rsidR="0079491C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79491C" w:rsidRPr="008E3A8D">
        <w:t xml:space="preserve">dd: </w:t>
      </w:r>
      <w:r w:rsidRPr="008E3A8D">
        <w:t>“under section</w:t>
      </w:r>
      <w:r w:rsidR="008E3A8D" w:rsidRPr="008E3A8D">
        <w:t> </w:t>
      </w:r>
      <w:r w:rsidRPr="008E3A8D">
        <w:t>115 of the Act”.</w:t>
      </w:r>
    </w:p>
    <w:p w:rsidR="0006733A" w:rsidRPr="008E3A8D" w:rsidRDefault="00695042" w:rsidP="0006733A">
      <w:pPr>
        <w:pStyle w:val="ItemHead"/>
      </w:pPr>
      <w:r w:rsidRPr="008E3A8D">
        <w:t>23</w:t>
      </w:r>
      <w:r w:rsidR="0006733A" w:rsidRPr="008E3A8D">
        <w:t xml:space="preserve">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103</w:t>
      </w:r>
      <w:r w:rsidR="0079491C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79491C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110 of the Act”.</w:t>
      </w:r>
    </w:p>
    <w:p w:rsidR="0006733A" w:rsidRPr="008E3A8D" w:rsidRDefault="00695042" w:rsidP="0006733A">
      <w:pPr>
        <w:pStyle w:val="ItemHead"/>
      </w:pPr>
      <w:r w:rsidRPr="008E3A8D">
        <w:lastRenderedPageBreak/>
        <w:t>24</w:t>
      </w:r>
      <w:r w:rsidR="0006733A" w:rsidRPr="008E3A8D">
        <w:t xml:space="preserve">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79491C" w:rsidRPr="008E3A8D">
        <w:t>104, column headed “Type of application”</w:t>
      </w:r>
      <w:r w:rsidR="0006733A" w:rsidRPr="008E3A8D">
        <w:t>)</w:t>
      </w:r>
    </w:p>
    <w:p w:rsidR="0006733A" w:rsidRPr="008E3A8D" w:rsidRDefault="0079491C" w:rsidP="0006733A">
      <w:pPr>
        <w:pStyle w:val="Item"/>
      </w:pPr>
      <w:r w:rsidRPr="008E3A8D">
        <w:t>Add:</w:t>
      </w:r>
      <w:r w:rsidR="0006733A" w:rsidRPr="008E3A8D">
        <w:t xml:space="preserve"> “under section</w:t>
      </w:r>
      <w:r w:rsidR="008E3A8D" w:rsidRPr="008E3A8D">
        <w:t> </w:t>
      </w:r>
      <w:r w:rsidR="0006733A" w:rsidRPr="008E3A8D">
        <w:t>119 of the Act”.</w:t>
      </w:r>
    </w:p>
    <w:p w:rsidR="0006733A" w:rsidRPr="008E3A8D" w:rsidRDefault="00695042" w:rsidP="0006733A">
      <w:pPr>
        <w:pStyle w:val="ItemHead"/>
      </w:pPr>
      <w:r w:rsidRPr="008E3A8D">
        <w:t>25</w:t>
      </w:r>
      <w:r w:rsidR="0006733A" w:rsidRPr="008E3A8D">
        <w:t xml:space="preserve">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105</w:t>
      </w:r>
      <w:r w:rsidR="0079491C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79491C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141 or 147 of the Act”.</w:t>
      </w:r>
    </w:p>
    <w:p w:rsidR="0006733A" w:rsidRPr="008E3A8D" w:rsidRDefault="00695042" w:rsidP="0006733A">
      <w:pPr>
        <w:pStyle w:val="ItemHead"/>
      </w:pPr>
      <w:r w:rsidRPr="008E3A8D">
        <w:t>26</w:t>
      </w:r>
      <w:r w:rsidR="0006733A" w:rsidRPr="008E3A8D">
        <w:t xml:space="preserve">  </w:t>
      </w:r>
      <w:r w:rsidR="0079491C" w:rsidRPr="008E3A8D">
        <w:t>Part</w:t>
      </w:r>
      <w:r w:rsidR="008E3A8D" w:rsidRPr="008E3A8D">
        <w:t> </w:t>
      </w:r>
      <w:r w:rsidR="0079491C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79491C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106</w:t>
      </w:r>
      <w:r w:rsidR="0079491C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79491C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153 of the Act”.</w:t>
      </w:r>
    </w:p>
    <w:p w:rsidR="0006733A" w:rsidRPr="008E3A8D" w:rsidRDefault="00695042" w:rsidP="0006733A">
      <w:pPr>
        <w:pStyle w:val="ItemHead"/>
      </w:pPr>
      <w:r w:rsidRPr="008E3A8D">
        <w:t>27</w:t>
      </w:r>
      <w:r w:rsidR="0006733A" w:rsidRPr="008E3A8D">
        <w:t xml:space="preserve">  </w:t>
      </w:r>
      <w:r w:rsidR="0036327E" w:rsidRPr="008E3A8D">
        <w:t>Part</w:t>
      </w:r>
      <w:r w:rsidR="008E3A8D" w:rsidRPr="008E3A8D">
        <w:t> </w:t>
      </w:r>
      <w:r w:rsidR="0036327E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36327E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107</w:t>
      </w:r>
      <w:r w:rsidR="0036327E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36327E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178 of the Act”.</w:t>
      </w:r>
    </w:p>
    <w:p w:rsidR="0006733A" w:rsidRPr="008E3A8D" w:rsidRDefault="0006733A" w:rsidP="0006733A">
      <w:pPr>
        <w:pStyle w:val="ItemHead"/>
      </w:pPr>
      <w:r w:rsidRPr="008E3A8D">
        <w:t>2</w:t>
      </w:r>
      <w:r w:rsidR="00695042" w:rsidRPr="008E3A8D">
        <w:t>8</w:t>
      </w:r>
      <w:r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Pr="008E3A8D">
        <w:t>Schedule</w:t>
      </w:r>
      <w:r w:rsidR="008E3A8D" w:rsidRPr="008E3A8D">
        <w:t> </w:t>
      </w:r>
      <w:r w:rsidRPr="008E3A8D">
        <w:t>6 (</w:t>
      </w:r>
      <w:r w:rsidR="00D217C7" w:rsidRPr="008E3A8D">
        <w:t xml:space="preserve">at the end of </w:t>
      </w:r>
      <w:r w:rsidRPr="008E3A8D">
        <w:t>table item</w:t>
      </w:r>
      <w:r w:rsidR="008E3A8D" w:rsidRPr="008E3A8D">
        <w:t> </w:t>
      </w:r>
      <w:r w:rsidRPr="008E3A8D">
        <w:t>108</w:t>
      </w:r>
      <w:r w:rsidR="00D217C7" w:rsidRPr="008E3A8D">
        <w:t>, column headed “Type of application”</w:t>
      </w:r>
      <w:r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D217C7" w:rsidRPr="008E3A8D">
        <w:t xml:space="preserve">dd: </w:t>
      </w:r>
      <w:r w:rsidRPr="008E3A8D">
        <w:t>“under section</w:t>
      </w:r>
      <w:r w:rsidR="008E3A8D" w:rsidRPr="008E3A8D">
        <w:t> </w:t>
      </w:r>
      <w:r w:rsidRPr="008E3A8D">
        <w:t>182 of the Act”.</w:t>
      </w:r>
    </w:p>
    <w:p w:rsidR="0006733A" w:rsidRPr="008E3A8D" w:rsidRDefault="0006733A" w:rsidP="0006733A">
      <w:pPr>
        <w:pStyle w:val="ItemHead"/>
      </w:pPr>
      <w:r w:rsidRPr="008E3A8D">
        <w:t>2</w:t>
      </w:r>
      <w:r w:rsidR="00695042" w:rsidRPr="008E3A8D">
        <w:t>9</w:t>
      </w:r>
      <w:r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Pr="008E3A8D">
        <w:t>Schedule</w:t>
      </w:r>
      <w:r w:rsidR="008E3A8D" w:rsidRPr="008E3A8D">
        <w:t> </w:t>
      </w:r>
      <w:r w:rsidRPr="008E3A8D">
        <w:t>6 (</w:t>
      </w:r>
      <w:r w:rsidR="00D217C7" w:rsidRPr="008E3A8D">
        <w:t>at the end of table item</w:t>
      </w:r>
      <w:r w:rsidR="008E3A8D" w:rsidRPr="008E3A8D">
        <w:t> </w:t>
      </w:r>
      <w:r w:rsidR="00D217C7" w:rsidRPr="008E3A8D">
        <w:t>1</w:t>
      </w:r>
      <w:r w:rsidRPr="008E3A8D">
        <w:t>10</w:t>
      </w:r>
      <w:r w:rsidR="00D217C7" w:rsidRPr="008E3A8D">
        <w:t xml:space="preserve">, </w:t>
      </w:r>
      <w:r w:rsidR="00E4629A" w:rsidRPr="008E3A8D">
        <w:t>c</w:t>
      </w:r>
      <w:r w:rsidR="00047226" w:rsidRPr="008E3A8D">
        <w:t>olum</w:t>
      </w:r>
      <w:r w:rsidR="00E4629A" w:rsidRPr="008E3A8D">
        <w:t>n</w:t>
      </w:r>
      <w:r w:rsidR="00D217C7" w:rsidRPr="008E3A8D">
        <w:t xml:space="preserve"> headed “Type of application”</w:t>
      </w:r>
      <w:r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D217C7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184 of the Act”.</w:t>
      </w:r>
    </w:p>
    <w:p w:rsidR="0006733A" w:rsidRPr="008E3A8D" w:rsidRDefault="0006733A" w:rsidP="0006733A">
      <w:pPr>
        <w:pStyle w:val="ItemHead"/>
      </w:pPr>
      <w:r w:rsidRPr="008E3A8D">
        <w:t>3</w:t>
      </w:r>
      <w:r w:rsidR="00695042" w:rsidRPr="008E3A8D">
        <w:t>0</w:t>
      </w:r>
      <w:r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Pr="008E3A8D">
        <w:t>Schedule</w:t>
      </w:r>
      <w:r w:rsidR="008E3A8D" w:rsidRPr="008E3A8D">
        <w:t> </w:t>
      </w:r>
      <w:r w:rsidRPr="008E3A8D">
        <w:t>6 (</w:t>
      </w:r>
      <w:r w:rsidR="00D217C7" w:rsidRPr="008E3A8D">
        <w:t xml:space="preserve">at the end of </w:t>
      </w:r>
      <w:r w:rsidRPr="008E3A8D">
        <w:t>table item</w:t>
      </w:r>
      <w:r w:rsidR="008E3A8D" w:rsidRPr="008E3A8D">
        <w:t> </w:t>
      </w:r>
      <w:r w:rsidRPr="008E3A8D">
        <w:t>111</w:t>
      </w:r>
      <w:r w:rsidR="00D217C7" w:rsidRPr="008E3A8D">
        <w:t>, column headed “Type of application”</w:t>
      </w:r>
      <w:r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D217C7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198 of the Act”.</w:t>
      </w:r>
    </w:p>
    <w:p w:rsidR="0006733A" w:rsidRPr="008E3A8D" w:rsidRDefault="00695042" w:rsidP="0006733A">
      <w:pPr>
        <w:pStyle w:val="ItemHead"/>
      </w:pPr>
      <w:r w:rsidRPr="008E3A8D">
        <w:t>31</w:t>
      </w:r>
      <w:r w:rsidR="0006733A"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D217C7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112</w:t>
      </w:r>
      <w:r w:rsidR="00D217C7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D217C7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217 of the Act”.</w:t>
      </w:r>
    </w:p>
    <w:p w:rsidR="0006733A" w:rsidRPr="008E3A8D" w:rsidRDefault="00695042" w:rsidP="0006733A">
      <w:pPr>
        <w:pStyle w:val="ItemHead"/>
      </w:pPr>
      <w:r w:rsidRPr="008E3A8D">
        <w:t>32</w:t>
      </w:r>
      <w:r w:rsidR="0006733A"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D217C7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113</w:t>
      </w:r>
      <w:r w:rsidR="00D217C7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D217C7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226 of the Act”.</w:t>
      </w:r>
    </w:p>
    <w:p w:rsidR="0006733A" w:rsidRPr="008E3A8D" w:rsidRDefault="00695042" w:rsidP="0006733A">
      <w:pPr>
        <w:pStyle w:val="ItemHead"/>
      </w:pPr>
      <w:r w:rsidRPr="008E3A8D">
        <w:lastRenderedPageBreak/>
        <w:t>33</w:t>
      </w:r>
      <w:r w:rsidR="0006733A"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D217C7" w:rsidRPr="008E3A8D">
        <w:t xml:space="preserve">at the end of </w:t>
      </w:r>
      <w:r w:rsidR="0006733A" w:rsidRPr="008E3A8D">
        <w:t>table item</w:t>
      </w:r>
      <w:r w:rsidR="008E3A8D" w:rsidRPr="008E3A8D">
        <w:t> </w:t>
      </w:r>
      <w:r w:rsidR="0006733A" w:rsidRPr="008E3A8D">
        <w:t>114</w:t>
      </w:r>
      <w:r w:rsidR="00D217C7" w:rsidRPr="008E3A8D">
        <w:t>, column headed “Type of application”</w:t>
      </w:r>
      <w:r w:rsidR="0006733A" w:rsidRPr="008E3A8D">
        <w:t>)</w:t>
      </w:r>
    </w:p>
    <w:p w:rsidR="0006733A" w:rsidRPr="008E3A8D" w:rsidRDefault="0006733A" w:rsidP="0006733A">
      <w:pPr>
        <w:pStyle w:val="Item"/>
      </w:pPr>
      <w:r w:rsidRPr="008E3A8D">
        <w:t>A</w:t>
      </w:r>
      <w:r w:rsidR="00D217C7" w:rsidRPr="008E3A8D">
        <w:t>dd:</w:t>
      </w:r>
      <w:r w:rsidRPr="008E3A8D">
        <w:t xml:space="preserve"> “under section</w:t>
      </w:r>
      <w:r w:rsidR="008E3A8D" w:rsidRPr="008E3A8D">
        <w:t> </w:t>
      </w:r>
      <w:r w:rsidRPr="008E3A8D">
        <w:t>234 of the Act”.</w:t>
      </w:r>
    </w:p>
    <w:p w:rsidR="0006733A" w:rsidRPr="008E3A8D" w:rsidRDefault="00695042" w:rsidP="0006733A">
      <w:pPr>
        <w:pStyle w:val="ItemHead"/>
      </w:pPr>
      <w:r w:rsidRPr="008E3A8D">
        <w:t>34</w:t>
      </w:r>
      <w:r w:rsidR="0006733A" w:rsidRPr="008E3A8D">
        <w:t xml:space="preserve">  </w:t>
      </w:r>
      <w:r w:rsidR="00D217C7" w:rsidRPr="008E3A8D">
        <w:t>Part</w:t>
      </w:r>
      <w:r w:rsidR="008E3A8D" w:rsidRPr="008E3A8D">
        <w:t> </w:t>
      </w:r>
      <w:r w:rsidR="00D217C7" w:rsidRPr="008E3A8D">
        <w:t xml:space="preserve">1 of </w:t>
      </w:r>
      <w:r w:rsidR="0006733A" w:rsidRPr="008E3A8D">
        <w:t>Schedule</w:t>
      </w:r>
      <w:r w:rsidR="008E3A8D" w:rsidRPr="008E3A8D">
        <w:t> </w:t>
      </w:r>
      <w:r w:rsidR="0006733A" w:rsidRPr="008E3A8D">
        <w:t>6 (</w:t>
      </w:r>
      <w:r w:rsidR="00D217C7" w:rsidRPr="008E3A8D">
        <w:t xml:space="preserve">cell at </w:t>
      </w:r>
      <w:r w:rsidR="0006733A" w:rsidRPr="008E3A8D">
        <w:t>table item</w:t>
      </w:r>
      <w:r w:rsidR="008E3A8D" w:rsidRPr="008E3A8D">
        <w:t> </w:t>
      </w:r>
      <w:r w:rsidR="0006733A" w:rsidRPr="008E3A8D">
        <w:t>114</w:t>
      </w:r>
      <w:r w:rsidR="00D217C7" w:rsidRPr="008E3A8D">
        <w:t>, column headed “Fee ($)”)</w:t>
      </w:r>
    </w:p>
    <w:p w:rsidR="00E4629A" w:rsidRPr="008E3A8D" w:rsidRDefault="00E4629A" w:rsidP="00E4629A">
      <w:pPr>
        <w:pStyle w:val="Item"/>
      </w:pPr>
      <w:r w:rsidRPr="008E3A8D">
        <w:t>Repeal the cell, substitute:</w:t>
      </w:r>
    </w:p>
    <w:p w:rsidR="0006733A" w:rsidRPr="008E3A8D" w:rsidRDefault="0006733A" w:rsidP="00E4629A">
      <w:pPr>
        <w:pStyle w:val="Tabletext"/>
        <w:ind w:left="709"/>
      </w:pPr>
      <w:r w:rsidRPr="008E3A8D">
        <w:t>5</w:t>
      </w:r>
      <w:r w:rsidR="008E3A8D" w:rsidRPr="008E3A8D">
        <w:t> </w:t>
      </w:r>
      <w:r w:rsidRPr="008E3A8D">
        <w:t>580</w:t>
      </w:r>
    </w:p>
    <w:p w:rsidR="0006733A" w:rsidRPr="008E3A8D" w:rsidRDefault="00695042" w:rsidP="0006733A">
      <w:pPr>
        <w:pStyle w:val="ItemHead"/>
      </w:pPr>
      <w:r w:rsidRPr="008E3A8D">
        <w:t>3</w:t>
      </w:r>
      <w:r w:rsidR="00D217C7" w:rsidRPr="008E3A8D">
        <w:t>5</w:t>
      </w:r>
      <w:r w:rsidR="0006733A" w:rsidRPr="008E3A8D">
        <w:t xml:space="preserve">  At the end of Part</w:t>
      </w:r>
      <w:r w:rsidR="008E3A8D" w:rsidRPr="008E3A8D">
        <w:t> </w:t>
      </w:r>
      <w:r w:rsidR="0006733A" w:rsidRPr="008E3A8D">
        <w:t>1 of Schedule</w:t>
      </w:r>
      <w:r w:rsidR="008E3A8D" w:rsidRPr="008E3A8D">
        <w:t> </w:t>
      </w:r>
      <w:r w:rsidR="0006733A" w:rsidRPr="008E3A8D">
        <w:t>6</w:t>
      </w:r>
    </w:p>
    <w:p w:rsidR="0006733A" w:rsidRPr="008E3A8D" w:rsidRDefault="0006733A" w:rsidP="0006733A">
      <w:pPr>
        <w:pStyle w:val="Item"/>
      </w:pPr>
      <w:r w:rsidRPr="008E3A8D">
        <w:t>Add:</w:t>
      </w:r>
    </w:p>
    <w:p w:rsidR="0006733A" w:rsidRPr="008E3A8D" w:rsidRDefault="0006733A" w:rsidP="0006733A">
      <w:pPr>
        <w:pStyle w:val="ActHead3"/>
      </w:pPr>
      <w:bookmarkStart w:id="27" w:name="_Toc369875587"/>
      <w:r w:rsidRPr="008E3A8D">
        <w:rPr>
          <w:rStyle w:val="CharDivNo"/>
        </w:rPr>
        <w:t>Division</w:t>
      </w:r>
      <w:r w:rsidR="008E3A8D" w:rsidRPr="008E3A8D">
        <w:rPr>
          <w:rStyle w:val="CharDivNo"/>
        </w:rPr>
        <w:t> </w:t>
      </w:r>
      <w:r w:rsidRPr="008E3A8D">
        <w:rPr>
          <w:rStyle w:val="CharDivNo"/>
        </w:rPr>
        <w:t>2</w:t>
      </w:r>
      <w:r w:rsidRPr="008E3A8D">
        <w:t>—</w:t>
      </w:r>
      <w:r w:rsidRPr="008E3A8D">
        <w:rPr>
          <w:rStyle w:val="CharDivText"/>
        </w:rPr>
        <w:t>Fees payable under section</w:t>
      </w:r>
      <w:r w:rsidR="008E3A8D" w:rsidRPr="008E3A8D">
        <w:rPr>
          <w:rStyle w:val="CharDivText"/>
        </w:rPr>
        <w:t> </w:t>
      </w:r>
      <w:r w:rsidRPr="008E3A8D">
        <w:rPr>
          <w:rStyle w:val="CharDivText"/>
        </w:rPr>
        <w:t>516A of the Act</w:t>
      </w:r>
      <w:bookmarkEnd w:id="27"/>
    </w:p>
    <w:p w:rsidR="00970E6A" w:rsidRPr="008E3A8D" w:rsidRDefault="00970E6A" w:rsidP="00970E6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787"/>
        <w:gridCol w:w="787"/>
      </w:tblGrid>
      <w:tr w:rsidR="00970E6A" w:rsidRPr="008E3A8D" w:rsidTr="00AC4BE3">
        <w:trPr>
          <w:tblHeader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Heading"/>
            </w:pPr>
            <w:r w:rsidRPr="008E3A8D">
              <w:t>Fees payable under section</w:t>
            </w:r>
            <w:r w:rsidR="008E3A8D" w:rsidRPr="008E3A8D">
              <w:t> </w:t>
            </w:r>
            <w:r w:rsidRPr="008E3A8D">
              <w:t>516A of the Act</w:t>
            </w:r>
          </w:p>
        </w:tc>
      </w:tr>
      <w:tr w:rsidR="00970E6A" w:rsidRPr="008E3A8D" w:rsidTr="00E4629A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Heading"/>
            </w:pPr>
            <w:r w:rsidRPr="008E3A8D">
              <w:t>Item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Heading"/>
            </w:pPr>
            <w:r w:rsidRPr="008E3A8D">
              <w:t>Type of application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Heading"/>
              <w:jc w:val="right"/>
            </w:pPr>
            <w:r w:rsidRPr="008E3A8D">
              <w:t>Fee ($)</w:t>
            </w:r>
          </w:p>
        </w:tc>
      </w:tr>
      <w:tr w:rsidR="00970E6A" w:rsidRPr="008E3A8D" w:rsidTr="00E4629A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text"/>
            </w:pPr>
            <w:r w:rsidRPr="008E3A8D">
              <w:t>1</w:t>
            </w:r>
            <w:r w:rsidR="00B96D3A" w:rsidRPr="008E3A8D"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text"/>
            </w:pPr>
            <w:r w:rsidRPr="008E3A8D">
              <w:t>Approval of transfer of petroleum title under section</w:t>
            </w:r>
            <w:r w:rsidR="008E3A8D" w:rsidRPr="008E3A8D">
              <w:t> </w:t>
            </w:r>
            <w:r w:rsidRPr="008E3A8D">
              <w:t>473 of the Act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text"/>
              <w:jc w:val="right"/>
            </w:pPr>
            <w:r w:rsidRPr="008E3A8D">
              <w:t>7</w:t>
            </w:r>
            <w:r w:rsidR="008E3A8D" w:rsidRPr="008E3A8D">
              <w:t> </w:t>
            </w:r>
            <w:r w:rsidRPr="008E3A8D">
              <w:t>180</w:t>
            </w:r>
          </w:p>
        </w:tc>
      </w:tr>
      <w:tr w:rsidR="00970E6A" w:rsidRPr="008E3A8D" w:rsidTr="00E4629A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970E6A" w:rsidRPr="008E3A8D" w:rsidRDefault="00B96D3A" w:rsidP="00970E6A">
            <w:pPr>
              <w:pStyle w:val="Tabletext"/>
            </w:pPr>
            <w:r w:rsidRPr="008E3A8D">
              <w:t>116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text"/>
            </w:pPr>
            <w:r w:rsidRPr="008E3A8D">
              <w:t>Approval of dealing relating to petroleum title under section</w:t>
            </w:r>
            <w:r w:rsidR="008E3A8D" w:rsidRPr="008E3A8D">
              <w:t> </w:t>
            </w:r>
            <w:r w:rsidRPr="008E3A8D">
              <w:t>488 of the Act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text"/>
              <w:jc w:val="right"/>
            </w:pPr>
            <w:r w:rsidRPr="008E3A8D">
              <w:t>2</w:t>
            </w:r>
            <w:r w:rsidR="008E3A8D" w:rsidRPr="008E3A8D">
              <w:t> </w:t>
            </w:r>
            <w:r w:rsidRPr="008E3A8D">
              <w:t>950</w:t>
            </w:r>
          </w:p>
        </w:tc>
      </w:tr>
    </w:tbl>
    <w:p w:rsidR="00970E6A" w:rsidRPr="008E3A8D" w:rsidRDefault="00970E6A" w:rsidP="00970E6A">
      <w:pPr>
        <w:pStyle w:val="Tabletext"/>
      </w:pPr>
    </w:p>
    <w:p w:rsidR="0006733A" w:rsidRPr="008E3A8D" w:rsidRDefault="0006733A" w:rsidP="0006733A">
      <w:pPr>
        <w:pStyle w:val="ActHead3"/>
      </w:pPr>
      <w:bookmarkStart w:id="28" w:name="_Toc369875588"/>
      <w:r w:rsidRPr="008E3A8D">
        <w:rPr>
          <w:rStyle w:val="CharDivNo"/>
        </w:rPr>
        <w:t>Division</w:t>
      </w:r>
      <w:r w:rsidR="008E3A8D" w:rsidRPr="008E3A8D">
        <w:rPr>
          <w:rStyle w:val="CharDivNo"/>
        </w:rPr>
        <w:t> </w:t>
      </w:r>
      <w:r w:rsidRPr="008E3A8D">
        <w:rPr>
          <w:rStyle w:val="CharDivNo"/>
        </w:rPr>
        <w:t>3</w:t>
      </w:r>
      <w:r w:rsidRPr="008E3A8D">
        <w:t>—</w:t>
      </w:r>
      <w:r w:rsidRPr="008E3A8D">
        <w:rPr>
          <w:rStyle w:val="CharDivText"/>
        </w:rPr>
        <w:t>Fees payable under section</w:t>
      </w:r>
      <w:r w:rsidR="008E3A8D" w:rsidRPr="008E3A8D">
        <w:rPr>
          <w:rStyle w:val="CharDivText"/>
        </w:rPr>
        <w:t> </w:t>
      </w:r>
      <w:r w:rsidRPr="008E3A8D">
        <w:rPr>
          <w:rStyle w:val="CharDivText"/>
        </w:rPr>
        <w:t>695L of the Act</w:t>
      </w:r>
      <w:bookmarkEnd w:id="28"/>
    </w:p>
    <w:p w:rsidR="00970E6A" w:rsidRPr="008E3A8D" w:rsidRDefault="00970E6A" w:rsidP="00970E6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847"/>
        <w:gridCol w:w="727"/>
      </w:tblGrid>
      <w:tr w:rsidR="00970E6A" w:rsidRPr="008E3A8D" w:rsidTr="00AC4BE3">
        <w:trPr>
          <w:tblHeader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Heading"/>
            </w:pPr>
            <w:r w:rsidRPr="008E3A8D">
              <w:t>Fees payable under section</w:t>
            </w:r>
            <w:r w:rsidR="008E3A8D" w:rsidRPr="008E3A8D">
              <w:t> </w:t>
            </w:r>
            <w:r w:rsidRPr="008E3A8D">
              <w:t>695L of the Act</w:t>
            </w:r>
          </w:p>
        </w:tc>
      </w:tr>
      <w:tr w:rsidR="00970E6A" w:rsidRPr="008E3A8D" w:rsidTr="00E4629A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Heading"/>
            </w:pPr>
            <w:r w:rsidRPr="008E3A8D">
              <w:t>Item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Heading"/>
            </w:pPr>
            <w:r w:rsidRPr="008E3A8D">
              <w:t>Type of application or nomination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Heading"/>
              <w:jc w:val="right"/>
            </w:pPr>
            <w:r w:rsidRPr="008E3A8D">
              <w:t>Fee ($)</w:t>
            </w:r>
          </w:p>
        </w:tc>
      </w:tr>
      <w:tr w:rsidR="00970E6A" w:rsidRPr="008E3A8D" w:rsidTr="00E4629A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970E6A" w:rsidRPr="008E3A8D" w:rsidRDefault="00B96D3A" w:rsidP="00970E6A">
            <w:pPr>
              <w:pStyle w:val="Tabletext"/>
            </w:pPr>
            <w:r w:rsidRPr="008E3A8D">
              <w:t>117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text"/>
            </w:pPr>
            <w:r w:rsidRPr="008E3A8D">
              <w:t>Application for a petroleum access authority under section</w:t>
            </w:r>
            <w:r w:rsidR="008E3A8D" w:rsidRPr="008E3A8D">
              <w:t> </w:t>
            </w:r>
            <w:r w:rsidRPr="008E3A8D">
              <w:t>242 of the Act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text"/>
              <w:jc w:val="right"/>
            </w:pPr>
            <w:r w:rsidRPr="008E3A8D">
              <w:t>5</w:t>
            </w:r>
            <w:r w:rsidR="008E3A8D" w:rsidRPr="008E3A8D">
              <w:t> </w:t>
            </w:r>
            <w:r w:rsidRPr="008E3A8D">
              <w:t>580</w:t>
            </w:r>
          </w:p>
        </w:tc>
      </w:tr>
      <w:tr w:rsidR="00970E6A" w:rsidRPr="008E3A8D" w:rsidTr="0011433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70E6A" w:rsidRPr="008E3A8D" w:rsidRDefault="00B96D3A" w:rsidP="00970E6A">
            <w:pPr>
              <w:pStyle w:val="Tabletext"/>
            </w:pPr>
            <w:r w:rsidRPr="008E3A8D"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text"/>
            </w:pPr>
            <w:r w:rsidRPr="008E3A8D">
              <w:t>Application for one or more of the following under item</w:t>
            </w:r>
            <w:r w:rsidR="008E3A8D" w:rsidRPr="008E3A8D">
              <w:t> </w:t>
            </w:r>
            <w:r w:rsidRPr="008E3A8D">
              <w:t>1 of the table in subsection</w:t>
            </w:r>
            <w:r w:rsidR="008E3A8D" w:rsidRPr="008E3A8D">
              <w:t> </w:t>
            </w:r>
            <w:r w:rsidRPr="008E3A8D">
              <w:t>264(1) of the Act in relation to a petroleum title:</w:t>
            </w:r>
          </w:p>
          <w:p w:rsidR="00970E6A" w:rsidRPr="008E3A8D" w:rsidRDefault="00970E6A" w:rsidP="00970E6A">
            <w:pPr>
              <w:pStyle w:val="Tablea"/>
            </w:pPr>
            <w:r w:rsidRPr="008E3A8D">
              <w:t>(a) variation of conditions of permit, lease or licence;</w:t>
            </w:r>
          </w:p>
          <w:p w:rsidR="00970E6A" w:rsidRPr="008E3A8D" w:rsidRDefault="00970E6A" w:rsidP="00970E6A">
            <w:pPr>
              <w:pStyle w:val="Tablea"/>
            </w:pPr>
            <w:r w:rsidRPr="008E3A8D">
              <w:t>(b) suspension of conditions and extension of the term of permit or lease;</w:t>
            </w:r>
          </w:p>
          <w:p w:rsidR="00970E6A" w:rsidRPr="008E3A8D" w:rsidRDefault="00970E6A" w:rsidP="00970E6A">
            <w:pPr>
              <w:pStyle w:val="Tablea"/>
            </w:pPr>
            <w:r w:rsidRPr="008E3A8D">
              <w:t>(c) exemption from conditions of permit, lease or licence;</w:t>
            </w:r>
          </w:p>
          <w:p w:rsidR="00970E6A" w:rsidRPr="008E3A8D" w:rsidRDefault="00970E6A" w:rsidP="00970E6A">
            <w:pPr>
              <w:pStyle w:val="Tablea"/>
            </w:pPr>
            <w:r w:rsidRPr="008E3A8D">
              <w:t>(d) suspension of conditions of licence, permit or lease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text"/>
              <w:jc w:val="right"/>
            </w:pPr>
            <w:r w:rsidRPr="008E3A8D">
              <w:t>5</w:t>
            </w:r>
            <w:r w:rsidR="008E3A8D" w:rsidRPr="008E3A8D">
              <w:t> </w:t>
            </w:r>
            <w:r w:rsidRPr="008E3A8D">
              <w:t>340</w:t>
            </w:r>
          </w:p>
        </w:tc>
      </w:tr>
      <w:tr w:rsidR="00970E6A" w:rsidRPr="008E3A8D" w:rsidTr="0011433A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970E6A" w:rsidRPr="008E3A8D" w:rsidRDefault="00B96D3A" w:rsidP="00970E6A">
            <w:pPr>
              <w:pStyle w:val="Tabletext"/>
            </w:pPr>
            <w:r w:rsidRPr="008E3A8D">
              <w:lastRenderedPageBreak/>
              <w:t>119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970E6A">
            <w:pPr>
              <w:pStyle w:val="Tabletext"/>
            </w:pPr>
            <w:r w:rsidRPr="008E3A8D">
              <w:t>Nomination by permittee for declaration of a location in relation to a petroleum title under section</w:t>
            </w:r>
            <w:r w:rsidR="008E3A8D" w:rsidRPr="008E3A8D">
              <w:t> </w:t>
            </w:r>
            <w:r w:rsidRPr="008E3A8D">
              <w:t>129 of the Act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970E6A" w:rsidRPr="008E3A8D" w:rsidRDefault="00970E6A" w:rsidP="00E4629A">
            <w:pPr>
              <w:pStyle w:val="Tabletext"/>
              <w:jc w:val="right"/>
            </w:pPr>
            <w:r w:rsidRPr="008E3A8D">
              <w:t>7</w:t>
            </w:r>
            <w:r w:rsidR="008E3A8D" w:rsidRPr="008E3A8D">
              <w:t> </w:t>
            </w:r>
            <w:r w:rsidRPr="008E3A8D">
              <w:t>596</w:t>
            </w:r>
          </w:p>
        </w:tc>
      </w:tr>
    </w:tbl>
    <w:p w:rsidR="00970E6A" w:rsidRPr="008E3A8D" w:rsidRDefault="00970E6A" w:rsidP="00970E6A">
      <w:pPr>
        <w:pStyle w:val="Tabletext"/>
      </w:pPr>
    </w:p>
    <w:p w:rsidR="0048364F" w:rsidRPr="008E3A8D" w:rsidRDefault="00045A9B" w:rsidP="009A2B20">
      <w:pPr>
        <w:pStyle w:val="ActHead6"/>
        <w:pageBreakBefore/>
      </w:pPr>
      <w:bookmarkStart w:id="29" w:name="BkAutotext"/>
      <w:bookmarkStart w:id="30" w:name="_Toc369875589"/>
      <w:bookmarkStart w:id="31" w:name="opcCurrentFind"/>
      <w:bookmarkEnd w:id="29"/>
      <w:r w:rsidRPr="008E3A8D">
        <w:rPr>
          <w:rStyle w:val="CharAmSchNo"/>
        </w:rPr>
        <w:lastRenderedPageBreak/>
        <w:t>Schedule</w:t>
      </w:r>
      <w:r w:rsidR="008E3A8D" w:rsidRPr="008E3A8D">
        <w:rPr>
          <w:rStyle w:val="CharAmSchNo"/>
        </w:rPr>
        <w:t> </w:t>
      </w:r>
      <w:r w:rsidR="0054750B" w:rsidRPr="008E3A8D">
        <w:rPr>
          <w:rStyle w:val="CharAmSchNo"/>
        </w:rPr>
        <w:t>2</w:t>
      </w:r>
      <w:r w:rsidRPr="008E3A8D">
        <w:t>—</w:t>
      </w:r>
      <w:r w:rsidRPr="008E3A8D">
        <w:rPr>
          <w:rStyle w:val="CharAmSchText"/>
        </w:rPr>
        <w:t xml:space="preserve">Amendments commencing </w:t>
      </w:r>
      <w:r w:rsidR="00D83221" w:rsidRPr="008E3A8D">
        <w:rPr>
          <w:rStyle w:val="CharAmSchText"/>
        </w:rPr>
        <w:t xml:space="preserve">immediately after </w:t>
      </w:r>
      <w:r w:rsidR="005C6496" w:rsidRPr="008E3A8D">
        <w:rPr>
          <w:rStyle w:val="CharAmSchText"/>
        </w:rPr>
        <w:t xml:space="preserve">commencement of </w:t>
      </w:r>
      <w:r w:rsidR="00594786" w:rsidRPr="008E3A8D">
        <w:rPr>
          <w:rStyle w:val="CharAmSchText"/>
        </w:rPr>
        <w:t>Part</w:t>
      </w:r>
      <w:r w:rsidR="008E3A8D" w:rsidRPr="008E3A8D">
        <w:rPr>
          <w:rStyle w:val="CharAmSchText"/>
        </w:rPr>
        <w:t> </w:t>
      </w:r>
      <w:r w:rsidR="00594786" w:rsidRPr="008E3A8D">
        <w:rPr>
          <w:rStyle w:val="CharAmSchText"/>
        </w:rPr>
        <w:t>1 of Schedule</w:t>
      </w:r>
      <w:r w:rsidR="008E3A8D" w:rsidRPr="008E3A8D">
        <w:rPr>
          <w:rStyle w:val="CharAmSchText"/>
        </w:rPr>
        <w:t> </w:t>
      </w:r>
      <w:r w:rsidR="00594786" w:rsidRPr="008E3A8D">
        <w:rPr>
          <w:rStyle w:val="CharAmSchText"/>
        </w:rPr>
        <w:t xml:space="preserve">4 to </w:t>
      </w:r>
      <w:r w:rsidR="005C6496" w:rsidRPr="008E3A8D">
        <w:rPr>
          <w:rStyle w:val="CharAmSchText"/>
        </w:rPr>
        <w:t>the Offshore Petroleum and Greenhouse Gas Storage Amendment (Compliance Measures No.</w:t>
      </w:r>
      <w:r w:rsidR="008E3A8D" w:rsidRPr="008E3A8D">
        <w:rPr>
          <w:rStyle w:val="CharAmSchText"/>
        </w:rPr>
        <w:t> </w:t>
      </w:r>
      <w:r w:rsidR="005C6496" w:rsidRPr="008E3A8D">
        <w:rPr>
          <w:rStyle w:val="CharAmSchText"/>
        </w:rPr>
        <w:t>2) Act 2013</w:t>
      </w:r>
      <w:bookmarkEnd w:id="30"/>
    </w:p>
    <w:bookmarkEnd w:id="31"/>
    <w:p w:rsidR="0004044E" w:rsidRPr="008E3A8D" w:rsidRDefault="0004044E" w:rsidP="0004044E">
      <w:pPr>
        <w:pStyle w:val="Header"/>
      </w:pPr>
      <w:r w:rsidRPr="008E3A8D">
        <w:rPr>
          <w:rStyle w:val="CharAmPartNo"/>
        </w:rPr>
        <w:t xml:space="preserve"> </w:t>
      </w:r>
      <w:r w:rsidRPr="008E3A8D">
        <w:rPr>
          <w:rStyle w:val="CharAmPartText"/>
        </w:rPr>
        <w:t xml:space="preserve"> </w:t>
      </w:r>
    </w:p>
    <w:p w:rsidR="00761F24" w:rsidRPr="008E3A8D" w:rsidRDefault="00761F24" w:rsidP="00761F24">
      <w:pPr>
        <w:pStyle w:val="ActHead9"/>
      </w:pPr>
      <w:bookmarkStart w:id="32" w:name="_Toc369875590"/>
      <w:r w:rsidRPr="008E3A8D">
        <w:t>Offshore Petroleum and Greenhouse Gas Storage (</w:t>
      </w:r>
      <w:r w:rsidR="00D943A5" w:rsidRPr="008E3A8D">
        <w:t>Environment) Regulations</w:t>
      </w:r>
      <w:r w:rsidR="008E3A8D" w:rsidRPr="008E3A8D">
        <w:t> </w:t>
      </w:r>
      <w:r w:rsidR="00D943A5" w:rsidRPr="008E3A8D">
        <w:t>2009</w:t>
      </w:r>
      <w:bookmarkEnd w:id="32"/>
    </w:p>
    <w:p w:rsidR="0065336C" w:rsidRPr="008E3A8D" w:rsidRDefault="00283112" w:rsidP="0065336C">
      <w:pPr>
        <w:pStyle w:val="ItemHead"/>
      </w:pPr>
      <w:r w:rsidRPr="008E3A8D">
        <w:t>1</w:t>
      </w:r>
      <w:r w:rsidR="0065336C" w:rsidRPr="008E3A8D">
        <w:t xml:space="preserve">  </w:t>
      </w:r>
      <w:r w:rsidR="005D09D6" w:rsidRPr="008E3A8D">
        <w:t>At the end of regulation</w:t>
      </w:r>
      <w:r w:rsidR="008E3A8D" w:rsidRPr="008E3A8D">
        <w:t> </w:t>
      </w:r>
      <w:r w:rsidR="005D09D6" w:rsidRPr="008E3A8D">
        <w:t>26</w:t>
      </w:r>
    </w:p>
    <w:p w:rsidR="005D09D6" w:rsidRPr="008E3A8D" w:rsidRDefault="005D09D6" w:rsidP="005D09D6">
      <w:pPr>
        <w:pStyle w:val="Item"/>
      </w:pPr>
      <w:r w:rsidRPr="008E3A8D">
        <w:t>Add:</w:t>
      </w:r>
    </w:p>
    <w:p w:rsidR="005D09D6" w:rsidRPr="008E3A8D" w:rsidRDefault="005D09D6" w:rsidP="00385055">
      <w:pPr>
        <w:pStyle w:val="subsection"/>
      </w:pPr>
      <w:r w:rsidRPr="008E3A8D">
        <w:tab/>
        <w:t>(5)</w:t>
      </w:r>
      <w:r w:rsidRPr="008E3A8D">
        <w:tab/>
      </w:r>
      <w:r w:rsidR="00695042" w:rsidRPr="008E3A8D">
        <w:t>Subregulation</w:t>
      </w:r>
      <w:r w:rsidR="008E3A8D" w:rsidRPr="008E3A8D">
        <w:t> </w:t>
      </w:r>
      <w:r w:rsidR="00695042" w:rsidRPr="008E3A8D">
        <w:t>11A.01(</w:t>
      </w:r>
      <w:r w:rsidR="00862E1B" w:rsidRPr="008E3A8D">
        <w:t>5</w:t>
      </w:r>
      <w:r w:rsidR="00695042" w:rsidRPr="008E3A8D">
        <w:t>)</w:t>
      </w:r>
      <w:r w:rsidRPr="008E3A8D">
        <w:t xml:space="preserve"> of the </w:t>
      </w:r>
      <w:r w:rsidRPr="008E3A8D">
        <w:rPr>
          <w:i/>
        </w:rPr>
        <w:t>Offshore Petroleum and Greenhouse Gas Storage (Resource Management and Administration) Regulations</w:t>
      </w:r>
      <w:r w:rsidR="008E3A8D" w:rsidRPr="008E3A8D">
        <w:rPr>
          <w:i/>
        </w:rPr>
        <w:t> </w:t>
      </w:r>
      <w:r w:rsidRPr="008E3A8D">
        <w:rPr>
          <w:i/>
        </w:rPr>
        <w:t>2011</w:t>
      </w:r>
      <w:r w:rsidRPr="008E3A8D">
        <w:t xml:space="preserve"> does not apply to a notification mentioned in subregulation (1).</w:t>
      </w:r>
    </w:p>
    <w:p w:rsidR="00D943A5" w:rsidRPr="008E3A8D" w:rsidRDefault="00283112" w:rsidP="00D943A5">
      <w:pPr>
        <w:pStyle w:val="ItemHead"/>
      </w:pPr>
      <w:r w:rsidRPr="008E3A8D">
        <w:t>2</w:t>
      </w:r>
      <w:r w:rsidR="00D943A5" w:rsidRPr="008E3A8D">
        <w:t xml:space="preserve">  </w:t>
      </w:r>
      <w:r w:rsidR="008C4740" w:rsidRPr="008E3A8D">
        <w:t>Division</w:t>
      </w:r>
      <w:r w:rsidR="008E3A8D" w:rsidRPr="008E3A8D">
        <w:t> </w:t>
      </w:r>
      <w:r w:rsidR="008C4740" w:rsidRPr="008E3A8D">
        <w:t>4.3 of Part</w:t>
      </w:r>
      <w:r w:rsidR="008E3A8D" w:rsidRPr="008E3A8D">
        <w:t> </w:t>
      </w:r>
      <w:r w:rsidR="008C4740" w:rsidRPr="008E3A8D">
        <w:t>4</w:t>
      </w:r>
    </w:p>
    <w:p w:rsidR="00D943A5" w:rsidRPr="008E3A8D" w:rsidRDefault="00D943A5" w:rsidP="00D943A5">
      <w:pPr>
        <w:pStyle w:val="Item"/>
      </w:pPr>
      <w:r w:rsidRPr="008E3A8D">
        <w:t xml:space="preserve">Repeal the </w:t>
      </w:r>
      <w:r w:rsidR="008C4740" w:rsidRPr="008E3A8D">
        <w:t>Division</w:t>
      </w:r>
      <w:r w:rsidRPr="008E3A8D">
        <w:t>.</w:t>
      </w:r>
    </w:p>
    <w:p w:rsidR="00997276" w:rsidRPr="008E3A8D" w:rsidRDefault="00997276" w:rsidP="00997276">
      <w:pPr>
        <w:pStyle w:val="ActHead9"/>
      </w:pPr>
      <w:bookmarkStart w:id="33" w:name="_Toc369875591"/>
      <w:r w:rsidRPr="008E3A8D">
        <w:t>Offshore Petroleum and Greenhouse Gas Storage (Resource Management and Administration) Regulations</w:t>
      </w:r>
      <w:r w:rsidR="008E3A8D" w:rsidRPr="008E3A8D">
        <w:t> </w:t>
      </w:r>
      <w:r w:rsidR="004B51B5" w:rsidRPr="008E3A8D">
        <w:t>2011</w:t>
      </w:r>
      <w:bookmarkEnd w:id="33"/>
    </w:p>
    <w:p w:rsidR="000A2537" w:rsidRPr="008E3A8D" w:rsidRDefault="00283112" w:rsidP="000A2537">
      <w:pPr>
        <w:pStyle w:val="ItemHead"/>
      </w:pPr>
      <w:r w:rsidRPr="008E3A8D">
        <w:t>3</w:t>
      </w:r>
      <w:r w:rsidR="003E3603" w:rsidRPr="008E3A8D">
        <w:t xml:space="preserve">  </w:t>
      </w:r>
      <w:r w:rsidR="000A2537" w:rsidRPr="008E3A8D">
        <w:t>After Part</w:t>
      </w:r>
      <w:r w:rsidR="008E3A8D" w:rsidRPr="008E3A8D">
        <w:t> </w:t>
      </w:r>
      <w:r w:rsidR="000A2537" w:rsidRPr="008E3A8D">
        <w:t>11</w:t>
      </w:r>
    </w:p>
    <w:p w:rsidR="000A2537" w:rsidRPr="008E3A8D" w:rsidRDefault="000A2537" w:rsidP="000A2537">
      <w:pPr>
        <w:pStyle w:val="Item"/>
      </w:pPr>
      <w:r w:rsidRPr="008E3A8D">
        <w:t>Insert:</w:t>
      </w:r>
    </w:p>
    <w:p w:rsidR="000A2537" w:rsidRPr="008E3A8D" w:rsidRDefault="008E2B2C" w:rsidP="008E2B2C">
      <w:pPr>
        <w:pStyle w:val="ActHead2"/>
      </w:pPr>
      <w:bookmarkStart w:id="34" w:name="_Toc369875592"/>
      <w:r w:rsidRPr="008E3A8D">
        <w:rPr>
          <w:rStyle w:val="CharPartNo"/>
        </w:rPr>
        <w:lastRenderedPageBreak/>
        <w:t>Part</w:t>
      </w:r>
      <w:r w:rsidR="008E3A8D" w:rsidRPr="008E3A8D">
        <w:rPr>
          <w:rStyle w:val="CharPartNo"/>
        </w:rPr>
        <w:t> </w:t>
      </w:r>
      <w:r w:rsidRPr="008E3A8D">
        <w:rPr>
          <w:rStyle w:val="CharPartNo"/>
        </w:rPr>
        <w:t>11A</w:t>
      </w:r>
      <w:r w:rsidR="00FD4354" w:rsidRPr="008E3A8D">
        <w:t>—</w:t>
      </w:r>
      <w:r w:rsidR="00FD4354" w:rsidRPr="008E3A8D">
        <w:rPr>
          <w:rStyle w:val="CharPartText"/>
        </w:rPr>
        <w:t>Giving</w:t>
      </w:r>
      <w:r w:rsidRPr="008E3A8D">
        <w:rPr>
          <w:rStyle w:val="CharPartText"/>
        </w:rPr>
        <w:t xml:space="preserve"> documents</w:t>
      </w:r>
      <w:bookmarkEnd w:id="34"/>
    </w:p>
    <w:p w:rsidR="008932A2" w:rsidRPr="008E3A8D" w:rsidRDefault="008932A2" w:rsidP="008932A2">
      <w:pPr>
        <w:pStyle w:val="Header"/>
      </w:pPr>
      <w:r w:rsidRPr="008E3A8D">
        <w:rPr>
          <w:rStyle w:val="CharDivNo"/>
        </w:rPr>
        <w:t xml:space="preserve"> </w:t>
      </w:r>
      <w:r w:rsidRPr="008E3A8D">
        <w:rPr>
          <w:rStyle w:val="CharDivText"/>
        </w:rPr>
        <w:t xml:space="preserve"> </w:t>
      </w:r>
    </w:p>
    <w:p w:rsidR="008E2B2C" w:rsidRPr="008E3A8D" w:rsidRDefault="00FD39FF" w:rsidP="00FD39FF">
      <w:pPr>
        <w:pStyle w:val="ActHead5"/>
      </w:pPr>
      <w:bookmarkStart w:id="35" w:name="_Toc369875593"/>
      <w:r w:rsidRPr="008E3A8D">
        <w:rPr>
          <w:rStyle w:val="CharSectno"/>
        </w:rPr>
        <w:t>11A.01</w:t>
      </w:r>
      <w:r w:rsidRPr="008E3A8D">
        <w:t xml:space="preserve">  </w:t>
      </w:r>
      <w:r w:rsidR="00FD4354" w:rsidRPr="008E3A8D">
        <w:t xml:space="preserve">Giving </w:t>
      </w:r>
      <w:r w:rsidRPr="008E3A8D">
        <w:t>documents</w:t>
      </w:r>
      <w:bookmarkEnd w:id="35"/>
    </w:p>
    <w:p w:rsidR="00FD39FF" w:rsidRPr="008E3A8D" w:rsidRDefault="002B72FD" w:rsidP="00FD39FF">
      <w:pPr>
        <w:pStyle w:val="subsection"/>
      </w:pPr>
      <w:r w:rsidRPr="008E3A8D">
        <w:tab/>
        <w:t>(1)</w:t>
      </w:r>
      <w:r w:rsidRPr="008E3A8D">
        <w:tab/>
      </w:r>
      <w:r w:rsidR="00FD39FF" w:rsidRPr="008E3A8D">
        <w:t xml:space="preserve">The table sets out requirements for </w:t>
      </w:r>
      <w:r w:rsidR="00FD4354" w:rsidRPr="008E3A8D">
        <w:t xml:space="preserve">giving </w:t>
      </w:r>
      <w:r w:rsidR="00FD39FF" w:rsidRPr="008E3A8D">
        <w:t>documents</w:t>
      </w:r>
      <w:r w:rsidR="00CD1F97" w:rsidRPr="008E3A8D">
        <w:t xml:space="preserve"> required or permitted to be given under the Act or any legislative instrument made under the Act</w:t>
      </w:r>
      <w:r w:rsidR="00FD39FF" w:rsidRPr="008E3A8D">
        <w:t>.</w:t>
      </w:r>
    </w:p>
    <w:p w:rsidR="00FD39FF" w:rsidRPr="008E3A8D" w:rsidRDefault="00FD39FF" w:rsidP="00B006EC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829"/>
        <w:gridCol w:w="3544"/>
      </w:tblGrid>
      <w:tr w:rsidR="00EC484E" w:rsidRPr="008E3A8D" w:rsidTr="009A2B20">
        <w:trPr>
          <w:tblHeader/>
        </w:trPr>
        <w:tc>
          <w:tcPr>
            <w:tcW w:w="708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C484E" w:rsidRPr="008E3A8D" w:rsidRDefault="00FD4354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 xml:space="preserve">Giving </w:t>
            </w:r>
            <w:r w:rsidR="00EC484E" w:rsidRPr="008E3A8D">
              <w:rPr>
                <w:b/>
              </w:rPr>
              <w:t>documents</w:t>
            </w:r>
          </w:p>
        </w:tc>
      </w:tr>
      <w:tr w:rsidR="00EC484E" w:rsidRPr="008E3A8D" w:rsidTr="009A2B2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C484E" w:rsidRPr="008E3A8D" w:rsidRDefault="00EC484E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C484E" w:rsidRPr="008E3A8D" w:rsidRDefault="00EC484E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A document required or permitted to be given to</w:t>
            </w:r>
            <w:r w:rsidR="008C4740" w:rsidRPr="008E3A8D">
              <w:rPr>
                <w:b/>
              </w:rPr>
              <w:t xml:space="preserve"> </w:t>
            </w:r>
            <w:r w:rsidRPr="008E3A8D">
              <w:rPr>
                <w:b/>
              </w:rPr>
              <w:t>...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C484E" w:rsidRPr="008E3A8D" w:rsidRDefault="00EC484E" w:rsidP="009A2B20">
            <w:pPr>
              <w:pStyle w:val="Tabletext"/>
              <w:keepNext/>
              <w:rPr>
                <w:b/>
              </w:rPr>
            </w:pPr>
            <w:r w:rsidRPr="008E3A8D">
              <w:rPr>
                <w:b/>
              </w:rPr>
              <w:t>must be given</w:t>
            </w:r>
            <w:r w:rsidR="008C4740" w:rsidRPr="008E3A8D">
              <w:rPr>
                <w:b/>
              </w:rPr>
              <w:t xml:space="preserve"> </w:t>
            </w:r>
            <w:r w:rsidRPr="008E3A8D">
              <w:rPr>
                <w:b/>
              </w:rPr>
              <w:t>...</w:t>
            </w:r>
          </w:p>
        </w:tc>
      </w:tr>
      <w:tr w:rsidR="00EC484E" w:rsidRPr="008E3A8D" w:rsidTr="009A2B2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C484E" w:rsidRPr="008E3A8D" w:rsidRDefault="00EC484E" w:rsidP="00810873">
            <w:pPr>
              <w:pStyle w:val="Tabletext"/>
            </w:pPr>
            <w:r w:rsidRPr="008E3A8D">
              <w:t>1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shd w:val="clear" w:color="auto" w:fill="auto"/>
          </w:tcPr>
          <w:p w:rsidR="00EC484E" w:rsidRPr="008E3A8D" w:rsidRDefault="00970E6A" w:rsidP="007B0175">
            <w:pPr>
              <w:pStyle w:val="Tabletext"/>
            </w:pPr>
            <w:r w:rsidRPr="008E3A8D">
              <w:t>t</w:t>
            </w:r>
            <w:r w:rsidR="00EC484E" w:rsidRPr="008E3A8D">
              <w:t>he responsible Commonwealth Minister</w:t>
            </w:r>
            <w:r w:rsidR="00E1348D" w:rsidRPr="008E3A8D">
              <w:t>;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EC484E" w:rsidRPr="008E3A8D" w:rsidRDefault="00EC484E" w:rsidP="007B0175">
            <w:pPr>
              <w:pStyle w:val="Tablea"/>
            </w:pPr>
            <w:r w:rsidRPr="008E3A8D">
              <w:t>(a) by prepaying and posting the document as a letter addressed to the responsible Commonwealth Minister at the Department; or</w:t>
            </w:r>
          </w:p>
          <w:p w:rsidR="00165EB4" w:rsidRPr="008E3A8D" w:rsidRDefault="00EC484E" w:rsidP="00A96BF9">
            <w:pPr>
              <w:pStyle w:val="Tablea"/>
            </w:pPr>
            <w:r w:rsidRPr="008E3A8D">
              <w:t>(</w:t>
            </w:r>
            <w:r w:rsidR="00D74887" w:rsidRPr="008E3A8D">
              <w:t>b</w:t>
            </w:r>
            <w:r w:rsidRPr="008E3A8D">
              <w:t xml:space="preserve">) by leaving </w:t>
            </w:r>
            <w:r w:rsidR="00C67D40" w:rsidRPr="008E3A8D">
              <w:t xml:space="preserve">the document </w:t>
            </w:r>
            <w:r w:rsidRPr="008E3A8D">
              <w:t xml:space="preserve">at an office occupied by the Department with </w:t>
            </w:r>
            <w:r w:rsidR="002E063A" w:rsidRPr="008E3A8D">
              <w:t>a</w:t>
            </w:r>
            <w:r w:rsidRPr="008E3A8D">
              <w:t xml:space="preserve"> person apparently employed in connection with the business of the Department and appa</w:t>
            </w:r>
            <w:r w:rsidR="002C6E43" w:rsidRPr="008E3A8D">
              <w:t>rently at least 16</w:t>
            </w:r>
            <w:r w:rsidR="00FF3EEF" w:rsidRPr="008E3A8D">
              <w:t xml:space="preserve"> years of age</w:t>
            </w:r>
          </w:p>
        </w:tc>
      </w:tr>
      <w:tr w:rsidR="00EC484E" w:rsidRPr="008E3A8D" w:rsidTr="009A2B20">
        <w:tc>
          <w:tcPr>
            <w:tcW w:w="714" w:type="dxa"/>
            <w:shd w:val="clear" w:color="auto" w:fill="auto"/>
          </w:tcPr>
          <w:p w:rsidR="00EC484E" w:rsidRPr="008E3A8D" w:rsidRDefault="00EC484E" w:rsidP="007B0175">
            <w:pPr>
              <w:pStyle w:val="Tabletext"/>
            </w:pPr>
            <w:r w:rsidRPr="008E3A8D">
              <w:t>2</w:t>
            </w:r>
          </w:p>
        </w:tc>
        <w:tc>
          <w:tcPr>
            <w:tcW w:w="2829" w:type="dxa"/>
            <w:shd w:val="clear" w:color="auto" w:fill="auto"/>
          </w:tcPr>
          <w:p w:rsidR="00EC484E" w:rsidRPr="008E3A8D" w:rsidRDefault="00970E6A" w:rsidP="007B0175">
            <w:pPr>
              <w:pStyle w:val="Tabletext"/>
            </w:pPr>
            <w:r w:rsidRPr="008E3A8D">
              <w:t>t</w:t>
            </w:r>
            <w:r w:rsidR="00EC484E" w:rsidRPr="008E3A8D">
              <w:t>he Titles Administrator</w:t>
            </w:r>
            <w:r w:rsidR="00E1348D" w:rsidRPr="008E3A8D">
              <w:t>;</w:t>
            </w:r>
          </w:p>
        </w:tc>
        <w:tc>
          <w:tcPr>
            <w:tcW w:w="3544" w:type="dxa"/>
            <w:shd w:val="clear" w:color="auto" w:fill="auto"/>
          </w:tcPr>
          <w:p w:rsidR="00EC484E" w:rsidRPr="008E3A8D" w:rsidRDefault="00EC484E" w:rsidP="007B0175">
            <w:pPr>
              <w:pStyle w:val="Tablea"/>
            </w:pPr>
            <w:r w:rsidRPr="008E3A8D">
              <w:t>(a) by prepaying and posting the document as a letter addressed to the National Offshore Petroleum Titles Administrator at the Department; or</w:t>
            </w:r>
          </w:p>
          <w:p w:rsidR="00F75CF6" w:rsidRPr="008E3A8D" w:rsidRDefault="00810873" w:rsidP="00810873">
            <w:pPr>
              <w:pStyle w:val="Tablea"/>
            </w:pPr>
            <w:r w:rsidRPr="008E3A8D">
              <w:t>(b) by sending the document by fax to the Titles Administrator’s fax number</w:t>
            </w:r>
            <w:r w:rsidR="00F75CF6" w:rsidRPr="008E3A8D">
              <w:t>;</w:t>
            </w:r>
            <w:r w:rsidRPr="008E3A8D">
              <w:t xml:space="preserve"> </w:t>
            </w:r>
            <w:r w:rsidR="00F75CF6" w:rsidRPr="008E3A8D">
              <w:t>or</w:t>
            </w:r>
          </w:p>
          <w:p w:rsidR="00F75CF6" w:rsidRPr="008E3A8D" w:rsidRDefault="00F75CF6" w:rsidP="00810873">
            <w:pPr>
              <w:pStyle w:val="Tablea"/>
            </w:pPr>
            <w:r w:rsidRPr="008E3A8D">
              <w:t xml:space="preserve">(c) by sending the document by email to the Titles Administrator’s </w:t>
            </w:r>
            <w:r w:rsidR="00810873" w:rsidRPr="008E3A8D">
              <w:t>email address</w:t>
            </w:r>
            <w:r w:rsidRPr="008E3A8D">
              <w:t>;</w:t>
            </w:r>
            <w:r w:rsidR="00810873" w:rsidRPr="008E3A8D">
              <w:t xml:space="preserve"> </w:t>
            </w:r>
            <w:r w:rsidRPr="008E3A8D">
              <w:t>or</w:t>
            </w:r>
          </w:p>
          <w:p w:rsidR="00F75CF6" w:rsidRPr="008E3A8D" w:rsidRDefault="00F75CF6" w:rsidP="00810873">
            <w:pPr>
              <w:pStyle w:val="Tablea"/>
            </w:pPr>
            <w:r w:rsidRPr="008E3A8D">
              <w:t xml:space="preserve">(d) </w:t>
            </w:r>
            <w:r w:rsidR="00810873" w:rsidRPr="008E3A8D">
              <w:t xml:space="preserve">by </w:t>
            </w:r>
            <w:r w:rsidR="00916416" w:rsidRPr="008E3A8D">
              <w:t>s</w:t>
            </w:r>
            <w:r w:rsidR="00D86DD1" w:rsidRPr="008E3A8D">
              <w:t xml:space="preserve">ending the document electronically using </w:t>
            </w:r>
            <w:r w:rsidR="00810873" w:rsidRPr="008E3A8D">
              <w:t xml:space="preserve">the </w:t>
            </w:r>
            <w:r w:rsidR="00EC287C" w:rsidRPr="008E3A8D">
              <w:t>Titles Administrator</w:t>
            </w:r>
            <w:r w:rsidR="00810873" w:rsidRPr="008E3A8D">
              <w:t xml:space="preserve">’s website in accordance with the instructions published </w:t>
            </w:r>
            <w:r w:rsidR="002C6E43" w:rsidRPr="008E3A8D">
              <w:t xml:space="preserve">by the Titles Administrator </w:t>
            </w:r>
            <w:r w:rsidR="00810873" w:rsidRPr="008E3A8D">
              <w:t xml:space="preserve">on the </w:t>
            </w:r>
            <w:r w:rsidR="00EC287C" w:rsidRPr="008E3A8D">
              <w:t xml:space="preserve">Titles </w:t>
            </w:r>
            <w:r w:rsidR="00E44B07" w:rsidRPr="008E3A8D">
              <w:t>Administrator’s</w:t>
            </w:r>
            <w:r w:rsidR="00810873" w:rsidRPr="008E3A8D">
              <w:t xml:space="preserve"> </w:t>
            </w:r>
            <w:r w:rsidR="00E44B07" w:rsidRPr="008E3A8D">
              <w:t>website; or</w:t>
            </w:r>
          </w:p>
          <w:p w:rsidR="00165EB4" w:rsidRPr="008E3A8D" w:rsidRDefault="00EC484E" w:rsidP="00A96BF9">
            <w:pPr>
              <w:pStyle w:val="Tablea"/>
            </w:pPr>
            <w:r w:rsidRPr="008E3A8D">
              <w:lastRenderedPageBreak/>
              <w:t>(</w:t>
            </w:r>
            <w:r w:rsidR="00674F4D" w:rsidRPr="008E3A8D">
              <w:t>e</w:t>
            </w:r>
            <w:r w:rsidR="00F75CF6" w:rsidRPr="008E3A8D">
              <w:t xml:space="preserve">) by leaving the document </w:t>
            </w:r>
            <w:r w:rsidRPr="008E3A8D">
              <w:t xml:space="preserve">at an office occupied by the Titles Administrator, or by APS employees assisting the Titles Administrator, with </w:t>
            </w:r>
            <w:r w:rsidR="002E063A" w:rsidRPr="008E3A8D">
              <w:t>a</w:t>
            </w:r>
            <w:r w:rsidRPr="008E3A8D">
              <w:t xml:space="preserve"> person apparently employed in connection with the business of the Titles Administrator and appa</w:t>
            </w:r>
            <w:r w:rsidR="00165EB4" w:rsidRPr="008E3A8D">
              <w:t>ren</w:t>
            </w:r>
            <w:r w:rsidR="002E063A" w:rsidRPr="008E3A8D">
              <w:t>tly at least 16 years of age</w:t>
            </w:r>
          </w:p>
        </w:tc>
      </w:tr>
      <w:tr w:rsidR="00EC484E" w:rsidRPr="008E3A8D" w:rsidTr="009A2B20">
        <w:tc>
          <w:tcPr>
            <w:tcW w:w="714" w:type="dxa"/>
            <w:shd w:val="clear" w:color="auto" w:fill="auto"/>
          </w:tcPr>
          <w:p w:rsidR="00EC484E" w:rsidRPr="008E3A8D" w:rsidRDefault="007B0175" w:rsidP="007B0175">
            <w:pPr>
              <w:pStyle w:val="Tabletext"/>
            </w:pPr>
            <w:r w:rsidRPr="008E3A8D">
              <w:lastRenderedPageBreak/>
              <w:t>3</w:t>
            </w:r>
          </w:p>
        </w:tc>
        <w:tc>
          <w:tcPr>
            <w:tcW w:w="2829" w:type="dxa"/>
            <w:shd w:val="clear" w:color="auto" w:fill="auto"/>
          </w:tcPr>
          <w:p w:rsidR="00EC484E" w:rsidRPr="008E3A8D" w:rsidRDefault="00EC484E" w:rsidP="007B0175">
            <w:pPr>
              <w:pStyle w:val="Tabletext"/>
            </w:pPr>
            <w:r w:rsidRPr="008E3A8D">
              <w:t>NOPSEMA</w:t>
            </w:r>
            <w:r w:rsidR="00E1348D" w:rsidRPr="008E3A8D">
              <w:t>;</w:t>
            </w:r>
          </w:p>
        </w:tc>
        <w:tc>
          <w:tcPr>
            <w:tcW w:w="3544" w:type="dxa"/>
            <w:shd w:val="clear" w:color="auto" w:fill="auto"/>
          </w:tcPr>
          <w:p w:rsidR="00EC484E" w:rsidRPr="008E3A8D" w:rsidRDefault="00EC484E" w:rsidP="007B0175">
            <w:pPr>
              <w:pStyle w:val="Tablea"/>
            </w:pPr>
            <w:r w:rsidRPr="008E3A8D">
              <w:t>(a) by prepaying and posting the document as a letter addressed to the National Offshore Petroleum Safety and Environmental Management Authority at a place of business of NOPSEMA; or</w:t>
            </w:r>
          </w:p>
          <w:p w:rsidR="00F75CF6" w:rsidRPr="008E3A8D" w:rsidRDefault="007B0175" w:rsidP="007B0175">
            <w:pPr>
              <w:pStyle w:val="Tablea"/>
            </w:pPr>
            <w:r w:rsidRPr="008E3A8D">
              <w:t xml:space="preserve">(b) by sending the document by fax </w:t>
            </w:r>
            <w:r w:rsidR="00F75CF6" w:rsidRPr="008E3A8D">
              <w:t>to NOPSEMA’s fax number; or</w:t>
            </w:r>
          </w:p>
          <w:p w:rsidR="00F75CF6" w:rsidRPr="008E3A8D" w:rsidRDefault="00F75CF6" w:rsidP="007B0175">
            <w:pPr>
              <w:pStyle w:val="Tablea"/>
            </w:pPr>
            <w:r w:rsidRPr="008E3A8D">
              <w:t xml:space="preserve">(c) by sending the document by email to </w:t>
            </w:r>
            <w:r w:rsidR="007B0175" w:rsidRPr="008E3A8D">
              <w:t>NOPSEMA’s email address</w:t>
            </w:r>
            <w:r w:rsidRPr="008E3A8D">
              <w:t>; or</w:t>
            </w:r>
          </w:p>
          <w:p w:rsidR="007B0175" w:rsidRPr="008E3A8D" w:rsidRDefault="00F75CF6" w:rsidP="007B0175">
            <w:pPr>
              <w:pStyle w:val="Tablea"/>
            </w:pPr>
            <w:r w:rsidRPr="008E3A8D">
              <w:t xml:space="preserve">(d) </w:t>
            </w:r>
            <w:r w:rsidR="00D86DD1" w:rsidRPr="008E3A8D">
              <w:t>by sending the document electronically using</w:t>
            </w:r>
            <w:r w:rsidR="007B0175" w:rsidRPr="008E3A8D">
              <w:t xml:space="preserve"> </w:t>
            </w:r>
            <w:r w:rsidR="00411C6F" w:rsidRPr="008E3A8D">
              <w:t>the internet</w:t>
            </w:r>
            <w:r w:rsidR="007B0175" w:rsidRPr="008E3A8D">
              <w:t xml:space="preserve"> in accordance with the instructions published </w:t>
            </w:r>
            <w:r w:rsidR="002C6E43" w:rsidRPr="008E3A8D">
              <w:t>by the C</w:t>
            </w:r>
            <w:r w:rsidR="005F0885" w:rsidRPr="008E3A8D">
              <w:t xml:space="preserve">hief </w:t>
            </w:r>
            <w:r w:rsidR="002C6E43" w:rsidRPr="008E3A8D">
              <w:t>E</w:t>
            </w:r>
            <w:r w:rsidR="005F0885" w:rsidRPr="008E3A8D">
              <w:t xml:space="preserve">xecutive </w:t>
            </w:r>
            <w:r w:rsidR="002C6E43" w:rsidRPr="008E3A8D">
              <w:t>O</w:t>
            </w:r>
            <w:r w:rsidR="005F0885" w:rsidRPr="008E3A8D">
              <w:t>fficer</w:t>
            </w:r>
            <w:r w:rsidR="002C6E43" w:rsidRPr="008E3A8D">
              <w:t xml:space="preserve"> of NOPSEMA </w:t>
            </w:r>
            <w:r w:rsidR="007B0175" w:rsidRPr="008E3A8D">
              <w:t>on NOPSEMA’s website; or</w:t>
            </w:r>
          </w:p>
          <w:p w:rsidR="00EC484E" w:rsidRPr="008E3A8D" w:rsidRDefault="00EC484E" w:rsidP="00A96BF9">
            <w:pPr>
              <w:pStyle w:val="Tablea"/>
            </w:pPr>
            <w:r w:rsidRPr="008E3A8D">
              <w:t>(</w:t>
            </w:r>
            <w:r w:rsidR="00674F4D" w:rsidRPr="008E3A8D">
              <w:t>e</w:t>
            </w:r>
            <w:r w:rsidRPr="008E3A8D">
              <w:t xml:space="preserve">) by leaving </w:t>
            </w:r>
            <w:r w:rsidR="00F75CF6" w:rsidRPr="008E3A8D">
              <w:t xml:space="preserve">the document </w:t>
            </w:r>
            <w:r w:rsidRPr="008E3A8D">
              <w:t xml:space="preserve">at an office occupied by NOPSEMA with </w:t>
            </w:r>
            <w:r w:rsidR="002E063A" w:rsidRPr="008E3A8D">
              <w:t>a</w:t>
            </w:r>
            <w:r w:rsidRPr="008E3A8D">
              <w:t xml:space="preserve"> person apparently employed in connection with the business of NOPSEMA and apparently at least 16 years</w:t>
            </w:r>
            <w:r w:rsidR="00FF3EEF" w:rsidRPr="008E3A8D">
              <w:t xml:space="preserve"> of age</w:t>
            </w:r>
          </w:p>
        </w:tc>
      </w:tr>
      <w:tr w:rsidR="001E08CB" w:rsidRPr="008E3A8D" w:rsidTr="009A2B20">
        <w:tc>
          <w:tcPr>
            <w:tcW w:w="714" w:type="dxa"/>
            <w:shd w:val="clear" w:color="auto" w:fill="auto"/>
          </w:tcPr>
          <w:p w:rsidR="001E08CB" w:rsidRPr="008E3A8D" w:rsidRDefault="003E4CB0" w:rsidP="007B0175">
            <w:pPr>
              <w:pStyle w:val="Tabletext"/>
            </w:pPr>
            <w:r w:rsidRPr="008E3A8D">
              <w:t>4</w:t>
            </w:r>
          </w:p>
        </w:tc>
        <w:tc>
          <w:tcPr>
            <w:tcW w:w="2829" w:type="dxa"/>
            <w:shd w:val="clear" w:color="auto" w:fill="auto"/>
          </w:tcPr>
          <w:p w:rsidR="003E4CB0" w:rsidRPr="008E3A8D" w:rsidRDefault="00970E6A" w:rsidP="003E4CB0">
            <w:pPr>
              <w:pStyle w:val="Tabletext"/>
            </w:pPr>
            <w:r w:rsidRPr="008E3A8D">
              <w:t>a</w:t>
            </w:r>
            <w:r w:rsidR="003E4CB0" w:rsidRPr="008E3A8D">
              <w:t xml:space="preserve"> titleholder by any of the following:</w:t>
            </w:r>
          </w:p>
          <w:p w:rsidR="003E4CB0" w:rsidRPr="008E3A8D" w:rsidRDefault="003E4CB0" w:rsidP="003E4CB0">
            <w:pPr>
              <w:pStyle w:val="Tablea"/>
            </w:pPr>
            <w:r w:rsidRPr="008E3A8D">
              <w:t>(a) the responsible Commonwealth Minister;</w:t>
            </w:r>
          </w:p>
          <w:p w:rsidR="003E4CB0" w:rsidRPr="008E3A8D" w:rsidRDefault="003E4CB0" w:rsidP="003E4CB0">
            <w:pPr>
              <w:pStyle w:val="Tablea"/>
            </w:pPr>
            <w:r w:rsidRPr="008E3A8D">
              <w:t>(b) the Titles Administrator;</w:t>
            </w:r>
          </w:p>
          <w:p w:rsidR="003E4CB0" w:rsidRPr="008E3A8D" w:rsidRDefault="003E4CB0" w:rsidP="003E4CB0">
            <w:pPr>
              <w:pStyle w:val="Tablea"/>
            </w:pPr>
            <w:r w:rsidRPr="008E3A8D">
              <w:t>(c) NOPSEMA;</w:t>
            </w:r>
          </w:p>
          <w:p w:rsidR="001E08CB" w:rsidRPr="008E3A8D" w:rsidRDefault="003E4CB0" w:rsidP="00970E6A">
            <w:pPr>
              <w:pStyle w:val="Tablea"/>
            </w:pPr>
            <w:r w:rsidRPr="008E3A8D">
              <w:lastRenderedPageBreak/>
              <w:t>(d) an inspector</w:t>
            </w:r>
            <w:r w:rsidR="00D90178" w:rsidRPr="008E3A8D">
              <w:t xml:space="preserve"> appointed under the Act</w:t>
            </w:r>
            <w:r w:rsidR="00E1348D" w:rsidRPr="008E3A8D">
              <w:t>;</w:t>
            </w:r>
          </w:p>
        </w:tc>
        <w:tc>
          <w:tcPr>
            <w:tcW w:w="3544" w:type="dxa"/>
            <w:shd w:val="clear" w:color="auto" w:fill="auto"/>
          </w:tcPr>
          <w:p w:rsidR="003E4CB0" w:rsidRPr="008E3A8D" w:rsidRDefault="003E4CB0" w:rsidP="003E4CB0">
            <w:pPr>
              <w:pStyle w:val="Tablea"/>
            </w:pPr>
            <w:r w:rsidRPr="008E3A8D">
              <w:lastRenderedPageBreak/>
              <w:t xml:space="preserve">(a) </w:t>
            </w:r>
            <w:r w:rsidR="00C765C5" w:rsidRPr="008E3A8D">
              <w:t>if the titleholder is not a corporation—</w:t>
            </w:r>
            <w:r w:rsidRPr="008E3A8D">
              <w:t xml:space="preserve">by delivering the document to the </w:t>
            </w:r>
            <w:r w:rsidR="00C765C5" w:rsidRPr="008E3A8D">
              <w:t xml:space="preserve">titleholder </w:t>
            </w:r>
            <w:r w:rsidRPr="008E3A8D">
              <w:t>personally; or</w:t>
            </w:r>
          </w:p>
          <w:p w:rsidR="003E4CB0" w:rsidRPr="008E3A8D" w:rsidRDefault="003E4CB0" w:rsidP="003E4CB0">
            <w:pPr>
              <w:pStyle w:val="Tablea"/>
            </w:pPr>
            <w:r w:rsidRPr="008E3A8D">
              <w:t>(b) by prepaying and posting the document as a letter addressed to:</w:t>
            </w:r>
          </w:p>
          <w:p w:rsidR="003E4CB0" w:rsidRPr="008E3A8D" w:rsidRDefault="003E4CB0" w:rsidP="003E4CB0">
            <w:pPr>
              <w:pStyle w:val="Tablei"/>
            </w:pPr>
            <w:r w:rsidRPr="008E3A8D">
              <w:t xml:space="preserve">(i) </w:t>
            </w:r>
            <w:r w:rsidR="00C765C5" w:rsidRPr="008E3A8D">
              <w:t xml:space="preserve">if the titleholder is not a </w:t>
            </w:r>
            <w:r w:rsidR="00C765C5" w:rsidRPr="008E3A8D">
              <w:lastRenderedPageBreak/>
              <w:t>corporation—</w:t>
            </w:r>
            <w:r w:rsidRPr="008E3A8D">
              <w:t xml:space="preserve">the </w:t>
            </w:r>
            <w:r w:rsidR="00C765C5" w:rsidRPr="008E3A8D">
              <w:t xml:space="preserve">titleholder </w:t>
            </w:r>
            <w:r w:rsidRPr="008E3A8D">
              <w:t>at the place of residence set out in the notice given in accordance with section</w:t>
            </w:r>
            <w:r w:rsidR="008E3A8D" w:rsidRPr="008E3A8D">
              <w:t> </w:t>
            </w:r>
            <w:r w:rsidRPr="008E3A8D">
              <w:t>286A of the Act; or</w:t>
            </w:r>
          </w:p>
          <w:p w:rsidR="003E4CB0" w:rsidRPr="008E3A8D" w:rsidRDefault="003E4CB0" w:rsidP="003E4CB0">
            <w:pPr>
              <w:pStyle w:val="Tablei"/>
            </w:pPr>
            <w:r w:rsidRPr="008E3A8D">
              <w:t>(ii) if the titleholder is a corporation—the corporation at the place of business set out in the notice given in accordance with section</w:t>
            </w:r>
            <w:r w:rsidR="008E3A8D" w:rsidRPr="008E3A8D">
              <w:t> </w:t>
            </w:r>
            <w:r w:rsidR="00C765C5" w:rsidRPr="008E3A8D">
              <w:t>286A of the Act; or</w:t>
            </w:r>
          </w:p>
          <w:p w:rsidR="003E4CB0" w:rsidRPr="008E3A8D" w:rsidRDefault="003E4CB0" w:rsidP="00C56974">
            <w:pPr>
              <w:pStyle w:val="Tablea"/>
            </w:pPr>
            <w:r w:rsidRPr="008E3A8D">
              <w:t xml:space="preserve">(c) by sending the document by fax </w:t>
            </w:r>
            <w:r w:rsidR="00C56974" w:rsidRPr="008E3A8D">
              <w:t xml:space="preserve">to the </w:t>
            </w:r>
            <w:r w:rsidRPr="008E3A8D">
              <w:t xml:space="preserve">fax number set out in the notice given in accordance with </w:t>
            </w:r>
            <w:r w:rsidR="00C56974" w:rsidRPr="008E3A8D">
              <w:t>s</w:t>
            </w:r>
            <w:r w:rsidRPr="008E3A8D">
              <w:t>ection</w:t>
            </w:r>
            <w:r w:rsidR="008E3A8D" w:rsidRPr="008E3A8D">
              <w:t> </w:t>
            </w:r>
            <w:r w:rsidRPr="008E3A8D">
              <w:t>286A of the Act; or</w:t>
            </w:r>
          </w:p>
          <w:p w:rsidR="003E4CB0" w:rsidRPr="008E3A8D" w:rsidRDefault="003E4CB0" w:rsidP="00C56974">
            <w:pPr>
              <w:pStyle w:val="Tablea"/>
            </w:pPr>
            <w:r w:rsidRPr="008E3A8D">
              <w:t>(d) by sending the document by email to</w:t>
            </w:r>
            <w:r w:rsidR="00C56974" w:rsidRPr="008E3A8D">
              <w:t xml:space="preserve"> the e</w:t>
            </w:r>
            <w:r w:rsidRPr="008E3A8D">
              <w:t>mail address set out in the notice given in accordance with section</w:t>
            </w:r>
            <w:r w:rsidR="008E3A8D" w:rsidRPr="008E3A8D">
              <w:t> </w:t>
            </w:r>
            <w:r w:rsidRPr="008E3A8D">
              <w:t>286A of the Act; or</w:t>
            </w:r>
          </w:p>
          <w:p w:rsidR="003E4CB0" w:rsidRPr="008E3A8D" w:rsidRDefault="003E4CB0" w:rsidP="003E4CB0">
            <w:pPr>
              <w:pStyle w:val="Tablea"/>
            </w:pPr>
            <w:r w:rsidRPr="008E3A8D">
              <w:t xml:space="preserve">(e) </w:t>
            </w:r>
            <w:r w:rsidR="00C765C5" w:rsidRPr="008E3A8D">
              <w:t>if the titleholder is not a corporation—</w:t>
            </w:r>
            <w:r w:rsidRPr="008E3A8D">
              <w:t>by leaving the document at the place of residence, set out in the notice given in accordance with section</w:t>
            </w:r>
            <w:r w:rsidR="008E3A8D" w:rsidRPr="008E3A8D">
              <w:t> </w:t>
            </w:r>
            <w:r w:rsidRPr="008E3A8D">
              <w:t>286A of the Act, with another person apparently a resident of that place and apparently at least 16 years of age; or</w:t>
            </w:r>
          </w:p>
          <w:p w:rsidR="001E08CB" w:rsidRPr="008E3A8D" w:rsidRDefault="003E4CB0" w:rsidP="00A96BF9">
            <w:pPr>
              <w:pStyle w:val="Tablea"/>
            </w:pPr>
            <w:r w:rsidRPr="008E3A8D">
              <w:t xml:space="preserve">(f) by leaving the document at the </w:t>
            </w:r>
            <w:r w:rsidR="00C765C5" w:rsidRPr="008E3A8D">
              <w:t xml:space="preserve">titleholder’s </w:t>
            </w:r>
            <w:r w:rsidRPr="008E3A8D">
              <w:t>place of business set out in the notice given in accordance with section</w:t>
            </w:r>
            <w:r w:rsidR="008E3A8D" w:rsidRPr="008E3A8D">
              <w:t> </w:t>
            </w:r>
            <w:r w:rsidRPr="008E3A8D">
              <w:t>286A of the Act with another person apparently in the employment of that person or corporation and apparently at least 16 years</w:t>
            </w:r>
            <w:r w:rsidR="00FF3EEF" w:rsidRPr="008E3A8D">
              <w:t xml:space="preserve"> of age</w:t>
            </w:r>
          </w:p>
        </w:tc>
      </w:tr>
      <w:tr w:rsidR="00EC484E" w:rsidRPr="008E3A8D" w:rsidTr="009A2B2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C484E" w:rsidRPr="008E3A8D" w:rsidRDefault="003E4CB0" w:rsidP="007B0175">
            <w:pPr>
              <w:pStyle w:val="Tabletext"/>
            </w:pPr>
            <w:r w:rsidRPr="008E3A8D">
              <w:lastRenderedPageBreak/>
              <w:t>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EC484E" w:rsidRPr="008E3A8D" w:rsidRDefault="00970E6A" w:rsidP="00A471DE">
            <w:pPr>
              <w:pStyle w:val="Tabletext"/>
            </w:pPr>
            <w:r w:rsidRPr="008E3A8D">
              <w:t>a</w:t>
            </w:r>
            <w:r w:rsidR="00EC484E" w:rsidRPr="008E3A8D">
              <w:t xml:space="preserve"> corporation</w:t>
            </w:r>
            <w:r w:rsidR="00460DF1" w:rsidRPr="008E3A8D">
              <w:t xml:space="preserve">, other than </w:t>
            </w:r>
            <w:r w:rsidR="00A471DE" w:rsidRPr="008E3A8D">
              <w:t>a</w:t>
            </w:r>
            <w:r w:rsidR="00460DF1" w:rsidRPr="008E3A8D">
              <w:t xml:space="preserve"> titleholder</w:t>
            </w:r>
            <w:r w:rsidR="00E1348D" w:rsidRPr="008E3A8D">
              <w:t>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C484E" w:rsidRPr="008E3A8D" w:rsidRDefault="00EC484E" w:rsidP="007B0175">
            <w:pPr>
              <w:pStyle w:val="Tablea"/>
            </w:pPr>
            <w:r w:rsidRPr="008E3A8D">
              <w:t xml:space="preserve">(a) by prepaying and posting the document as a letter addressed to the corporation </w:t>
            </w:r>
            <w:bookmarkStart w:id="36" w:name="OLE_LINK25"/>
            <w:bookmarkStart w:id="37" w:name="OLE_LINK26"/>
            <w:r w:rsidRPr="008E3A8D">
              <w:t xml:space="preserve">at its last known place of </w:t>
            </w:r>
            <w:r w:rsidRPr="008E3A8D">
              <w:lastRenderedPageBreak/>
              <w:t>business or, if it is carrying on business at 2 or more places, at one of those places</w:t>
            </w:r>
            <w:bookmarkEnd w:id="36"/>
            <w:bookmarkEnd w:id="37"/>
            <w:r w:rsidRPr="008E3A8D">
              <w:t>; or</w:t>
            </w:r>
          </w:p>
          <w:p w:rsidR="00F75CF6" w:rsidRPr="008E3A8D" w:rsidRDefault="00FF4D34" w:rsidP="00FF4D34">
            <w:pPr>
              <w:pStyle w:val="Tablea"/>
            </w:pPr>
            <w:r w:rsidRPr="008E3A8D">
              <w:t>(b) by sending the document by fax</w:t>
            </w:r>
            <w:r w:rsidR="00F75CF6" w:rsidRPr="008E3A8D">
              <w:t xml:space="preserve"> to the corporation’s last known fax number; or</w:t>
            </w:r>
          </w:p>
          <w:p w:rsidR="00F75CF6" w:rsidRPr="008E3A8D" w:rsidRDefault="00F75CF6" w:rsidP="00FF4D34">
            <w:pPr>
              <w:pStyle w:val="Tablea"/>
            </w:pPr>
            <w:r w:rsidRPr="008E3A8D">
              <w:t>(c) by sending the document by email to the corporation’s last known email address; or</w:t>
            </w:r>
          </w:p>
          <w:p w:rsidR="00EC484E" w:rsidRPr="008E3A8D" w:rsidRDefault="00F75CF6" w:rsidP="00A96BF9">
            <w:pPr>
              <w:pStyle w:val="Tablea"/>
            </w:pPr>
            <w:r w:rsidRPr="008E3A8D">
              <w:t xml:space="preserve">(d) </w:t>
            </w:r>
            <w:r w:rsidR="00EC484E" w:rsidRPr="008E3A8D">
              <w:t xml:space="preserve">by leaving </w:t>
            </w:r>
            <w:r w:rsidR="00FF4D34" w:rsidRPr="008E3A8D">
              <w:t xml:space="preserve">the document </w:t>
            </w:r>
            <w:r w:rsidR="00EC484E" w:rsidRPr="008E3A8D">
              <w:t xml:space="preserve">at </w:t>
            </w:r>
            <w:r w:rsidR="00FF4D34" w:rsidRPr="008E3A8D">
              <w:t>the corporation’s last known place of business or, if the corporation is carrying on business at 2 or more places, at one of those places</w:t>
            </w:r>
            <w:r w:rsidR="00EC484E" w:rsidRPr="008E3A8D">
              <w:t xml:space="preserve">, with </w:t>
            </w:r>
            <w:r w:rsidR="002E063A" w:rsidRPr="008E3A8D">
              <w:t>a</w:t>
            </w:r>
            <w:r w:rsidR="00EC484E" w:rsidRPr="008E3A8D">
              <w:t xml:space="preserve"> person apparently in the employment of the corporation and apparently at least 16</w:t>
            </w:r>
            <w:r w:rsidR="00FF3EEF" w:rsidRPr="008E3A8D">
              <w:t xml:space="preserve"> years of age</w:t>
            </w:r>
          </w:p>
        </w:tc>
      </w:tr>
      <w:tr w:rsidR="00EC484E" w:rsidRPr="008E3A8D" w:rsidTr="009A2B2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EC484E" w:rsidRPr="008E3A8D" w:rsidRDefault="0050092D">
            <w:pPr>
              <w:pStyle w:val="Tabletext"/>
            </w:pPr>
            <w:r w:rsidRPr="008E3A8D">
              <w:lastRenderedPageBreak/>
              <w:t>6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auto"/>
          </w:tcPr>
          <w:p w:rsidR="00EC484E" w:rsidRPr="008E3A8D" w:rsidRDefault="00970E6A">
            <w:pPr>
              <w:pStyle w:val="Tabletext"/>
            </w:pPr>
            <w:r w:rsidRPr="008E3A8D">
              <w:t>a</w:t>
            </w:r>
            <w:r w:rsidR="00EC484E" w:rsidRPr="008E3A8D">
              <w:t xml:space="preserve"> person other than:</w:t>
            </w:r>
          </w:p>
          <w:p w:rsidR="00EC484E" w:rsidRPr="008E3A8D" w:rsidRDefault="00EC484E" w:rsidP="00EC484E">
            <w:pPr>
              <w:pStyle w:val="Tablea"/>
            </w:pPr>
            <w:r w:rsidRPr="008E3A8D">
              <w:t>(a) the responsible Commonwealth Minister; or</w:t>
            </w:r>
          </w:p>
          <w:p w:rsidR="00EC484E" w:rsidRPr="008E3A8D" w:rsidRDefault="00EC484E" w:rsidP="00EC484E">
            <w:pPr>
              <w:pStyle w:val="Tablea"/>
            </w:pPr>
            <w:r w:rsidRPr="008E3A8D">
              <w:t>(b) the Titles Administrator; or</w:t>
            </w:r>
          </w:p>
          <w:p w:rsidR="00EC484E" w:rsidRPr="008E3A8D" w:rsidRDefault="00EC484E" w:rsidP="00EC484E">
            <w:pPr>
              <w:pStyle w:val="Tablea"/>
            </w:pPr>
            <w:r w:rsidRPr="008E3A8D">
              <w:t>(c) NOPSEMA; or</w:t>
            </w:r>
          </w:p>
          <w:p w:rsidR="00EC484E" w:rsidRPr="008E3A8D" w:rsidRDefault="00EC484E" w:rsidP="00EC484E">
            <w:pPr>
              <w:pStyle w:val="Tablea"/>
            </w:pPr>
            <w:r w:rsidRPr="008E3A8D">
              <w:t>(d) a corporation; or</w:t>
            </w:r>
          </w:p>
          <w:p w:rsidR="00EC484E" w:rsidRPr="008E3A8D" w:rsidRDefault="00EC484E" w:rsidP="00970E6A">
            <w:pPr>
              <w:pStyle w:val="Tablea"/>
            </w:pPr>
            <w:r w:rsidRPr="008E3A8D">
              <w:t xml:space="preserve">(e) </w:t>
            </w:r>
            <w:r w:rsidR="00A471DE" w:rsidRPr="008E3A8D">
              <w:t>a</w:t>
            </w:r>
            <w:r w:rsidRPr="008E3A8D">
              <w:t xml:space="preserve"> titleholder</w:t>
            </w:r>
            <w:r w:rsidR="00E1348D" w:rsidRPr="008E3A8D">
              <w:t>;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8E40EC" w:rsidRPr="008E3A8D" w:rsidRDefault="008E40EC" w:rsidP="008E40EC">
            <w:pPr>
              <w:pStyle w:val="Tablea"/>
            </w:pPr>
            <w:r w:rsidRPr="008E3A8D">
              <w:t>(a) by delivering the document to the person personally; or</w:t>
            </w:r>
          </w:p>
          <w:p w:rsidR="008E40EC" w:rsidRPr="008E3A8D" w:rsidRDefault="008E40EC" w:rsidP="008E40EC">
            <w:pPr>
              <w:pStyle w:val="Tablea"/>
            </w:pPr>
            <w:r w:rsidRPr="008E3A8D">
              <w:t>(b) by prepaying and posting the document as a letter addressed to the person at the person’s last known place of residence; or</w:t>
            </w:r>
          </w:p>
          <w:p w:rsidR="00584D51" w:rsidRPr="008E3A8D" w:rsidRDefault="00584D51" w:rsidP="00584D51">
            <w:pPr>
              <w:pStyle w:val="Tablea"/>
            </w:pPr>
            <w:r w:rsidRPr="008E3A8D">
              <w:t>(c) by prepaying and posting the document as a letter addressed to the person at the person’s last known place of business (or, if the person is carrying on business at 2 or more places, at one of those places); or</w:t>
            </w:r>
          </w:p>
          <w:p w:rsidR="008E40EC" w:rsidRPr="008E3A8D" w:rsidRDefault="008E40EC" w:rsidP="008E40EC">
            <w:pPr>
              <w:pStyle w:val="Tablea"/>
            </w:pPr>
            <w:r w:rsidRPr="008E3A8D">
              <w:t>(</w:t>
            </w:r>
            <w:r w:rsidR="00584D51" w:rsidRPr="008E3A8D">
              <w:t>d</w:t>
            </w:r>
            <w:r w:rsidRPr="008E3A8D">
              <w:t>) by sending the document by fax to the person’s last known residential or business fax number; or</w:t>
            </w:r>
          </w:p>
          <w:p w:rsidR="008E40EC" w:rsidRPr="008E3A8D" w:rsidRDefault="00584D51" w:rsidP="008E40EC">
            <w:pPr>
              <w:pStyle w:val="Tablea"/>
            </w:pPr>
            <w:r w:rsidRPr="008E3A8D">
              <w:t>(e</w:t>
            </w:r>
            <w:r w:rsidR="008E40EC" w:rsidRPr="008E3A8D">
              <w:t>) by sending the document by email to the person’s last known residential or business email address; or</w:t>
            </w:r>
          </w:p>
          <w:p w:rsidR="008E40EC" w:rsidRPr="008E3A8D" w:rsidRDefault="00584D51" w:rsidP="008E40EC">
            <w:pPr>
              <w:pStyle w:val="Tablea"/>
            </w:pPr>
            <w:r w:rsidRPr="008E3A8D">
              <w:t>(f</w:t>
            </w:r>
            <w:r w:rsidR="008E40EC" w:rsidRPr="008E3A8D">
              <w:t xml:space="preserve">) by leaving the document at the last </w:t>
            </w:r>
            <w:r w:rsidR="008E40EC" w:rsidRPr="008E3A8D">
              <w:lastRenderedPageBreak/>
              <w:t>known place of residence of the person with another person apparently a resident of that place and apparently at least 16</w:t>
            </w:r>
            <w:r w:rsidR="00FF3EEF" w:rsidRPr="008E3A8D">
              <w:t xml:space="preserve"> years of age</w:t>
            </w:r>
            <w:r w:rsidR="008C4740" w:rsidRPr="008E3A8D">
              <w:t>; or</w:t>
            </w:r>
          </w:p>
          <w:p w:rsidR="00EC484E" w:rsidRPr="008E3A8D" w:rsidRDefault="008E40EC" w:rsidP="00A96BF9">
            <w:pPr>
              <w:pStyle w:val="Tablea"/>
            </w:pPr>
            <w:r w:rsidRPr="008E3A8D">
              <w:t>(f) by leaving the document at the last known place of business of the person (or, if the person is carrying on business at 2 or more places, at one of those places) with another person apparently in the employment of that person and apparently at least 16</w:t>
            </w:r>
            <w:r w:rsidR="00FF3EEF" w:rsidRPr="008E3A8D">
              <w:t xml:space="preserve"> years of age</w:t>
            </w:r>
          </w:p>
        </w:tc>
      </w:tr>
    </w:tbl>
    <w:p w:rsidR="00FD39FF" w:rsidRPr="008E3A8D" w:rsidRDefault="00FD39FF" w:rsidP="005320B0">
      <w:pPr>
        <w:pStyle w:val="Tabletext"/>
      </w:pPr>
    </w:p>
    <w:p w:rsidR="0087738E" w:rsidRPr="008E3A8D" w:rsidRDefault="00D74887" w:rsidP="00D74887">
      <w:pPr>
        <w:pStyle w:val="subsection"/>
      </w:pPr>
      <w:bookmarkStart w:id="38" w:name="OLE_LINK27"/>
      <w:bookmarkStart w:id="39" w:name="OLE_LINK28"/>
      <w:r w:rsidRPr="008E3A8D">
        <w:tab/>
        <w:t>(2)</w:t>
      </w:r>
      <w:r w:rsidRPr="008E3A8D">
        <w:tab/>
      </w:r>
      <w:r w:rsidR="0087738E" w:rsidRPr="008E3A8D">
        <w:t>A person or agency mentioned in item</w:t>
      </w:r>
      <w:r w:rsidR="008E3A8D" w:rsidRPr="008E3A8D">
        <w:t> </w:t>
      </w:r>
      <w:r w:rsidR="0087738E" w:rsidRPr="008E3A8D">
        <w:t xml:space="preserve">1, 2 or 3 of the table in subregulation (1) may, </w:t>
      </w:r>
      <w:r w:rsidRPr="008E3A8D">
        <w:t>by notice in writing</w:t>
      </w:r>
      <w:r w:rsidR="00D90563" w:rsidRPr="008E3A8D">
        <w:t xml:space="preserve"> published on the </w:t>
      </w:r>
      <w:r w:rsidR="0087738E" w:rsidRPr="008E3A8D">
        <w:t xml:space="preserve">person’s or agency’s </w:t>
      </w:r>
      <w:r w:rsidR="00D90563" w:rsidRPr="008E3A8D">
        <w:t>website</w:t>
      </w:r>
      <w:r w:rsidR="0087738E" w:rsidRPr="008E3A8D">
        <w:t>:</w:t>
      </w:r>
    </w:p>
    <w:p w:rsidR="00D74887" w:rsidRPr="008E3A8D" w:rsidRDefault="0087738E" w:rsidP="0087738E">
      <w:pPr>
        <w:pStyle w:val="paragraph"/>
      </w:pPr>
      <w:r w:rsidRPr="008E3A8D">
        <w:tab/>
        <w:t>(a)</w:t>
      </w:r>
      <w:r w:rsidRPr="008E3A8D">
        <w:tab/>
      </w:r>
      <w:r w:rsidR="00D86DD1" w:rsidRPr="008E3A8D">
        <w:t xml:space="preserve">require that a document </w:t>
      </w:r>
      <w:r w:rsidR="00116B32" w:rsidRPr="008E3A8D">
        <w:t xml:space="preserve">specified in the notice must </w:t>
      </w:r>
      <w:r w:rsidR="00D86DD1" w:rsidRPr="008E3A8D">
        <w:t>be given to the person or agency by a method</w:t>
      </w:r>
      <w:r w:rsidR="00116B32" w:rsidRPr="008E3A8D">
        <w:t xml:space="preserve"> specified in the notice</w:t>
      </w:r>
      <w:r w:rsidR="00D86DD1" w:rsidRPr="008E3A8D">
        <w:t>;</w:t>
      </w:r>
      <w:r w:rsidRPr="008E3A8D">
        <w:t xml:space="preserve"> or</w:t>
      </w:r>
    </w:p>
    <w:p w:rsidR="0087738E" w:rsidRPr="008E3A8D" w:rsidRDefault="0087738E" w:rsidP="0087738E">
      <w:pPr>
        <w:pStyle w:val="paragraph"/>
      </w:pPr>
      <w:r w:rsidRPr="008E3A8D">
        <w:tab/>
        <w:t>(b)</w:t>
      </w:r>
      <w:r w:rsidRPr="008E3A8D">
        <w:tab/>
      </w:r>
      <w:r w:rsidR="00D86DD1" w:rsidRPr="008E3A8D">
        <w:t xml:space="preserve">provide that a document </w:t>
      </w:r>
      <w:r w:rsidR="00116B32" w:rsidRPr="008E3A8D">
        <w:t xml:space="preserve">specified in the notice </w:t>
      </w:r>
      <w:r w:rsidR="00D86DD1" w:rsidRPr="008E3A8D">
        <w:t xml:space="preserve">may be given to the person or agency by sending the document electronically using the </w:t>
      </w:r>
      <w:r w:rsidRPr="008E3A8D">
        <w:t>Titles Administrator’s National Electronic Approvals Tracking System (</w:t>
      </w:r>
      <w:r w:rsidRPr="008E3A8D">
        <w:rPr>
          <w:b/>
          <w:i/>
        </w:rPr>
        <w:t>NEATS</w:t>
      </w:r>
      <w:r w:rsidRPr="008E3A8D">
        <w:t>)</w:t>
      </w:r>
      <w:r w:rsidR="00B84635" w:rsidRPr="008E3A8D">
        <w:t xml:space="preserve">, as an alternative to </w:t>
      </w:r>
      <w:r w:rsidR="00116B32" w:rsidRPr="008E3A8D">
        <w:t>using t</w:t>
      </w:r>
      <w:r w:rsidR="00B84635" w:rsidRPr="008E3A8D">
        <w:t xml:space="preserve">he methods </w:t>
      </w:r>
      <w:r w:rsidR="00116B32" w:rsidRPr="008E3A8D">
        <w:t>mentioned</w:t>
      </w:r>
      <w:r w:rsidR="00B84635" w:rsidRPr="008E3A8D">
        <w:t xml:space="preserve"> in the table in subregulation (1) for the document</w:t>
      </w:r>
      <w:r w:rsidRPr="008E3A8D">
        <w:t>.</w:t>
      </w:r>
    </w:p>
    <w:p w:rsidR="00D74887" w:rsidRPr="008E3A8D" w:rsidRDefault="00D74887" w:rsidP="00D74887">
      <w:pPr>
        <w:pStyle w:val="subsection"/>
      </w:pPr>
      <w:r w:rsidRPr="008E3A8D">
        <w:tab/>
        <w:t>(3)</w:t>
      </w:r>
      <w:r w:rsidRPr="008E3A8D">
        <w:tab/>
        <w:t xml:space="preserve">If </w:t>
      </w:r>
      <w:r w:rsidR="008E3A8D" w:rsidRPr="008E3A8D">
        <w:t>paragraph (</w:t>
      </w:r>
      <w:r w:rsidRPr="008E3A8D">
        <w:t>2)</w:t>
      </w:r>
      <w:r w:rsidR="00674F4D" w:rsidRPr="008E3A8D">
        <w:t>(a)</w:t>
      </w:r>
      <w:r w:rsidRPr="008E3A8D">
        <w:t xml:space="preserve"> applies to a document, the document may only be given in accordance with the method set out in the notice for that document.</w:t>
      </w:r>
    </w:p>
    <w:p w:rsidR="00623F28" w:rsidRPr="008E3A8D" w:rsidRDefault="00623F28" w:rsidP="005320B0">
      <w:pPr>
        <w:pStyle w:val="subsection"/>
      </w:pPr>
      <w:r w:rsidRPr="008E3A8D">
        <w:tab/>
        <w:t>(</w:t>
      </w:r>
      <w:r w:rsidR="00D74887" w:rsidRPr="008E3A8D">
        <w:t>4</w:t>
      </w:r>
      <w:r w:rsidRPr="008E3A8D">
        <w:t>)</w:t>
      </w:r>
      <w:r w:rsidRPr="008E3A8D">
        <w:tab/>
        <w:t xml:space="preserve">If a document is given by prepaying and posting the document as a letter in accordance with </w:t>
      </w:r>
      <w:r w:rsidR="00513E96" w:rsidRPr="008E3A8D">
        <w:t>subregulation (1)</w:t>
      </w:r>
      <w:r w:rsidR="00D74887" w:rsidRPr="008E3A8D">
        <w:t xml:space="preserve"> or (2)</w:t>
      </w:r>
      <w:r w:rsidRPr="008E3A8D">
        <w:t>, the document is taken to have been given at the time at which the letter would have been delivered in the ordinary course of post.</w:t>
      </w:r>
    </w:p>
    <w:bookmarkEnd w:id="38"/>
    <w:bookmarkEnd w:id="39"/>
    <w:p w:rsidR="00623F28" w:rsidRPr="008E3A8D" w:rsidRDefault="00623F28" w:rsidP="00623F28">
      <w:pPr>
        <w:pStyle w:val="subsection"/>
      </w:pPr>
      <w:r w:rsidRPr="008E3A8D">
        <w:lastRenderedPageBreak/>
        <w:tab/>
        <w:t>(</w:t>
      </w:r>
      <w:r w:rsidR="00D74887" w:rsidRPr="008E3A8D">
        <w:t>5</w:t>
      </w:r>
      <w:r w:rsidRPr="008E3A8D">
        <w:t>)</w:t>
      </w:r>
      <w:r w:rsidRPr="008E3A8D">
        <w:tab/>
        <w:t xml:space="preserve">If a document is </w:t>
      </w:r>
      <w:r w:rsidR="00513E96" w:rsidRPr="008E3A8D">
        <w:t xml:space="preserve">given </w:t>
      </w:r>
      <w:r w:rsidRPr="008E3A8D">
        <w:t xml:space="preserve">by fax, email, </w:t>
      </w:r>
      <w:r w:rsidR="00916416" w:rsidRPr="008E3A8D">
        <w:t xml:space="preserve">submitting to </w:t>
      </w:r>
      <w:r w:rsidRPr="008E3A8D">
        <w:t xml:space="preserve">a website </w:t>
      </w:r>
      <w:r w:rsidR="00AD28EB" w:rsidRPr="008E3A8D">
        <w:t xml:space="preserve">or </w:t>
      </w:r>
      <w:r w:rsidR="00916416" w:rsidRPr="008E3A8D">
        <w:t xml:space="preserve">submitting </w:t>
      </w:r>
      <w:r w:rsidR="000A5FF6" w:rsidRPr="008E3A8D">
        <w:t xml:space="preserve">to </w:t>
      </w:r>
      <w:r w:rsidR="00674F4D" w:rsidRPr="008E3A8D">
        <w:t xml:space="preserve">NEATS </w:t>
      </w:r>
      <w:r w:rsidRPr="008E3A8D">
        <w:t xml:space="preserve">in accordance with </w:t>
      </w:r>
      <w:r w:rsidR="002C6E43" w:rsidRPr="008E3A8D">
        <w:t>subregulation (1)</w:t>
      </w:r>
      <w:r w:rsidR="00D74887" w:rsidRPr="008E3A8D">
        <w:t xml:space="preserve"> or (2)</w:t>
      </w:r>
      <w:r w:rsidRPr="008E3A8D">
        <w:t xml:space="preserve">, the document is taken to have been </w:t>
      </w:r>
      <w:r w:rsidR="007D2AC2" w:rsidRPr="008E3A8D">
        <w:t xml:space="preserve">given </w:t>
      </w:r>
      <w:r w:rsidRPr="008E3A8D">
        <w:t>at the end of the day on which the document was sent.</w:t>
      </w:r>
    </w:p>
    <w:p w:rsidR="00623F28" w:rsidRPr="008E3A8D" w:rsidRDefault="002B72FD" w:rsidP="002B72FD">
      <w:pPr>
        <w:pStyle w:val="ActHead5"/>
      </w:pPr>
      <w:bookmarkStart w:id="40" w:name="_Toc369875594"/>
      <w:r w:rsidRPr="008E3A8D">
        <w:rPr>
          <w:rStyle w:val="CharSectno"/>
        </w:rPr>
        <w:t>11A.02</w:t>
      </w:r>
      <w:r w:rsidRPr="008E3A8D">
        <w:t xml:space="preserve">  </w:t>
      </w:r>
      <w:r w:rsidR="00FD4354" w:rsidRPr="008E3A8D">
        <w:t xml:space="preserve">Giving documents to </w:t>
      </w:r>
      <w:r w:rsidR="00623F28" w:rsidRPr="008E3A8D">
        <w:t>Joint Authority</w:t>
      </w:r>
      <w:bookmarkEnd w:id="40"/>
    </w:p>
    <w:p w:rsidR="00623F28" w:rsidRPr="008E3A8D" w:rsidRDefault="005320B0" w:rsidP="005320B0">
      <w:pPr>
        <w:pStyle w:val="subsection"/>
      </w:pPr>
      <w:r w:rsidRPr="008E3A8D">
        <w:tab/>
      </w:r>
      <w:r w:rsidRPr="008E3A8D">
        <w:tab/>
      </w:r>
      <w:r w:rsidR="00623F28" w:rsidRPr="008E3A8D">
        <w:t xml:space="preserve">A document required or permitted by </w:t>
      </w:r>
      <w:r w:rsidR="00CD1F97" w:rsidRPr="008E3A8D">
        <w:t xml:space="preserve">the Act, or any legislative instrument made under the Act, </w:t>
      </w:r>
      <w:r w:rsidR="00623F28" w:rsidRPr="008E3A8D">
        <w:t>to be given to the Joint Authority is taken to have been given to the Joint Authority if it is given to:</w:t>
      </w:r>
    </w:p>
    <w:p w:rsidR="00623F28" w:rsidRPr="008E3A8D" w:rsidRDefault="00392966" w:rsidP="00392966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>the Titles Administrator; or</w:t>
      </w:r>
    </w:p>
    <w:p w:rsidR="00623F28" w:rsidRPr="008E3A8D" w:rsidRDefault="00392966" w:rsidP="00392966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a delegate of the Titles Administrator.</w:t>
      </w:r>
    </w:p>
    <w:p w:rsidR="00623F28" w:rsidRPr="008E3A8D" w:rsidRDefault="002B72FD" w:rsidP="002B72FD">
      <w:pPr>
        <w:pStyle w:val="ActHead5"/>
      </w:pPr>
      <w:bookmarkStart w:id="41" w:name="_Toc369875595"/>
      <w:r w:rsidRPr="008E3A8D">
        <w:rPr>
          <w:rStyle w:val="CharSectno"/>
        </w:rPr>
        <w:t>11A.03</w:t>
      </w:r>
      <w:r w:rsidRPr="008E3A8D">
        <w:t xml:space="preserve">  </w:t>
      </w:r>
      <w:r w:rsidR="00FD4354" w:rsidRPr="008E3A8D">
        <w:t xml:space="preserve">Giving </w:t>
      </w:r>
      <w:r w:rsidR="00623F28" w:rsidRPr="008E3A8D">
        <w:t xml:space="preserve">documents </w:t>
      </w:r>
      <w:r w:rsidR="00FD4354" w:rsidRPr="008E3A8D">
        <w:t xml:space="preserve">to </w:t>
      </w:r>
      <w:r w:rsidR="00623F28" w:rsidRPr="008E3A8D">
        <w:t>responsible Commonwealth Minister</w:t>
      </w:r>
      <w:bookmarkEnd w:id="41"/>
    </w:p>
    <w:p w:rsidR="00623F28" w:rsidRPr="008E3A8D" w:rsidRDefault="002B72FD" w:rsidP="00623F28">
      <w:pPr>
        <w:pStyle w:val="subsection"/>
      </w:pPr>
      <w:r w:rsidRPr="008E3A8D">
        <w:tab/>
      </w:r>
      <w:r w:rsidRPr="008E3A8D">
        <w:tab/>
      </w:r>
      <w:r w:rsidR="00623F28" w:rsidRPr="008E3A8D">
        <w:t xml:space="preserve">A document required or permitted by </w:t>
      </w:r>
      <w:r w:rsidR="00CD1F97" w:rsidRPr="008E3A8D">
        <w:t xml:space="preserve">the Act, or any legislative instrument made under the Act, </w:t>
      </w:r>
      <w:r w:rsidR="00623F28" w:rsidRPr="008E3A8D">
        <w:t>to be given to the responsible Commonwealth Minister is taken to have been given to the responsible Commonwealth Minister if it is given to a delegate of the responsible Commonwealth Minister.</w:t>
      </w:r>
    </w:p>
    <w:p w:rsidR="00623F28" w:rsidRPr="008E3A8D" w:rsidRDefault="002B72FD" w:rsidP="00273B44">
      <w:pPr>
        <w:pStyle w:val="ActHead5"/>
      </w:pPr>
      <w:bookmarkStart w:id="42" w:name="_Toc369875596"/>
      <w:r w:rsidRPr="008E3A8D">
        <w:rPr>
          <w:rStyle w:val="CharSectno"/>
        </w:rPr>
        <w:t>11A.04</w:t>
      </w:r>
      <w:r w:rsidRPr="008E3A8D">
        <w:t xml:space="preserve">  </w:t>
      </w:r>
      <w:r w:rsidR="00FD4354" w:rsidRPr="008E3A8D">
        <w:t xml:space="preserve">Giving </w:t>
      </w:r>
      <w:r w:rsidR="00623F28" w:rsidRPr="008E3A8D">
        <w:t xml:space="preserve">documents </w:t>
      </w:r>
      <w:r w:rsidR="00FD4354" w:rsidRPr="008E3A8D">
        <w:t xml:space="preserve">to </w:t>
      </w:r>
      <w:r w:rsidR="00623F28" w:rsidRPr="008E3A8D">
        <w:t>2 or more registered holders of a petroleum title</w:t>
      </w:r>
      <w:bookmarkEnd w:id="42"/>
    </w:p>
    <w:p w:rsidR="00623F28" w:rsidRPr="008E3A8D" w:rsidRDefault="00623F28" w:rsidP="002B72FD">
      <w:pPr>
        <w:pStyle w:val="SubsectionHead"/>
      </w:pPr>
      <w:r w:rsidRPr="008E3A8D">
        <w:t>Scope</w:t>
      </w:r>
    </w:p>
    <w:p w:rsidR="00623F28" w:rsidRPr="008E3A8D" w:rsidRDefault="00056F98" w:rsidP="00056F98">
      <w:pPr>
        <w:pStyle w:val="subsection"/>
      </w:pPr>
      <w:r w:rsidRPr="008E3A8D">
        <w:tab/>
        <w:t>(1)</w:t>
      </w:r>
      <w:r w:rsidRPr="008E3A8D">
        <w:tab/>
      </w:r>
      <w:r w:rsidR="00623F28" w:rsidRPr="008E3A8D">
        <w:t xml:space="preserve">This </w:t>
      </w:r>
      <w:r w:rsidR="00307B78" w:rsidRPr="008E3A8D">
        <w:t xml:space="preserve">regulation </w:t>
      </w:r>
      <w:r w:rsidR="00623F28" w:rsidRPr="008E3A8D">
        <w:t>applies if there are 2 or more registered holders of a petroleum title.</w:t>
      </w:r>
    </w:p>
    <w:p w:rsidR="00623F28" w:rsidRPr="008E3A8D" w:rsidRDefault="00623F28" w:rsidP="002B72FD">
      <w:pPr>
        <w:pStyle w:val="SubsectionHead"/>
      </w:pPr>
      <w:r w:rsidRPr="008E3A8D">
        <w:t>Nomination of one of the registered holders</w:t>
      </w:r>
    </w:p>
    <w:p w:rsidR="00623F28" w:rsidRPr="008E3A8D" w:rsidRDefault="00056F98" w:rsidP="00056F98">
      <w:pPr>
        <w:pStyle w:val="subsection"/>
      </w:pPr>
      <w:r w:rsidRPr="008E3A8D">
        <w:tab/>
        <w:t>(2)</w:t>
      </w:r>
      <w:r w:rsidRPr="008E3A8D">
        <w:tab/>
      </w:r>
      <w:r w:rsidR="00623F28" w:rsidRPr="008E3A8D">
        <w:t>The registered holders may, by joint written notice given to the Titles Administrator and NOPSEMA, nominate one of them as being the person to whom documents may be given</w:t>
      </w:r>
      <w:r w:rsidR="005F0885" w:rsidRPr="008E3A8D">
        <w:t>,</w:t>
      </w:r>
      <w:r w:rsidR="00623F28" w:rsidRPr="008E3A8D">
        <w:t xml:space="preserve"> </w:t>
      </w:r>
      <w:r w:rsidR="005F0885" w:rsidRPr="008E3A8D">
        <w:t>if</w:t>
      </w:r>
      <w:r w:rsidR="00623F28" w:rsidRPr="008E3A8D">
        <w:t xml:space="preserve"> the documents:</w:t>
      </w:r>
    </w:p>
    <w:p w:rsidR="00623F28" w:rsidRPr="008E3A8D" w:rsidRDefault="002B72FD" w:rsidP="002B72FD">
      <w:pPr>
        <w:pStyle w:val="paragraph"/>
      </w:pPr>
      <w:r w:rsidRPr="008E3A8D">
        <w:tab/>
      </w:r>
      <w:r w:rsidR="00623F28" w:rsidRPr="008E3A8D">
        <w:t>(a)</w:t>
      </w:r>
      <w:r w:rsidRPr="008E3A8D">
        <w:tab/>
      </w:r>
      <w:r w:rsidR="00623F28" w:rsidRPr="008E3A8D">
        <w:t>relate to the petroleum title; and</w:t>
      </w:r>
    </w:p>
    <w:p w:rsidR="00623F28" w:rsidRPr="008E3A8D" w:rsidRDefault="00056F98" w:rsidP="002B72FD">
      <w:pPr>
        <w:pStyle w:val="paragraph"/>
      </w:pPr>
      <w:r w:rsidRPr="008E3A8D">
        <w:tab/>
      </w:r>
      <w:r w:rsidR="00623F28" w:rsidRPr="008E3A8D">
        <w:t>(b)</w:t>
      </w:r>
      <w:r w:rsidRPr="008E3A8D">
        <w:tab/>
      </w:r>
      <w:r w:rsidR="00623F28" w:rsidRPr="008E3A8D">
        <w:t xml:space="preserve">are required or permitted by </w:t>
      </w:r>
      <w:r w:rsidR="00FD158F" w:rsidRPr="008E3A8D">
        <w:t xml:space="preserve">the Act, or any legislative instrument made under the Act, </w:t>
      </w:r>
      <w:r w:rsidR="00623F28" w:rsidRPr="008E3A8D">
        <w:t>to be given.</w:t>
      </w:r>
    </w:p>
    <w:p w:rsidR="00623F28" w:rsidRPr="008E3A8D" w:rsidRDefault="00056F98" w:rsidP="00623F28">
      <w:pPr>
        <w:pStyle w:val="subsection"/>
      </w:pPr>
      <w:r w:rsidRPr="008E3A8D">
        <w:lastRenderedPageBreak/>
        <w:tab/>
        <w:t>(3)</w:t>
      </w:r>
      <w:r w:rsidRPr="008E3A8D">
        <w:tab/>
      </w:r>
      <w:r w:rsidR="00623F28" w:rsidRPr="008E3A8D">
        <w:t>The joint written notice must be executed in an approved manner by or on behalf of each of the registered holders.</w:t>
      </w:r>
    </w:p>
    <w:p w:rsidR="00623F28" w:rsidRPr="008E3A8D" w:rsidRDefault="00056F98" w:rsidP="00623F28">
      <w:pPr>
        <w:pStyle w:val="subsection"/>
      </w:pPr>
      <w:r w:rsidRPr="008E3A8D">
        <w:tab/>
        <w:t>(4)</w:t>
      </w:r>
      <w:r w:rsidRPr="008E3A8D">
        <w:tab/>
        <w:t>T</w:t>
      </w:r>
      <w:r w:rsidR="00623F28" w:rsidRPr="008E3A8D">
        <w:t>he joint written notice must be in the form approved, in writing, by the Titles Administrator and the Chief Executive Officer of NOPSEMA.</w:t>
      </w:r>
    </w:p>
    <w:p w:rsidR="00623F28" w:rsidRPr="008E3A8D" w:rsidRDefault="00623F28" w:rsidP="00056F98">
      <w:pPr>
        <w:pStyle w:val="SubsectionHead"/>
      </w:pPr>
      <w:r w:rsidRPr="008E3A8D">
        <w:t>Document may be given to nominated person</w:t>
      </w:r>
    </w:p>
    <w:p w:rsidR="00623F28" w:rsidRPr="008E3A8D" w:rsidRDefault="00056F98" w:rsidP="00623F28">
      <w:pPr>
        <w:pStyle w:val="subsection"/>
      </w:pPr>
      <w:r w:rsidRPr="008E3A8D">
        <w:tab/>
        <w:t>(5)</w:t>
      </w:r>
      <w:r w:rsidRPr="008E3A8D">
        <w:tab/>
      </w:r>
      <w:r w:rsidR="00623F28" w:rsidRPr="008E3A8D">
        <w:t>If:</w:t>
      </w:r>
    </w:p>
    <w:p w:rsidR="00623F28" w:rsidRPr="008E3A8D" w:rsidRDefault="002F5858" w:rsidP="002F5858">
      <w:pPr>
        <w:pStyle w:val="paragraph"/>
      </w:pPr>
      <w:r w:rsidRPr="008E3A8D">
        <w:tab/>
      </w:r>
      <w:r w:rsidR="00623F28" w:rsidRPr="008E3A8D">
        <w:t>(a)</w:t>
      </w:r>
      <w:r w:rsidRPr="008E3A8D">
        <w:tab/>
      </w:r>
      <w:r w:rsidR="00623F28" w:rsidRPr="008E3A8D">
        <w:t xml:space="preserve">a document relating to a petroleum title is required or permitted by </w:t>
      </w:r>
      <w:r w:rsidR="00FD158F" w:rsidRPr="008E3A8D">
        <w:t xml:space="preserve">the Act, or any legislative instrument made under the Act, </w:t>
      </w:r>
      <w:r w:rsidR="00623F28" w:rsidRPr="008E3A8D">
        <w:t>to be given to the registered holder; and</w:t>
      </w:r>
    </w:p>
    <w:p w:rsidR="00623F28" w:rsidRPr="008E3A8D" w:rsidRDefault="00056F98" w:rsidP="002F5858">
      <w:pPr>
        <w:pStyle w:val="paragraph"/>
      </w:pPr>
      <w:r w:rsidRPr="008E3A8D">
        <w:tab/>
        <w:t>(</w:t>
      </w:r>
      <w:r w:rsidR="005F0885" w:rsidRPr="008E3A8D">
        <w:t>b</w:t>
      </w:r>
      <w:r w:rsidRPr="008E3A8D">
        <w:t>)</w:t>
      </w:r>
      <w:r w:rsidRPr="008E3A8D">
        <w:tab/>
      </w:r>
      <w:r w:rsidR="00623F28" w:rsidRPr="008E3A8D">
        <w:t>there are 2 or more registered holders of the petroleum title; and</w:t>
      </w:r>
    </w:p>
    <w:p w:rsidR="00623F28" w:rsidRPr="008E3A8D" w:rsidRDefault="00056F98" w:rsidP="002F5858">
      <w:pPr>
        <w:pStyle w:val="paragraph"/>
      </w:pPr>
      <w:r w:rsidRPr="008E3A8D">
        <w:tab/>
        <w:t>(</w:t>
      </w:r>
      <w:r w:rsidR="005F0885" w:rsidRPr="008E3A8D">
        <w:t>c</w:t>
      </w:r>
      <w:r w:rsidRPr="008E3A8D">
        <w:t>)</w:t>
      </w:r>
      <w:r w:rsidRPr="008E3A8D">
        <w:tab/>
      </w:r>
      <w:r w:rsidR="00623F28" w:rsidRPr="008E3A8D">
        <w:t>a nomination of a person under sub</w:t>
      </w:r>
      <w:r w:rsidR="00307B78" w:rsidRPr="008E3A8D">
        <w:t>regulation</w:t>
      </w:r>
      <w:r w:rsidR="00623F28" w:rsidRPr="008E3A8D">
        <w:t xml:space="preserve"> (2) is in force in relation to the petroleum title; and</w:t>
      </w:r>
    </w:p>
    <w:p w:rsidR="00623F28" w:rsidRPr="008E3A8D" w:rsidRDefault="00056F98" w:rsidP="002F5858">
      <w:pPr>
        <w:pStyle w:val="paragraph"/>
      </w:pPr>
      <w:r w:rsidRPr="008E3A8D">
        <w:tab/>
      </w:r>
      <w:r w:rsidR="001B5F3D" w:rsidRPr="008E3A8D">
        <w:t>(</w:t>
      </w:r>
      <w:r w:rsidR="005F0885" w:rsidRPr="008E3A8D">
        <w:t>d</w:t>
      </w:r>
      <w:r w:rsidR="001B5F3D" w:rsidRPr="008E3A8D">
        <w:t>)</w:t>
      </w:r>
      <w:r w:rsidRPr="008E3A8D">
        <w:tab/>
      </w:r>
      <w:r w:rsidR="00623F28" w:rsidRPr="008E3A8D">
        <w:t>the document is given to the nominated person;</w:t>
      </w:r>
    </w:p>
    <w:p w:rsidR="00623F28" w:rsidRPr="008E3A8D" w:rsidRDefault="00623F28" w:rsidP="00056F98">
      <w:pPr>
        <w:pStyle w:val="subsection2"/>
      </w:pPr>
      <w:r w:rsidRPr="008E3A8D">
        <w:t>the document is taken to have been given to each of the registered holders.</w:t>
      </w:r>
    </w:p>
    <w:p w:rsidR="00623F28" w:rsidRPr="008E3A8D" w:rsidRDefault="00623F28" w:rsidP="00056F98">
      <w:pPr>
        <w:pStyle w:val="SubsectionHead"/>
      </w:pPr>
      <w:r w:rsidRPr="008E3A8D">
        <w:t>Revocation of nomination</w:t>
      </w:r>
    </w:p>
    <w:p w:rsidR="00623F28" w:rsidRPr="008E3A8D" w:rsidRDefault="00056F98" w:rsidP="00623F28">
      <w:pPr>
        <w:pStyle w:val="subsection"/>
      </w:pPr>
      <w:r w:rsidRPr="008E3A8D">
        <w:tab/>
        <w:t>(6)</w:t>
      </w:r>
      <w:r w:rsidRPr="008E3A8D">
        <w:tab/>
      </w:r>
      <w:r w:rsidR="00623F28" w:rsidRPr="008E3A8D">
        <w:t>If:</w:t>
      </w:r>
    </w:p>
    <w:p w:rsidR="00623F28" w:rsidRPr="008E3A8D" w:rsidRDefault="001B5F3D" w:rsidP="001B5F3D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 xml:space="preserve">a person has been nominated under </w:t>
      </w:r>
      <w:r w:rsidR="00307B78" w:rsidRPr="008E3A8D">
        <w:t xml:space="preserve">subregulation </w:t>
      </w:r>
      <w:r w:rsidR="00623F28" w:rsidRPr="008E3A8D">
        <w:t>(2) in relation to a petroleum title; and</w:t>
      </w:r>
    </w:p>
    <w:p w:rsidR="00623F28" w:rsidRPr="008E3A8D" w:rsidRDefault="001B5F3D" w:rsidP="001B5F3D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one of the registered holders of the petroleum title, by written notice given to the Titles Administrator and NOPSEMA, revokes the nomination;</w:t>
      </w:r>
    </w:p>
    <w:p w:rsidR="00623F28" w:rsidRPr="008E3A8D" w:rsidRDefault="00623F28" w:rsidP="001B5F3D">
      <w:pPr>
        <w:pStyle w:val="subsection2"/>
      </w:pPr>
      <w:r w:rsidRPr="008E3A8D">
        <w:t>the nomination ceases to be in force.</w:t>
      </w:r>
    </w:p>
    <w:p w:rsidR="00623F28" w:rsidRPr="008E3A8D" w:rsidRDefault="001B5F3D" w:rsidP="00623F28">
      <w:pPr>
        <w:pStyle w:val="subsection"/>
      </w:pPr>
      <w:r w:rsidRPr="008E3A8D">
        <w:tab/>
      </w:r>
      <w:r w:rsidR="00623F28" w:rsidRPr="008E3A8D">
        <w:t>(</w:t>
      </w:r>
      <w:r w:rsidRPr="008E3A8D">
        <w:t>7</w:t>
      </w:r>
      <w:r w:rsidR="00623F28" w:rsidRPr="008E3A8D">
        <w:t>)</w:t>
      </w:r>
      <w:r w:rsidRPr="008E3A8D">
        <w:tab/>
      </w:r>
      <w:r w:rsidR="00623F28" w:rsidRPr="008E3A8D">
        <w:t xml:space="preserve">A notice under </w:t>
      </w:r>
      <w:r w:rsidR="00307B78" w:rsidRPr="008E3A8D">
        <w:t xml:space="preserve">subregulation </w:t>
      </w:r>
      <w:r w:rsidR="00623F28" w:rsidRPr="008E3A8D">
        <w:t>(</w:t>
      </w:r>
      <w:r w:rsidR="00513E96" w:rsidRPr="008E3A8D">
        <w:t>6</w:t>
      </w:r>
      <w:r w:rsidR="00623F28" w:rsidRPr="008E3A8D">
        <w:t>) must be in the form approved, in writing, by the Titles Administrator and the Chief Executive Officer of NOPSEMA.</w:t>
      </w:r>
    </w:p>
    <w:p w:rsidR="00623F28" w:rsidRPr="008E3A8D" w:rsidRDefault="00623F28" w:rsidP="001B5F3D">
      <w:pPr>
        <w:pStyle w:val="SubsectionHead"/>
      </w:pPr>
      <w:r w:rsidRPr="008E3A8D">
        <w:t>Cessation of nomination—nominee ceases to be a registered holder</w:t>
      </w:r>
    </w:p>
    <w:p w:rsidR="00623F28" w:rsidRPr="008E3A8D" w:rsidRDefault="001B5F3D" w:rsidP="00623F28">
      <w:pPr>
        <w:pStyle w:val="subsection"/>
      </w:pPr>
      <w:r w:rsidRPr="008E3A8D">
        <w:tab/>
      </w:r>
      <w:r w:rsidR="00623F28" w:rsidRPr="008E3A8D">
        <w:t>(</w:t>
      </w:r>
      <w:r w:rsidRPr="008E3A8D">
        <w:t>8</w:t>
      </w:r>
      <w:r w:rsidR="00623F28" w:rsidRPr="008E3A8D">
        <w:t>)</w:t>
      </w:r>
      <w:r w:rsidRPr="008E3A8D">
        <w:tab/>
      </w:r>
      <w:r w:rsidR="00623F28" w:rsidRPr="008E3A8D">
        <w:t>If:</w:t>
      </w:r>
    </w:p>
    <w:p w:rsidR="00623F28" w:rsidRPr="008E3A8D" w:rsidRDefault="001B5F3D" w:rsidP="001B5F3D">
      <w:pPr>
        <w:pStyle w:val="paragraph"/>
      </w:pPr>
      <w:r w:rsidRPr="008E3A8D">
        <w:lastRenderedPageBreak/>
        <w:tab/>
        <w:t>(a)</w:t>
      </w:r>
      <w:r w:rsidRPr="008E3A8D">
        <w:tab/>
      </w:r>
      <w:r w:rsidR="00623F28" w:rsidRPr="008E3A8D">
        <w:t xml:space="preserve">a person has been nominated under </w:t>
      </w:r>
      <w:r w:rsidR="00307B78" w:rsidRPr="008E3A8D">
        <w:t xml:space="preserve">subregulation </w:t>
      </w:r>
      <w:r w:rsidR="00623F28" w:rsidRPr="008E3A8D">
        <w:t>(2) in relation to a petroleum title; and</w:t>
      </w:r>
    </w:p>
    <w:p w:rsidR="00623F28" w:rsidRPr="008E3A8D" w:rsidRDefault="001B5F3D" w:rsidP="001B5F3D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the nominated person ceases to be one of the registered holders of the petroleum title;</w:t>
      </w:r>
    </w:p>
    <w:p w:rsidR="00623F28" w:rsidRPr="008E3A8D" w:rsidRDefault="00623F28" w:rsidP="001B5F3D">
      <w:pPr>
        <w:pStyle w:val="subsection2"/>
      </w:pPr>
      <w:r w:rsidRPr="008E3A8D">
        <w:t>the nomination ceases to be in force.</w:t>
      </w:r>
    </w:p>
    <w:p w:rsidR="00623F28" w:rsidRPr="008E3A8D" w:rsidRDefault="00623F28" w:rsidP="001B5F3D">
      <w:pPr>
        <w:pStyle w:val="SubsectionHead"/>
      </w:pPr>
      <w:r w:rsidRPr="008E3A8D">
        <w:t>Definition</w:t>
      </w:r>
    </w:p>
    <w:p w:rsidR="00623F28" w:rsidRPr="008E3A8D" w:rsidRDefault="001B5F3D" w:rsidP="00623F28">
      <w:pPr>
        <w:pStyle w:val="subsection"/>
      </w:pPr>
      <w:r w:rsidRPr="008E3A8D">
        <w:tab/>
      </w:r>
      <w:r w:rsidR="00623F28" w:rsidRPr="008E3A8D">
        <w:t>(</w:t>
      </w:r>
      <w:r w:rsidRPr="008E3A8D">
        <w:t>9</w:t>
      </w:r>
      <w:r w:rsidR="00623F28" w:rsidRPr="008E3A8D">
        <w:t>)</w:t>
      </w:r>
      <w:r w:rsidRPr="008E3A8D">
        <w:tab/>
      </w:r>
      <w:r w:rsidR="00623F28" w:rsidRPr="008E3A8D">
        <w:t xml:space="preserve">In this </w:t>
      </w:r>
      <w:r w:rsidRPr="008E3A8D">
        <w:t>regulation</w:t>
      </w:r>
      <w:r w:rsidR="00623F28" w:rsidRPr="008E3A8D">
        <w:t>:</w:t>
      </w:r>
    </w:p>
    <w:p w:rsidR="00623F28" w:rsidRPr="008E3A8D" w:rsidRDefault="00623F28" w:rsidP="001B5F3D">
      <w:pPr>
        <w:pStyle w:val="Definition"/>
      </w:pPr>
      <w:r w:rsidRPr="008E3A8D">
        <w:rPr>
          <w:b/>
          <w:i/>
        </w:rPr>
        <w:t>petroleum title</w:t>
      </w:r>
      <w:r w:rsidRPr="008E3A8D">
        <w:t xml:space="preserve"> means:</w:t>
      </w:r>
    </w:p>
    <w:p w:rsidR="00623F28" w:rsidRPr="008E3A8D" w:rsidRDefault="001B5F3D" w:rsidP="001B5F3D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>a petroleum exploration permit; or</w:t>
      </w:r>
    </w:p>
    <w:p w:rsidR="00623F28" w:rsidRPr="008E3A8D" w:rsidRDefault="001B5F3D" w:rsidP="001B5F3D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a petroleum retention lease; or</w:t>
      </w:r>
    </w:p>
    <w:p w:rsidR="00623F28" w:rsidRPr="008E3A8D" w:rsidRDefault="001B5F3D" w:rsidP="001B5F3D">
      <w:pPr>
        <w:pStyle w:val="paragraph"/>
      </w:pPr>
      <w:r w:rsidRPr="008E3A8D">
        <w:tab/>
      </w:r>
      <w:r w:rsidR="00F73CF0" w:rsidRPr="008E3A8D">
        <w:t>(c)</w:t>
      </w:r>
      <w:r w:rsidRPr="008E3A8D">
        <w:tab/>
      </w:r>
      <w:r w:rsidR="00623F28" w:rsidRPr="008E3A8D">
        <w:t>a petroleum production licence; or</w:t>
      </w:r>
    </w:p>
    <w:p w:rsidR="00623F28" w:rsidRPr="008E3A8D" w:rsidRDefault="001B5F3D" w:rsidP="001B5F3D">
      <w:pPr>
        <w:pStyle w:val="paragraph"/>
      </w:pPr>
      <w:r w:rsidRPr="008E3A8D">
        <w:tab/>
        <w:t>(d)</w:t>
      </w:r>
      <w:r w:rsidRPr="008E3A8D">
        <w:tab/>
      </w:r>
      <w:r w:rsidR="00623F28" w:rsidRPr="008E3A8D">
        <w:t>an infrastructure licence; or</w:t>
      </w:r>
    </w:p>
    <w:p w:rsidR="00623F28" w:rsidRPr="008E3A8D" w:rsidRDefault="001B5F3D" w:rsidP="001B5F3D">
      <w:pPr>
        <w:pStyle w:val="paragraph"/>
      </w:pPr>
      <w:r w:rsidRPr="008E3A8D">
        <w:tab/>
      </w:r>
      <w:r w:rsidR="00C8207F" w:rsidRPr="008E3A8D">
        <w:t>(e)</w:t>
      </w:r>
      <w:r w:rsidRPr="008E3A8D">
        <w:tab/>
      </w:r>
      <w:r w:rsidR="00623F28" w:rsidRPr="008E3A8D">
        <w:t>a pipeline licence; or</w:t>
      </w:r>
    </w:p>
    <w:p w:rsidR="00623F28" w:rsidRPr="008E3A8D" w:rsidRDefault="001B5F3D" w:rsidP="001B5F3D">
      <w:pPr>
        <w:pStyle w:val="paragraph"/>
      </w:pPr>
      <w:r w:rsidRPr="008E3A8D">
        <w:tab/>
        <w:t>(f)</w:t>
      </w:r>
      <w:r w:rsidRPr="008E3A8D">
        <w:tab/>
      </w:r>
      <w:r w:rsidR="00623F28" w:rsidRPr="008E3A8D">
        <w:t>a petroleum special prospecting authority; or</w:t>
      </w:r>
    </w:p>
    <w:p w:rsidR="00623F28" w:rsidRPr="008E3A8D" w:rsidRDefault="001B5F3D" w:rsidP="001B5F3D">
      <w:pPr>
        <w:pStyle w:val="paragraph"/>
      </w:pPr>
      <w:r w:rsidRPr="008E3A8D">
        <w:tab/>
        <w:t>(g)</w:t>
      </w:r>
      <w:r w:rsidRPr="008E3A8D">
        <w:tab/>
      </w:r>
      <w:r w:rsidR="00C8207F" w:rsidRPr="008E3A8D">
        <w:t>a petroleum access authority; or</w:t>
      </w:r>
    </w:p>
    <w:p w:rsidR="00C8207F" w:rsidRPr="008E3A8D" w:rsidRDefault="00C8207F" w:rsidP="001B5F3D">
      <w:pPr>
        <w:pStyle w:val="paragraph"/>
      </w:pPr>
      <w:r w:rsidRPr="008E3A8D">
        <w:tab/>
        <w:t>(h)</w:t>
      </w:r>
      <w:r w:rsidRPr="008E3A8D">
        <w:tab/>
        <w:t>a petroleum scientific investigation consent.</w:t>
      </w:r>
    </w:p>
    <w:p w:rsidR="00623F28" w:rsidRPr="008E3A8D" w:rsidRDefault="001B5F3D" w:rsidP="001B5F3D">
      <w:pPr>
        <w:pStyle w:val="ActHead5"/>
      </w:pPr>
      <w:bookmarkStart w:id="43" w:name="_Toc369875597"/>
      <w:r w:rsidRPr="008E3A8D">
        <w:rPr>
          <w:rStyle w:val="CharSectno"/>
        </w:rPr>
        <w:t>11A.05</w:t>
      </w:r>
      <w:r w:rsidRPr="008E3A8D">
        <w:t xml:space="preserve">  </w:t>
      </w:r>
      <w:r w:rsidR="00FD4354" w:rsidRPr="008E3A8D">
        <w:t xml:space="preserve">Giving </w:t>
      </w:r>
      <w:r w:rsidR="00623F28" w:rsidRPr="008E3A8D">
        <w:t xml:space="preserve">documents </w:t>
      </w:r>
      <w:r w:rsidR="00FD4354" w:rsidRPr="008E3A8D">
        <w:t xml:space="preserve">to </w:t>
      </w:r>
      <w:r w:rsidR="00623F28" w:rsidRPr="008E3A8D">
        <w:t>2 or more registered holders of a greenhouse gas title</w:t>
      </w:r>
      <w:bookmarkEnd w:id="43"/>
    </w:p>
    <w:p w:rsidR="00623F28" w:rsidRPr="008E3A8D" w:rsidRDefault="00623F28" w:rsidP="001B5F3D">
      <w:pPr>
        <w:pStyle w:val="SubsectionHead"/>
      </w:pPr>
      <w:r w:rsidRPr="008E3A8D">
        <w:t>Scope</w:t>
      </w:r>
    </w:p>
    <w:p w:rsidR="00623F28" w:rsidRPr="008E3A8D" w:rsidRDefault="00A42CC1" w:rsidP="00623F28">
      <w:pPr>
        <w:pStyle w:val="subsection"/>
      </w:pPr>
      <w:r w:rsidRPr="008E3A8D">
        <w:tab/>
        <w:t>(1)</w:t>
      </w:r>
      <w:r w:rsidRPr="008E3A8D">
        <w:tab/>
      </w:r>
      <w:r w:rsidR="00623F28" w:rsidRPr="008E3A8D">
        <w:t xml:space="preserve">This </w:t>
      </w:r>
      <w:r w:rsidR="00307B78" w:rsidRPr="008E3A8D">
        <w:t xml:space="preserve">regulation </w:t>
      </w:r>
      <w:r w:rsidR="00623F28" w:rsidRPr="008E3A8D">
        <w:t>applies if there are 2 or more registered holders of a greenhouse gas title.</w:t>
      </w:r>
    </w:p>
    <w:p w:rsidR="00623F28" w:rsidRPr="008E3A8D" w:rsidRDefault="00623F28" w:rsidP="00A42CC1">
      <w:pPr>
        <w:pStyle w:val="SubsectionHead"/>
      </w:pPr>
      <w:r w:rsidRPr="008E3A8D">
        <w:t>Nomination of one of the registered holders</w:t>
      </w:r>
    </w:p>
    <w:p w:rsidR="00623F28" w:rsidRPr="008E3A8D" w:rsidRDefault="00A42CC1" w:rsidP="00623F28">
      <w:pPr>
        <w:pStyle w:val="subsection"/>
      </w:pPr>
      <w:r w:rsidRPr="008E3A8D">
        <w:tab/>
        <w:t>(2)</w:t>
      </w:r>
      <w:r w:rsidRPr="008E3A8D">
        <w:tab/>
      </w:r>
      <w:r w:rsidR="00623F28" w:rsidRPr="008E3A8D">
        <w:t>The registered holders may, by joint written notice given to the responsible Commonwealth Minister, nominate one of them as being the person to whom documents may be given</w:t>
      </w:r>
      <w:r w:rsidR="00F73CF0" w:rsidRPr="008E3A8D">
        <w:t>,</w:t>
      </w:r>
      <w:r w:rsidR="00623F28" w:rsidRPr="008E3A8D">
        <w:t xml:space="preserve"> </w:t>
      </w:r>
      <w:r w:rsidR="00F73CF0" w:rsidRPr="008E3A8D">
        <w:t xml:space="preserve">if </w:t>
      </w:r>
      <w:r w:rsidR="00623F28" w:rsidRPr="008E3A8D">
        <w:t>the documents:</w:t>
      </w:r>
    </w:p>
    <w:p w:rsidR="00623F28" w:rsidRPr="008E3A8D" w:rsidRDefault="00A42CC1" w:rsidP="00A42CC1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>relate to the greenhouse gas title; and</w:t>
      </w:r>
    </w:p>
    <w:p w:rsidR="00623F28" w:rsidRPr="008E3A8D" w:rsidRDefault="00A42CC1" w:rsidP="00A42CC1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 xml:space="preserve">are required or permitted by </w:t>
      </w:r>
      <w:r w:rsidR="00FD158F" w:rsidRPr="008E3A8D">
        <w:t xml:space="preserve">the Act, or any legislative instrument made under the Act, </w:t>
      </w:r>
      <w:r w:rsidR="00623F28" w:rsidRPr="008E3A8D">
        <w:t>to be given.</w:t>
      </w:r>
    </w:p>
    <w:p w:rsidR="00623F28" w:rsidRPr="008E3A8D" w:rsidRDefault="00A42CC1" w:rsidP="00623F28">
      <w:pPr>
        <w:pStyle w:val="subsection"/>
      </w:pPr>
      <w:r w:rsidRPr="008E3A8D">
        <w:lastRenderedPageBreak/>
        <w:tab/>
        <w:t>(3)</w:t>
      </w:r>
      <w:r w:rsidRPr="008E3A8D">
        <w:tab/>
      </w:r>
      <w:r w:rsidR="00623F28" w:rsidRPr="008E3A8D">
        <w:t>The joint written notice must be executed in an approved manner by or on behalf of each of the registered holders.</w:t>
      </w:r>
    </w:p>
    <w:p w:rsidR="00623F28" w:rsidRPr="008E3A8D" w:rsidRDefault="00623F28" w:rsidP="00A42CC1">
      <w:pPr>
        <w:pStyle w:val="SubsectionHead"/>
      </w:pPr>
      <w:r w:rsidRPr="008E3A8D">
        <w:t>Document may be given to nominated person</w:t>
      </w:r>
    </w:p>
    <w:p w:rsidR="00623F28" w:rsidRPr="008E3A8D" w:rsidRDefault="00A42CC1" w:rsidP="00623F28">
      <w:pPr>
        <w:pStyle w:val="subsection"/>
      </w:pPr>
      <w:r w:rsidRPr="008E3A8D">
        <w:tab/>
        <w:t>(4)</w:t>
      </w:r>
      <w:r w:rsidRPr="008E3A8D">
        <w:tab/>
      </w:r>
      <w:r w:rsidR="00623F28" w:rsidRPr="008E3A8D">
        <w:t>If:</w:t>
      </w:r>
    </w:p>
    <w:p w:rsidR="00623F28" w:rsidRPr="008E3A8D" w:rsidRDefault="00CA25CF" w:rsidP="00CA25CF">
      <w:pPr>
        <w:pStyle w:val="paragraph"/>
      </w:pPr>
      <w:r w:rsidRPr="008E3A8D">
        <w:tab/>
        <w:t>(a)</w:t>
      </w:r>
      <w:r w:rsidRPr="008E3A8D">
        <w:tab/>
        <w:t xml:space="preserve">a </w:t>
      </w:r>
      <w:r w:rsidR="00623F28" w:rsidRPr="008E3A8D">
        <w:t xml:space="preserve">document relating to a greenhouse gas title is required or permitted by </w:t>
      </w:r>
      <w:r w:rsidR="00FD158F" w:rsidRPr="008E3A8D">
        <w:t xml:space="preserve">the Act, or any legislative instrument made under the Act, </w:t>
      </w:r>
      <w:r w:rsidR="00623F28" w:rsidRPr="008E3A8D">
        <w:t>to be given to the registered holder; and</w:t>
      </w:r>
    </w:p>
    <w:p w:rsidR="00623F28" w:rsidRPr="008E3A8D" w:rsidRDefault="00CA25CF" w:rsidP="00CA25CF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there are 2 or more registered holders of the greenhouse gas title; and</w:t>
      </w:r>
    </w:p>
    <w:p w:rsidR="00623F28" w:rsidRPr="008E3A8D" w:rsidRDefault="00CA25CF" w:rsidP="00CA25CF">
      <w:pPr>
        <w:pStyle w:val="paragraph"/>
      </w:pPr>
      <w:r w:rsidRPr="008E3A8D">
        <w:tab/>
        <w:t>(c)</w:t>
      </w:r>
      <w:r w:rsidRPr="008E3A8D">
        <w:tab/>
      </w:r>
      <w:r w:rsidR="00623F28" w:rsidRPr="008E3A8D">
        <w:t xml:space="preserve">a nomination of a person under </w:t>
      </w:r>
      <w:r w:rsidR="00307B78" w:rsidRPr="008E3A8D">
        <w:t xml:space="preserve">subregulation </w:t>
      </w:r>
      <w:r w:rsidR="00623F28" w:rsidRPr="008E3A8D">
        <w:t>(2) is in force in relation to the greenhouse gas title; and</w:t>
      </w:r>
    </w:p>
    <w:p w:rsidR="00623F28" w:rsidRPr="008E3A8D" w:rsidRDefault="00CA25CF" w:rsidP="00CA25CF">
      <w:pPr>
        <w:pStyle w:val="paragraph"/>
      </w:pPr>
      <w:r w:rsidRPr="008E3A8D">
        <w:tab/>
        <w:t>(d)</w:t>
      </w:r>
      <w:r w:rsidRPr="008E3A8D">
        <w:tab/>
      </w:r>
      <w:r w:rsidR="00623F28" w:rsidRPr="008E3A8D">
        <w:t>the document is given to the nominated person;</w:t>
      </w:r>
    </w:p>
    <w:p w:rsidR="00623F28" w:rsidRPr="008E3A8D" w:rsidRDefault="00623F28" w:rsidP="00CA25CF">
      <w:pPr>
        <w:pStyle w:val="subsection2"/>
      </w:pPr>
      <w:r w:rsidRPr="008E3A8D">
        <w:t>the document is taken to have been given to each of the registered holders.</w:t>
      </w:r>
    </w:p>
    <w:p w:rsidR="00623F28" w:rsidRPr="008E3A8D" w:rsidRDefault="00CA25CF" w:rsidP="00CA25CF">
      <w:pPr>
        <w:pStyle w:val="SubsectionHead"/>
      </w:pPr>
      <w:r w:rsidRPr="008E3A8D">
        <w:t>R</w:t>
      </w:r>
      <w:r w:rsidR="00623F28" w:rsidRPr="008E3A8D">
        <w:t>evocation of nomination</w:t>
      </w:r>
    </w:p>
    <w:p w:rsidR="00623F28" w:rsidRPr="008E3A8D" w:rsidRDefault="00CA25CF" w:rsidP="00623F28">
      <w:pPr>
        <w:pStyle w:val="subsection"/>
      </w:pPr>
      <w:r w:rsidRPr="008E3A8D">
        <w:tab/>
        <w:t>(5)</w:t>
      </w:r>
      <w:r w:rsidRPr="008E3A8D">
        <w:tab/>
      </w:r>
      <w:r w:rsidR="00623F28" w:rsidRPr="008E3A8D">
        <w:t>If:</w:t>
      </w:r>
    </w:p>
    <w:p w:rsidR="00623F28" w:rsidRPr="008E3A8D" w:rsidRDefault="00CA25CF" w:rsidP="00CA25CF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 xml:space="preserve">a person has been nominated under </w:t>
      </w:r>
      <w:r w:rsidR="00307B78" w:rsidRPr="008E3A8D">
        <w:t xml:space="preserve">subregulation </w:t>
      </w:r>
      <w:r w:rsidR="00623F28" w:rsidRPr="008E3A8D">
        <w:t>(2) in relation to a greenhouse gas title; and</w:t>
      </w:r>
    </w:p>
    <w:p w:rsidR="00623F28" w:rsidRPr="008E3A8D" w:rsidRDefault="00CA25CF" w:rsidP="00CA25CF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one of the registered holders of the greenhouse gas title, by written notice given to the responsible Commonwealth Minister, revokes the nomination;</w:t>
      </w:r>
    </w:p>
    <w:p w:rsidR="00623F28" w:rsidRPr="008E3A8D" w:rsidRDefault="00623F28" w:rsidP="00CA25CF">
      <w:pPr>
        <w:pStyle w:val="subsection2"/>
      </w:pPr>
      <w:r w:rsidRPr="008E3A8D">
        <w:t>the nomination ceases to be in force.</w:t>
      </w:r>
    </w:p>
    <w:p w:rsidR="00623F28" w:rsidRPr="008E3A8D" w:rsidRDefault="00623F28" w:rsidP="00CA25CF">
      <w:pPr>
        <w:pStyle w:val="SubsectionHead"/>
      </w:pPr>
      <w:r w:rsidRPr="008E3A8D">
        <w:t>Cessation of nomination—nominee ceases to be a registered holder</w:t>
      </w:r>
    </w:p>
    <w:p w:rsidR="00623F28" w:rsidRPr="008E3A8D" w:rsidRDefault="00CA25CF" w:rsidP="00623F28">
      <w:pPr>
        <w:pStyle w:val="subsection"/>
      </w:pPr>
      <w:r w:rsidRPr="008E3A8D">
        <w:tab/>
        <w:t>(6)</w:t>
      </w:r>
      <w:r w:rsidRPr="008E3A8D">
        <w:tab/>
      </w:r>
      <w:r w:rsidR="00623F28" w:rsidRPr="008E3A8D">
        <w:t>If:</w:t>
      </w:r>
    </w:p>
    <w:p w:rsidR="00623F28" w:rsidRPr="008E3A8D" w:rsidRDefault="00CA25CF" w:rsidP="00CA25CF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 xml:space="preserve">a person has been nominated under </w:t>
      </w:r>
      <w:r w:rsidR="00307B78" w:rsidRPr="008E3A8D">
        <w:t xml:space="preserve">subregulation </w:t>
      </w:r>
      <w:r w:rsidR="00623F28" w:rsidRPr="008E3A8D">
        <w:t>(2) in relation to a greenhouse gas title; and</w:t>
      </w:r>
    </w:p>
    <w:p w:rsidR="00623F28" w:rsidRPr="008E3A8D" w:rsidRDefault="00CA25CF" w:rsidP="00CA25CF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the nominated person ceases to be one of the registered holders of the greenhouse gas title;</w:t>
      </w:r>
    </w:p>
    <w:p w:rsidR="00623F28" w:rsidRPr="008E3A8D" w:rsidRDefault="00623F28" w:rsidP="005F7B99">
      <w:pPr>
        <w:pStyle w:val="subsection2"/>
      </w:pPr>
      <w:r w:rsidRPr="008E3A8D">
        <w:t>the nomination ceases to be in force.</w:t>
      </w:r>
    </w:p>
    <w:p w:rsidR="00623F28" w:rsidRPr="008E3A8D" w:rsidRDefault="00623F28" w:rsidP="005F7B99">
      <w:pPr>
        <w:pStyle w:val="SubsectionHead"/>
      </w:pPr>
      <w:r w:rsidRPr="008E3A8D">
        <w:t>Definition</w:t>
      </w:r>
    </w:p>
    <w:p w:rsidR="00623F28" w:rsidRPr="008E3A8D" w:rsidRDefault="005F7B99" w:rsidP="00623F28">
      <w:pPr>
        <w:pStyle w:val="subsection"/>
      </w:pPr>
      <w:r w:rsidRPr="008E3A8D">
        <w:tab/>
        <w:t>(7)</w:t>
      </w:r>
      <w:r w:rsidRPr="008E3A8D">
        <w:tab/>
      </w:r>
      <w:r w:rsidR="00623F28" w:rsidRPr="008E3A8D">
        <w:t xml:space="preserve">In this </w:t>
      </w:r>
      <w:r w:rsidRPr="008E3A8D">
        <w:t>regulation</w:t>
      </w:r>
      <w:r w:rsidR="00623F28" w:rsidRPr="008E3A8D">
        <w:t>:</w:t>
      </w:r>
    </w:p>
    <w:p w:rsidR="00623F28" w:rsidRPr="008E3A8D" w:rsidRDefault="00623F28" w:rsidP="005F7B99">
      <w:pPr>
        <w:pStyle w:val="Definition"/>
      </w:pPr>
      <w:r w:rsidRPr="008E3A8D">
        <w:rPr>
          <w:b/>
          <w:i/>
        </w:rPr>
        <w:lastRenderedPageBreak/>
        <w:t>greenhouse gas title</w:t>
      </w:r>
      <w:r w:rsidRPr="008E3A8D">
        <w:t xml:space="preserve"> means:</w:t>
      </w:r>
    </w:p>
    <w:p w:rsidR="00623F28" w:rsidRPr="008E3A8D" w:rsidRDefault="005F7B99" w:rsidP="005F7B99">
      <w:pPr>
        <w:pStyle w:val="paragraph"/>
      </w:pPr>
      <w:r w:rsidRPr="008E3A8D">
        <w:tab/>
        <w:t>(a)</w:t>
      </w:r>
      <w:r w:rsidRPr="008E3A8D">
        <w:tab/>
      </w:r>
      <w:r w:rsidR="00623F28" w:rsidRPr="008E3A8D">
        <w:t>a greenhouse gas assessment permit; or</w:t>
      </w:r>
    </w:p>
    <w:p w:rsidR="00623F28" w:rsidRPr="008E3A8D" w:rsidRDefault="005F7B99" w:rsidP="005F7B99">
      <w:pPr>
        <w:pStyle w:val="paragraph"/>
      </w:pPr>
      <w:r w:rsidRPr="008E3A8D">
        <w:tab/>
        <w:t>(b)</w:t>
      </w:r>
      <w:r w:rsidRPr="008E3A8D">
        <w:tab/>
      </w:r>
      <w:r w:rsidR="00623F28" w:rsidRPr="008E3A8D">
        <w:t>a greenhouse gas holding lease; or</w:t>
      </w:r>
    </w:p>
    <w:p w:rsidR="00623F28" w:rsidRPr="008E3A8D" w:rsidRDefault="005F7B99" w:rsidP="005F7B99">
      <w:pPr>
        <w:pStyle w:val="paragraph"/>
      </w:pPr>
      <w:r w:rsidRPr="008E3A8D">
        <w:tab/>
        <w:t>(c)</w:t>
      </w:r>
      <w:r w:rsidRPr="008E3A8D">
        <w:tab/>
        <w:t>a</w:t>
      </w:r>
      <w:r w:rsidR="00623F28" w:rsidRPr="008E3A8D">
        <w:t xml:space="preserve"> greenhouse gas injection licence; or</w:t>
      </w:r>
    </w:p>
    <w:p w:rsidR="00623F28" w:rsidRPr="008E3A8D" w:rsidRDefault="005F7B99" w:rsidP="005F7B99">
      <w:pPr>
        <w:pStyle w:val="paragraph"/>
      </w:pPr>
      <w:r w:rsidRPr="008E3A8D">
        <w:tab/>
        <w:t>(d)</w:t>
      </w:r>
      <w:r w:rsidRPr="008E3A8D">
        <w:tab/>
      </w:r>
      <w:r w:rsidR="00623F28" w:rsidRPr="008E3A8D">
        <w:t>a greenhouse gas search authority; or</w:t>
      </w:r>
    </w:p>
    <w:p w:rsidR="00FD39FF" w:rsidRPr="008E3A8D" w:rsidRDefault="005F7B99" w:rsidP="005F7B99">
      <w:pPr>
        <w:pStyle w:val="paragraph"/>
      </w:pPr>
      <w:r w:rsidRPr="008E3A8D">
        <w:tab/>
        <w:t>(e)</w:t>
      </w:r>
      <w:r w:rsidRPr="008E3A8D">
        <w:tab/>
      </w:r>
      <w:r w:rsidR="00623F28" w:rsidRPr="008E3A8D">
        <w:t>a greenhouse ga</w:t>
      </w:r>
      <w:r w:rsidR="00C8207F" w:rsidRPr="008E3A8D">
        <w:t>s special authority; or</w:t>
      </w:r>
    </w:p>
    <w:p w:rsidR="00C8207F" w:rsidRPr="008E3A8D" w:rsidRDefault="00C8207F" w:rsidP="005F7B99">
      <w:pPr>
        <w:pStyle w:val="paragraph"/>
      </w:pPr>
      <w:r w:rsidRPr="008E3A8D">
        <w:tab/>
        <w:t>(f)</w:t>
      </w:r>
      <w:r w:rsidRPr="008E3A8D">
        <w:tab/>
        <w:t>a greenhouse gas research consent.</w:t>
      </w:r>
    </w:p>
    <w:p w:rsidR="00E0068C" w:rsidRPr="008E3A8D" w:rsidRDefault="00283112" w:rsidP="00E0068C">
      <w:pPr>
        <w:pStyle w:val="ItemHead"/>
      </w:pPr>
      <w:r w:rsidRPr="008E3A8D">
        <w:t>4</w:t>
      </w:r>
      <w:r w:rsidR="00E0068C" w:rsidRPr="008E3A8D">
        <w:t xml:space="preserve">  At the end of Division</w:t>
      </w:r>
      <w:r w:rsidR="008E3A8D" w:rsidRPr="008E3A8D">
        <w:t> </w:t>
      </w:r>
      <w:r w:rsidR="00E0068C" w:rsidRPr="008E3A8D">
        <w:t>1 of Part</w:t>
      </w:r>
      <w:r w:rsidR="008E3A8D" w:rsidRPr="008E3A8D">
        <w:t> </w:t>
      </w:r>
      <w:r w:rsidR="00E0068C" w:rsidRPr="008E3A8D">
        <w:t>13</w:t>
      </w:r>
    </w:p>
    <w:p w:rsidR="00E0068C" w:rsidRPr="008E3A8D" w:rsidRDefault="00E0068C" w:rsidP="00E0068C">
      <w:pPr>
        <w:pStyle w:val="Item"/>
      </w:pPr>
      <w:r w:rsidRPr="008E3A8D">
        <w:t>Add:</w:t>
      </w:r>
    </w:p>
    <w:p w:rsidR="00E0068C" w:rsidRPr="008E3A8D" w:rsidRDefault="00E0068C" w:rsidP="00E0068C">
      <w:pPr>
        <w:pStyle w:val="ActHead5"/>
      </w:pPr>
      <w:bookmarkStart w:id="44" w:name="_Toc369875598"/>
      <w:r w:rsidRPr="008E3A8D">
        <w:rPr>
          <w:rStyle w:val="CharSectno"/>
        </w:rPr>
        <w:t>13.03</w:t>
      </w:r>
      <w:r w:rsidRPr="008E3A8D">
        <w:t xml:space="preserve">  Nomination of registered titleholder</w:t>
      </w:r>
      <w:bookmarkEnd w:id="44"/>
    </w:p>
    <w:p w:rsidR="00D35D47" w:rsidRPr="008E3A8D" w:rsidRDefault="00D35D47" w:rsidP="00D35D47">
      <w:pPr>
        <w:pStyle w:val="SubsectionHead"/>
      </w:pPr>
      <w:r w:rsidRPr="008E3A8D">
        <w:t>Nomination of registered holder for petroleum title</w:t>
      </w:r>
    </w:p>
    <w:p w:rsidR="00E0068C" w:rsidRPr="008E3A8D" w:rsidRDefault="00D35D47" w:rsidP="00E0068C">
      <w:pPr>
        <w:pStyle w:val="subsection"/>
      </w:pPr>
      <w:r w:rsidRPr="008E3A8D">
        <w:tab/>
      </w:r>
      <w:r w:rsidR="00E0068C" w:rsidRPr="008E3A8D">
        <w:t>(1)</w:t>
      </w:r>
      <w:r w:rsidR="00E0068C" w:rsidRPr="008E3A8D">
        <w:tab/>
        <w:t>This regulation applies to a nomination that is in force under section</w:t>
      </w:r>
      <w:r w:rsidR="008E3A8D" w:rsidRPr="008E3A8D">
        <w:t> </w:t>
      </w:r>
      <w:r w:rsidR="00E0068C" w:rsidRPr="008E3A8D">
        <w:t>774</w:t>
      </w:r>
      <w:r w:rsidRPr="008E3A8D">
        <w:t xml:space="preserve"> </w:t>
      </w:r>
      <w:r w:rsidR="00E0068C" w:rsidRPr="008E3A8D">
        <w:t xml:space="preserve">of the </w:t>
      </w:r>
      <w:r w:rsidR="00E0068C" w:rsidRPr="008E3A8D">
        <w:rPr>
          <w:i/>
        </w:rPr>
        <w:t>Offshore Petroleum and Greenhouse Gas Storage Act 2006</w:t>
      </w:r>
      <w:r w:rsidR="00E0068C" w:rsidRPr="008E3A8D">
        <w:t xml:space="preserve"> immediately before the commencement of </w:t>
      </w:r>
      <w:r w:rsidR="00291E8F" w:rsidRPr="008E3A8D">
        <w:t>Part</w:t>
      </w:r>
      <w:r w:rsidR="008E3A8D" w:rsidRPr="008E3A8D">
        <w:t> </w:t>
      </w:r>
      <w:r w:rsidR="00291E8F" w:rsidRPr="008E3A8D">
        <w:t>1 of Schedule</w:t>
      </w:r>
      <w:r w:rsidR="008E3A8D" w:rsidRPr="008E3A8D">
        <w:t> </w:t>
      </w:r>
      <w:r w:rsidR="00291E8F" w:rsidRPr="008E3A8D">
        <w:t xml:space="preserve">4 to the </w:t>
      </w:r>
      <w:r w:rsidR="00E0068C" w:rsidRPr="008E3A8D">
        <w:rPr>
          <w:i/>
        </w:rPr>
        <w:t>Offshore Petroleum and Greenhouse Gas Storage Amendment (</w:t>
      </w:r>
      <w:r w:rsidR="00291E8F" w:rsidRPr="008E3A8D">
        <w:rPr>
          <w:i/>
        </w:rPr>
        <w:t xml:space="preserve">Compliance Measures </w:t>
      </w:r>
      <w:r w:rsidR="00E0068C" w:rsidRPr="008E3A8D">
        <w:rPr>
          <w:i/>
        </w:rPr>
        <w:t>No.</w:t>
      </w:r>
      <w:r w:rsidR="008E3A8D" w:rsidRPr="008E3A8D">
        <w:rPr>
          <w:i/>
        </w:rPr>
        <w:t> </w:t>
      </w:r>
      <w:r w:rsidR="00E0068C" w:rsidRPr="008E3A8D">
        <w:rPr>
          <w:i/>
        </w:rPr>
        <w:t xml:space="preserve">2) </w:t>
      </w:r>
      <w:r w:rsidR="00291E8F" w:rsidRPr="008E3A8D">
        <w:rPr>
          <w:i/>
        </w:rPr>
        <w:t>Act</w:t>
      </w:r>
      <w:r w:rsidR="001B7D94" w:rsidRPr="008E3A8D">
        <w:rPr>
          <w:i/>
        </w:rPr>
        <w:t xml:space="preserve"> </w:t>
      </w:r>
      <w:r w:rsidR="00E0068C" w:rsidRPr="008E3A8D">
        <w:rPr>
          <w:i/>
        </w:rPr>
        <w:t>2013</w:t>
      </w:r>
      <w:r w:rsidR="00E0068C" w:rsidRPr="008E3A8D">
        <w:t>.</w:t>
      </w:r>
    </w:p>
    <w:p w:rsidR="00E0068C" w:rsidRPr="008E3A8D" w:rsidRDefault="00E0068C" w:rsidP="00E0068C">
      <w:pPr>
        <w:pStyle w:val="subsection"/>
      </w:pPr>
      <w:r w:rsidRPr="008E3A8D">
        <w:tab/>
        <w:t>(2)</w:t>
      </w:r>
      <w:r w:rsidRPr="008E3A8D">
        <w:tab/>
        <w:t>The nomination is in force, after the commencement of Schedule</w:t>
      </w:r>
      <w:r w:rsidR="008E3A8D" w:rsidRPr="008E3A8D">
        <w:t> </w:t>
      </w:r>
      <w:r w:rsidRPr="008E3A8D">
        <w:t xml:space="preserve">1 to the </w:t>
      </w:r>
      <w:r w:rsidRPr="008E3A8D">
        <w:rPr>
          <w:i/>
        </w:rPr>
        <w:t>Offshore Petroleum and Greenhouse Gas Storage Legislation Amendment (2013 Measures No.</w:t>
      </w:r>
      <w:r w:rsidR="008E3A8D" w:rsidRPr="008E3A8D">
        <w:rPr>
          <w:i/>
        </w:rPr>
        <w:t> </w:t>
      </w:r>
      <w:r w:rsidRPr="008E3A8D">
        <w:rPr>
          <w:i/>
        </w:rPr>
        <w:t>2) Regulation</w:t>
      </w:r>
      <w:r w:rsidR="008E3A8D" w:rsidRPr="008E3A8D">
        <w:rPr>
          <w:i/>
        </w:rPr>
        <w:t> </w:t>
      </w:r>
      <w:r w:rsidRPr="008E3A8D">
        <w:rPr>
          <w:i/>
        </w:rPr>
        <w:t>2013</w:t>
      </w:r>
      <w:r w:rsidRPr="008E3A8D">
        <w:t xml:space="preserve">, as if it had been made under </w:t>
      </w:r>
      <w:r w:rsidR="00291E8F" w:rsidRPr="008E3A8D">
        <w:t>sub</w:t>
      </w:r>
      <w:r w:rsidRPr="008E3A8D">
        <w:t>regulation</w:t>
      </w:r>
      <w:r w:rsidR="008E3A8D" w:rsidRPr="008E3A8D">
        <w:t> </w:t>
      </w:r>
      <w:r w:rsidRPr="008E3A8D">
        <w:t>11A.04</w:t>
      </w:r>
      <w:r w:rsidR="00291E8F" w:rsidRPr="008E3A8D">
        <w:t>(2)</w:t>
      </w:r>
      <w:r w:rsidRPr="008E3A8D">
        <w:t>.</w:t>
      </w:r>
    </w:p>
    <w:p w:rsidR="00D35D47" w:rsidRPr="008E3A8D" w:rsidRDefault="00D35D47" w:rsidP="00D35D47">
      <w:pPr>
        <w:pStyle w:val="SubsectionHead"/>
      </w:pPr>
      <w:r w:rsidRPr="008E3A8D">
        <w:t>Nomination of registered holder for greenhouse gas title</w:t>
      </w:r>
    </w:p>
    <w:p w:rsidR="00D35D47" w:rsidRPr="008E3A8D" w:rsidRDefault="00D35D47" w:rsidP="00D35D47">
      <w:pPr>
        <w:pStyle w:val="subsection"/>
      </w:pPr>
      <w:r w:rsidRPr="008E3A8D">
        <w:tab/>
        <w:t>(3)</w:t>
      </w:r>
      <w:r w:rsidRPr="008E3A8D">
        <w:tab/>
        <w:t>This regulation applies to a nomination that is in force under section</w:t>
      </w:r>
      <w:r w:rsidR="008E3A8D" w:rsidRPr="008E3A8D">
        <w:t> </w:t>
      </w:r>
      <w:r w:rsidRPr="008E3A8D">
        <w:t xml:space="preserve">775 of the </w:t>
      </w:r>
      <w:r w:rsidRPr="008E3A8D">
        <w:rPr>
          <w:i/>
        </w:rPr>
        <w:t>Offshore Petroleum and Greenhouse Gas Storage Act 2006</w:t>
      </w:r>
      <w:r w:rsidRPr="008E3A8D">
        <w:t xml:space="preserve"> immediately before the commencement of Part</w:t>
      </w:r>
      <w:r w:rsidR="008E3A8D" w:rsidRPr="008E3A8D">
        <w:t> </w:t>
      </w:r>
      <w:r w:rsidRPr="008E3A8D">
        <w:t>1 of Schedule</w:t>
      </w:r>
      <w:r w:rsidR="008E3A8D" w:rsidRPr="008E3A8D">
        <w:t> </w:t>
      </w:r>
      <w:r w:rsidRPr="008E3A8D">
        <w:t xml:space="preserve">4 to the </w:t>
      </w:r>
      <w:r w:rsidRPr="008E3A8D">
        <w:rPr>
          <w:i/>
        </w:rPr>
        <w:t>Offshore Petroleum and Greenhouse Gas Storage Amendment (Compliance Measures No.</w:t>
      </w:r>
      <w:r w:rsidR="008E3A8D" w:rsidRPr="008E3A8D">
        <w:rPr>
          <w:i/>
        </w:rPr>
        <w:t> </w:t>
      </w:r>
      <w:r w:rsidRPr="008E3A8D">
        <w:rPr>
          <w:i/>
        </w:rPr>
        <w:t>2) Act</w:t>
      </w:r>
      <w:r w:rsidR="001B7D94" w:rsidRPr="008E3A8D">
        <w:rPr>
          <w:i/>
        </w:rPr>
        <w:t xml:space="preserve"> </w:t>
      </w:r>
      <w:r w:rsidRPr="008E3A8D">
        <w:rPr>
          <w:i/>
        </w:rPr>
        <w:t>2013</w:t>
      </w:r>
      <w:r w:rsidRPr="008E3A8D">
        <w:t>.</w:t>
      </w:r>
    </w:p>
    <w:p w:rsidR="00D35D47" w:rsidRPr="008E3A8D" w:rsidRDefault="00D35D47" w:rsidP="00D35D47">
      <w:pPr>
        <w:pStyle w:val="subsection"/>
      </w:pPr>
      <w:r w:rsidRPr="008E3A8D">
        <w:tab/>
        <w:t>(4)</w:t>
      </w:r>
      <w:r w:rsidRPr="008E3A8D">
        <w:tab/>
        <w:t>The nomination is in force, after the commencement of Schedule</w:t>
      </w:r>
      <w:r w:rsidR="008E3A8D" w:rsidRPr="008E3A8D">
        <w:t> </w:t>
      </w:r>
      <w:r w:rsidRPr="008E3A8D">
        <w:t xml:space="preserve">1 to the </w:t>
      </w:r>
      <w:r w:rsidRPr="008E3A8D">
        <w:rPr>
          <w:i/>
        </w:rPr>
        <w:t>Offshore Petroleum and Greenhouse Gas Storage Legislation Amendment (2013 Measures No.</w:t>
      </w:r>
      <w:r w:rsidR="008E3A8D" w:rsidRPr="008E3A8D">
        <w:rPr>
          <w:i/>
        </w:rPr>
        <w:t> </w:t>
      </w:r>
      <w:r w:rsidRPr="008E3A8D">
        <w:rPr>
          <w:i/>
        </w:rPr>
        <w:t>2) Regulation</w:t>
      </w:r>
      <w:r w:rsidR="008E3A8D" w:rsidRPr="008E3A8D">
        <w:rPr>
          <w:i/>
        </w:rPr>
        <w:t> </w:t>
      </w:r>
      <w:r w:rsidRPr="008E3A8D">
        <w:rPr>
          <w:i/>
        </w:rPr>
        <w:t>2013</w:t>
      </w:r>
      <w:r w:rsidRPr="008E3A8D">
        <w:t>, as if it had been made under subregulation</w:t>
      </w:r>
      <w:r w:rsidR="008E3A8D" w:rsidRPr="008E3A8D">
        <w:t> </w:t>
      </w:r>
      <w:r w:rsidRPr="008E3A8D">
        <w:t>11A.05(2).</w:t>
      </w:r>
    </w:p>
    <w:p w:rsidR="00C10B66" w:rsidRPr="008E3A8D" w:rsidRDefault="00C10B66" w:rsidP="00B52F27">
      <w:pPr>
        <w:pStyle w:val="ActHead9"/>
      </w:pPr>
      <w:bookmarkStart w:id="45" w:name="_Toc369875599"/>
      <w:r w:rsidRPr="008E3A8D">
        <w:lastRenderedPageBreak/>
        <w:t>Offshore Petroleum and Greenhouse Gas Storage (Safety) Regulations</w:t>
      </w:r>
      <w:r w:rsidR="008E3A8D" w:rsidRPr="008E3A8D">
        <w:t> </w:t>
      </w:r>
      <w:r w:rsidRPr="008E3A8D">
        <w:t>2009</w:t>
      </w:r>
      <w:bookmarkEnd w:id="45"/>
    </w:p>
    <w:p w:rsidR="00C10B66" w:rsidRPr="008E3A8D" w:rsidRDefault="00283112" w:rsidP="00C10B66">
      <w:pPr>
        <w:pStyle w:val="ItemHead"/>
      </w:pPr>
      <w:r w:rsidRPr="008E3A8D">
        <w:t>5</w:t>
      </w:r>
      <w:r w:rsidR="00B52F27" w:rsidRPr="008E3A8D">
        <w:t xml:space="preserve">  </w:t>
      </w:r>
      <w:r w:rsidR="00AF6DAE" w:rsidRPr="008E3A8D">
        <w:t>Part</w:t>
      </w:r>
      <w:r w:rsidR="008E3A8D" w:rsidRPr="008E3A8D">
        <w:t> </w:t>
      </w:r>
      <w:r w:rsidR="00AF6DAE" w:rsidRPr="008E3A8D">
        <w:t>6</w:t>
      </w:r>
      <w:r w:rsidR="006C636D" w:rsidRPr="008E3A8D">
        <w:t xml:space="preserve"> of Chapter</w:t>
      </w:r>
      <w:r w:rsidR="008E3A8D" w:rsidRPr="008E3A8D">
        <w:t> </w:t>
      </w:r>
      <w:r w:rsidR="006C636D" w:rsidRPr="008E3A8D">
        <w:t>3</w:t>
      </w:r>
    </w:p>
    <w:p w:rsidR="00B52F27" w:rsidRPr="008E3A8D" w:rsidRDefault="00B52F27" w:rsidP="00B52F27">
      <w:pPr>
        <w:pStyle w:val="Item"/>
      </w:pPr>
      <w:r w:rsidRPr="008E3A8D">
        <w:t xml:space="preserve">Repeal the </w:t>
      </w:r>
      <w:r w:rsidR="00AF6DAE" w:rsidRPr="008E3A8D">
        <w:t>Part</w:t>
      </w:r>
      <w:r w:rsidRPr="008E3A8D">
        <w:t>.</w:t>
      </w:r>
    </w:p>
    <w:sectPr w:rsidR="00B52F27" w:rsidRPr="008E3A8D" w:rsidSect="007E16B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3A" w:rsidRDefault="0011433A" w:rsidP="0048364F">
      <w:pPr>
        <w:spacing w:line="240" w:lineRule="auto"/>
      </w:pPr>
      <w:r>
        <w:separator/>
      </w:r>
    </w:p>
  </w:endnote>
  <w:endnote w:type="continuationSeparator" w:id="0">
    <w:p w:rsidR="0011433A" w:rsidRDefault="0011433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B5" w:rsidRPr="007E16B5" w:rsidRDefault="007E16B5" w:rsidP="007E16B5">
    <w:pPr>
      <w:pStyle w:val="Footer"/>
      <w:rPr>
        <w:i/>
        <w:sz w:val="18"/>
      </w:rPr>
    </w:pPr>
    <w:r w:rsidRPr="007E16B5">
      <w:rPr>
        <w:i/>
        <w:sz w:val="18"/>
      </w:rPr>
      <w:t>OPC60230 -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11433A" w:rsidTr="007B0175">
      <w:tc>
        <w:tcPr>
          <w:tcW w:w="7303" w:type="dxa"/>
        </w:tcPr>
        <w:p w:rsidR="0011433A" w:rsidRDefault="0011433A" w:rsidP="007B0175">
          <w:pPr>
            <w:rPr>
              <w:sz w:val="18"/>
            </w:rPr>
          </w:pPr>
        </w:p>
      </w:tc>
    </w:tr>
  </w:tbl>
  <w:p w:rsidR="0011433A" w:rsidRPr="006D3667" w:rsidRDefault="007E16B5" w:rsidP="007E16B5">
    <w:pPr>
      <w:pStyle w:val="Footer"/>
    </w:pPr>
    <w:r w:rsidRPr="007E16B5">
      <w:rPr>
        <w:i/>
        <w:sz w:val="18"/>
      </w:rPr>
      <w:t>OPC60230 -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7E16B5" w:rsidRDefault="0011433A" w:rsidP="00486382">
    <w:pPr>
      <w:pStyle w:val="Footer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11433A" w:rsidRPr="007E16B5" w:rsidTr="007B0175">
      <w:tc>
        <w:tcPr>
          <w:tcW w:w="7303" w:type="dxa"/>
        </w:tcPr>
        <w:p w:rsidR="0011433A" w:rsidRPr="007E16B5" w:rsidRDefault="0011433A" w:rsidP="007B0175">
          <w:pPr>
            <w:rPr>
              <w:rFonts w:cs="Times New Roman"/>
              <w:sz w:val="18"/>
            </w:rPr>
          </w:pPr>
        </w:p>
      </w:tc>
    </w:tr>
  </w:tbl>
  <w:p w:rsidR="0011433A" w:rsidRPr="007E16B5" w:rsidRDefault="007E16B5" w:rsidP="007E16B5">
    <w:pPr>
      <w:pStyle w:val="Footer"/>
      <w:rPr>
        <w:sz w:val="18"/>
      </w:rPr>
    </w:pPr>
    <w:r w:rsidRPr="007E16B5">
      <w:rPr>
        <w:i/>
        <w:sz w:val="18"/>
      </w:rPr>
      <w:t>OPC60230 -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7E16B5" w:rsidRDefault="0011433A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1433A" w:rsidRPr="007E16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1433A" w:rsidRPr="007E16B5" w:rsidRDefault="0011433A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E16B5">
            <w:rPr>
              <w:rFonts w:cs="Times New Roman"/>
              <w:i/>
              <w:sz w:val="18"/>
            </w:rPr>
            <w:fldChar w:fldCharType="begin"/>
          </w:r>
          <w:r w:rsidRPr="007E16B5">
            <w:rPr>
              <w:rFonts w:cs="Times New Roman"/>
              <w:i/>
              <w:sz w:val="18"/>
            </w:rPr>
            <w:instrText xml:space="preserve"> PAGE </w:instrText>
          </w:r>
          <w:r w:rsidRPr="007E16B5">
            <w:rPr>
              <w:rFonts w:cs="Times New Roman"/>
              <w:i/>
              <w:sz w:val="18"/>
            </w:rPr>
            <w:fldChar w:fldCharType="separate"/>
          </w:r>
          <w:r w:rsidR="00124E4F">
            <w:rPr>
              <w:rFonts w:cs="Times New Roman"/>
              <w:i/>
              <w:noProof/>
              <w:sz w:val="18"/>
            </w:rPr>
            <w:t>xxi</w:t>
          </w:r>
          <w:r w:rsidRPr="007E16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1433A" w:rsidRPr="007E16B5" w:rsidRDefault="0011433A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E16B5">
            <w:rPr>
              <w:rFonts w:cs="Times New Roman"/>
              <w:i/>
              <w:sz w:val="18"/>
            </w:rPr>
            <w:fldChar w:fldCharType="begin"/>
          </w:r>
          <w:r w:rsidRPr="007E16B5">
            <w:rPr>
              <w:rFonts w:cs="Times New Roman"/>
              <w:i/>
              <w:sz w:val="18"/>
            </w:rPr>
            <w:instrText xml:space="preserve"> DOCPROPERTY ShortT </w:instrText>
          </w:r>
          <w:r w:rsidRPr="007E16B5">
            <w:rPr>
              <w:rFonts w:cs="Times New Roman"/>
              <w:i/>
              <w:sz w:val="18"/>
            </w:rPr>
            <w:fldChar w:fldCharType="separate"/>
          </w:r>
          <w:r w:rsidR="009A3D45">
            <w:rPr>
              <w:rFonts w:cs="Times New Roman"/>
              <w:i/>
              <w:sz w:val="18"/>
            </w:rPr>
            <w:t>Offshore Petroleum and Greenhouse Gas Storage Legislation Amendment (2013 Measures No. 2) Regulation 2013</w:t>
          </w:r>
          <w:r w:rsidRPr="007E16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433A" w:rsidRPr="007E16B5" w:rsidRDefault="0011433A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E16B5">
            <w:rPr>
              <w:rFonts w:cs="Times New Roman"/>
              <w:i/>
              <w:sz w:val="18"/>
            </w:rPr>
            <w:fldChar w:fldCharType="begin"/>
          </w:r>
          <w:r w:rsidRPr="007E16B5">
            <w:rPr>
              <w:rFonts w:cs="Times New Roman"/>
              <w:i/>
              <w:sz w:val="18"/>
            </w:rPr>
            <w:instrText xml:space="preserve"> DOCPROPERTY ActNo </w:instrText>
          </w:r>
          <w:r w:rsidRPr="007E16B5">
            <w:rPr>
              <w:rFonts w:cs="Times New Roman"/>
              <w:i/>
              <w:sz w:val="18"/>
            </w:rPr>
            <w:fldChar w:fldCharType="separate"/>
          </w:r>
          <w:r w:rsidR="009A3D45">
            <w:rPr>
              <w:rFonts w:cs="Times New Roman"/>
              <w:i/>
              <w:sz w:val="18"/>
            </w:rPr>
            <w:t>No. 238, 2013</w:t>
          </w:r>
          <w:r w:rsidRPr="007E16B5">
            <w:rPr>
              <w:rFonts w:cs="Times New Roman"/>
              <w:i/>
              <w:sz w:val="18"/>
            </w:rPr>
            <w:fldChar w:fldCharType="end"/>
          </w:r>
        </w:p>
      </w:tc>
    </w:tr>
    <w:tr w:rsidR="0011433A" w:rsidRPr="007E16B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1433A" w:rsidRPr="007E16B5" w:rsidRDefault="0011433A" w:rsidP="007B0175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11433A" w:rsidRPr="007E16B5" w:rsidRDefault="007E16B5" w:rsidP="007E16B5">
    <w:pPr>
      <w:rPr>
        <w:rFonts w:cs="Times New Roman"/>
        <w:i/>
        <w:sz w:val="18"/>
      </w:rPr>
    </w:pPr>
    <w:r w:rsidRPr="007E16B5">
      <w:rPr>
        <w:rFonts w:cs="Times New Roman"/>
        <w:i/>
        <w:sz w:val="18"/>
      </w:rPr>
      <w:t>OPC60230 -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E33C1C" w:rsidRDefault="0011433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1433A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A3D45">
            <w:rPr>
              <w:i/>
              <w:sz w:val="18"/>
            </w:rPr>
            <w:t>No. 238,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D45">
            <w:rPr>
              <w:i/>
              <w:sz w:val="18"/>
            </w:rPr>
            <w:t>Offshore Petroleum and Greenhouse Gas Storage Legislation Amendment (2013 Measures No. 2)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C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433A" w:rsidTr="007B017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1433A" w:rsidRDefault="0011433A" w:rsidP="007B0175">
          <w:pPr>
            <w:rPr>
              <w:sz w:val="18"/>
            </w:rPr>
          </w:pPr>
        </w:p>
      </w:tc>
    </w:tr>
  </w:tbl>
  <w:p w:rsidR="0011433A" w:rsidRPr="00ED79B6" w:rsidRDefault="007E16B5" w:rsidP="007E16B5">
    <w:pPr>
      <w:rPr>
        <w:i/>
        <w:sz w:val="18"/>
      </w:rPr>
    </w:pPr>
    <w:r w:rsidRPr="007E16B5">
      <w:rPr>
        <w:rFonts w:cs="Times New Roman"/>
        <w:i/>
        <w:sz w:val="18"/>
      </w:rPr>
      <w:t>OPC60230 -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7E16B5" w:rsidRDefault="0011433A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1433A" w:rsidRPr="007E16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1433A" w:rsidRPr="007E16B5" w:rsidRDefault="0011433A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E16B5">
            <w:rPr>
              <w:rFonts w:cs="Times New Roman"/>
              <w:i/>
              <w:sz w:val="18"/>
            </w:rPr>
            <w:fldChar w:fldCharType="begin"/>
          </w:r>
          <w:r w:rsidRPr="007E16B5">
            <w:rPr>
              <w:rFonts w:cs="Times New Roman"/>
              <w:i/>
              <w:sz w:val="18"/>
            </w:rPr>
            <w:instrText xml:space="preserve"> PAGE </w:instrText>
          </w:r>
          <w:r w:rsidRPr="007E16B5">
            <w:rPr>
              <w:rFonts w:cs="Times New Roman"/>
              <w:i/>
              <w:sz w:val="18"/>
            </w:rPr>
            <w:fldChar w:fldCharType="separate"/>
          </w:r>
          <w:r w:rsidR="00187C1E">
            <w:rPr>
              <w:rFonts w:cs="Times New Roman"/>
              <w:i/>
              <w:noProof/>
              <w:sz w:val="18"/>
            </w:rPr>
            <w:t>20</w:t>
          </w:r>
          <w:r w:rsidRPr="007E16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1433A" w:rsidRPr="007E16B5" w:rsidRDefault="0011433A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E16B5">
            <w:rPr>
              <w:rFonts w:cs="Times New Roman"/>
              <w:i/>
              <w:sz w:val="18"/>
            </w:rPr>
            <w:fldChar w:fldCharType="begin"/>
          </w:r>
          <w:r w:rsidRPr="007E16B5">
            <w:rPr>
              <w:rFonts w:cs="Times New Roman"/>
              <w:i/>
              <w:sz w:val="18"/>
            </w:rPr>
            <w:instrText xml:space="preserve"> DOCPROPERTY ShortT </w:instrText>
          </w:r>
          <w:r w:rsidRPr="007E16B5">
            <w:rPr>
              <w:rFonts w:cs="Times New Roman"/>
              <w:i/>
              <w:sz w:val="18"/>
            </w:rPr>
            <w:fldChar w:fldCharType="separate"/>
          </w:r>
          <w:r w:rsidR="009A3D45">
            <w:rPr>
              <w:rFonts w:cs="Times New Roman"/>
              <w:i/>
              <w:sz w:val="18"/>
            </w:rPr>
            <w:t>Offshore Petroleum and Greenhouse Gas Storage Legislation Amendment (2013 Measures No. 2) Regulation 2013</w:t>
          </w:r>
          <w:r w:rsidRPr="007E16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433A" w:rsidRPr="007E16B5" w:rsidRDefault="0011433A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E16B5">
            <w:rPr>
              <w:rFonts w:cs="Times New Roman"/>
              <w:i/>
              <w:sz w:val="18"/>
            </w:rPr>
            <w:fldChar w:fldCharType="begin"/>
          </w:r>
          <w:r w:rsidRPr="007E16B5">
            <w:rPr>
              <w:rFonts w:cs="Times New Roman"/>
              <w:i/>
              <w:sz w:val="18"/>
            </w:rPr>
            <w:instrText xml:space="preserve"> DOCPROPERTY ActNo </w:instrText>
          </w:r>
          <w:r w:rsidRPr="007E16B5">
            <w:rPr>
              <w:rFonts w:cs="Times New Roman"/>
              <w:i/>
              <w:sz w:val="18"/>
            </w:rPr>
            <w:fldChar w:fldCharType="separate"/>
          </w:r>
          <w:r w:rsidR="009A3D45">
            <w:rPr>
              <w:rFonts w:cs="Times New Roman"/>
              <w:i/>
              <w:sz w:val="18"/>
            </w:rPr>
            <w:t>No. 238, 2013</w:t>
          </w:r>
          <w:r w:rsidRPr="007E16B5">
            <w:rPr>
              <w:rFonts w:cs="Times New Roman"/>
              <w:i/>
              <w:sz w:val="18"/>
            </w:rPr>
            <w:fldChar w:fldCharType="end"/>
          </w:r>
        </w:p>
      </w:tc>
    </w:tr>
    <w:tr w:rsidR="0011433A" w:rsidRPr="007E16B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1433A" w:rsidRPr="007E16B5" w:rsidRDefault="0011433A" w:rsidP="007B0175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11433A" w:rsidRPr="007E16B5" w:rsidRDefault="007E16B5" w:rsidP="007E16B5">
    <w:pPr>
      <w:rPr>
        <w:rFonts w:cs="Times New Roman"/>
        <w:i/>
        <w:sz w:val="18"/>
      </w:rPr>
    </w:pPr>
    <w:r w:rsidRPr="007E16B5">
      <w:rPr>
        <w:rFonts w:cs="Times New Roman"/>
        <w:i/>
        <w:sz w:val="18"/>
      </w:rPr>
      <w:t>OPC60230 -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E33C1C" w:rsidRDefault="0011433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1433A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A3D45">
            <w:rPr>
              <w:i/>
              <w:sz w:val="18"/>
            </w:rPr>
            <w:t>No. 238,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D45">
            <w:rPr>
              <w:i/>
              <w:sz w:val="18"/>
            </w:rPr>
            <w:t>Offshore Petroleum and Greenhouse Gas Storage Legislation Amendment (2013 Measures No. 2)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C1E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433A" w:rsidTr="007B017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1433A" w:rsidRDefault="0011433A" w:rsidP="007B0175">
          <w:pPr>
            <w:rPr>
              <w:sz w:val="18"/>
            </w:rPr>
          </w:pPr>
        </w:p>
      </w:tc>
    </w:tr>
  </w:tbl>
  <w:p w:rsidR="0011433A" w:rsidRPr="00ED79B6" w:rsidRDefault="007E16B5" w:rsidP="007E16B5">
    <w:pPr>
      <w:rPr>
        <w:i/>
        <w:sz w:val="18"/>
      </w:rPr>
    </w:pPr>
    <w:r w:rsidRPr="007E16B5">
      <w:rPr>
        <w:rFonts w:cs="Times New Roman"/>
        <w:i/>
        <w:sz w:val="18"/>
      </w:rPr>
      <w:t>OPC60230 -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E33C1C" w:rsidRDefault="0011433A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1433A" w:rsidTr="007B017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7B017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A3D45">
            <w:rPr>
              <w:i/>
              <w:sz w:val="18"/>
            </w:rPr>
            <w:t>No. 238,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7B01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3D45">
            <w:rPr>
              <w:i/>
              <w:sz w:val="18"/>
            </w:rPr>
            <w:t>Offshore Petroleum and Greenhouse Gas Storage Legislation Amendment (2013 Measures No. 2)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1433A" w:rsidRDefault="0011433A" w:rsidP="007B01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4E4F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433A" w:rsidTr="007B017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11433A" w:rsidRDefault="0011433A" w:rsidP="007B0175">
          <w:pPr>
            <w:rPr>
              <w:sz w:val="18"/>
            </w:rPr>
          </w:pPr>
        </w:p>
      </w:tc>
    </w:tr>
  </w:tbl>
  <w:p w:rsidR="0011433A" w:rsidRPr="00ED79B6" w:rsidRDefault="0011433A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3A" w:rsidRDefault="0011433A" w:rsidP="0048364F">
      <w:pPr>
        <w:spacing w:line="240" w:lineRule="auto"/>
      </w:pPr>
      <w:r>
        <w:separator/>
      </w:r>
    </w:p>
  </w:footnote>
  <w:footnote w:type="continuationSeparator" w:id="0">
    <w:p w:rsidR="0011433A" w:rsidRDefault="0011433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5F1388" w:rsidRDefault="0011433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5F1388" w:rsidRDefault="001143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5F1388" w:rsidRDefault="001143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ED79B6" w:rsidRDefault="0011433A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ED79B6" w:rsidRDefault="0011433A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ED79B6" w:rsidRDefault="0011433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A961C4" w:rsidRDefault="0011433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7C1E">
      <w:rPr>
        <w:b/>
        <w:sz w:val="20"/>
      </w:rPr>
      <w:fldChar w:fldCharType="separate"/>
    </w:r>
    <w:r w:rsidR="00187C1E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87C1E">
      <w:rPr>
        <w:sz w:val="20"/>
      </w:rPr>
      <w:fldChar w:fldCharType="separate"/>
    </w:r>
    <w:r w:rsidR="00187C1E">
      <w:rPr>
        <w:noProof/>
        <w:sz w:val="20"/>
      </w:rPr>
      <w:t>Amendments commencing immediately after commencement of Part 1 of Schedule 4 to the Offshore Petroleum and Greenhouse Gas Storage Amendment (Compliance Measures No. 2) Act 2013</w:t>
    </w:r>
    <w:r>
      <w:rPr>
        <w:sz w:val="20"/>
      </w:rPr>
      <w:fldChar w:fldCharType="end"/>
    </w:r>
  </w:p>
  <w:p w:rsidR="0011433A" w:rsidRPr="00A961C4" w:rsidRDefault="0011433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1433A" w:rsidRPr="00A961C4" w:rsidRDefault="0011433A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A961C4" w:rsidRDefault="0011433A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87C1E">
      <w:rPr>
        <w:sz w:val="20"/>
      </w:rPr>
      <w:fldChar w:fldCharType="separate"/>
    </w:r>
    <w:r w:rsidR="00187C1E">
      <w:rPr>
        <w:noProof/>
        <w:sz w:val="20"/>
      </w:rPr>
      <w:t>Amendments commencing immediately after commencement of Part 1 of Schedule 4 to the Offshore Petroleum and Greenhouse Gas Storage Amendment (Compliance Measures No. 2) Act 2013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87C1E">
      <w:rPr>
        <w:b/>
        <w:sz w:val="20"/>
      </w:rPr>
      <w:fldChar w:fldCharType="separate"/>
    </w:r>
    <w:r w:rsidR="00187C1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11433A" w:rsidRPr="00A961C4" w:rsidRDefault="0011433A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1433A" w:rsidRPr="00A961C4" w:rsidRDefault="0011433A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3A" w:rsidRPr="00A961C4" w:rsidRDefault="0011433A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1"/>
    <w:rsid w:val="000041C6"/>
    <w:rsid w:val="00005881"/>
    <w:rsid w:val="000063E4"/>
    <w:rsid w:val="000112E1"/>
    <w:rsid w:val="000113BC"/>
    <w:rsid w:val="000136AF"/>
    <w:rsid w:val="00025060"/>
    <w:rsid w:val="0004044E"/>
    <w:rsid w:val="000409B1"/>
    <w:rsid w:val="00045A9B"/>
    <w:rsid w:val="00047226"/>
    <w:rsid w:val="00052814"/>
    <w:rsid w:val="000543B4"/>
    <w:rsid w:val="00056F98"/>
    <w:rsid w:val="00057CB6"/>
    <w:rsid w:val="000614BF"/>
    <w:rsid w:val="00061B66"/>
    <w:rsid w:val="0006733A"/>
    <w:rsid w:val="000A2537"/>
    <w:rsid w:val="000A5FF6"/>
    <w:rsid w:val="000C382B"/>
    <w:rsid w:val="000C4E79"/>
    <w:rsid w:val="000C7D34"/>
    <w:rsid w:val="000C7E8D"/>
    <w:rsid w:val="000D05EF"/>
    <w:rsid w:val="000D13EF"/>
    <w:rsid w:val="000E0636"/>
    <w:rsid w:val="000F21C1"/>
    <w:rsid w:val="000F7427"/>
    <w:rsid w:val="00102361"/>
    <w:rsid w:val="0010745C"/>
    <w:rsid w:val="00113CA2"/>
    <w:rsid w:val="0011433A"/>
    <w:rsid w:val="00116B32"/>
    <w:rsid w:val="00124E4F"/>
    <w:rsid w:val="00130024"/>
    <w:rsid w:val="00150B3C"/>
    <w:rsid w:val="001540E5"/>
    <w:rsid w:val="00154EAC"/>
    <w:rsid w:val="00157512"/>
    <w:rsid w:val="001643C9"/>
    <w:rsid w:val="00165568"/>
    <w:rsid w:val="00165EB4"/>
    <w:rsid w:val="00166C2F"/>
    <w:rsid w:val="00167565"/>
    <w:rsid w:val="001716C9"/>
    <w:rsid w:val="00171EAE"/>
    <w:rsid w:val="00182937"/>
    <w:rsid w:val="00187C1E"/>
    <w:rsid w:val="00191859"/>
    <w:rsid w:val="00193461"/>
    <w:rsid w:val="001939E1"/>
    <w:rsid w:val="00195382"/>
    <w:rsid w:val="00197745"/>
    <w:rsid w:val="001B31CC"/>
    <w:rsid w:val="001B5F3D"/>
    <w:rsid w:val="001B7A5D"/>
    <w:rsid w:val="001B7D94"/>
    <w:rsid w:val="001C5722"/>
    <w:rsid w:val="001C69C4"/>
    <w:rsid w:val="001D1F3B"/>
    <w:rsid w:val="001E08CB"/>
    <w:rsid w:val="001E16D0"/>
    <w:rsid w:val="001E3590"/>
    <w:rsid w:val="001E562E"/>
    <w:rsid w:val="001E7407"/>
    <w:rsid w:val="001F3A50"/>
    <w:rsid w:val="001F6924"/>
    <w:rsid w:val="001F7174"/>
    <w:rsid w:val="00201D27"/>
    <w:rsid w:val="00202550"/>
    <w:rsid w:val="00203248"/>
    <w:rsid w:val="00205236"/>
    <w:rsid w:val="00216A5A"/>
    <w:rsid w:val="00236223"/>
    <w:rsid w:val="00240749"/>
    <w:rsid w:val="002512BF"/>
    <w:rsid w:val="00257004"/>
    <w:rsid w:val="0026412F"/>
    <w:rsid w:val="00265FBC"/>
    <w:rsid w:val="00266D05"/>
    <w:rsid w:val="00273B44"/>
    <w:rsid w:val="00274DBD"/>
    <w:rsid w:val="00282657"/>
    <w:rsid w:val="00283112"/>
    <w:rsid w:val="00291E8F"/>
    <w:rsid w:val="002932B1"/>
    <w:rsid w:val="00293A81"/>
    <w:rsid w:val="00297ECB"/>
    <w:rsid w:val="002A0FFD"/>
    <w:rsid w:val="002A5F25"/>
    <w:rsid w:val="002A746A"/>
    <w:rsid w:val="002B5B89"/>
    <w:rsid w:val="002B72FD"/>
    <w:rsid w:val="002B7D96"/>
    <w:rsid w:val="002C6E43"/>
    <w:rsid w:val="002D043A"/>
    <w:rsid w:val="002E063A"/>
    <w:rsid w:val="002F5858"/>
    <w:rsid w:val="002F6A5B"/>
    <w:rsid w:val="00300105"/>
    <w:rsid w:val="00304E75"/>
    <w:rsid w:val="003072FA"/>
    <w:rsid w:val="00307B78"/>
    <w:rsid w:val="00316F38"/>
    <w:rsid w:val="0031713F"/>
    <w:rsid w:val="003415D3"/>
    <w:rsid w:val="00352B0F"/>
    <w:rsid w:val="00355AB5"/>
    <w:rsid w:val="003563B2"/>
    <w:rsid w:val="003572EF"/>
    <w:rsid w:val="00361BD9"/>
    <w:rsid w:val="0036327E"/>
    <w:rsid w:val="00363549"/>
    <w:rsid w:val="00375BF8"/>
    <w:rsid w:val="003801D0"/>
    <w:rsid w:val="00385055"/>
    <w:rsid w:val="0039228E"/>
    <w:rsid w:val="003926B5"/>
    <w:rsid w:val="00392966"/>
    <w:rsid w:val="003B04EC"/>
    <w:rsid w:val="003C3DBF"/>
    <w:rsid w:val="003C5F2B"/>
    <w:rsid w:val="003D0BFE"/>
    <w:rsid w:val="003D5700"/>
    <w:rsid w:val="003D73B1"/>
    <w:rsid w:val="003E3603"/>
    <w:rsid w:val="003E4CB0"/>
    <w:rsid w:val="003E5FF5"/>
    <w:rsid w:val="003F3E35"/>
    <w:rsid w:val="003F4CA9"/>
    <w:rsid w:val="003F567B"/>
    <w:rsid w:val="004010E7"/>
    <w:rsid w:val="00401403"/>
    <w:rsid w:val="004116CD"/>
    <w:rsid w:val="00411C6F"/>
    <w:rsid w:val="00412B83"/>
    <w:rsid w:val="004133E6"/>
    <w:rsid w:val="00424CA9"/>
    <w:rsid w:val="00433910"/>
    <w:rsid w:val="004357BD"/>
    <w:rsid w:val="0044291A"/>
    <w:rsid w:val="004443EE"/>
    <w:rsid w:val="004477FC"/>
    <w:rsid w:val="0045393D"/>
    <w:rsid w:val="004541B9"/>
    <w:rsid w:val="004573D1"/>
    <w:rsid w:val="00460499"/>
    <w:rsid w:val="00460DF1"/>
    <w:rsid w:val="00473C3A"/>
    <w:rsid w:val="00476754"/>
    <w:rsid w:val="0048364F"/>
    <w:rsid w:val="00486382"/>
    <w:rsid w:val="00487283"/>
    <w:rsid w:val="00495F71"/>
    <w:rsid w:val="00496F97"/>
    <w:rsid w:val="004A2484"/>
    <w:rsid w:val="004B51B5"/>
    <w:rsid w:val="004C6444"/>
    <w:rsid w:val="004C6DE1"/>
    <w:rsid w:val="004F1FAC"/>
    <w:rsid w:val="004F3A90"/>
    <w:rsid w:val="004F676E"/>
    <w:rsid w:val="0050092D"/>
    <w:rsid w:val="00513E96"/>
    <w:rsid w:val="00516B8D"/>
    <w:rsid w:val="0053101A"/>
    <w:rsid w:val="005320B0"/>
    <w:rsid w:val="0053605F"/>
    <w:rsid w:val="00536CB8"/>
    <w:rsid w:val="0053755E"/>
    <w:rsid w:val="00537FBC"/>
    <w:rsid w:val="00543469"/>
    <w:rsid w:val="0054684A"/>
    <w:rsid w:val="005469AB"/>
    <w:rsid w:val="0054750B"/>
    <w:rsid w:val="0055484C"/>
    <w:rsid w:val="00557C7A"/>
    <w:rsid w:val="00561F65"/>
    <w:rsid w:val="0056604A"/>
    <w:rsid w:val="00574342"/>
    <w:rsid w:val="00583B78"/>
    <w:rsid w:val="00584811"/>
    <w:rsid w:val="00584D51"/>
    <w:rsid w:val="005851A5"/>
    <w:rsid w:val="0058646E"/>
    <w:rsid w:val="00591E07"/>
    <w:rsid w:val="00593AA6"/>
    <w:rsid w:val="00594161"/>
    <w:rsid w:val="00594749"/>
    <w:rsid w:val="00594786"/>
    <w:rsid w:val="005949FA"/>
    <w:rsid w:val="005B4067"/>
    <w:rsid w:val="005C12DE"/>
    <w:rsid w:val="005C3F41"/>
    <w:rsid w:val="005C6496"/>
    <w:rsid w:val="005C7A74"/>
    <w:rsid w:val="005D09D6"/>
    <w:rsid w:val="005E11F2"/>
    <w:rsid w:val="005E4C4B"/>
    <w:rsid w:val="005E552A"/>
    <w:rsid w:val="005F0885"/>
    <w:rsid w:val="005F7B99"/>
    <w:rsid w:val="00600219"/>
    <w:rsid w:val="00606C99"/>
    <w:rsid w:val="00623F28"/>
    <w:rsid w:val="006249E6"/>
    <w:rsid w:val="0063029A"/>
    <w:rsid w:val="00630733"/>
    <w:rsid w:val="0063267F"/>
    <w:rsid w:val="006403D5"/>
    <w:rsid w:val="0064468A"/>
    <w:rsid w:val="0065336C"/>
    <w:rsid w:val="00654CCA"/>
    <w:rsid w:val="00656DE9"/>
    <w:rsid w:val="006626A8"/>
    <w:rsid w:val="00663BDD"/>
    <w:rsid w:val="00666888"/>
    <w:rsid w:val="00674F4D"/>
    <w:rsid w:val="0067716C"/>
    <w:rsid w:val="00677CC2"/>
    <w:rsid w:val="00680F17"/>
    <w:rsid w:val="00685F42"/>
    <w:rsid w:val="006862A1"/>
    <w:rsid w:val="0069207B"/>
    <w:rsid w:val="006937E2"/>
    <w:rsid w:val="00695042"/>
    <w:rsid w:val="006977FB"/>
    <w:rsid w:val="006A7C0C"/>
    <w:rsid w:val="006B262A"/>
    <w:rsid w:val="006C2C12"/>
    <w:rsid w:val="006C3FFF"/>
    <w:rsid w:val="006C636D"/>
    <w:rsid w:val="006C7315"/>
    <w:rsid w:val="006C7F8C"/>
    <w:rsid w:val="006D3667"/>
    <w:rsid w:val="006E004B"/>
    <w:rsid w:val="006E7147"/>
    <w:rsid w:val="006E71FC"/>
    <w:rsid w:val="006F0BDC"/>
    <w:rsid w:val="00700B2C"/>
    <w:rsid w:val="00701E6A"/>
    <w:rsid w:val="00713084"/>
    <w:rsid w:val="00722023"/>
    <w:rsid w:val="00731E00"/>
    <w:rsid w:val="00734648"/>
    <w:rsid w:val="00742747"/>
    <w:rsid w:val="007440B7"/>
    <w:rsid w:val="00761F24"/>
    <w:rsid w:val="007634AD"/>
    <w:rsid w:val="00766CA1"/>
    <w:rsid w:val="007715C9"/>
    <w:rsid w:val="007748CC"/>
    <w:rsid w:val="00774EDD"/>
    <w:rsid w:val="007757EC"/>
    <w:rsid w:val="007769D4"/>
    <w:rsid w:val="00785AFA"/>
    <w:rsid w:val="007903AC"/>
    <w:rsid w:val="007934CC"/>
    <w:rsid w:val="0079491C"/>
    <w:rsid w:val="007A5371"/>
    <w:rsid w:val="007A7F9F"/>
    <w:rsid w:val="007B0175"/>
    <w:rsid w:val="007D2AC2"/>
    <w:rsid w:val="007E16B5"/>
    <w:rsid w:val="007E242F"/>
    <w:rsid w:val="007E7D4A"/>
    <w:rsid w:val="007F71E7"/>
    <w:rsid w:val="00810873"/>
    <w:rsid w:val="00811771"/>
    <w:rsid w:val="00811DF0"/>
    <w:rsid w:val="008151BF"/>
    <w:rsid w:val="008216A4"/>
    <w:rsid w:val="0082614C"/>
    <w:rsid w:val="00826DA5"/>
    <w:rsid w:val="00833416"/>
    <w:rsid w:val="00834855"/>
    <w:rsid w:val="00835813"/>
    <w:rsid w:val="00835AA0"/>
    <w:rsid w:val="00856A31"/>
    <w:rsid w:val="00862E1B"/>
    <w:rsid w:val="008657C5"/>
    <w:rsid w:val="00874B69"/>
    <w:rsid w:val="008754D0"/>
    <w:rsid w:val="00876549"/>
    <w:rsid w:val="0087738E"/>
    <w:rsid w:val="00877D48"/>
    <w:rsid w:val="00884801"/>
    <w:rsid w:val="008932A2"/>
    <w:rsid w:val="0089783B"/>
    <w:rsid w:val="008C4740"/>
    <w:rsid w:val="008D0EE0"/>
    <w:rsid w:val="008E207C"/>
    <w:rsid w:val="008E2B2C"/>
    <w:rsid w:val="008E3A8D"/>
    <w:rsid w:val="008E40EC"/>
    <w:rsid w:val="008F07E3"/>
    <w:rsid w:val="008F3B2A"/>
    <w:rsid w:val="008F4DCF"/>
    <w:rsid w:val="008F4F1C"/>
    <w:rsid w:val="008F7A24"/>
    <w:rsid w:val="00900E13"/>
    <w:rsid w:val="009042F7"/>
    <w:rsid w:val="00907271"/>
    <w:rsid w:val="00912C0C"/>
    <w:rsid w:val="00916416"/>
    <w:rsid w:val="00927665"/>
    <w:rsid w:val="00932377"/>
    <w:rsid w:val="00936C2F"/>
    <w:rsid w:val="00937238"/>
    <w:rsid w:val="00942ED0"/>
    <w:rsid w:val="00944B37"/>
    <w:rsid w:val="00970E6A"/>
    <w:rsid w:val="009720A5"/>
    <w:rsid w:val="009820FC"/>
    <w:rsid w:val="00997276"/>
    <w:rsid w:val="009A135C"/>
    <w:rsid w:val="009A2B20"/>
    <w:rsid w:val="009A3D45"/>
    <w:rsid w:val="009B1904"/>
    <w:rsid w:val="009B3629"/>
    <w:rsid w:val="009B4C3A"/>
    <w:rsid w:val="009C101F"/>
    <w:rsid w:val="009C2B9C"/>
    <w:rsid w:val="009C49D8"/>
    <w:rsid w:val="009E3601"/>
    <w:rsid w:val="009F13EE"/>
    <w:rsid w:val="009F727E"/>
    <w:rsid w:val="009F7C5F"/>
    <w:rsid w:val="00A00427"/>
    <w:rsid w:val="00A130FC"/>
    <w:rsid w:val="00A14EAC"/>
    <w:rsid w:val="00A2057D"/>
    <w:rsid w:val="00A231E2"/>
    <w:rsid w:val="00A25154"/>
    <w:rsid w:val="00A2550D"/>
    <w:rsid w:val="00A26DBE"/>
    <w:rsid w:val="00A30DCE"/>
    <w:rsid w:val="00A326A4"/>
    <w:rsid w:val="00A4169B"/>
    <w:rsid w:val="00A42CC1"/>
    <w:rsid w:val="00A4361F"/>
    <w:rsid w:val="00A471DE"/>
    <w:rsid w:val="00A64912"/>
    <w:rsid w:val="00A70A74"/>
    <w:rsid w:val="00A82607"/>
    <w:rsid w:val="00A87AB9"/>
    <w:rsid w:val="00A96BF9"/>
    <w:rsid w:val="00AA0781"/>
    <w:rsid w:val="00AA12D2"/>
    <w:rsid w:val="00AA57A5"/>
    <w:rsid w:val="00AA6185"/>
    <w:rsid w:val="00AB3315"/>
    <w:rsid w:val="00AB3A79"/>
    <w:rsid w:val="00AB6196"/>
    <w:rsid w:val="00AC4BE3"/>
    <w:rsid w:val="00AD28EB"/>
    <w:rsid w:val="00AD5641"/>
    <w:rsid w:val="00AF0336"/>
    <w:rsid w:val="00AF6613"/>
    <w:rsid w:val="00AF6DAE"/>
    <w:rsid w:val="00B006EC"/>
    <w:rsid w:val="00B032D8"/>
    <w:rsid w:val="00B332B8"/>
    <w:rsid w:val="00B33B3C"/>
    <w:rsid w:val="00B349A2"/>
    <w:rsid w:val="00B52F27"/>
    <w:rsid w:val="00B60400"/>
    <w:rsid w:val="00B6137C"/>
    <w:rsid w:val="00B61D2C"/>
    <w:rsid w:val="00B63BDE"/>
    <w:rsid w:val="00B720D9"/>
    <w:rsid w:val="00B84635"/>
    <w:rsid w:val="00B8567D"/>
    <w:rsid w:val="00B96D3A"/>
    <w:rsid w:val="00BA5026"/>
    <w:rsid w:val="00BB1C45"/>
    <w:rsid w:val="00BB6E79"/>
    <w:rsid w:val="00BC1C63"/>
    <w:rsid w:val="00BC2494"/>
    <w:rsid w:val="00BC4F91"/>
    <w:rsid w:val="00BD4362"/>
    <w:rsid w:val="00BD44EE"/>
    <w:rsid w:val="00BD60E6"/>
    <w:rsid w:val="00BE253A"/>
    <w:rsid w:val="00BE5FEF"/>
    <w:rsid w:val="00BE719A"/>
    <w:rsid w:val="00BE720A"/>
    <w:rsid w:val="00BE7415"/>
    <w:rsid w:val="00BF4533"/>
    <w:rsid w:val="00C067E5"/>
    <w:rsid w:val="00C10B66"/>
    <w:rsid w:val="00C164CA"/>
    <w:rsid w:val="00C21B63"/>
    <w:rsid w:val="00C42BF8"/>
    <w:rsid w:val="00C460AE"/>
    <w:rsid w:val="00C47162"/>
    <w:rsid w:val="00C50043"/>
    <w:rsid w:val="00C56974"/>
    <w:rsid w:val="00C67D40"/>
    <w:rsid w:val="00C7573B"/>
    <w:rsid w:val="00C765C5"/>
    <w:rsid w:val="00C76CF3"/>
    <w:rsid w:val="00C8207F"/>
    <w:rsid w:val="00C9109F"/>
    <w:rsid w:val="00C92BCF"/>
    <w:rsid w:val="00CA25CF"/>
    <w:rsid w:val="00CB0180"/>
    <w:rsid w:val="00CB30CC"/>
    <w:rsid w:val="00CB77BB"/>
    <w:rsid w:val="00CD1F97"/>
    <w:rsid w:val="00CD5561"/>
    <w:rsid w:val="00CD606E"/>
    <w:rsid w:val="00CD7ECB"/>
    <w:rsid w:val="00CE110A"/>
    <w:rsid w:val="00CF0BB2"/>
    <w:rsid w:val="00CF2A28"/>
    <w:rsid w:val="00D0104A"/>
    <w:rsid w:val="00D01A99"/>
    <w:rsid w:val="00D03334"/>
    <w:rsid w:val="00D13441"/>
    <w:rsid w:val="00D15AAC"/>
    <w:rsid w:val="00D17B17"/>
    <w:rsid w:val="00D217C7"/>
    <w:rsid w:val="00D243A3"/>
    <w:rsid w:val="00D24AB3"/>
    <w:rsid w:val="00D331C0"/>
    <w:rsid w:val="00D333D9"/>
    <w:rsid w:val="00D33440"/>
    <w:rsid w:val="00D35D47"/>
    <w:rsid w:val="00D40403"/>
    <w:rsid w:val="00D4634C"/>
    <w:rsid w:val="00D525A3"/>
    <w:rsid w:val="00D52EFE"/>
    <w:rsid w:val="00D63B7A"/>
    <w:rsid w:val="00D63EF6"/>
    <w:rsid w:val="00D70DFB"/>
    <w:rsid w:val="00D72D60"/>
    <w:rsid w:val="00D74887"/>
    <w:rsid w:val="00D766DF"/>
    <w:rsid w:val="00D80529"/>
    <w:rsid w:val="00D83221"/>
    <w:rsid w:val="00D83D21"/>
    <w:rsid w:val="00D84B58"/>
    <w:rsid w:val="00D86DD1"/>
    <w:rsid w:val="00D90178"/>
    <w:rsid w:val="00D90563"/>
    <w:rsid w:val="00D925D1"/>
    <w:rsid w:val="00D943A5"/>
    <w:rsid w:val="00DA0C93"/>
    <w:rsid w:val="00DB54A2"/>
    <w:rsid w:val="00DD12B7"/>
    <w:rsid w:val="00DD5F2F"/>
    <w:rsid w:val="00DF5F01"/>
    <w:rsid w:val="00E0068C"/>
    <w:rsid w:val="00E00D64"/>
    <w:rsid w:val="00E02067"/>
    <w:rsid w:val="00E03BFD"/>
    <w:rsid w:val="00E05704"/>
    <w:rsid w:val="00E05C46"/>
    <w:rsid w:val="00E1348D"/>
    <w:rsid w:val="00E143FA"/>
    <w:rsid w:val="00E16614"/>
    <w:rsid w:val="00E21D8E"/>
    <w:rsid w:val="00E30206"/>
    <w:rsid w:val="00E33C1C"/>
    <w:rsid w:val="00E443FC"/>
    <w:rsid w:val="00E44B07"/>
    <w:rsid w:val="00E4629A"/>
    <w:rsid w:val="00E475A0"/>
    <w:rsid w:val="00E476B8"/>
    <w:rsid w:val="00E509A1"/>
    <w:rsid w:val="00E50B10"/>
    <w:rsid w:val="00E54292"/>
    <w:rsid w:val="00E60B81"/>
    <w:rsid w:val="00E61343"/>
    <w:rsid w:val="00E70CCC"/>
    <w:rsid w:val="00E73EC4"/>
    <w:rsid w:val="00E74A91"/>
    <w:rsid w:val="00E74DC7"/>
    <w:rsid w:val="00E84B32"/>
    <w:rsid w:val="00E87699"/>
    <w:rsid w:val="00E90683"/>
    <w:rsid w:val="00EA4D0F"/>
    <w:rsid w:val="00EC287C"/>
    <w:rsid w:val="00EC2AE5"/>
    <w:rsid w:val="00EC484E"/>
    <w:rsid w:val="00EC7EE3"/>
    <w:rsid w:val="00ED0151"/>
    <w:rsid w:val="00ED3A7D"/>
    <w:rsid w:val="00ED7D2F"/>
    <w:rsid w:val="00EF2E3A"/>
    <w:rsid w:val="00F047E2"/>
    <w:rsid w:val="00F078DC"/>
    <w:rsid w:val="00F13E86"/>
    <w:rsid w:val="00F13FB0"/>
    <w:rsid w:val="00F14F3F"/>
    <w:rsid w:val="00F2121A"/>
    <w:rsid w:val="00F24C35"/>
    <w:rsid w:val="00F4094C"/>
    <w:rsid w:val="00F47F3E"/>
    <w:rsid w:val="00F50B61"/>
    <w:rsid w:val="00F5180B"/>
    <w:rsid w:val="00F56759"/>
    <w:rsid w:val="00F608CB"/>
    <w:rsid w:val="00F6760D"/>
    <w:rsid w:val="00F677A9"/>
    <w:rsid w:val="00F73CF0"/>
    <w:rsid w:val="00F75CF6"/>
    <w:rsid w:val="00F7710B"/>
    <w:rsid w:val="00F82623"/>
    <w:rsid w:val="00F84CF5"/>
    <w:rsid w:val="00F877FD"/>
    <w:rsid w:val="00FA18A9"/>
    <w:rsid w:val="00FA2EBE"/>
    <w:rsid w:val="00FA420B"/>
    <w:rsid w:val="00FA4E06"/>
    <w:rsid w:val="00FB03B3"/>
    <w:rsid w:val="00FB55DD"/>
    <w:rsid w:val="00FD158F"/>
    <w:rsid w:val="00FD163B"/>
    <w:rsid w:val="00FD37E5"/>
    <w:rsid w:val="00FD39FF"/>
    <w:rsid w:val="00FD4354"/>
    <w:rsid w:val="00FD7CFE"/>
    <w:rsid w:val="00FF0761"/>
    <w:rsid w:val="00FF3089"/>
    <w:rsid w:val="00FF3B04"/>
    <w:rsid w:val="00FF3EEF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3A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61F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3A8D"/>
  </w:style>
  <w:style w:type="paragraph" w:customStyle="1" w:styleId="OPCParaBase">
    <w:name w:val="OPCParaBase"/>
    <w:qFormat/>
    <w:rsid w:val="008E3A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3A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3A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3A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3A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3A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E3A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3A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3A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3A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3A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3A8D"/>
  </w:style>
  <w:style w:type="paragraph" w:customStyle="1" w:styleId="Blocks">
    <w:name w:val="Blocks"/>
    <w:aliases w:val="bb"/>
    <w:basedOn w:val="OPCParaBase"/>
    <w:qFormat/>
    <w:rsid w:val="008E3A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3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3A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3A8D"/>
    <w:rPr>
      <w:i/>
    </w:rPr>
  </w:style>
  <w:style w:type="paragraph" w:customStyle="1" w:styleId="BoxList">
    <w:name w:val="BoxList"/>
    <w:aliases w:val="bl"/>
    <w:basedOn w:val="BoxText"/>
    <w:qFormat/>
    <w:rsid w:val="008E3A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3A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3A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3A8D"/>
    <w:pPr>
      <w:ind w:left="1985" w:hanging="851"/>
    </w:pPr>
  </w:style>
  <w:style w:type="character" w:customStyle="1" w:styleId="CharAmPartNo">
    <w:name w:val="CharAmPartNo"/>
    <w:basedOn w:val="OPCCharBase"/>
    <w:qFormat/>
    <w:rsid w:val="008E3A8D"/>
  </w:style>
  <w:style w:type="character" w:customStyle="1" w:styleId="CharAmPartText">
    <w:name w:val="CharAmPartText"/>
    <w:basedOn w:val="OPCCharBase"/>
    <w:qFormat/>
    <w:rsid w:val="008E3A8D"/>
  </w:style>
  <w:style w:type="character" w:customStyle="1" w:styleId="CharAmSchNo">
    <w:name w:val="CharAmSchNo"/>
    <w:basedOn w:val="OPCCharBase"/>
    <w:qFormat/>
    <w:rsid w:val="008E3A8D"/>
  </w:style>
  <w:style w:type="character" w:customStyle="1" w:styleId="CharAmSchText">
    <w:name w:val="CharAmSchText"/>
    <w:basedOn w:val="OPCCharBase"/>
    <w:qFormat/>
    <w:rsid w:val="008E3A8D"/>
  </w:style>
  <w:style w:type="character" w:customStyle="1" w:styleId="CharBoldItalic">
    <w:name w:val="CharBoldItalic"/>
    <w:basedOn w:val="OPCCharBase"/>
    <w:uiPriority w:val="1"/>
    <w:qFormat/>
    <w:rsid w:val="008E3A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3A8D"/>
  </w:style>
  <w:style w:type="character" w:customStyle="1" w:styleId="CharChapText">
    <w:name w:val="CharChapText"/>
    <w:basedOn w:val="OPCCharBase"/>
    <w:uiPriority w:val="1"/>
    <w:qFormat/>
    <w:rsid w:val="008E3A8D"/>
  </w:style>
  <w:style w:type="character" w:customStyle="1" w:styleId="CharDivNo">
    <w:name w:val="CharDivNo"/>
    <w:basedOn w:val="OPCCharBase"/>
    <w:uiPriority w:val="1"/>
    <w:qFormat/>
    <w:rsid w:val="008E3A8D"/>
  </w:style>
  <w:style w:type="character" w:customStyle="1" w:styleId="CharDivText">
    <w:name w:val="CharDivText"/>
    <w:basedOn w:val="OPCCharBase"/>
    <w:uiPriority w:val="1"/>
    <w:qFormat/>
    <w:rsid w:val="008E3A8D"/>
  </w:style>
  <w:style w:type="character" w:customStyle="1" w:styleId="CharItalic">
    <w:name w:val="CharItalic"/>
    <w:basedOn w:val="OPCCharBase"/>
    <w:uiPriority w:val="1"/>
    <w:qFormat/>
    <w:rsid w:val="008E3A8D"/>
    <w:rPr>
      <w:i/>
    </w:rPr>
  </w:style>
  <w:style w:type="character" w:customStyle="1" w:styleId="CharPartNo">
    <w:name w:val="CharPartNo"/>
    <w:basedOn w:val="OPCCharBase"/>
    <w:uiPriority w:val="1"/>
    <w:qFormat/>
    <w:rsid w:val="008E3A8D"/>
  </w:style>
  <w:style w:type="character" w:customStyle="1" w:styleId="CharPartText">
    <w:name w:val="CharPartText"/>
    <w:basedOn w:val="OPCCharBase"/>
    <w:uiPriority w:val="1"/>
    <w:qFormat/>
    <w:rsid w:val="008E3A8D"/>
  </w:style>
  <w:style w:type="character" w:customStyle="1" w:styleId="CharSectno">
    <w:name w:val="CharSectno"/>
    <w:basedOn w:val="OPCCharBase"/>
    <w:qFormat/>
    <w:rsid w:val="008E3A8D"/>
  </w:style>
  <w:style w:type="character" w:customStyle="1" w:styleId="CharSubdNo">
    <w:name w:val="CharSubdNo"/>
    <w:basedOn w:val="OPCCharBase"/>
    <w:uiPriority w:val="1"/>
    <w:qFormat/>
    <w:rsid w:val="008E3A8D"/>
  </w:style>
  <w:style w:type="character" w:customStyle="1" w:styleId="CharSubdText">
    <w:name w:val="CharSubdText"/>
    <w:basedOn w:val="OPCCharBase"/>
    <w:uiPriority w:val="1"/>
    <w:qFormat/>
    <w:rsid w:val="008E3A8D"/>
  </w:style>
  <w:style w:type="paragraph" w:customStyle="1" w:styleId="CTA--">
    <w:name w:val="CTA --"/>
    <w:basedOn w:val="OPCParaBase"/>
    <w:next w:val="Normal"/>
    <w:rsid w:val="008E3A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3A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3A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3A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3A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3A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3A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3A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3A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3A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3A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3A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3A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3A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3A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3A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3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3A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3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3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3A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3A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3A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3A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3A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3A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3A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3A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3A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3A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3A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3A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3A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3A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3A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3A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3A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3A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3A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3A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3A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3A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3A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3A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3A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3A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3A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3A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3A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3A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3A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3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3A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3A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3A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E3A8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E3A8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E3A8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3A8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3A8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E3A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E3A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3A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E3A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3A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3A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3A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3A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3A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3A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3A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3A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3A8D"/>
    <w:rPr>
      <w:sz w:val="16"/>
    </w:rPr>
  </w:style>
  <w:style w:type="table" w:customStyle="1" w:styleId="CFlag">
    <w:name w:val="CFlag"/>
    <w:basedOn w:val="TableNormal"/>
    <w:uiPriority w:val="99"/>
    <w:rsid w:val="008E3A8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3A8D"/>
    <w:rPr>
      <w:color w:val="0000FF"/>
      <w:u w:val="single"/>
    </w:rPr>
  </w:style>
  <w:style w:type="table" w:styleId="TableGrid">
    <w:name w:val="Table Grid"/>
    <w:basedOn w:val="TableNormal"/>
    <w:uiPriority w:val="59"/>
    <w:rsid w:val="008E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E3A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E3A8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E3A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3A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E3A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3A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3A8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E3A8D"/>
  </w:style>
  <w:style w:type="paragraph" w:customStyle="1" w:styleId="CompiledActNo">
    <w:name w:val="CompiledActNo"/>
    <w:basedOn w:val="OPCParaBase"/>
    <w:next w:val="Normal"/>
    <w:rsid w:val="008E3A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3A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3A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E3A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E3A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3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E3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3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E3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3A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3A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3A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3A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3A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E3A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3A8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E3A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E3A8D"/>
  </w:style>
  <w:style w:type="character" w:customStyle="1" w:styleId="CharSubPartNoCASA">
    <w:name w:val="CharSubPartNo(CASA)"/>
    <w:basedOn w:val="OPCCharBase"/>
    <w:uiPriority w:val="1"/>
    <w:rsid w:val="008E3A8D"/>
  </w:style>
  <w:style w:type="paragraph" w:customStyle="1" w:styleId="ENoteTTIndentHeadingSub">
    <w:name w:val="ENoteTTIndentHeadingSub"/>
    <w:aliases w:val="enTTHis"/>
    <w:basedOn w:val="OPCParaBase"/>
    <w:rsid w:val="008E3A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3A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3A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3A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E3A8D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8E3A8D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1F2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1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61F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eeForm">
    <w:name w:val="FreeForm"/>
    <w:rsid w:val="008E207C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3A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F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F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F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61F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F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F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F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3A8D"/>
  </w:style>
  <w:style w:type="paragraph" w:customStyle="1" w:styleId="OPCParaBase">
    <w:name w:val="OPCParaBase"/>
    <w:qFormat/>
    <w:rsid w:val="008E3A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3A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3A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3A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3A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3A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E3A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3A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3A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3A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3A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3A8D"/>
  </w:style>
  <w:style w:type="paragraph" w:customStyle="1" w:styleId="Blocks">
    <w:name w:val="Blocks"/>
    <w:aliases w:val="bb"/>
    <w:basedOn w:val="OPCParaBase"/>
    <w:qFormat/>
    <w:rsid w:val="008E3A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3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3A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3A8D"/>
    <w:rPr>
      <w:i/>
    </w:rPr>
  </w:style>
  <w:style w:type="paragraph" w:customStyle="1" w:styleId="BoxList">
    <w:name w:val="BoxList"/>
    <w:aliases w:val="bl"/>
    <w:basedOn w:val="BoxText"/>
    <w:qFormat/>
    <w:rsid w:val="008E3A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3A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3A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3A8D"/>
    <w:pPr>
      <w:ind w:left="1985" w:hanging="851"/>
    </w:pPr>
  </w:style>
  <w:style w:type="character" w:customStyle="1" w:styleId="CharAmPartNo">
    <w:name w:val="CharAmPartNo"/>
    <w:basedOn w:val="OPCCharBase"/>
    <w:qFormat/>
    <w:rsid w:val="008E3A8D"/>
  </w:style>
  <w:style w:type="character" w:customStyle="1" w:styleId="CharAmPartText">
    <w:name w:val="CharAmPartText"/>
    <w:basedOn w:val="OPCCharBase"/>
    <w:qFormat/>
    <w:rsid w:val="008E3A8D"/>
  </w:style>
  <w:style w:type="character" w:customStyle="1" w:styleId="CharAmSchNo">
    <w:name w:val="CharAmSchNo"/>
    <w:basedOn w:val="OPCCharBase"/>
    <w:qFormat/>
    <w:rsid w:val="008E3A8D"/>
  </w:style>
  <w:style w:type="character" w:customStyle="1" w:styleId="CharAmSchText">
    <w:name w:val="CharAmSchText"/>
    <w:basedOn w:val="OPCCharBase"/>
    <w:qFormat/>
    <w:rsid w:val="008E3A8D"/>
  </w:style>
  <w:style w:type="character" w:customStyle="1" w:styleId="CharBoldItalic">
    <w:name w:val="CharBoldItalic"/>
    <w:basedOn w:val="OPCCharBase"/>
    <w:uiPriority w:val="1"/>
    <w:qFormat/>
    <w:rsid w:val="008E3A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3A8D"/>
  </w:style>
  <w:style w:type="character" w:customStyle="1" w:styleId="CharChapText">
    <w:name w:val="CharChapText"/>
    <w:basedOn w:val="OPCCharBase"/>
    <w:uiPriority w:val="1"/>
    <w:qFormat/>
    <w:rsid w:val="008E3A8D"/>
  </w:style>
  <w:style w:type="character" w:customStyle="1" w:styleId="CharDivNo">
    <w:name w:val="CharDivNo"/>
    <w:basedOn w:val="OPCCharBase"/>
    <w:uiPriority w:val="1"/>
    <w:qFormat/>
    <w:rsid w:val="008E3A8D"/>
  </w:style>
  <w:style w:type="character" w:customStyle="1" w:styleId="CharDivText">
    <w:name w:val="CharDivText"/>
    <w:basedOn w:val="OPCCharBase"/>
    <w:uiPriority w:val="1"/>
    <w:qFormat/>
    <w:rsid w:val="008E3A8D"/>
  </w:style>
  <w:style w:type="character" w:customStyle="1" w:styleId="CharItalic">
    <w:name w:val="CharItalic"/>
    <w:basedOn w:val="OPCCharBase"/>
    <w:uiPriority w:val="1"/>
    <w:qFormat/>
    <w:rsid w:val="008E3A8D"/>
    <w:rPr>
      <w:i/>
    </w:rPr>
  </w:style>
  <w:style w:type="character" w:customStyle="1" w:styleId="CharPartNo">
    <w:name w:val="CharPartNo"/>
    <w:basedOn w:val="OPCCharBase"/>
    <w:uiPriority w:val="1"/>
    <w:qFormat/>
    <w:rsid w:val="008E3A8D"/>
  </w:style>
  <w:style w:type="character" w:customStyle="1" w:styleId="CharPartText">
    <w:name w:val="CharPartText"/>
    <w:basedOn w:val="OPCCharBase"/>
    <w:uiPriority w:val="1"/>
    <w:qFormat/>
    <w:rsid w:val="008E3A8D"/>
  </w:style>
  <w:style w:type="character" w:customStyle="1" w:styleId="CharSectno">
    <w:name w:val="CharSectno"/>
    <w:basedOn w:val="OPCCharBase"/>
    <w:qFormat/>
    <w:rsid w:val="008E3A8D"/>
  </w:style>
  <w:style w:type="character" w:customStyle="1" w:styleId="CharSubdNo">
    <w:name w:val="CharSubdNo"/>
    <w:basedOn w:val="OPCCharBase"/>
    <w:uiPriority w:val="1"/>
    <w:qFormat/>
    <w:rsid w:val="008E3A8D"/>
  </w:style>
  <w:style w:type="character" w:customStyle="1" w:styleId="CharSubdText">
    <w:name w:val="CharSubdText"/>
    <w:basedOn w:val="OPCCharBase"/>
    <w:uiPriority w:val="1"/>
    <w:qFormat/>
    <w:rsid w:val="008E3A8D"/>
  </w:style>
  <w:style w:type="paragraph" w:customStyle="1" w:styleId="CTA--">
    <w:name w:val="CTA --"/>
    <w:basedOn w:val="OPCParaBase"/>
    <w:next w:val="Normal"/>
    <w:rsid w:val="008E3A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3A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3A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3A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3A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3A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3A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3A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3A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3A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3A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3A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3A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3A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3A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3A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3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3A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3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3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3A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3A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3A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3A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3A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3A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3A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3A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3A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3A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3A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3A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3A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3A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3A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3A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3A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3A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3A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3A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3A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3A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3A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3A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3A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3A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3A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3A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3A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3A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3A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3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3A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3A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3A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E3A8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E3A8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E3A8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3A8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3A8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E3A8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E3A8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3A8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E3A8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3A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3A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3A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3A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3A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3A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3A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3A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3A8D"/>
    <w:rPr>
      <w:sz w:val="16"/>
    </w:rPr>
  </w:style>
  <w:style w:type="table" w:customStyle="1" w:styleId="CFlag">
    <w:name w:val="CFlag"/>
    <w:basedOn w:val="TableNormal"/>
    <w:uiPriority w:val="99"/>
    <w:rsid w:val="008E3A8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3A8D"/>
    <w:rPr>
      <w:color w:val="0000FF"/>
      <w:u w:val="single"/>
    </w:rPr>
  </w:style>
  <w:style w:type="table" w:styleId="TableGrid">
    <w:name w:val="Table Grid"/>
    <w:basedOn w:val="TableNormal"/>
    <w:uiPriority w:val="59"/>
    <w:rsid w:val="008E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E3A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E3A8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E3A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3A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E3A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3A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3A8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E3A8D"/>
  </w:style>
  <w:style w:type="paragraph" w:customStyle="1" w:styleId="CompiledActNo">
    <w:name w:val="CompiledActNo"/>
    <w:basedOn w:val="OPCParaBase"/>
    <w:next w:val="Normal"/>
    <w:rsid w:val="008E3A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3A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3A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E3A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E3A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3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E3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3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E3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3A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3A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3A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3A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3A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E3A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3A8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E3A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E3A8D"/>
  </w:style>
  <w:style w:type="character" w:customStyle="1" w:styleId="CharSubPartNoCASA">
    <w:name w:val="CharSubPartNo(CASA)"/>
    <w:basedOn w:val="OPCCharBase"/>
    <w:uiPriority w:val="1"/>
    <w:rsid w:val="008E3A8D"/>
  </w:style>
  <w:style w:type="paragraph" w:customStyle="1" w:styleId="ENoteTTIndentHeadingSub">
    <w:name w:val="ENoteTTIndentHeadingSub"/>
    <w:aliases w:val="enTTHis"/>
    <w:basedOn w:val="OPCParaBase"/>
    <w:rsid w:val="008E3A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3A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3A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3A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E3A8D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8E3A8D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1F2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61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F2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F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F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61F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F2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F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F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eeForm">
    <w:name w:val="FreeForm"/>
    <w:rsid w:val="008E207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D2AE-0884-4722-95E6-1E898919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25</Pages>
  <Words>4065</Words>
  <Characters>20085</Characters>
  <Application>Microsoft Office Word</Application>
  <DocSecurity>0</DocSecurity>
  <PresentationFormat/>
  <Lines>692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Legislation Amendment (2013 Measures No. 2) Regulation 2013</vt:lpstr>
    </vt:vector>
  </TitlesOfParts>
  <Manager/>
  <Company/>
  <LinksUpToDate>false</LinksUpToDate>
  <CharactersWithSpaces>23741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2013-10-14T05:37:00Z</cp:lastPrinted>
  <dcterms:created xsi:type="dcterms:W3CDTF">2013-11-04T01:27:00Z</dcterms:created>
  <dcterms:modified xsi:type="dcterms:W3CDTF">2013-11-04T01:27:00Z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238, 2013</vt:lpwstr>
  </property>
  <property fmtid="{D5CDD505-2E9C-101B-9397-08002B2CF9AE}" pid="3" name="ShortT">
    <vt:lpwstr>Offshore Petroleum and Greenhouse Gas Storage Legislation Amendment (2013 Measures No. 2)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November 2013</vt:lpwstr>
  </property>
  <property fmtid="{D5CDD505-2E9C-101B-9397-08002B2CF9AE}" pid="10" name="Authority">
    <vt:lpwstr/>
  </property>
  <property fmtid="{D5CDD505-2E9C-101B-9397-08002B2CF9AE}" pid="11" name="ID">
    <vt:lpwstr>OPC60230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November 2013</vt:lpwstr>
  </property>
</Properties>
</file>