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4A" w:rsidRPr="00092561" w:rsidRDefault="009E17B4" w:rsidP="001B2566">
      <w:pPr>
        <w:jc w:val="center"/>
        <w:rPr>
          <w:rFonts w:ascii="Arial" w:hAnsi="Arial" w:cs="Arial"/>
          <w:b/>
        </w:rPr>
      </w:pPr>
      <w:r w:rsidRPr="009E17B4">
        <w:rPr>
          <w:rFonts w:ascii="Arial" w:hAnsi="Arial" w:cs="Arial"/>
          <w:b/>
        </w:rPr>
        <w:t>EXPLANATORY STATEMENT</w:t>
      </w:r>
    </w:p>
    <w:p w:rsidR="00965530" w:rsidRDefault="009E17B4" w:rsidP="001B2566">
      <w:pPr>
        <w:jc w:val="center"/>
        <w:rPr>
          <w:rFonts w:ascii="Arial" w:hAnsi="Arial" w:cs="Arial"/>
          <w:sz w:val="20"/>
          <w:szCs w:val="20"/>
        </w:rPr>
      </w:pPr>
      <w:r w:rsidRPr="009E17B4">
        <w:rPr>
          <w:rFonts w:ascii="Arial" w:hAnsi="Arial" w:cs="Arial"/>
          <w:sz w:val="20"/>
          <w:szCs w:val="20"/>
        </w:rPr>
        <w:t>Issued by the Australian Communications and Media Authority</w:t>
      </w:r>
    </w:p>
    <w:p w:rsidR="00172222" w:rsidRPr="00C173D7" w:rsidRDefault="00172222" w:rsidP="001B2566">
      <w:pPr>
        <w:jc w:val="center"/>
        <w:rPr>
          <w:rFonts w:ascii="Arial" w:hAnsi="Arial" w:cs="Arial"/>
          <w:sz w:val="20"/>
          <w:szCs w:val="20"/>
        </w:rPr>
      </w:pPr>
      <w:r w:rsidRPr="009E17B4">
        <w:rPr>
          <w:rFonts w:ascii="Arial" w:hAnsi="Arial" w:cs="Arial"/>
          <w:i/>
          <w:sz w:val="20"/>
          <w:szCs w:val="20"/>
        </w:rPr>
        <w:t>Radiocommunications Act 1992</w:t>
      </w:r>
    </w:p>
    <w:p w:rsidR="00570FBD" w:rsidRPr="00C173D7" w:rsidRDefault="009E17B4" w:rsidP="001B2566">
      <w:pPr>
        <w:spacing w:before="200" w:after="0"/>
        <w:jc w:val="center"/>
        <w:rPr>
          <w:rFonts w:ascii="Arial" w:hAnsi="Arial" w:cs="Arial"/>
          <w:i/>
          <w:sz w:val="20"/>
          <w:szCs w:val="20"/>
        </w:rPr>
      </w:pPr>
      <w:r w:rsidRPr="009E17B4">
        <w:rPr>
          <w:rFonts w:ascii="Arial" w:hAnsi="Arial" w:cs="Arial"/>
          <w:i/>
          <w:sz w:val="20"/>
          <w:szCs w:val="20"/>
        </w:rPr>
        <w:t>Radiocommunications (Spectrum Access Charge</w:t>
      </w:r>
      <w:r w:rsidR="00F37CAF">
        <w:rPr>
          <w:rFonts w:ascii="Arial" w:hAnsi="Arial" w:cs="Arial"/>
          <w:i/>
          <w:sz w:val="20"/>
          <w:szCs w:val="20"/>
        </w:rPr>
        <w:t>s</w:t>
      </w:r>
      <w:r w:rsidRPr="009E17B4">
        <w:rPr>
          <w:rFonts w:ascii="Arial" w:hAnsi="Arial" w:cs="Arial"/>
          <w:i/>
          <w:sz w:val="20"/>
          <w:szCs w:val="20"/>
        </w:rPr>
        <w:t xml:space="preserve"> – </w:t>
      </w:r>
      <w:r w:rsidR="00CC0643">
        <w:rPr>
          <w:rFonts w:ascii="Arial" w:hAnsi="Arial" w:cs="Arial"/>
          <w:i/>
          <w:sz w:val="20"/>
          <w:szCs w:val="20"/>
        </w:rPr>
        <w:t>1</w:t>
      </w:r>
      <w:r w:rsidRPr="009E17B4">
        <w:rPr>
          <w:rFonts w:ascii="Arial" w:hAnsi="Arial" w:cs="Arial"/>
          <w:i/>
          <w:sz w:val="20"/>
          <w:szCs w:val="20"/>
        </w:rPr>
        <w:t xml:space="preserve">800 MHz Band) </w:t>
      </w:r>
      <w:r w:rsidRPr="00C67FC8">
        <w:rPr>
          <w:rFonts w:ascii="Arial" w:hAnsi="Arial" w:cs="Arial"/>
          <w:i/>
          <w:sz w:val="20"/>
          <w:szCs w:val="20"/>
        </w:rPr>
        <w:t>Determination 201</w:t>
      </w:r>
      <w:r w:rsidR="00107E4D" w:rsidRPr="00C67FC8">
        <w:rPr>
          <w:rFonts w:ascii="Arial" w:hAnsi="Arial" w:cs="Arial"/>
          <w:i/>
          <w:sz w:val="20"/>
          <w:szCs w:val="20"/>
        </w:rPr>
        <w:t>3 (No.</w:t>
      </w:r>
      <w:r w:rsidR="00513FAA" w:rsidRPr="00C67FC8">
        <w:rPr>
          <w:rFonts w:ascii="Arial" w:hAnsi="Arial" w:cs="Arial"/>
          <w:i/>
          <w:sz w:val="20"/>
          <w:szCs w:val="20"/>
        </w:rPr>
        <w:t xml:space="preserve"> </w:t>
      </w:r>
      <w:r w:rsidR="00BE707A" w:rsidRPr="00C67FC8">
        <w:rPr>
          <w:rFonts w:ascii="Arial" w:hAnsi="Arial" w:cs="Arial"/>
          <w:i/>
          <w:sz w:val="20"/>
          <w:szCs w:val="20"/>
        </w:rPr>
        <w:t>2</w:t>
      </w:r>
      <w:r w:rsidRPr="00C67FC8">
        <w:rPr>
          <w:rFonts w:ascii="Arial" w:hAnsi="Arial" w:cs="Arial"/>
          <w:i/>
          <w:sz w:val="20"/>
          <w:szCs w:val="20"/>
        </w:rPr>
        <w:t>)</w:t>
      </w:r>
    </w:p>
    <w:p w:rsidR="006F2C93" w:rsidRDefault="006F2C93">
      <w:pPr>
        <w:jc w:val="both"/>
        <w:rPr>
          <w:rFonts w:ascii="Arial" w:hAnsi="Arial" w:cs="Arial"/>
          <w:i/>
          <w:sz w:val="20"/>
          <w:szCs w:val="20"/>
        </w:rPr>
      </w:pPr>
    </w:p>
    <w:p w:rsidR="006F2C93" w:rsidRDefault="00E93959" w:rsidP="003920A6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092561">
        <w:rPr>
          <w:rFonts w:ascii="Arial" w:hAnsi="Arial" w:cs="Arial"/>
          <w:b/>
          <w:sz w:val="20"/>
          <w:szCs w:val="20"/>
        </w:rPr>
        <w:t>Purpose</w:t>
      </w:r>
    </w:p>
    <w:p w:rsidR="006F2C93" w:rsidRDefault="00E93959" w:rsidP="003920A6">
      <w:pPr>
        <w:spacing w:line="360" w:lineRule="auto"/>
        <w:rPr>
          <w:rFonts w:ascii="Arial" w:hAnsi="Arial" w:cs="Arial"/>
          <w:sz w:val="20"/>
          <w:szCs w:val="20"/>
        </w:rPr>
      </w:pPr>
      <w:r w:rsidRPr="00092561">
        <w:rPr>
          <w:rFonts w:ascii="Arial" w:hAnsi="Arial" w:cs="Arial"/>
          <w:sz w:val="20"/>
          <w:szCs w:val="20"/>
        </w:rPr>
        <w:t xml:space="preserve">The purpose </w:t>
      </w:r>
      <w:r w:rsidRPr="00C173D7">
        <w:rPr>
          <w:rFonts w:ascii="Arial" w:hAnsi="Arial" w:cs="Arial"/>
          <w:sz w:val="20"/>
          <w:szCs w:val="20"/>
        </w:rPr>
        <w:t xml:space="preserve">of the </w:t>
      </w:r>
      <w:r w:rsidR="009E17B4" w:rsidRPr="009E17B4">
        <w:rPr>
          <w:rFonts w:ascii="Arial" w:hAnsi="Arial" w:cs="Arial"/>
          <w:i/>
          <w:sz w:val="20"/>
          <w:szCs w:val="20"/>
        </w:rPr>
        <w:t>Radiocommunications (Spectrum Access Charge</w:t>
      </w:r>
      <w:r w:rsidR="00F37CAF">
        <w:rPr>
          <w:rFonts w:ascii="Arial" w:hAnsi="Arial" w:cs="Arial"/>
          <w:i/>
          <w:sz w:val="20"/>
          <w:szCs w:val="20"/>
        </w:rPr>
        <w:t>s</w:t>
      </w:r>
      <w:r w:rsidR="009E17B4" w:rsidRPr="009E17B4">
        <w:rPr>
          <w:rFonts w:ascii="Arial" w:hAnsi="Arial" w:cs="Arial"/>
          <w:i/>
          <w:sz w:val="20"/>
          <w:szCs w:val="20"/>
        </w:rPr>
        <w:t xml:space="preserve"> – </w:t>
      </w:r>
      <w:r w:rsidR="00CC0643">
        <w:rPr>
          <w:rFonts w:ascii="Arial" w:hAnsi="Arial" w:cs="Arial"/>
          <w:i/>
          <w:sz w:val="20"/>
          <w:szCs w:val="20"/>
        </w:rPr>
        <w:t>1</w:t>
      </w:r>
      <w:r w:rsidR="009E17B4" w:rsidRPr="009E17B4">
        <w:rPr>
          <w:rFonts w:ascii="Arial" w:hAnsi="Arial" w:cs="Arial"/>
          <w:i/>
          <w:sz w:val="20"/>
          <w:szCs w:val="20"/>
        </w:rPr>
        <w:t xml:space="preserve">800 MHz Band) </w:t>
      </w:r>
      <w:r w:rsidR="009E17B4" w:rsidRPr="00C67FC8">
        <w:rPr>
          <w:rFonts w:ascii="Arial" w:hAnsi="Arial" w:cs="Arial"/>
          <w:i/>
          <w:sz w:val="20"/>
          <w:szCs w:val="20"/>
        </w:rPr>
        <w:t>Determination</w:t>
      </w:r>
      <w:r w:rsidR="00E817E3" w:rsidRPr="00C67FC8">
        <w:rPr>
          <w:rFonts w:ascii="Arial" w:hAnsi="Arial" w:cs="Arial"/>
          <w:i/>
          <w:sz w:val="20"/>
          <w:szCs w:val="20"/>
        </w:rPr>
        <w:t xml:space="preserve"> </w:t>
      </w:r>
      <w:r w:rsidR="009E17B4" w:rsidRPr="00C67FC8">
        <w:rPr>
          <w:rFonts w:ascii="Arial" w:hAnsi="Arial" w:cs="Arial"/>
          <w:i/>
          <w:sz w:val="20"/>
          <w:szCs w:val="20"/>
        </w:rPr>
        <w:t>201</w:t>
      </w:r>
      <w:r w:rsidR="00107E4D" w:rsidRPr="00C67FC8">
        <w:rPr>
          <w:rFonts w:ascii="Arial" w:hAnsi="Arial" w:cs="Arial"/>
          <w:i/>
          <w:sz w:val="20"/>
          <w:szCs w:val="20"/>
        </w:rPr>
        <w:t>3</w:t>
      </w:r>
      <w:r w:rsidR="009E17B4" w:rsidRPr="00C67FC8">
        <w:rPr>
          <w:rFonts w:ascii="Arial" w:hAnsi="Arial" w:cs="Arial"/>
          <w:i/>
          <w:sz w:val="20"/>
          <w:szCs w:val="20"/>
        </w:rPr>
        <w:t xml:space="preserve"> (No.</w:t>
      </w:r>
      <w:r w:rsidR="00513FAA" w:rsidRPr="00C67FC8">
        <w:rPr>
          <w:rFonts w:ascii="Arial" w:hAnsi="Arial" w:cs="Arial"/>
          <w:i/>
          <w:sz w:val="20"/>
          <w:szCs w:val="20"/>
        </w:rPr>
        <w:t xml:space="preserve"> </w:t>
      </w:r>
      <w:r w:rsidR="00BE707A" w:rsidRPr="00C67FC8">
        <w:rPr>
          <w:rFonts w:ascii="Arial" w:hAnsi="Arial" w:cs="Arial"/>
          <w:i/>
          <w:sz w:val="20"/>
          <w:szCs w:val="20"/>
        </w:rPr>
        <w:t>2</w:t>
      </w:r>
      <w:r w:rsidR="009E17B4" w:rsidRPr="00C67FC8">
        <w:rPr>
          <w:rFonts w:ascii="Arial" w:hAnsi="Arial" w:cs="Arial"/>
          <w:i/>
          <w:sz w:val="20"/>
          <w:szCs w:val="20"/>
        </w:rPr>
        <w:t>)</w:t>
      </w:r>
      <w:r w:rsidR="009E17B4" w:rsidRPr="00C67FC8">
        <w:rPr>
          <w:rFonts w:ascii="Arial" w:hAnsi="Arial" w:cs="Arial"/>
          <w:sz w:val="20"/>
          <w:szCs w:val="20"/>
        </w:rPr>
        <w:t xml:space="preserve"> (the</w:t>
      </w:r>
      <w:r w:rsidR="009E17B4" w:rsidRPr="009E17B4">
        <w:rPr>
          <w:rFonts w:ascii="Arial" w:hAnsi="Arial" w:cs="Arial"/>
          <w:sz w:val="20"/>
          <w:szCs w:val="20"/>
        </w:rPr>
        <w:t xml:space="preserve"> Determination) is to</w:t>
      </w:r>
      <w:r w:rsidR="00CD4852">
        <w:rPr>
          <w:rFonts w:ascii="Arial" w:hAnsi="Arial" w:cs="Arial"/>
          <w:sz w:val="20"/>
          <w:szCs w:val="20"/>
        </w:rPr>
        <w:t xml:space="preserve"> </w:t>
      </w:r>
      <w:r w:rsidR="00F37CAF">
        <w:rPr>
          <w:rFonts w:ascii="Arial" w:hAnsi="Arial" w:cs="Arial"/>
          <w:sz w:val="20"/>
          <w:szCs w:val="20"/>
        </w:rPr>
        <w:t>fix</w:t>
      </w:r>
      <w:r w:rsidR="00E817E3">
        <w:rPr>
          <w:rFonts w:ascii="Arial" w:hAnsi="Arial" w:cs="Arial"/>
          <w:sz w:val="20"/>
          <w:szCs w:val="20"/>
        </w:rPr>
        <w:t xml:space="preserve"> spectrum access charges </w:t>
      </w:r>
      <w:r w:rsidR="00F37CAF">
        <w:rPr>
          <w:rFonts w:ascii="Arial" w:hAnsi="Arial" w:cs="Arial"/>
          <w:sz w:val="20"/>
          <w:szCs w:val="20"/>
        </w:rPr>
        <w:t xml:space="preserve">payable by </w:t>
      </w:r>
      <w:r w:rsidR="00DF2F75">
        <w:rPr>
          <w:rFonts w:ascii="Arial" w:hAnsi="Arial" w:cs="Arial"/>
          <w:sz w:val="20"/>
          <w:szCs w:val="20"/>
        </w:rPr>
        <w:t xml:space="preserve">rail authority </w:t>
      </w:r>
      <w:r w:rsidR="00F37CAF">
        <w:rPr>
          <w:rFonts w:ascii="Arial" w:hAnsi="Arial" w:cs="Arial"/>
          <w:sz w:val="20"/>
          <w:szCs w:val="20"/>
        </w:rPr>
        <w:t xml:space="preserve">licensees </w:t>
      </w:r>
      <w:r w:rsidR="00E817E3">
        <w:rPr>
          <w:rFonts w:ascii="Arial" w:hAnsi="Arial" w:cs="Arial"/>
          <w:sz w:val="20"/>
          <w:szCs w:val="20"/>
        </w:rPr>
        <w:t xml:space="preserve">for </w:t>
      </w:r>
      <w:r w:rsidR="00827697">
        <w:rPr>
          <w:rFonts w:ascii="Arial" w:hAnsi="Arial" w:cs="Arial"/>
          <w:sz w:val="20"/>
          <w:szCs w:val="20"/>
        </w:rPr>
        <w:t xml:space="preserve">the re-issue of </w:t>
      </w:r>
      <w:r w:rsidR="00E817E3">
        <w:rPr>
          <w:rFonts w:ascii="Arial" w:hAnsi="Arial" w:cs="Arial"/>
          <w:sz w:val="20"/>
          <w:szCs w:val="20"/>
        </w:rPr>
        <w:t xml:space="preserve">expiring spectrum licences in the </w:t>
      </w:r>
      <w:r w:rsidR="00CC0643">
        <w:rPr>
          <w:rFonts w:ascii="Arial" w:hAnsi="Arial" w:cs="Arial"/>
          <w:sz w:val="20"/>
          <w:szCs w:val="20"/>
        </w:rPr>
        <w:t>1</w:t>
      </w:r>
      <w:r w:rsidR="00E817E3">
        <w:rPr>
          <w:rFonts w:ascii="Arial" w:hAnsi="Arial" w:cs="Arial"/>
          <w:sz w:val="20"/>
          <w:szCs w:val="20"/>
        </w:rPr>
        <w:t>800 MHz band.</w:t>
      </w:r>
    </w:p>
    <w:p w:rsidR="006F2C93" w:rsidRDefault="009E17B4" w:rsidP="003920A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E17B4">
        <w:rPr>
          <w:rFonts w:ascii="Arial" w:hAnsi="Arial" w:cs="Arial"/>
          <w:b/>
          <w:sz w:val="20"/>
          <w:szCs w:val="20"/>
        </w:rPr>
        <w:t>Legislative Provisions</w:t>
      </w:r>
    </w:p>
    <w:p w:rsidR="006F2C93" w:rsidRDefault="009E17B4" w:rsidP="003920A6">
      <w:pPr>
        <w:spacing w:line="360" w:lineRule="auto"/>
        <w:rPr>
          <w:rFonts w:ascii="Arial" w:hAnsi="Arial" w:cs="Arial"/>
          <w:sz w:val="20"/>
          <w:szCs w:val="20"/>
        </w:rPr>
      </w:pPr>
      <w:r w:rsidRPr="009E17B4">
        <w:rPr>
          <w:rFonts w:ascii="Arial" w:hAnsi="Arial" w:cs="Arial"/>
          <w:sz w:val="20"/>
          <w:szCs w:val="20"/>
        </w:rPr>
        <w:t>S</w:t>
      </w:r>
      <w:r w:rsidR="00F37CAF">
        <w:rPr>
          <w:rFonts w:ascii="Arial" w:hAnsi="Arial" w:cs="Arial"/>
          <w:sz w:val="20"/>
          <w:szCs w:val="20"/>
        </w:rPr>
        <w:t>ubs</w:t>
      </w:r>
      <w:r w:rsidRPr="009E17B4">
        <w:rPr>
          <w:rFonts w:ascii="Arial" w:hAnsi="Arial" w:cs="Arial"/>
          <w:sz w:val="20"/>
          <w:szCs w:val="20"/>
        </w:rPr>
        <w:t xml:space="preserve">ection 82(1) of the </w:t>
      </w:r>
      <w:r w:rsidR="00C22E1C" w:rsidRPr="00C22E1C">
        <w:rPr>
          <w:rFonts w:ascii="Arial" w:hAnsi="Arial" w:cs="Arial"/>
          <w:i/>
          <w:sz w:val="20"/>
          <w:szCs w:val="20"/>
        </w:rPr>
        <w:t>Radiocommunications Act 1992</w:t>
      </w:r>
      <w:r w:rsidR="00817A75">
        <w:rPr>
          <w:rFonts w:ascii="Arial" w:hAnsi="Arial" w:cs="Arial"/>
          <w:sz w:val="20"/>
          <w:szCs w:val="20"/>
        </w:rPr>
        <w:t xml:space="preserve"> (the </w:t>
      </w:r>
      <w:r w:rsidRPr="009E17B4">
        <w:rPr>
          <w:rFonts w:ascii="Arial" w:hAnsi="Arial" w:cs="Arial"/>
          <w:sz w:val="20"/>
          <w:szCs w:val="20"/>
        </w:rPr>
        <w:t>Act</w:t>
      </w:r>
      <w:r w:rsidR="00817A75">
        <w:rPr>
          <w:rFonts w:ascii="Arial" w:hAnsi="Arial" w:cs="Arial"/>
          <w:sz w:val="20"/>
          <w:szCs w:val="20"/>
        </w:rPr>
        <w:t>)</w:t>
      </w:r>
      <w:r w:rsidRPr="009E17B4">
        <w:rPr>
          <w:rFonts w:ascii="Arial" w:hAnsi="Arial" w:cs="Arial"/>
          <w:sz w:val="20"/>
          <w:szCs w:val="20"/>
        </w:rPr>
        <w:t xml:space="preserve"> provides for the </w:t>
      </w:r>
      <w:r w:rsidR="00EE7F65" w:rsidRPr="00EE7F65">
        <w:rPr>
          <w:rFonts w:ascii="Arial" w:hAnsi="Arial" w:cs="Arial"/>
          <w:sz w:val="20"/>
          <w:szCs w:val="20"/>
        </w:rPr>
        <w:t xml:space="preserve">Australian Communications and Media Authority </w:t>
      </w:r>
      <w:r w:rsidR="00EE7F65">
        <w:rPr>
          <w:rFonts w:ascii="Arial" w:hAnsi="Arial" w:cs="Arial"/>
          <w:sz w:val="20"/>
          <w:szCs w:val="20"/>
        </w:rPr>
        <w:t>(</w:t>
      </w:r>
      <w:r w:rsidR="00DE1BE6">
        <w:rPr>
          <w:rFonts w:ascii="Arial" w:hAnsi="Arial" w:cs="Arial"/>
          <w:sz w:val="20"/>
          <w:szCs w:val="20"/>
        </w:rPr>
        <w:t xml:space="preserve">the </w:t>
      </w:r>
      <w:r w:rsidRPr="009E17B4">
        <w:rPr>
          <w:rFonts w:ascii="Arial" w:hAnsi="Arial" w:cs="Arial"/>
          <w:sz w:val="20"/>
          <w:szCs w:val="20"/>
        </w:rPr>
        <w:t>ACMA</w:t>
      </w:r>
      <w:r w:rsidR="00EE7F65">
        <w:rPr>
          <w:rFonts w:ascii="Arial" w:hAnsi="Arial" w:cs="Arial"/>
          <w:sz w:val="20"/>
          <w:szCs w:val="20"/>
        </w:rPr>
        <w:t>)</w:t>
      </w:r>
      <w:r w:rsidRPr="009E17B4">
        <w:rPr>
          <w:rFonts w:ascii="Arial" w:hAnsi="Arial" w:cs="Arial"/>
          <w:sz w:val="20"/>
          <w:szCs w:val="20"/>
        </w:rPr>
        <w:t xml:space="preserve"> to re-issue a spectrum licence to the person to whom it was previously issued if the licence was used in the provision of a service included in a class of services specified in a determination under subsection 82(3) of the Act; or</w:t>
      </w:r>
      <w:r w:rsidR="00856FB6">
        <w:rPr>
          <w:rFonts w:ascii="Arial" w:hAnsi="Arial" w:cs="Arial"/>
          <w:sz w:val="20"/>
          <w:szCs w:val="20"/>
        </w:rPr>
        <w:t xml:space="preserve"> if</w:t>
      </w:r>
      <w:r w:rsidRPr="009E17B4">
        <w:rPr>
          <w:rFonts w:ascii="Arial" w:hAnsi="Arial" w:cs="Arial"/>
          <w:sz w:val="20"/>
          <w:szCs w:val="20"/>
        </w:rPr>
        <w:t xml:space="preserve"> the ACMA is satisfied that special circumstances exist as a result of which it is in the public interest for that person to continue to hold the licence.</w:t>
      </w:r>
    </w:p>
    <w:p w:rsidR="006F2C93" w:rsidRDefault="009E17B4" w:rsidP="003920A6">
      <w:pPr>
        <w:spacing w:line="360" w:lineRule="auto"/>
        <w:rPr>
          <w:rFonts w:ascii="Arial" w:hAnsi="Arial" w:cs="Arial"/>
          <w:sz w:val="20"/>
          <w:szCs w:val="20"/>
        </w:rPr>
      </w:pPr>
      <w:r w:rsidRPr="009E17B4">
        <w:rPr>
          <w:rFonts w:ascii="Arial" w:hAnsi="Arial" w:cs="Arial"/>
          <w:sz w:val="20"/>
          <w:szCs w:val="20"/>
        </w:rPr>
        <w:t>S</w:t>
      </w:r>
      <w:r w:rsidR="00F37CAF">
        <w:rPr>
          <w:rFonts w:ascii="Arial" w:hAnsi="Arial" w:cs="Arial"/>
          <w:sz w:val="20"/>
          <w:szCs w:val="20"/>
        </w:rPr>
        <w:t>ubs</w:t>
      </w:r>
      <w:r w:rsidRPr="009E17B4">
        <w:rPr>
          <w:rFonts w:ascii="Arial" w:hAnsi="Arial" w:cs="Arial"/>
          <w:sz w:val="20"/>
          <w:szCs w:val="20"/>
        </w:rPr>
        <w:t>ection 82(3) of the Act provides for the Minister to determine, by written instrument, a specified class of services for which re-issuing spectrum licences to the same licensees would be in the public interest.</w:t>
      </w:r>
    </w:p>
    <w:p w:rsidR="006F2C93" w:rsidRDefault="009E17B4" w:rsidP="003920A6">
      <w:pPr>
        <w:spacing w:line="360" w:lineRule="auto"/>
        <w:rPr>
          <w:rFonts w:ascii="Arial" w:hAnsi="Arial" w:cs="Arial"/>
          <w:sz w:val="20"/>
          <w:szCs w:val="20"/>
        </w:rPr>
      </w:pPr>
      <w:r w:rsidRPr="009E17B4">
        <w:rPr>
          <w:rFonts w:ascii="Arial" w:hAnsi="Arial" w:cs="Arial"/>
          <w:sz w:val="20"/>
          <w:szCs w:val="20"/>
        </w:rPr>
        <w:t>Subsection 294(1) of the Act provides that the ACMA may make determinations to fix spectrum access charges payable by licensees for re-issuing spectrum licen</w:t>
      </w:r>
      <w:r w:rsidR="00F37CAF">
        <w:rPr>
          <w:rFonts w:ascii="Arial" w:hAnsi="Arial" w:cs="Arial"/>
          <w:sz w:val="20"/>
          <w:szCs w:val="20"/>
        </w:rPr>
        <w:t>c</w:t>
      </w:r>
      <w:r w:rsidRPr="009E17B4">
        <w:rPr>
          <w:rFonts w:ascii="Arial" w:hAnsi="Arial" w:cs="Arial"/>
          <w:sz w:val="20"/>
          <w:szCs w:val="20"/>
        </w:rPr>
        <w:t>es and specify the times when spectrum access charges are payable.</w:t>
      </w:r>
    </w:p>
    <w:p w:rsidR="006F2C93" w:rsidRDefault="009E17B4" w:rsidP="003920A6">
      <w:pPr>
        <w:spacing w:line="360" w:lineRule="auto"/>
        <w:rPr>
          <w:rFonts w:ascii="Arial" w:hAnsi="Arial" w:cs="Arial"/>
        </w:rPr>
      </w:pPr>
      <w:r w:rsidRPr="009E17B4">
        <w:rPr>
          <w:rFonts w:ascii="Arial" w:hAnsi="Arial" w:cs="Arial"/>
          <w:sz w:val="20"/>
          <w:szCs w:val="20"/>
        </w:rPr>
        <w:t xml:space="preserve">Subsection 294(2) of the Act </w:t>
      </w:r>
      <w:r w:rsidR="00DF2F75">
        <w:rPr>
          <w:rFonts w:ascii="Arial" w:hAnsi="Arial" w:cs="Arial"/>
          <w:sz w:val="20"/>
          <w:szCs w:val="20"/>
        </w:rPr>
        <w:t xml:space="preserve">provides for </w:t>
      </w:r>
      <w:r w:rsidRPr="009E17B4">
        <w:rPr>
          <w:rFonts w:ascii="Arial" w:hAnsi="Arial" w:cs="Arial"/>
          <w:sz w:val="20"/>
          <w:szCs w:val="20"/>
        </w:rPr>
        <w:t>the Minister to give written directions to the ACMA about the matters dealt with in determinations.</w:t>
      </w:r>
    </w:p>
    <w:p w:rsidR="006F2C93" w:rsidRDefault="00E93959" w:rsidP="003920A6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092561">
        <w:rPr>
          <w:rFonts w:ascii="Arial" w:hAnsi="Arial" w:cs="Arial"/>
          <w:sz w:val="20"/>
          <w:szCs w:val="20"/>
        </w:rPr>
        <w:t xml:space="preserve">The Determination is a legislative instrument under the </w:t>
      </w:r>
      <w:r w:rsidRPr="00092561">
        <w:rPr>
          <w:rFonts w:ascii="Arial" w:hAnsi="Arial" w:cs="Arial"/>
          <w:i/>
          <w:sz w:val="20"/>
          <w:szCs w:val="20"/>
        </w:rPr>
        <w:t xml:space="preserve">Legislative Instruments Act 2003. </w:t>
      </w:r>
    </w:p>
    <w:p w:rsidR="006F2C93" w:rsidRDefault="009E17B4" w:rsidP="003920A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E17B4">
        <w:rPr>
          <w:rFonts w:ascii="Arial" w:hAnsi="Arial" w:cs="Arial"/>
          <w:b/>
          <w:sz w:val="20"/>
          <w:szCs w:val="20"/>
        </w:rPr>
        <w:t>Background</w:t>
      </w:r>
    </w:p>
    <w:p w:rsidR="00DF2F75" w:rsidRPr="00B96AB0" w:rsidRDefault="00423620" w:rsidP="003920A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Spectrum licences in the 1800 MHz band were auctioned from 1998 onwards and expire in two tranches</w:t>
      </w:r>
      <w:r w:rsidR="009E17B4" w:rsidRPr="009E17B4">
        <w:rPr>
          <w:rFonts w:ascii="Arial" w:hAnsi="Arial" w:cs="Arial"/>
          <w:sz w:val="20"/>
          <w:szCs w:val="20"/>
        </w:rPr>
        <w:t xml:space="preserve">.  </w:t>
      </w:r>
      <w:r w:rsidR="00DF2F75" w:rsidRPr="00B96AB0">
        <w:rPr>
          <w:rFonts w:ascii="Arial" w:hAnsi="Arial" w:cs="Arial"/>
          <w:sz w:val="20"/>
          <w:szCs w:val="20"/>
        </w:rPr>
        <w:t>Tranche 1 licences expired in June 2013</w:t>
      </w:r>
      <w:r w:rsidR="00DF2F75">
        <w:rPr>
          <w:rFonts w:ascii="Arial" w:hAnsi="Arial" w:cs="Arial"/>
          <w:sz w:val="20"/>
          <w:szCs w:val="20"/>
        </w:rPr>
        <w:t>,</w:t>
      </w:r>
      <w:r w:rsidR="00DF2F75" w:rsidRPr="00B96AB0">
        <w:rPr>
          <w:rFonts w:ascii="Arial" w:hAnsi="Arial" w:cs="Arial"/>
          <w:sz w:val="20"/>
          <w:szCs w:val="20"/>
        </w:rPr>
        <w:t xml:space="preserve"> and Tranche 2 licences will expire in May 2015. </w:t>
      </w:r>
    </w:p>
    <w:p w:rsidR="00DF2F75" w:rsidRDefault="00DF2F75" w:rsidP="003920A6">
      <w:pPr>
        <w:spacing w:line="360" w:lineRule="auto"/>
        <w:rPr>
          <w:rFonts w:ascii="Arial" w:hAnsi="Arial" w:cs="Arial"/>
          <w:sz w:val="20"/>
          <w:szCs w:val="20"/>
        </w:rPr>
      </w:pPr>
      <w:r w:rsidRPr="00B96AB0">
        <w:rPr>
          <w:rFonts w:ascii="Arial" w:hAnsi="Arial" w:cs="Arial"/>
          <w:sz w:val="20"/>
          <w:szCs w:val="20"/>
        </w:rPr>
        <w:t>Tranche 1 licen</w:t>
      </w:r>
      <w:r w:rsidR="004E35C3">
        <w:rPr>
          <w:rFonts w:ascii="Arial" w:hAnsi="Arial" w:cs="Arial"/>
          <w:sz w:val="20"/>
          <w:szCs w:val="20"/>
        </w:rPr>
        <w:t>c</w:t>
      </w:r>
      <w:r w:rsidRPr="00B96AB0">
        <w:rPr>
          <w:rFonts w:ascii="Arial" w:hAnsi="Arial" w:cs="Arial"/>
          <w:sz w:val="20"/>
          <w:szCs w:val="20"/>
        </w:rPr>
        <w:t xml:space="preserve">es were offered for re-issue in January </w:t>
      </w:r>
      <w:r w:rsidR="004E56FA" w:rsidRPr="00B96AB0">
        <w:rPr>
          <w:rFonts w:ascii="Arial" w:hAnsi="Arial" w:cs="Arial"/>
          <w:sz w:val="20"/>
          <w:szCs w:val="20"/>
        </w:rPr>
        <w:t>201</w:t>
      </w:r>
      <w:r w:rsidR="004E56FA">
        <w:rPr>
          <w:rFonts w:ascii="Arial" w:hAnsi="Arial" w:cs="Arial"/>
          <w:sz w:val="20"/>
          <w:szCs w:val="20"/>
        </w:rPr>
        <w:t>3</w:t>
      </w:r>
      <w:r w:rsidRPr="00B96AB0">
        <w:rPr>
          <w:rFonts w:ascii="Arial" w:hAnsi="Arial" w:cs="Arial"/>
          <w:sz w:val="20"/>
          <w:szCs w:val="20"/>
        </w:rPr>
        <w:t>. The majority of Tranche 2 licen</w:t>
      </w:r>
      <w:r w:rsidR="004E35C3">
        <w:rPr>
          <w:rFonts w:ascii="Arial" w:hAnsi="Arial" w:cs="Arial"/>
          <w:sz w:val="20"/>
          <w:szCs w:val="20"/>
        </w:rPr>
        <w:t>c</w:t>
      </w:r>
      <w:r w:rsidRPr="00B96AB0">
        <w:rPr>
          <w:rFonts w:ascii="Arial" w:hAnsi="Arial" w:cs="Arial"/>
          <w:sz w:val="20"/>
          <w:szCs w:val="20"/>
        </w:rPr>
        <w:t xml:space="preserve">es were also offered for re-issue at this time. </w:t>
      </w:r>
      <w:r>
        <w:rPr>
          <w:rFonts w:ascii="Arial" w:hAnsi="Arial" w:cs="Arial"/>
          <w:sz w:val="20"/>
          <w:szCs w:val="20"/>
        </w:rPr>
        <w:t xml:space="preserve">Spectrum access charges relating to </w:t>
      </w:r>
      <w:r w:rsidR="00856FB6">
        <w:rPr>
          <w:rFonts w:ascii="Arial" w:hAnsi="Arial" w:cs="Arial"/>
          <w:sz w:val="20"/>
          <w:szCs w:val="20"/>
        </w:rPr>
        <w:t>all</w:t>
      </w:r>
      <w:r w:rsidR="004E35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those licences were determined in December 2012. </w:t>
      </w:r>
    </w:p>
    <w:p w:rsidR="006F2C93" w:rsidRDefault="009E17B4" w:rsidP="003920A6">
      <w:pPr>
        <w:spacing w:line="360" w:lineRule="auto"/>
        <w:rPr>
          <w:rFonts w:ascii="Arial" w:hAnsi="Arial" w:cs="Arial"/>
          <w:sz w:val="20"/>
          <w:szCs w:val="20"/>
        </w:rPr>
      </w:pPr>
      <w:r w:rsidRPr="009E17B4">
        <w:rPr>
          <w:rFonts w:ascii="Arial" w:hAnsi="Arial" w:cs="Arial"/>
          <w:sz w:val="20"/>
          <w:szCs w:val="20"/>
        </w:rPr>
        <w:t xml:space="preserve">The </w:t>
      </w:r>
      <w:r w:rsidR="00DF2F75">
        <w:rPr>
          <w:rFonts w:ascii="Arial" w:hAnsi="Arial" w:cs="Arial"/>
          <w:sz w:val="20"/>
          <w:szCs w:val="20"/>
        </w:rPr>
        <w:t xml:space="preserve">rail authority </w:t>
      </w:r>
      <w:r w:rsidRPr="009E17B4">
        <w:rPr>
          <w:rFonts w:ascii="Arial" w:hAnsi="Arial" w:cs="Arial"/>
          <w:sz w:val="20"/>
          <w:szCs w:val="20"/>
        </w:rPr>
        <w:t xml:space="preserve">spectrum licences </w:t>
      </w:r>
      <w:r w:rsidR="00DF2F75">
        <w:rPr>
          <w:rFonts w:ascii="Arial" w:hAnsi="Arial" w:cs="Arial"/>
          <w:sz w:val="20"/>
          <w:szCs w:val="20"/>
        </w:rPr>
        <w:t>to which</w:t>
      </w:r>
      <w:r w:rsidR="00423620">
        <w:rPr>
          <w:rFonts w:ascii="Arial" w:hAnsi="Arial" w:cs="Arial"/>
          <w:sz w:val="20"/>
          <w:szCs w:val="20"/>
        </w:rPr>
        <w:t xml:space="preserve"> this Determination</w:t>
      </w:r>
      <w:r w:rsidR="00E817E3">
        <w:rPr>
          <w:rFonts w:ascii="Arial" w:hAnsi="Arial" w:cs="Arial"/>
          <w:sz w:val="20"/>
          <w:szCs w:val="20"/>
        </w:rPr>
        <w:t xml:space="preserve"> </w:t>
      </w:r>
      <w:r w:rsidR="00DF2F75">
        <w:rPr>
          <w:rFonts w:ascii="Arial" w:hAnsi="Arial" w:cs="Arial"/>
          <w:sz w:val="20"/>
          <w:szCs w:val="20"/>
        </w:rPr>
        <w:t xml:space="preserve">relates will </w:t>
      </w:r>
      <w:r w:rsidRPr="009E17B4">
        <w:rPr>
          <w:rFonts w:ascii="Arial" w:hAnsi="Arial" w:cs="Arial"/>
          <w:sz w:val="20"/>
          <w:szCs w:val="20"/>
        </w:rPr>
        <w:t xml:space="preserve">expire </w:t>
      </w:r>
      <w:r w:rsidR="002B3D4B">
        <w:rPr>
          <w:rFonts w:ascii="Arial" w:hAnsi="Arial" w:cs="Arial"/>
          <w:sz w:val="20"/>
          <w:szCs w:val="20"/>
        </w:rPr>
        <w:t xml:space="preserve">on 3 </w:t>
      </w:r>
      <w:r w:rsidR="005E5B8A">
        <w:rPr>
          <w:rFonts w:ascii="Arial" w:hAnsi="Arial" w:cs="Arial"/>
          <w:sz w:val="20"/>
          <w:szCs w:val="20"/>
        </w:rPr>
        <w:t>May 2015</w:t>
      </w:r>
      <w:r w:rsidRPr="009E17B4">
        <w:rPr>
          <w:rFonts w:ascii="Arial" w:hAnsi="Arial" w:cs="Arial"/>
          <w:sz w:val="20"/>
          <w:szCs w:val="20"/>
        </w:rPr>
        <w:t>.</w:t>
      </w:r>
    </w:p>
    <w:p w:rsidR="00691893" w:rsidRDefault="009E17B4" w:rsidP="003920A6">
      <w:pPr>
        <w:spacing w:line="360" w:lineRule="auto"/>
        <w:rPr>
          <w:rFonts w:ascii="Arial" w:hAnsi="Arial" w:cs="Arial"/>
          <w:szCs w:val="20"/>
        </w:rPr>
      </w:pPr>
      <w:r w:rsidRPr="009E17B4">
        <w:rPr>
          <w:rFonts w:ascii="Arial" w:hAnsi="Arial" w:cs="Arial"/>
          <w:sz w:val="20"/>
          <w:szCs w:val="20"/>
        </w:rPr>
        <w:lastRenderedPageBreak/>
        <w:t xml:space="preserve">Under </w:t>
      </w:r>
      <w:r w:rsidR="00DF2F75">
        <w:rPr>
          <w:rFonts w:ascii="Arial" w:hAnsi="Arial" w:cs="Arial"/>
          <w:sz w:val="20"/>
          <w:szCs w:val="20"/>
        </w:rPr>
        <w:t xml:space="preserve">subsection 82(1) of </w:t>
      </w:r>
      <w:r w:rsidRPr="009E17B4">
        <w:rPr>
          <w:rFonts w:ascii="Arial" w:hAnsi="Arial" w:cs="Arial"/>
          <w:sz w:val="20"/>
          <w:szCs w:val="20"/>
        </w:rPr>
        <w:t>the Act, the ACMA</w:t>
      </w:r>
      <w:r w:rsidR="00DF2F75">
        <w:rPr>
          <w:rFonts w:ascii="Arial" w:hAnsi="Arial" w:cs="Arial"/>
          <w:sz w:val="20"/>
          <w:szCs w:val="20"/>
        </w:rPr>
        <w:t xml:space="preserve"> may</w:t>
      </w:r>
      <w:r w:rsidR="00856FB6">
        <w:rPr>
          <w:rFonts w:ascii="Arial" w:hAnsi="Arial" w:cs="Arial"/>
          <w:sz w:val="20"/>
          <w:szCs w:val="20"/>
        </w:rPr>
        <w:t xml:space="preserve"> </w:t>
      </w:r>
      <w:r w:rsidR="00930BBE" w:rsidRPr="00930BBE">
        <w:rPr>
          <w:rFonts w:ascii="Arial" w:hAnsi="Arial" w:cs="Arial"/>
          <w:sz w:val="20"/>
          <w:szCs w:val="20"/>
        </w:rPr>
        <w:t>re-issue licence to the same licensees without undertaking a price-based allocation process, if:</w:t>
      </w:r>
    </w:p>
    <w:p w:rsidR="00691893" w:rsidRDefault="00F37CAF" w:rsidP="003920A6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</w:t>
      </w:r>
      <w:r w:rsidR="009E17B4" w:rsidRPr="009E17B4">
        <w:rPr>
          <w:rFonts w:ascii="Arial" w:hAnsi="Arial" w:cs="Arial"/>
          <w:szCs w:val="20"/>
        </w:rPr>
        <w:t xml:space="preserve">he licence </w:t>
      </w:r>
      <w:r w:rsidR="00DF2F75">
        <w:rPr>
          <w:rFonts w:ascii="Arial" w:hAnsi="Arial" w:cs="Arial"/>
          <w:szCs w:val="20"/>
        </w:rPr>
        <w:t>was</w:t>
      </w:r>
      <w:r w:rsidR="00DF2F75" w:rsidRPr="009E17B4">
        <w:rPr>
          <w:rFonts w:ascii="Arial" w:hAnsi="Arial" w:cs="Arial"/>
          <w:szCs w:val="20"/>
        </w:rPr>
        <w:t xml:space="preserve"> </w:t>
      </w:r>
      <w:r w:rsidR="009E17B4" w:rsidRPr="009E17B4">
        <w:rPr>
          <w:rFonts w:ascii="Arial" w:hAnsi="Arial" w:cs="Arial"/>
          <w:szCs w:val="20"/>
        </w:rPr>
        <w:t xml:space="preserve">used </w:t>
      </w:r>
      <w:r w:rsidR="00DF2F75">
        <w:rPr>
          <w:rFonts w:ascii="Arial" w:hAnsi="Arial" w:cs="Arial"/>
          <w:szCs w:val="20"/>
        </w:rPr>
        <w:t>in the provision of</w:t>
      </w:r>
      <w:r w:rsidR="009E17B4" w:rsidRPr="009E17B4">
        <w:rPr>
          <w:rFonts w:ascii="Arial" w:hAnsi="Arial" w:cs="Arial"/>
          <w:szCs w:val="20"/>
        </w:rPr>
        <w:t xml:space="preserve"> a service included in </w:t>
      </w:r>
      <w:r w:rsidR="00DF2F75">
        <w:rPr>
          <w:rFonts w:ascii="Arial" w:hAnsi="Arial" w:cs="Arial"/>
          <w:szCs w:val="20"/>
        </w:rPr>
        <w:t>a</w:t>
      </w:r>
      <w:r w:rsidR="00DF2F75" w:rsidRPr="009E17B4">
        <w:rPr>
          <w:rFonts w:ascii="Arial" w:hAnsi="Arial" w:cs="Arial"/>
          <w:szCs w:val="20"/>
        </w:rPr>
        <w:t xml:space="preserve"> </w:t>
      </w:r>
      <w:r w:rsidR="009E17B4" w:rsidRPr="009E17B4">
        <w:rPr>
          <w:rFonts w:ascii="Arial" w:hAnsi="Arial" w:cs="Arial"/>
          <w:szCs w:val="20"/>
        </w:rPr>
        <w:t xml:space="preserve">class of services </w:t>
      </w:r>
      <w:r w:rsidR="00DF2F75">
        <w:rPr>
          <w:rFonts w:ascii="Arial" w:hAnsi="Arial" w:cs="Arial"/>
          <w:szCs w:val="20"/>
        </w:rPr>
        <w:t>specified in a determination made under subsection 82(3) of the Act</w:t>
      </w:r>
      <w:r w:rsidR="009E17B4" w:rsidRPr="009E17B4">
        <w:rPr>
          <w:rFonts w:ascii="Arial" w:hAnsi="Arial" w:cs="Arial"/>
          <w:szCs w:val="20"/>
        </w:rPr>
        <w:t>; or</w:t>
      </w:r>
    </w:p>
    <w:p w:rsidR="00691893" w:rsidRDefault="00DF2F75" w:rsidP="003920A6">
      <w:pPr>
        <w:pStyle w:val="ListParagraph"/>
        <w:numPr>
          <w:ilvl w:val="0"/>
          <w:numId w:val="13"/>
        </w:numPr>
        <w:spacing w:after="20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the ACMA </w:t>
      </w:r>
      <w:r w:rsidR="009E17B4" w:rsidRPr="009E17B4">
        <w:rPr>
          <w:rFonts w:ascii="Arial" w:hAnsi="Arial" w:cs="Arial"/>
          <w:szCs w:val="20"/>
        </w:rPr>
        <w:t xml:space="preserve">is satisfied that special circumstances exist </w:t>
      </w:r>
      <w:r w:rsidR="00527C2B">
        <w:rPr>
          <w:rFonts w:ascii="Arial" w:hAnsi="Arial" w:cs="Arial"/>
          <w:szCs w:val="20"/>
        </w:rPr>
        <w:t>as a result of</w:t>
      </w:r>
      <w:r w:rsidR="00527C2B" w:rsidRPr="009E17B4">
        <w:rPr>
          <w:rFonts w:ascii="Arial" w:hAnsi="Arial" w:cs="Arial"/>
          <w:szCs w:val="20"/>
        </w:rPr>
        <w:t xml:space="preserve"> </w:t>
      </w:r>
      <w:r w:rsidR="009E17B4" w:rsidRPr="009E17B4">
        <w:rPr>
          <w:rFonts w:ascii="Arial" w:hAnsi="Arial" w:cs="Arial"/>
          <w:szCs w:val="20"/>
        </w:rPr>
        <w:t>which it is in the public interest for the existing licensee to continue to hold the licence.</w:t>
      </w:r>
    </w:p>
    <w:p w:rsidR="006F2C93" w:rsidRDefault="009E17B4" w:rsidP="003920A6">
      <w:pPr>
        <w:spacing w:line="360" w:lineRule="auto"/>
        <w:rPr>
          <w:rFonts w:ascii="Arial" w:hAnsi="Arial" w:cs="Arial"/>
          <w:sz w:val="20"/>
          <w:szCs w:val="20"/>
        </w:rPr>
      </w:pPr>
      <w:r w:rsidRPr="009E17B4">
        <w:rPr>
          <w:rFonts w:ascii="Arial" w:hAnsi="Arial" w:cs="Arial"/>
          <w:sz w:val="20"/>
          <w:szCs w:val="20"/>
        </w:rPr>
        <w:t>On 9 February 2012, the</w:t>
      </w:r>
      <w:r w:rsidR="00FC15A6">
        <w:rPr>
          <w:rFonts w:ascii="Arial" w:hAnsi="Arial" w:cs="Arial"/>
          <w:sz w:val="20"/>
          <w:szCs w:val="20"/>
        </w:rPr>
        <w:t xml:space="preserve"> the</w:t>
      </w:r>
      <w:r w:rsidR="00856FB6">
        <w:rPr>
          <w:rFonts w:ascii="Arial" w:hAnsi="Arial" w:cs="Arial"/>
          <w:sz w:val="20"/>
          <w:szCs w:val="20"/>
        </w:rPr>
        <w:t>n</w:t>
      </w:r>
      <w:r w:rsidRPr="009E17B4">
        <w:rPr>
          <w:rFonts w:ascii="Arial" w:hAnsi="Arial" w:cs="Arial"/>
          <w:sz w:val="20"/>
          <w:szCs w:val="20"/>
        </w:rPr>
        <w:t xml:space="preserve"> Minister for Broadband, Communications and the Digital Economy made </w:t>
      </w:r>
      <w:r w:rsidR="005067B6">
        <w:rPr>
          <w:rFonts w:ascii="Arial" w:hAnsi="Arial" w:cs="Arial"/>
          <w:sz w:val="20"/>
          <w:szCs w:val="20"/>
        </w:rPr>
        <w:t xml:space="preserve">the </w:t>
      </w:r>
      <w:r w:rsidRPr="009E17B4">
        <w:rPr>
          <w:rFonts w:ascii="Arial" w:hAnsi="Arial" w:cs="Arial"/>
          <w:i/>
          <w:sz w:val="20"/>
          <w:szCs w:val="20"/>
        </w:rPr>
        <w:t>Radiocommunications (Class of Services) Determination 2012</w:t>
      </w:r>
      <w:r w:rsidR="005067B6">
        <w:rPr>
          <w:rFonts w:ascii="Arial" w:hAnsi="Arial" w:cs="Arial"/>
          <w:sz w:val="20"/>
          <w:szCs w:val="20"/>
        </w:rPr>
        <w:t xml:space="preserve"> under subsection 82(3) of the Act.</w:t>
      </w:r>
      <w:r w:rsidR="005067B6" w:rsidRPr="009E17B4">
        <w:rPr>
          <w:rFonts w:ascii="Arial" w:hAnsi="Arial" w:cs="Arial"/>
          <w:sz w:val="20"/>
          <w:szCs w:val="20"/>
        </w:rPr>
        <w:t xml:space="preserve">  </w:t>
      </w:r>
      <w:r w:rsidRPr="009E17B4">
        <w:rPr>
          <w:rFonts w:ascii="Arial" w:hAnsi="Arial" w:cs="Arial"/>
          <w:sz w:val="20"/>
          <w:szCs w:val="20"/>
        </w:rPr>
        <w:t>In th</w:t>
      </w:r>
      <w:r w:rsidR="00856FB6">
        <w:rPr>
          <w:rFonts w:ascii="Arial" w:hAnsi="Arial" w:cs="Arial"/>
          <w:sz w:val="20"/>
          <w:szCs w:val="20"/>
        </w:rPr>
        <w:t>at</w:t>
      </w:r>
      <w:r w:rsidRPr="009E17B4">
        <w:rPr>
          <w:rFonts w:ascii="Arial" w:hAnsi="Arial" w:cs="Arial"/>
          <w:sz w:val="20"/>
          <w:szCs w:val="20"/>
        </w:rPr>
        <w:t xml:space="preserve"> determination, the </w:t>
      </w:r>
      <w:r w:rsidR="00856FB6">
        <w:rPr>
          <w:rFonts w:ascii="Arial" w:hAnsi="Arial" w:cs="Arial"/>
          <w:sz w:val="20"/>
          <w:szCs w:val="20"/>
        </w:rPr>
        <w:t>then</w:t>
      </w:r>
      <w:r w:rsidR="005067B6">
        <w:rPr>
          <w:rFonts w:ascii="Arial" w:hAnsi="Arial" w:cs="Arial"/>
          <w:sz w:val="20"/>
          <w:szCs w:val="20"/>
        </w:rPr>
        <w:t xml:space="preserve"> </w:t>
      </w:r>
      <w:r w:rsidRPr="009E17B4">
        <w:rPr>
          <w:rFonts w:ascii="Arial" w:hAnsi="Arial" w:cs="Arial"/>
          <w:sz w:val="20"/>
          <w:szCs w:val="20"/>
        </w:rPr>
        <w:t>Minister specified</w:t>
      </w:r>
      <w:r w:rsidR="005067B6">
        <w:rPr>
          <w:rFonts w:ascii="Arial" w:hAnsi="Arial" w:cs="Arial"/>
          <w:sz w:val="20"/>
          <w:szCs w:val="20"/>
        </w:rPr>
        <w:t xml:space="preserve"> several</w:t>
      </w:r>
      <w:r w:rsidRPr="009E17B4">
        <w:rPr>
          <w:rFonts w:ascii="Arial" w:hAnsi="Arial" w:cs="Arial"/>
          <w:sz w:val="20"/>
          <w:szCs w:val="20"/>
        </w:rPr>
        <w:t xml:space="preserve"> class</w:t>
      </w:r>
      <w:r w:rsidR="005067B6">
        <w:rPr>
          <w:rFonts w:ascii="Arial" w:hAnsi="Arial" w:cs="Arial"/>
          <w:sz w:val="20"/>
          <w:szCs w:val="20"/>
        </w:rPr>
        <w:t>es</w:t>
      </w:r>
      <w:r w:rsidRPr="009E17B4">
        <w:rPr>
          <w:rFonts w:ascii="Arial" w:hAnsi="Arial" w:cs="Arial"/>
          <w:sz w:val="20"/>
          <w:szCs w:val="20"/>
        </w:rPr>
        <w:t xml:space="preserve"> of services for which re-issuing spectrum licences to the same licensees would be in the public interest. The class</w:t>
      </w:r>
      <w:r w:rsidR="005067B6">
        <w:rPr>
          <w:rFonts w:ascii="Arial" w:hAnsi="Arial" w:cs="Arial"/>
          <w:sz w:val="20"/>
          <w:szCs w:val="20"/>
        </w:rPr>
        <w:t>es</w:t>
      </w:r>
      <w:r w:rsidRPr="009E17B4">
        <w:rPr>
          <w:rFonts w:ascii="Arial" w:hAnsi="Arial" w:cs="Arial"/>
          <w:sz w:val="20"/>
          <w:szCs w:val="20"/>
        </w:rPr>
        <w:t xml:space="preserve"> of services include:</w:t>
      </w:r>
    </w:p>
    <w:p w:rsidR="006F2C93" w:rsidRDefault="009E17B4" w:rsidP="003920A6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Cs w:val="20"/>
        </w:rPr>
      </w:pPr>
      <w:r w:rsidRPr="009E17B4">
        <w:rPr>
          <w:rFonts w:ascii="Arial" w:hAnsi="Arial" w:cs="Arial"/>
          <w:szCs w:val="20"/>
        </w:rPr>
        <w:t xml:space="preserve">mobile voice and data communications services in the 800 MHz, 1800 MHz and 2 GHz bands; </w:t>
      </w:r>
    </w:p>
    <w:p w:rsidR="006F2C93" w:rsidRDefault="009E17B4" w:rsidP="003920A6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Cs w:val="20"/>
        </w:rPr>
      </w:pPr>
      <w:r w:rsidRPr="009E17B4">
        <w:rPr>
          <w:rFonts w:ascii="Arial" w:hAnsi="Arial" w:cs="Arial"/>
          <w:szCs w:val="20"/>
        </w:rPr>
        <w:t>wireless broadband services in the 2.3 GHz</w:t>
      </w:r>
      <w:r w:rsidR="00352AFA">
        <w:rPr>
          <w:rFonts w:ascii="Arial" w:hAnsi="Arial" w:cs="Arial"/>
          <w:szCs w:val="20"/>
        </w:rPr>
        <w:t xml:space="preserve"> and</w:t>
      </w:r>
      <w:r w:rsidRPr="009E17B4">
        <w:rPr>
          <w:rFonts w:ascii="Arial" w:hAnsi="Arial" w:cs="Arial"/>
          <w:szCs w:val="20"/>
        </w:rPr>
        <w:t xml:space="preserve"> 3.4 GHz bands; and </w:t>
      </w:r>
    </w:p>
    <w:p w:rsidR="006F2C93" w:rsidRDefault="009E17B4" w:rsidP="003920A6">
      <w:pPr>
        <w:pStyle w:val="ListParagraph"/>
        <w:numPr>
          <w:ilvl w:val="0"/>
          <w:numId w:val="13"/>
        </w:numPr>
        <w:spacing w:after="200" w:line="240" w:lineRule="auto"/>
        <w:jc w:val="both"/>
        <w:rPr>
          <w:rFonts w:ascii="Arial" w:hAnsi="Arial" w:cs="Arial"/>
          <w:szCs w:val="20"/>
        </w:rPr>
      </w:pPr>
      <w:r w:rsidRPr="009E17B4">
        <w:rPr>
          <w:rFonts w:ascii="Arial" w:hAnsi="Arial" w:cs="Arial"/>
          <w:szCs w:val="20"/>
        </w:rPr>
        <w:t xml:space="preserve">satellite services in the 27 GHz band. </w:t>
      </w:r>
    </w:p>
    <w:p w:rsidR="006F2C93" w:rsidRDefault="005067B6" w:rsidP="003920A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considering whether to reissue the relevant licences</w:t>
      </w:r>
      <w:r w:rsidR="009E17B4" w:rsidRPr="009E17B4">
        <w:rPr>
          <w:rFonts w:ascii="Arial" w:hAnsi="Arial" w:cs="Arial"/>
          <w:sz w:val="20"/>
          <w:szCs w:val="20"/>
        </w:rPr>
        <w:t xml:space="preserve"> under </w:t>
      </w:r>
      <w:r w:rsidR="00352AFA">
        <w:rPr>
          <w:rFonts w:ascii="Arial" w:hAnsi="Arial" w:cs="Arial"/>
          <w:sz w:val="20"/>
          <w:szCs w:val="20"/>
        </w:rPr>
        <w:t>paragraph</w:t>
      </w:r>
      <w:r w:rsidR="009E17B4" w:rsidRPr="009E17B4">
        <w:rPr>
          <w:rFonts w:ascii="Arial" w:hAnsi="Arial" w:cs="Arial"/>
          <w:sz w:val="20"/>
          <w:szCs w:val="20"/>
        </w:rPr>
        <w:t xml:space="preserve"> 82(1)(a) of the Act</w:t>
      </w:r>
      <w:r>
        <w:rPr>
          <w:rFonts w:ascii="Arial" w:hAnsi="Arial" w:cs="Arial"/>
          <w:sz w:val="20"/>
          <w:szCs w:val="20"/>
        </w:rPr>
        <w:t>,</w:t>
      </w:r>
      <w:r w:rsidR="009E17B4" w:rsidRPr="009E17B4">
        <w:rPr>
          <w:rFonts w:ascii="Arial" w:hAnsi="Arial" w:cs="Arial"/>
          <w:sz w:val="20"/>
          <w:szCs w:val="20"/>
        </w:rPr>
        <w:t xml:space="preserve"> the ACMA </w:t>
      </w:r>
      <w:r>
        <w:rPr>
          <w:rFonts w:ascii="Arial" w:hAnsi="Arial" w:cs="Arial"/>
          <w:sz w:val="20"/>
          <w:szCs w:val="20"/>
        </w:rPr>
        <w:t xml:space="preserve">has </w:t>
      </w:r>
      <w:r w:rsidR="009E17B4" w:rsidRPr="009E17B4">
        <w:rPr>
          <w:rFonts w:ascii="Arial" w:hAnsi="Arial" w:cs="Arial"/>
          <w:sz w:val="20"/>
          <w:szCs w:val="20"/>
        </w:rPr>
        <w:t xml:space="preserve">consulted with </w:t>
      </w:r>
      <w:r w:rsidR="00352AFA">
        <w:rPr>
          <w:rFonts w:ascii="Arial" w:hAnsi="Arial" w:cs="Arial"/>
          <w:sz w:val="20"/>
          <w:szCs w:val="20"/>
        </w:rPr>
        <w:t>the existing</w:t>
      </w:r>
      <w:r w:rsidR="009E17B4" w:rsidRPr="009E17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rail authority </w:t>
      </w:r>
      <w:r w:rsidR="009E17B4" w:rsidRPr="009E17B4">
        <w:rPr>
          <w:rFonts w:ascii="Arial" w:hAnsi="Arial" w:cs="Arial"/>
          <w:sz w:val="20"/>
          <w:szCs w:val="20"/>
        </w:rPr>
        <w:t xml:space="preserve">licensees and relied </w:t>
      </w:r>
      <w:r>
        <w:rPr>
          <w:rFonts w:ascii="Arial" w:hAnsi="Arial" w:cs="Arial"/>
          <w:sz w:val="20"/>
          <w:szCs w:val="20"/>
        </w:rPr>
        <w:t>up</w:t>
      </w:r>
      <w:r w:rsidR="009E17B4" w:rsidRPr="009E17B4">
        <w:rPr>
          <w:rFonts w:ascii="Arial" w:hAnsi="Arial" w:cs="Arial"/>
          <w:sz w:val="20"/>
          <w:szCs w:val="20"/>
        </w:rPr>
        <w:t>on information provided</w:t>
      </w:r>
      <w:r w:rsidR="00352AFA">
        <w:rPr>
          <w:rFonts w:ascii="Arial" w:hAnsi="Arial" w:cs="Arial"/>
          <w:sz w:val="20"/>
          <w:szCs w:val="20"/>
        </w:rPr>
        <w:t>,</w:t>
      </w:r>
      <w:r w:rsidR="009E17B4" w:rsidRPr="009E17B4">
        <w:rPr>
          <w:rFonts w:ascii="Arial" w:hAnsi="Arial" w:cs="Arial"/>
          <w:sz w:val="20"/>
          <w:szCs w:val="20"/>
        </w:rPr>
        <w:t xml:space="preserve"> including:</w:t>
      </w:r>
    </w:p>
    <w:p w:rsidR="006F2C93" w:rsidRDefault="009E17B4" w:rsidP="003920A6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Cs w:val="20"/>
        </w:rPr>
      </w:pPr>
      <w:r w:rsidRPr="009E17B4">
        <w:rPr>
          <w:rFonts w:ascii="Arial" w:hAnsi="Arial" w:cs="Arial"/>
          <w:szCs w:val="20"/>
        </w:rPr>
        <w:t xml:space="preserve">the number of registered and deployed devices under each relevant licence;  </w:t>
      </w:r>
    </w:p>
    <w:p w:rsidR="006F2C93" w:rsidRDefault="009E17B4" w:rsidP="003920A6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Cs w:val="20"/>
        </w:rPr>
      </w:pPr>
      <w:r w:rsidRPr="009E17B4">
        <w:rPr>
          <w:rFonts w:ascii="Arial" w:hAnsi="Arial" w:cs="Arial"/>
          <w:szCs w:val="20"/>
        </w:rPr>
        <w:t xml:space="preserve">maps detailing the cumulative coverage area of the services offered by </w:t>
      </w:r>
      <w:r w:rsidR="005067B6">
        <w:rPr>
          <w:rFonts w:ascii="Arial" w:hAnsi="Arial" w:cs="Arial"/>
          <w:szCs w:val="20"/>
        </w:rPr>
        <w:t xml:space="preserve">the </w:t>
      </w:r>
      <w:r w:rsidRPr="009E17B4">
        <w:rPr>
          <w:rFonts w:ascii="Arial" w:hAnsi="Arial" w:cs="Arial"/>
          <w:szCs w:val="20"/>
        </w:rPr>
        <w:t>licensees;</w:t>
      </w:r>
      <w:r w:rsidR="00035879">
        <w:rPr>
          <w:rFonts w:ascii="Arial" w:hAnsi="Arial" w:cs="Arial"/>
          <w:szCs w:val="20"/>
        </w:rPr>
        <w:t xml:space="preserve"> and</w:t>
      </w:r>
    </w:p>
    <w:p w:rsidR="006F2C93" w:rsidRDefault="009E17B4" w:rsidP="003920A6">
      <w:pPr>
        <w:pStyle w:val="ListParagraph"/>
        <w:numPr>
          <w:ilvl w:val="0"/>
          <w:numId w:val="13"/>
        </w:numPr>
        <w:spacing w:after="200" w:line="240" w:lineRule="auto"/>
        <w:jc w:val="both"/>
        <w:rPr>
          <w:rFonts w:ascii="Arial" w:hAnsi="Arial" w:cs="Arial"/>
          <w:szCs w:val="20"/>
        </w:rPr>
      </w:pPr>
      <w:r w:rsidRPr="009E17B4">
        <w:rPr>
          <w:rFonts w:ascii="Arial" w:hAnsi="Arial" w:cs="Arial"/>
          <w:szCs w:val="20"/>
        </w:rPr>
        <w:t>information on the types of equipment and technology deployed</w:t>
      </w:r>
      <w:r w:rsidR="00035879">
        <w:rPr>
          <w:rFonts w:ascii="Arial" w:hAnsi="Arial" w:cs="Arial"/>
          <w:szCs w:val="20"/>
        </w:rPr>
        <w:t>.</w:t>
      </w:r>
    </w:p>
    <w:p w:rsidR="00930BBE" w:rsidRDefault="00930BBE" w:rsidP="00930BBE">
      <w:pPr>
        <w:pStyle w:val="ListParagraph"/>
        <w:spacing w:line="240" w:lineRule="auto"/>
        <w:ind w:left="1440"/>
        <w:jc w:val="both"/>
        <w:rPr>
          <w:rFonts w:ascii="Arial" w:hAnsi="Arial" w:cs="Arial"/>
          <w:szCs w:val="20"/>
        </w:rPr>
      </w:pPr>
    </w:p>
    <w:p w:rsidR="006F2C93" w:rsidRDefault="0009249F" w:rsidP="003920A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9 February 2012, the then Minister also made, under subsection 294(2) of th</w:t>
      </w:r>
      <w:r w:rsidR="009E17B4" w:rsidRPr="009E17B4">
        <w:rPr>
          <w:rFonts w:ascii="Arial" w:hAnsi="Arial" w:cs="Arial"/>
          <w:sz w:val="20"/>
          <w:szCs w:val="20"/>
        </w:rPr>
        <w:t>e Act</w:t>
      </w:r>
      <w:r w:rsidR="005067B6">
        <w:rPr>
          <w:rFonts w:ascii="Arial" w:hAnsi="Arial" w:cs="Arial"/>
          <w:sz w:val="20"/>
          <w:szCs w:val="20"/>
        </w:rPr>
        <w:t>,</w:t>
      </w:r>
      <w:r w:rsidR="009E17B4" w:rsidRPr="009E17B4">
        <w:rPr>
          <w:rFonts w:ascii="Arial" w:hAnsi="Arial" w:cs="Arial"/>
          <w:sz w:val="20"/>
          <w:szCs w:val="20"/>
        </w:rPr>
        <w:t xml:space="preserve"> </w:t>
      </w:r>
      <w:r w:rsidR="005067B6">
        <w:rPr>
          <w:rFonts w:ascii="Arial" w:hAnsi="Arial" w:cs="Arial"/>
          <w:sz w:val="20"/>
          <w:szCs w:val="20"/>
        </w:rPr>
        <w:t xml:space="preserve">the </w:t>
      </w:r>
      <w:r w:rsidR="009E17B4" w:rsidRPr="009E17B4">
        <w:rPr>
          <w:rFonts w:ascii="Arial" w:hAnsi="Arial" w:cs="Arial"/>
          <w:i/>
          <w:sz w:val="20"/>
          <w:szCs w:val="20"/>
        </w:rPr>
        <w:t>Radiocommunications (Spectrum Access Charges) Direction 2012</w:t>
      </w:r>
      <w:r w:rsidR="009E17B4" w:rsidRPr="009E17B4">
        <w:rPr>
          <w:rFonts w:ascii="Arial" w:hAnsi="Arial" w:cs="Arial"/>
          <w:sz w:val="20"/>
          <w:szCs w:val="20"/>
        </w:rPr>
        <w:t xml:space="preserve"> (the </w:t>
      </w:r>
      <w:r w:rsidR="005067B6">
        <w:rPr>
          <w:rFonts w:ascii="Arial" w:hAnsi="Arial" w:cs="Arial"/>
          <w:sz w:val="20"/>
          <w:szCs w:val="20"/>
        </w:rPr>
        <w:t>Pricing</w:t>
      </w:r>
      <w:r w:rsidR="009E17B4" w:rsidRPr="009E17B4">
        <w:rPr>
          <w:rFonts w:ascii="Arial" w:hAnsi="Arial" w:cs="Arial"/>
          <w:sz w:val="20"/>
          <w:szCs w:val="20"/>
        </w:rPr>
        <w:t xml:space="preserve"> Direction)</w:t>
      </w:r>
      <w:r w:rsidR="005067B6">
        <w:rPr>
          <w:rFonts w:ascii="Arial" w:hAnsi="Arial" w:cs="Arial"/>
          <w:sz w:val="20"/>
          <w:szCs w:val="20"/>
        </w:rPr>
        <w:t>.</w:t>
      </w:r>
      <w:r w:rsidR="009E17B4" w:rsidRPr="009E17B4">
        <w:rPr>
          <w:rFonts w:ascii="Arial" w:hAnsi="Arial" w:cs="Arial"/>
          <w:sz w:val="20"/>
          <w:szCs w:val="20"/>
        </w:rPr>
        <w:t xml:space="preserve"> </w:t>
      </w:r>
      <w:r w:rsidR="005067B6">
        <w:rPr>
          <w:rFonts w:ascii="Arial" w:hAnsi="Arial" w:cs="Arial"/>
          <w:sz w:val="20"/>
          <w:szCs w:val="20"/>
        </w:rPr>
        <w:t xml:space="preserve">The Pricing </w:t>
      </w:r>
      <w:r w:rsidR="005067B6" w:rsidRPr="00261B44">
        <w:rPr>
          <w:rFonts w:ascii="Arial" w:hAnsi="Arial" w:cs="Arial"/>
          <w:sz w:val="20"/>
          <w:szCs w:val="20"/>
        </w:rPr>
        <w:t xml:space="preserve">Direction </w:t>
      </w:r>
      <w:r w:rsidR="005067B6">
        <w:rPr>
          <w:rFonts w:ascii="Arial" w:hAnsi="Arial" w:cs="Arial"/>
          <w:sz w:val="20"/>
          <w:szCs w:val="20"/>
        </w:rPr>
        <w:t>specifies</w:t>
      </w:r>
      <w:r w:rsidR="005067B6" w:rsidRPr="00261B44">
        <w:rPr>
          <w:rFonts w:ascii="Arial" w:hAnsi="Arial" w:cs="Arial"/>
          <w:sz w:val="20"/>
          <w:szCs w:val="20"/>
        </w:rPr>
        <w:t xml:space="preserve"> the amount that the </w:t>
      </w:r>
      <w:r w:rsidR="004E56FA">
        <w:rPr>
          <w:rFonts w:ascii="Arial" w:hAnsi="Arial" w:cs="Arial"/>
          <w:sz w:val="20"/>
          <w:szCs w:val="20"/>
        </w:rPr>
        <w:t xml:space="preserve">then </w:t>
      </w:r>
      <w:r w:rsidR="005067B6" w:rsidRPr="00261B44">
        <w:rPr>
          <w:rFonts w:ascii="Arial" w:hAnsi="Arial" w:cs="Arial"/>
          <w:sz w:val="20"/>
          <w:szCs w:val="20"/>
        </w:rPr>
        <w:t>Minister consider</w:t>
      </w:r>
      <w:r w:rsidR="005067B6">
        <w:rPr>
          <w:rFonts w:ascii="Arial" w:hAnsi="Arial" w:cs="Arial"/>
          <w:sz w:val="20"/>
          <w:szCs w:val="20"/>
        </w:rPr>
        <w:t>ed</w:t>
      </w:r>
      <w:r w:rsidR="005067B6" w:rsidRPr="00261B44">
        <w:rPr>
          <w:rFonts w:ascii="Arial" w:hAnsi="Arial" w:cs="Arial"/>
          <w:sz w:val="20"/>
          <w:szCs w:val="20"/>
        </w:rPr>
        <w:t xml:space="preserve"> to be the value of the spectrum in relation to the spectrum bands specified</w:t>
      </w:r>
      <w:r w:rsidR="005067B6">
        <w:rPr>
          <w:rFonts w:ascii="Arial" w:hAnsi="Arial" w:cs="Arial"/>
          <w:sz w:val="20"/>
          <w:szCs w:val="20"/>
        </w:rPr>
        <w:t>,</w:t>
      </w:r>
      <w:r w:rsidR="005067B6" w:rsidRPr="00261B44">
        <w:rPr>
          <w:rFonts w:ascii="Arial" w:hAnsi="Arial" w:cs="Arial"/>
          <w:sz w:val="20"/>
          <w:szCs w:val="20"/>
        </w:rPr>
        <w:t xml:space="preserve"> and direct</w:t>
      </w:r>
      <w:r w:rsidR="005067B6">
        <w:rPr>
          <w:rFonts w:ascii="Arial" w:hAnsi="Arial" w:cs="Arial"/>
          <w:sz w:val="20"/>
          <w:szCs w:val="20"/>
        </w:rPr>
        <w:t>s</w:t>
      </w:r>
      <w:r w:rsidR="005067B6" w:rsidRPr="00261B44">
        <w:rPr>
          <w:rFonts w:ascii="Arial" w:hAnsi="Arial" w:cs="Arial"/>
          <w:sz w:val="20"/>
          <w:szCs w:val="20"/>
        </w:rPr>
        <w:t xml:space="preserve"> the ACMA </w:t>
      </w:r>
      <w:r w:rsidR="005067B6">
        <w:rPr>
          <w:rFonts w:ascii="Arial" w:hAnsi="Arial" w:cs="Arial"/>
          <w:sz w:val="20"/>
          <w:szCs w:val="20"/>
        </w:rPr>
        <w:t>to ensure that the</w:t>
      </w:r>
      <w:r w:rsidR="005067B6" w:rsidRPr="00261B44">
        <w:rPr>
          <w:rFonts w:ascii="Arial" w:hAnsi="Arial" w:cs="Arial"/>
          <w:sz w:val="20"/>
          <w:szCs w:val="20"/>
        </w:rPr>
        <w:t xml:space="preserve"> spectrum access charges</w:t>
      </w:r>
      <w:r w:rsidR="005067B6">
        <w:rPr>
          <w:rFonts w:ascii="Arial" w:hAnsi="Arial" w:cs="Arial"/>
          <w:sz w:val="20"/>
          <w:szCs w:val="20"/>
        </w:rPr>
        <w:t xml:space="preserve"> for </w:t>
      </w:r>
      <w:r w:rsidR="005067B6" w:rsidRPr="00261B44">
        <w:rPr>
          <w:rFonts w:ascii="Arial" w:hAnsi="Arial" w:cs="Arial"/>
          <w:sz w:val="20"/>
          <w:szCs w:val="20"/>
        </w:rPr>
        <w:t>re-issued licences reflect that amount.</w:t>
      </w:r>
    </w:p>
    <w:p w:rsidR="006F2C93" w:rsidRDefault="00883C1E" w:rsidP="003920A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="009E17B4" w:rsidRPr="009E17B4">
        <w:rPr>
          <w:rFonts w:ascii="Arial" w:hAnsi="Arial" w:cs="Arial"/>
          <w:sz w:val="20"/>
          <w:szCs w:val="20"/>
        </w:rPr>
        <w:t xml:space="preserve"> </w:t>
      </w:r>
      <w:r w:rsidR="005067B6">
        <w:rPr>
          <w:rFonts w:ascii="Arial" w:hAnsi="Arial" w:cs="Arial"/>
          <w:sz w:val="20"/>
          <w:szCs w:val="20"/>
        </w:rPr>
        <w:t>Pricing</w:t>
      </w:r>
      <w:r w:rsidR="004714FC">
        <w:rPr>
          <w:rFonts w:ascii="Arial" w:hAnsi="Arial" w:cs="Arial"/>
          <w:sz w:val="20"/>
          <w:szCs w:val="20"/>
        </w:rPr>
        <w:t xml:space="preserve"> </w:t>
      </w:r>
      <w:r w:rsidR="009E17B4" w:rsidRPr="009E17B4">
        <w:rPr>
          <w:rFonts w:ascii="Arial" w:hAnsi="Arial" w:cs="Arial"/>
          <w:sz w:val="20"/>
          <w:szCs w:val="20"/>
        </w:rPr>
        <w:t xml:space="preserve">Direction defines a formula for fixing the spectrum access charge payable by </w:t>
      </w:r>
      <w:r w:rsidR="00711913">
        <w:rPr>
          <w:rFonts w:ascii="Arial" w:hAnsi="Arial" w:cs="Arial"/>
          <w:sz w:val="20"/>
          <w:szCs w:val="20"/>
        </w:rPr>
        <w:t>a</w:t>
      </w:r>
      <w:r w:rsidR="009E17B4" w:rsidRPr="009E17B4">
        <w:rPr>
          <w:rFonts w:ascii="Arial" w:hAnsi="Arial" w:cs="Arial"/>
          <w:sz w:val="20"/>
          <w:szCs w:val="20"/>
        </w:rPr>
        <w:t xml:space="preserve"> licensee in relation to a re-issued spectrum licence.  The formula is based on a “$/MHz/Pop” calculation where:</w:t>
      </w:r>
    </w:p>
    <w:p w:rsidR="006F2C93" w:rsidRDefault="009E17B4">
      <w:pPr>
        <w:pStyle w:val="ListParagraph"/>
        <w:numPr>
          <w:ilvl w:val="0"/>
          <w:numId w:val="8"/>
        </w:numPr>
        <w:spacing w:after="200"/>
        <w:jc w:val="both"/>
        <w:rPr>
          <w:rFonts w:ascii="Arial" w:hAnsi="Arial" w:cs="Arial"/>
          <w:szCs w:val="20"/>
        </w:rPr>
      </w:pPr>
      <w:r w:rsidRPr="009E17B4">
        <w:rPr>
          <w:rFonts w:ascii="Arial" w:hAnsi="Arial" w:cs="Arial"/>
          <w:szCs w:val="20"/>
        </w:rPr>
        <w:t>$ = Australian dollars;</w:t>
      </w:r>
    </w:p>
    <w:p w:rsidR="006F2C93" w:rsidRDefault="009E17B4">
      <w:pPr>
        <w:pStyle w:val="ListParagraph"/>
        <w:numPr>
          <w:ilvl w:val="0"/>
          <w:numId w:val="8"/>
        </w:numPr>
        <w:spacing w:after="200"/>
        <w:jc w:val="both"/>
        <w:rPr>
          <w:rFonts w:ascii="Arial" w:hAnsi="Arial" w:cs="Arial"/>
          <w:szCs w:val="20"/>
        </w:rPr>
      </w:pPr>
      <w:r w:rsidRPr="009E17B4">
        <w:rPr>
          <w:rFonts w:ascii="Arial" w:hAnsi="Arial" w:cs="Arial"/>
          <w:szCs w:val="20"/>
        </w:rPr>
        <w:t xml:space="preserve">MHz = the bandwidth of spectrum authorised for use in the </w:t>
      </w:r>
      <w:r w:rsidR="00C20FEC">
        <w:rPr>
          <w:rFonts w:ascii="Arial" w:hAnsi="Arial" w:cs="Arial"/>
          <w:szCs w:val="20"/>
        </w:rPr>
        <w:t>relevant l</w:t>
      </w:r>
      <w:r w:rsidRPr="009E17B4">
        <w:rPr>
          <w:rFonts w:ascii="Arial" w:hAnsi="Arial" w:cs="Arial"/>
          <w:szCs w:val="20"/>
        </w:rPr>
        <w:t xml:space="preserve">icence </w:t>
      </w:r>
      <w:r w:rsidR="00C20FEC">
        <w:rPr>
          <w:rFonts w:ascii="Arial" w:hAnsi="Arial" w:cs="Arial"/>
          <w:szCs w:val="20"/>
        </w:rPr>
        <w:t>a</w:t>
      </w:r>
      <w:r w:rsidRPr="009E17B4">
        <w:rPr>
          <w:rFonts w:ascii="Arial" w:hAnsi="Arial" w:cs="Arial"/>
          <w:szCs w:val="20"/>
        </w:rPr>
        <w:t xml:space="preserve">rea; and </w:t>
      </w:r>
    </w:p>
    <w:p w:rsidR="006F2C93" w:rsidRDefault="009E17B4">
      <w:pPr>
        <w:pStyle w:val="ListParagraph"/>
        <w:numPr>
          <w:ilvl w:val="0"/>
          <w:numId w:val="8"/>
        </w:numPr>
        <w:spacing w:after="200"/>
        <w:jc w:val="both"/>
        <w:rPr>
          <w:rFonts w:ascii="Arial" w:hAnsi="Arial" w:cs="Arial"/>
          <w:szCs w:val="20"/>
        </w:rPr>
      </w:pPr>
      <w:r w:rsidRPr="009E17B4">
        <w:rPr>
          <w:rFonts w:ascii="Arial" w:hAnsi="Arial" w:cs="Arial"/>
          <w:szCs w:val="20"/>
        </w:rPr>
        <w:t xml:space="preserve">Pop = the population of the </w:t>
      </w:r>
      <w:r w:rsidR="000220F8">
        <w:rPr>
          <w:rFonts w:ascii="Arial" w:hAnsi="Arial" w:cs="Arial"/>
          <w:szCs w:val="20"/>
        </w:rPr>
        <w:t>licence area</w:t>
      </w:r>
      <w:r w:rsidRPr="009E17B4">
        <w:rPr>
          <w:rFonts w:ascii="Arial" w:hAnsi="Arial" w:cs="Arial"/>
          <w:szCs w:val="20"/>
        </w:rPr>
        <w:t xml:space="preserve">, to be determined by the ACMA at the time the ACMA determines the spectrum access charges under </w:t>
      </w:r>
      <w:r w:rsidR="008D4EA2">
        <w:rPr>
          <w:rFonts w:ascii="Arial" w:hAnsi="Arial" w:cs="Arial"/>
          <w:szCs w:val="20"/>
        </w:rPr>
        <w:t>sub</w:t>
      </w:r>
      <w:r w:rsidRPr="009E17B4">
        <w:rPr>
          <w:rFonts w:ascii="Arial" w:hAnsi="Arial" w:cs="Arial"/>
          <w:szCs w:val="20"/>
        </w:rPr>
        <w:t>section 294(1) of the Act</w:t>
      </w:r>
      <w:r w:rsidR="005067B6">
        <w:rPr>
          <w:rFonts w:ascii="Arial" w:hAnsi="Arial" w:cs="Arial"/>
          <w:szCs w:val="20"/>
        </w:rPr>
        <w:t>,</w:t>
      </w:r>
      <w:r w:rsidRPr="009E17B4">
        <w:rPr>
          <w:rFonts w:ascii="Arial" w:hAnsi="Arial" w:cs="Arial"/>
          <w:szCs w:val="20"/>
        </w:rPr>
        <w:t xml:space="preserve"> having regard to the available population data at that time.</w:t>
      </w:r>
    </w:p>
    <w:p w:rsidR="00077A78" w:rsidRDefault="00EA681F" w:rsidP="003920A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4714FC">
        <w:rPr>
          <w:rFonts w:ascii="Arial" w:hAnsi="Arial" w:cs="Arial"/>
          <w:sz w:val="20"/>
          <w:szCs w:val="20"/>
        </w:rPr>
        <w:t xml:space="preserve">he amount set </w:t>
      </w:r>
      <w:r w:rsidR="005C500E">
        <w:rPr>
          <w:rFonts w:ascii="Arial" w:hAnsi="Arial" w:cs="Arial"/>
          <w:sz w:val="20"/>
          <w:szCs w:val="20"/>
        </w:rPr>
        <w:t xml:space="preserve">by the Pricing Direction </w:t>
      </w:r>
      <w:r w:rsidR="004714FC">
        <w:rPr>
          <w:rFonts w:ascii="Arial" w:hAnsi="Arial" w:cs="Arial"/>
          <w:sz w:val="20"/>
          <w:szCs w:val="20"/>
        </w:rPr>
        <w:t xml:space="preserve">for </w:t>
      </w:r>
      <w:r w:rsidR="005C500E">
        <w:rPr>
          <w:rFonts w:ascii="Arial" w:hAnsi="Arial" w:cs="Arial"/>
          <w:sz w:val="20"/>
          <w:szCs w:val="20"/>
        </w:rPr>
        <w:t xml:space="preserve">licences in </w:t>
      </w:r>
      <w:r w:rsidR="004714FC">
        <w:rPr>
          <w:rFonts w:ascii="Arial" w:hAnsi="Arial" w:cs="Arial"/>
          <w:sz w:val="20"/>
          <w:szCs w:val="20"/>
        </w:rPr>
        <w:t>the 1800 MHz band is $0.23/MHz/Pop</w:t>
      </w:r>
      <w:r w:rsidR="005C500E">
        <w:rPr>
          <w:rFonts w:ascii="Arial" w:hAnsi="Arial" w:cs="Arial"/>
          <w:sz w:val="20"/>
          <w:szCs w:val="20"/>
        </w:rPr>
        <w:t>,</w:t>
      </w:r>
      <w:r w:rsidR="003D2D3C">
        <w:rPr>
          <w:rFonts w:ascii="Arial" w:hAnsi="Arial" w:cs="Arial"/>
          <w:sz w:val="20"/>
          <w:szCs w:val="20"/>
        </w:rPr>
        <w:t xml:space="preserve"> based on a 15-year licence period</w:t>
      </w:r>
      <w:r w:rsidR="004714FC">
        <w:rPr>
          <w:rFonts w:ascii="Arial" w:hAnsi="Arial" w:cs="Arial"/>
          <w:sz w:val="20"/>
          <w:szCs w:val="20"/>
        </w:rPr>
        <w:t xml:space="preserve">. </w:t>
      </w:r>
      <w:r w:rsidR="00077A78">
        <w:rPr>
          <w:rFonts w:ascii="Arial" w:hAnsi="Arial" w:cs="Arial"/>
          <w:sz w:val="20"/>
          <w:szCs w:val="20"/>
        </w:rPr>
        <w:t xml:space="preserve">However, the licences </w:t>
      </w:r>
      <w:r w:rsidR="005C500E">
        <w:rPr>
          <w:rFonts w:ascii="Arial" w:hAnsi="Arial" w:cs="Arial"/>
          <w:sz w:val="20"/>
          <w:szCs w:val="20"/>
        </w:rPr>
        <w:t>to which this</w:t>
      </w:r>
      <w:r w:rsidR="00077A78">
        <w:rPr>
          <w:rFonts w:ascii="Arial" w:hAnsi="Arial" w:cs="Arial"/>
          <w:sz w:val="20"/>
          <w:szCs w:val="20"/>
        </w:rPr>
        <w:t xml:space="preserve"> Determination</w:t>
      </w:r>
      <w:r w:rsidR="005C500E">
        <w:rPr>
          <w:rFonts w:ascii="Arial" w:hAnsi="Arial" w:cs="Arial"/>
          <w:sz w:val="20"/>
          <w:szCs w:val="20"/>
        </w:rPr>
        <w:t xml:space="preserve"> relates</w:t>
      </w:r>
      <w:r w:rsidR="00077A78">
        <w:rPr>
          <w:rFonts w:ascii="Arial" w:hAnsi="Arial" w:cs="Arial"/>
          <w:sz w:val="20"/>
          <w:szCs w:val="20"/>
        </w:rPr>
        <w:t xml:space="preserve"> will be re-issued </w:t>
      </w:r>
      <w:r w:rsidR="005C500E">
        <w:rPr>
          <w:rFonts w:ascii="Arial" w:hAnsi="Arial" w:cs="Arial"/>
          <w:sz w:val="20"/>
          <w:szCs w:val="20"/>
        </w:rPr>
        <w:t xml:space="preserve">for </w:t>
      </w:r>
      <w:r w:rsidR="00077A78">
        <w:rPr>
          <w:rFonts w:ascii="Arial" w:hAnsi="Arial" w:cs="Arial"/>
          <w:sz w:val="20"/>
          <w:szCs w:val="20"/>
        </w:rPr>
        <w:t>a shorter duration of 13 years and 45 days</w:t>
      </w:r>
      <w:r w:rsidR="005C500E">
        <w:rPr>
          <w:rFonts w:ascii="Arial" w:hAnsi="Arial" w:cs="Arial"/>
          <w:sz w:val="20"/>
          <w:szCs w:val="20"/>
        </w:rPr>
        <w:t>,</w:t>
      </w:r>
      <w:r w:rsidR="00077A78">
        <w:rPr>
          <w:rFonts w:ascii="Arial" w:hAnsi="Arial" w:cs="Arial"/>
          <w:sz w:val="20"/>
          <w:szCs w:val="20"/>
        </w:rPr>
        <w:t xml:space="preserve"> in order to align the</w:t>
      </w:r>
      <w:r w:rsidR="005C500E">
        <w:rPr>
          <w:rFonts w:ascii="Arial" w:hAnsi="Arial" w:cs="Arial"/>
          <w:sz w:val="20"/>
          <w:szCs w:val="20"/>
        </w:rPr>
        <w:t>ir</w:t>
      </w:r>
      <w:r w:rsidR="00077A78">
        <w:rPr>
          <w:rFonts w:ascii="Arial" w:hAnsi="Arial" w:cs="Arial"/>
          <w:sz w:val="20"/>
          <w:szCs w:val="20"/>
        </w:rPr>
        <w:t xml:space="preserve"> expiry date </w:t>
      </w:r>
      <w:r w:rsidR="005C500E">
        <w:rPr>
          <w:rFonts w:ascii="Arial" w:hAnsi="Arial" w:cs="Arial"/>
          <w:sz w:val="20"/>
          <w:szCs w:val="20"/>
        </w:rPr>
        <w:t>with that</w:t>
      </w:r>
      <w:r w:rsidR="00077A78">
        <w:rPr>
          <w:rFonts w:ascii="Arial" w:hAnsi="Arial" w:cs="Arial"/>
          <w:sz w:val="20"/>
          <w:szCs w:val="20"/>
        </w:rPr>
        <w:t xml:space="preserve"> of </w:t>
      </w:r>
      <w:r w:rsidR="005C500E">
        <w:rPr>
          <w:rFonts w:ascii="Arial" w:hAnsi="Arial" w:cs="Arial"/>
          <w:sz w:val="20"/>
          <w:szCs w:val="20"/>
        </w:rPr>
        <w:t xml:space="preserve">the </w:t>
      </w:r>
      <w:r w:rsidR="004E35C3">
        <w:rPr>
          <w:rFonts w:ascii="Arial" w:hAnsi="Arial" w:cs="Arial"/>
          <w:sz w:val="20"/>
          <w:szCs w:val="20"/>
        </w:rPr>
        <w:t>T</w:t>
      </w:r>
      <w:r w:rsidR="005C500E">
        <w:rPr>
          <w:rFonts w:ascii="Arial" w:hAnsi="Arial" w:cs="Arial"/>
          <w:sz w:val="20"/>
          <w:szCs w:val="20"/>
        </w:rPr>
        <w:t xml:space="preserve">ranche 1 </w:t>
      </w:r>
      <w:r w:rsidR="00077A78">
        <w:rPr>
          <w:rFonts w:ascii="Arial" w:hAnsi="Arial" w:cs="Arial"/>
          <w:sz w:val="20"/>
          <w:szCs w:val="20"/>
        </w:rPr>
        <w:t xml:space="preserve">re-issued spectrum licences </w:t>
      </w:r>
      <w:r w:rsidR="005C500E">
        <w:rPr>
          <w:rFonts w:ascii="Arial" w:hAnsi="Arial" w:cs="Arial"/>
          <w:sz w:val="20"/>
          <w:szCs w:val="20"/>
        </w:rPr>
        <w:t>(</w:t>
      </w:r>
      <w:r w:rsidR="00077A78">
        <w:rPr>
          <w:rFonts w:ascii="Arial" w:hAnsi="Arial" w:cs="Arial"/>
          <w:sz w:val="20"/>
          <w:szCs w:val="20"/>
        </w:rPr>
        <w:t>17 June 2028</w:t>
      </w:r>
      <w:r w:rsidR="005C500E">
        <w:rPr>
          <w:rFonts w:ascii="Arial" w:hAnsi="Arial" w:cs="Arial"/>
          <w:sz w:val="20"/>
          <w:szCs w:val="20"/>
        </w:rPr>
        <w:t>)</w:t>
      </w:r>
      <w:r w:rsidR="00077A78">
        <w:rPr>
          <w:rFonts w:ascii="Arial" w:hAnsi="Arial" w:cs="Arial"/>
          <w:sz w:val="20"/>
          <w:szCs w:val="20"/>
        </w:rPr>
        <w:t xml:space="preserve">. </w:t>
      </w:r>
    </w:p>
    <w:p w:rsidR="004E56FA" w:rsidRDefault="00077A78" w:rsidP="003920A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Accordingly, i</w:t>
      </w:r>
      <w:r w:rsidR="004714FC">
        <w:rPr>
          <w:rFonts w:ascii="Arial" w:hAnsi="Arial" w:cs="Arial"/>
          <w:sz w:val="20"/>
          <w:szCs w:val="20"/>
        </w:rPr>
        <w:t>n determining the spectrum access charge for the</w:t>
      </w:r>
      <w:r w:rsidR="005C500E">
        <w:rPr>
          <w:rFonts w:ascii="Arial" w:hAnsi="Arial" w:cs="Arial"/>
          <w:sz w:val="20"/>
          <w:szCs w:val="20"/>
        </w:rPr>
        <w:t xml:space="preserve"> rail authority </w:t>
      </w:r>
      <w:r w:rsidR="004714FC">
        <w:rPr>
          <w:rFonts w:ascii="Arial" w:hAnsi="Arial" w:cs="Arial"/>
          <w:sz w:val="20"/>
          <w:szCs w:val="20"/>
        </w:rPr>
        <w:t xml:space="preserve">licences </w:t>
      </w:r>
      <w:r w:rsidR="005C500E">
        <w:rPr>
          <w:rFonts w:ascii="Arial" w:hAnsi="Arial" w:cs="Arial"/>
          <w:sz w:val="20"/>
          <w:szCs w:val="20"/>
        </w:rPr>
        <w:t xml:space="preserve">to which </w:t>
      </w:r>
      <w:r w:rsidR="004714FC">
        <w:rPr>
          <w:rFonts w:ascii="Arial" w:hAnsi="Arial" w:cs="Arial"/>
          <w:sz w:val="20"/>
          <w:szCs w:val="20"/>
        </w:rPr>
        <w:t>th</w:t>
      </w:r>
      <w:r w:rsidR="006A3C9E">
        <w:rPr>
          <w:rFonts w:ascii="Arial" w:hAnsi="Arial" w:cs="Arial"/>
          <w:sz w:val="20"/>
          <w:szCs w:val="20"/>
        </w:rPr>
        <w:t>is</w:t>
      </w:r>
      <w:r w:rsidR="004714FC">
        <w:rPr>
          <w:rFonts w:ascii="Arial" w:hAnsi="Arial" w:cs="Arial"/>
          <w:sz w:val="20"/>
          <w:szCs w:val="20"/>
        </w:rPr>
        <w:t xml:space="preserve"> Determination</w:t>
      </w:r>
      <w:r w:rsidR="005C500E">
        <w:rPr>
          <w:rFonts w:ascii="Arial" w:hAnsi="Arial" w:cs="Arial"/>
          <w:sz w:val="20"/>
          <w:szCs w:val="20"/>
        </w:rPr>
        <w:t xml:space="preserve"> relates</w:t>
      </w:r>
      <w:r w:rsidR="004714FC">
        <w:rPr>
          <w:rFonts w:ascii="Arial" w:hAnsi="Arial" w:cs="Arial"/>
          <w:sz w:val="20"/>
          <w:szCs w:val="20"/>
        </w:rPr>
        <w:t xml:space="preserve">, </w:t>
      </w:r>
      <w:bookmarkStart w:id="0" w:name="OLE_LINK1"/>
      <w:bookmarkStart w:id="1" w:name="OLE_LINK2"/>
      <w:r w:rsidR="004714FC">
        <w:rPr>
          <w:rFonts w:ascii="Arial" w:hAnsi="Arial" w:cs="Arial"/>
          <w:sz w:val="20"/>
          <w:szCs w:val="20"/>
        </w:rPr>
        <w:t xml:space="preserve">the ACMA assessed the value of the spectrum based on a licence that is </w:t>
      </w:r>
      <w:r w:rsidR="003D2D3C">
        <w:rPr>
          <w:rFonts w:ascii="Arial" w:hAnsi="Arial" w:cs="Arial"/>
          <w:sz w:val="20"/>
          <w:szCs w:val="20"/>
        </w:rPr>
        <w:t>re-</w:t>
      </w:r>
      <w:r w:rsidR="004714FC">
        <w:rPr>
          <w:rFonts w:ascii="Arial" w:hAnsi="Arial" w:cs="Arial"/>
          <w:sz w:val="20"/>
          <w:szCs w:val="20"/>
        </w:rPr>
        <w:lastRenderedPageBreak/>
        <w:t xml:space="preserve">issued for a period of </w:t>
      </w:r>
      <w:r w:rsidR="006524D5" w:rsidRPr="002267FD">
        <w:rPr>
          <w:rFonts w:ascii="Arial" w:hAnsi="Arial" w:cs="Arial"/>
          <w:sz w:val="20"/>
          <w:szCs w:val="20"/>
        </w:rPr>
        <w:t>13 years</w:t>
      </w:r>
      <w:r w:rsidR="00435BB8" w:rsidRPr="00435BB8">
        <w:rPr>
          <w:rFonts w:ascii="Arial" w:hAnsi="Arial" w:cs="Arial"/>
          <w:sz w:val="20"/>
          <w:szCs w:val="20"/>
        </w:rPr>
        <w:t xml:space="preserve"> and 45 days</w:t>
      </w:r>
      <w:r w:rsidR="004714FC">
        <w:rPr>
          <w:rFonts w:ascii="Arial" w:hAnsi="Arial" w:cs="Arial"/>
          <w:sz w:val="20"/>
          <w:szCs w:val="20"/>
        </w:rPr>
        <w:t>.</w:t>
      </w:r>
      <w:r w:rsidR="009F0250">
        <w:rPr>
          <w:rFonts w:ascii="Arial" w:hAnsi="Arial" w:cs="Arial"/>
          <w:sz w:val="20"/>
          <w:szCs w:val="20"/>
        </w:rPr>
        <w:t xml:space="preserve"> </w:t>
      </w:r>
      <w:r w:rsidR="006A3C9E">
        <w:rPr>
          <w:rFonts w:ascii="Arial" w:hAnsi="Arial" w:cs="Arial"/>
          <w:sz w:val="20"/>
          <w:szCs w:val="20"/>
        </w:rPr>
        <w:t xml:space="preserve">The approach essentially first constructs annual cash flows that grow at a constant annual rate across the entire 15 year licence period and are consistent in net present value terms with the </w:t>
      </w:r>
      <w:r w:rsidR="004E56FA">
        <w:rPr>
          <w:rFonts w:ascii="Arial" w:hAnsi="Arial" w:cs="Arial"/>
          <w:sz w:val="20"/>
          <w:szCs w:val="20"/>
        </w:rPr>
        <w:t xml:space="preserve">then </w:t>
      </w:r>
      <w:r w:rsidR="006A3C9E">
        <w:rPr>
          <w:rFonts w:ascii="Arial" w:hAnsi="Arial" w:cs="Arial"/>
          <w:sz w:val="20"/>
          <w:szCs w:val="20"/>
        </w:rPr>
        <w:t>Minister’s valuation ($0.23/MHz/Pop). These constructed cash</w:t>
      </w:r>
      <w:r w:rsidR="003D2D3C">
        <w:rPr>
          <w:rFonts w:ascii="Arial" w:hAnsi="Arial" w:cs="Arial"/>
          <w:sz w:val="20"/>
          <w:szCs w:val="20"/>
        </w:rPr>
        <w:t xml:space="preserve"> </w:t>
      </w:r>
      <w:r w:rsidR="006A3C9E">
        <w:rPr>
          <w:rFonts w:ascii="Arial" w:hAnsi="Arial" w:cs="Arial"/>
          <w:sz w:val="20"/>
          <w:szCs w:val="20"/>
        </w:rPr>
        <w:t>flows are then re-valued over the shorter licence period.</w:t>
      </w:r>
      <w:bookmarkEnd w:id="0"/>
      <w:bookmarkEnd w:id="1"/>
      <w:r w:rsidR="00DB35A3">
        <w:rPr>
          <w:rFonts w:ascii="Arial" w:hAnsi="Arial" w:cs="Arial"/>
          <w:sz w:val="20"/>
          <w:szCs w:val="20"/>
        </w:rPr>
        <w:t xml:space="preserve">  </w:t>
      </w:r>
    </w:p>
    <w:p w:rsidR="006F2C93" w:rsidRDefault="004A1B41" w:rsidP="003920A6">
      <w:pPr>
        <w:spacing w:line="360" w:lineRule="auto"/>
        <w:rPr>
          <w:rFonts w:ascii="Arial" w:hAnsi="Arial" w:cs="Arial"/>
          <w:sz w:val="20"/>
          <w:szCs w:val="20"/>
        </w:rPr>
      </w:pPr>
      <w:r w:rsidRPr="004A1B41">
        <w:rPr>
          <w:rFonts w:ascii="Arial" w:hAnsi="Arial" w:cs="Arial"/>
          <w:sz w:val="20"/>
          <w:szCs w:val="20"/>
        </w:rPr>
        <w:t xml:space="preserve">The formula for the initial part-period valued at the beginning of the licence period is: </w:t>
      </w:r>
    </w:p>
    <w:p w:rsidR="006F2C93" w:rsidRDefault="00F30932">
      <w:pPr>
        <w:ind w:left="720"/>
        <w:jc w:val="both"/>
        <w:rPr>
          <w:rFonts w:ascii="Arial" w:hAnsi="Arial" w:cs="Arial"/>
          <w:sz w:val="20"/>
          <w:szCs w:val="20"/>
        </w:rPr>
      </w:pPr>
      <m:oMath>
        <m:sSub>
          <m:sSub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PPV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n</m:t>
            </m:r>
          </m:sub>
        </m:sSub>
        <m:r>
          <w:rPr>
            <w:rFonts w:ascii="Cambria Math" w:hAnsi="Arial" w:cs="Arial"/>
            <w:sz w:val="20"/>
            <w:szCs w:val="20"/>
          </w:rPr>
          <m:t xml:space="preserve">= </m:t>
        </m:r>
        <m:f>
          <m:f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FPV</m:t>
                </m:r>
              </m:e>
              <m:sub/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Arial" w:cs="Arial"/>
                    <w:sz w:val="20"/>
                    <w:szCs w:val="20"/>
                  </w:rPr>
                  <m:t xml:space="preserve">1+ 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Arial" w:cs="Arial"/>
                        <w:sz w:val="20"/>
                        <w:szCs w:val="20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Arial" w:cs="Arial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Arial" w:cs="Arial"/>
                                <w:sz w:val="20"/>
                                <w:szCs w:val="20"/>
                              </w:rPr>
                              <m:t>1+r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n</m:t>
                        </m:r>
                      </m:sup>
                    </m:sSup>
                  </m:den>
                </m:f>
                <m:r>
                  <w:rPr>
                    <w:rFonts w:ascii="Cambria Math" w:hAnsi="Arial" w:cs="Arial"/>
                    <w:sz w:val="20"/>
                    <w:szCs w:val="20"/>
                  </w:rPr>
                  <m:t xml:space="preserve"> </m:t>
                </m:r>
                <m:r>
                  <w:rPr>
                    <w:rFonts w:ascii="Cambria Math" w:hAnsi="Arial" w:cs="Arial"/>
                    <w:sz w:val="20"/>
                    <w:szCs w:val="20"/>
                  </w:rPr>
                  <m:t>×</m:t>
                </m:r>
                <m:r>
                  <w:rPr>
                    <w:rFonts w:ascii="Cambria Math" w:hAnsi="Arial" w:cs="Arial"/>
                    <w:sz w:val="20"/>
                    <w:szCs w:val="20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Arial" w:cs="Arial"/>
                        <w:i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Arial" w:cs="Arial"/>
                            <w:sz w:val="20"/>
                            <w:szCs w:val="20"/>
                          </w:rPr>
                          <m:t>(1+</m:t>
                        </m:r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Z</m:t>
                        </m:r>
                        <m:r>
                          <w:rPr>
                            <w:rFonts w:ascii="Cambria Math" w:hAnsi="Arial" w:cs="Arial"/>
                            <w:sz w:val="20"/>
                            <w:szCs w:val="20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Arial" w:cs="Arial"/>
                        <w:sz w:val="20"/>
                        <w:szCs w:val="20"/>
                      </w:rPr>
                      <m:t xml:space="preserve"> </m:t>
                    </m:r>
                    <m:r>
                      <w:rPr>
                        <w:rFonts w:ascii="Cambria Math" w:hAnsi="Arial" w:cs="Arial"/>
                        <w:sz w:val="20"/>
                        <w:szCs w:val="20"/>
                      </w:rPr>
                      <m:t>×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Arial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Arial" w:cs="Arial"/>
                            <w:sz w:val="20"/>
                            <w:szCs w:val="20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Arial" w:cs="Arial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Arial" w:cs="Arial"/>
                                <w:sz w:val="20"/>
                                <w:szCs w:val="20"/>
                              </w:rPr>
                              <m:t>1</m:t>
                            </m:r>
                            <m:r>
                              <w:rPr>
                                <w:rFonts w:ascii="Cambria Math" w:hAnsi="Arial" w:cs="Arial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Arial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Arial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type m:val="skw"/>
                                        <m:ctrlPr>
                                          <w:rPr>
                                            <w:rFonts w:ascii="Cambria Math" w:hAnsi="Arial" w:cs="Arial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Arial" w:cs="Arial"/>
                                            <w:sz w:val="20"/>
                                            <w:szCs w:val="20"/>
                                          </w:rPr>
                                          <m:t>(1+</m:t>
                                        </m:r>
                                        <m:r>
                                          <w:rPr>
                                            <w:rFonts w:ascii="Cambria Math" w:hAnsi="Cambria Math" w:cs="Arial"/>
                                            <w:sz w:val="20"/>
                                            <w:szCs w:val="20"/>
                                          </w:rPr>
                                          <m:t>z</m:t>
                                        </m:r>
                                        <m:r>
                                          <w:rPr>
                                            <w:rFonts w:ascii="Cambria Math" w:hAnsi="Arial" w:cs="Arial"/>
                                            <w:sz w:val="20"/>
                                            <w:szCs w:val="20"/>
                                          </w:rPr>
                                          <m:t>)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Arial" w:cs="Arial"/>
                                            <w:sz w:val="20"/>
                                            <w:szCs w:val="20"/>
                                          </w:rPr>
                                          <m:t>(1+</m:t>
                                        </m:r>
                                        <m:r>
                                          <w:rPr>
                                            <w:rFonts w:ascii="Cambria Math" w:hAnsi="Cambria Math" w:cs="Arial"/>
                                            <w:sz w:val="20"/>
                                            <w:szCs w:val="20"/>
                                          </w:rPr>
                                          <m:t>r</m:t>
                                        </m:r>
                                        <m:r>
                                          <w:rPr>
                                            <w:rFonts w:ascii="Cambria Math" w:hAnsi="Arial" w:cs="Arial"/>
                                            <w:sz w:val="20"/>
                                            <w:szCs w:val="20"/>
                                          </w:rPr>
                                          <m:t>)</m:t>
                                        </m:r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m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Arial" w:cs="Arial"/>
                                <w:sz w:val="20"/>
                                <w:szCs w:val="20"/>
                              </w:rPr>
                              <m:t>1</m:t>
                            </m:r>
                            <m:r>
                              <w:rPr>
                                <w:rFonts w:ascii="Cambria Math" w:hAnsi="Arial" w:cs="Arial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Arial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Arial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type m:val="skw"/>
                                        <m:ctrlPr>
                                          <w:rPr>
                                            <w:rFonts w:ascii="Cambria Math" w:hAnsi="Arial" w:cs="Arial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Arial" w:cs="Arial"/>
                                            <w:sz w:val="20"/>
                                            <w:szCs w:val="20"/>
                                          </w:rPr>
                                          <m:t>(1+</m:t>
                                        </m:r>
                                        <m:r>
                                          <w:rPr>
                                            <w:rFonts w:ascii="Cambria Math" w:hAnsi="Cambria Math" w:cs="Arial"/>
                                            <w:sz w:val="20"/>
                                            <w:szCs w:val="20"/>
                                          </w:rPr>
                                          <m:t>z</m:t>
                                        </m:r>
                                        <m:r>
                                          <w:rPr>
                                            <w:rFonts w:ascii="Cambria Math" w:hAnsi="Arial" w:cs="Arial"/>
                                            <w:sz w:val="20"/>
                                            <w:szCs w:val="20"/>
                                          </w:rPr>
                                          <m:t>)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Arial" w:cs="Arial"/>
                                            <w:sz w:val="20"/>
                                            <w:szCs w:val="20"/>
                                          </w:rPr>
                                          <m:t>(1+</m:t>
                                        </m:r>
                                        <m:r>
                                          <w:rPr>
                                            <w:rFonts w:ascii="Cambria Math" w:hAnsi="Cambria Math" w:cs="Arial"/>
                                            <w:sz w:val="20"/>
                                            <w:szCs w:val="20"/>
                                          </w:rPr>
                                          <m:t>r</m:t>
                                        </m:r>
                                        <m:r>
                                          <w:rPr>
                                            <w:rFonts w:ascii="Cambria Math" w:hAnsi="Arial" w:cs="Arial"/>
                                            <w:sz w:val="20"/>
                                            <w:szCs w:val="20"/>
                                          </w:rPr>
                                          <m:t>)</m:t>
                                        </m:r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n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d>
              </m:e>
            </m:d>
          </m:den>
        </m:f>
      </m:oMath>
      <w:r w:rsidR="004A1B41" w:rsidRPr="004A1B41">
        <w:rPr>
          <w:rFonts w:ascii="Arial" w:eastAsiaTheme="minorEastAsia" w:hAnsi="Arial" w:cs="Arial"/>
          <w:sz w:val="20"/>
          <w:szCs w:val="20"/>
        </w:rPr>
        <w:t xml:space="preserve">          </w:t>
      </w:r>
    </w:p>
    <w:p w:rsidR="00E8577B" w:rsidRPr="001B2566" w:rsidRDefault="004A1B41" w:rsidP="001B2566">
      <w:pPr>
        <w:jc w:val="both"/>
        <w:rPr>
          <w:rFonts w:ascii="Arial" w:eastAsiaTheme="minorEastAsia" w:hAnsi="Arial" w:cs="Arial"/>
          <w:sz w:val="20"/>
          <w:szCs w:val="20"/>
        </w:rPr>
      </w:pPr>
      <w:r w:rsidRPr="004A1B41">
        <w:rPr>
          <w:rFonts w:ascii="Arial" w:eastAsiaTheme="minorEastAsia" w:hAnsi="Arial" w:cs="Arial"/>
          <w:sz w:val="20"/>
          <w:szCs w:val="20"/>
        </w:rPr>
        <w:t>Where</w:t>
      </w:r>
      <w:r w:rsidR="009F0250">
        <w:rPr>
          <w:rFonts w:ascii="Arial" w:eastAsiaTheme="minorEastAsia" w:hAnsi="Arial" w:cs="Arial"/>
          <w:sz w:val="20"/>
          <w:szCs w:val="20"/>
        </w:rPr>
        <w:t>:</w:t>
      </w:r>
    </w:p>
    <w:p w:rsidR="006F2C93" w:rsidRDefault="00F30932">
      <w:pPr>
        <w:ind w:left="1440" w:hanging="720"/>
        <w:jc w:val="both"/>
        <w:rPr>
          <w:rFonts w:ascii="Arial" w:hAnsi="Arial" w:cs="Arial"/>
          <w:sz w:val="20"/>
          <w:szCs w:val="20"/>
        </w:rPr>
      </w:pPr>
      <m:oMath>
        <m:sSub>
          <m:sSub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PPV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n</m:t>
            </m:r>
          </m:sub>
        </m:sSub>
      </m:oMath>
      <w:r w:rsidR="004A1B41" w:rsidRPr="004A1B41">
        <w:rPr>
          <w:rFonts w:ascii="Arial" w:hAnsi="Arial" w:cs="Arial"/>
          <w:sz w:val="20"/>
          <w:szCs w:val="20"/>
        </w:rPr>
        <w:tab/>
        <w:t>denotes</w:t>
      </w:r>
      <w:r w:rsidR="004E35C3">
        <w:rPr>
          <w:rFonts w:ascii="Arial" w:hAnsi="Arial" w:cs="Arial"/>
          <w:sz w:val="20"/>
          <w:szCs w:val="20"/>
        </w:rPr>
        <w:t xml:space="preserve"> the</w:t>
      </w:r>
      <w:r w:rsidR="004A1B41" w:rsidRPr="004A1B41">
        <w:rPr>
          <w:rFonts w:ascii="Arial" w:hAnsi="Arial" w:cs="Arial"/>
          <w:sz w:val="20"/>
          <w:szCs w:val="20"/>
        </w:rPr>
        <w:t xml:space="preserve"> nominal spectrum value of the </w:t>
      </w:r>
      <w:r w:rsidR="009F0250">
        <w:rPr>
          <w:rFonts w:ascii="Arial" w:hAnsi="Arial" w:cs="Arial"/>
          <w:sz w:val="20"/>
          <w:szCs w:val="20"/>
        </w:rPr>
        <w:t>initial</w:t>
      </w:r>
      <w:r w:rsidR="004A1B41" w:rsidRPr="004A1B41">
        <w:rPr>
          <w:rFonts w:ascii="Arial" w:hAnsi="Arial" w:cs="Arial"/>
          <w:sz w:val="20"/>
          <w:szCs w:val="20"/>
        </w:rPr>
        <w:t xml:space="preserve"> </w:t>
      </w:r>
      <w:r w:rsidR="005C500E" w:rsidRPr="004A1B41">
        <w:rPr>
          <w:rFonts w:ascii="Arial" w:hAnsi="Arial" w:cs="Arial"/>
          <w:sz w:val="20"/>
          <w:szCs w:val="20"/>
        </w:rPr>
        <w:t>part</w:t>
      </w:r>
      <w:r w:rsidR="005C500E">
        <w:rPr>
          <w:rFonts w:ascii="Arial" w:hAnsi="Arial" w:cs="Arial"/>
          <w:sz w:val="20"/>
          <w:szCs w:val="20"/>
        </w:rPr>
        <w:t>-</w:t>
      </w:r>
      <w:r w:rsidR="004A1B41" w:rsidRPr="004A1B41">
        <w:rPr>
          <w:rFonts w:ascii="Arial" w:hAnsi="Arial" w:cs="Arial"/>
          <w:sz w:val="20"/>
          <w:szCs w:val="20"/>
        </w:rPr>
        <w:t xml:space="preserve">period of n years at the beginning of the </w:t>
      </w:r>
      <w:r w:rsidR="009F0250">
        <w:rPr>
          <w:rFonts w:ascii="Arial" w:hAnsi="Arial" w:cs="Arial"/>
          <w:sz w:val="20"/>
          <w:szCs w:val="20"/>
        </w:rPr>
        <w:t>initial</w:t>
      </w:r>
      <w:r w:rsidR="004A1B41" w:rsidRPr="004A1B41">
        <w:rPr>
          <w:rFonts w:ascii="Arial" w:hAnsi="Arial" w:cs="Arial"/>
          <w:sz w:val="20"/>
          <w:szCs w:val="20"/>
        </w:rPr>
        <w:t xml:space="preserve"> part-period</w:t>
      </w:r>
    </w:p>
    <w:p w:rsidR="005331ED" w:rsidRDefault="004A1B41">
      <w:pPr>
        <w:ind w:left="1418" w:hanging="709"/>
        <w:jc w:val="both"/>
        <w:rPr>
          <w:rFonts w:ascii="Arial" w:hAnsi="Arial" w:cs="Arial"/>
          <w:sz w:val="20"/>
          <w:szCs w:val="20"/>
        </w:rPr>
      </w:pPr>
      <m:oMath>
        <m:r>
          <w:rPr>
            <w:rFonts w:ascii="Cambria Math" w:hAnsi="Cambria Math" w:cs="Arial"/>
            <w:sz w:val="20"/>
            <w:szCs w:val="20"/>
          </w:rPr>
          <m:t>FPV</m:t>
        </m:r>
      </m:oMath>
      <w:r w:rsidRPr="004A1B41">
        <w:rPr>
          <w:rFonts w:ascii="Arial" w:hAnsi="Arial" w:cs="Arial"/>
          <w:sz w:val="20"/>
          <w:szCs w:val="20"/>
        </w:rPr>
        <w:tab/>
        <w:t xml:space="preserve">denotes </w:t>
      </w:r>
      <w:r w:rsidR="009F0250">
        <w:rPr>
          <w:rFonts w:ascii="Arial" w:hAnsi="Arial" w:cs="Arial"/>
          <w:sz w:val="20"/>
          <w:szCs w:val="20"/>
        </w:rPr>
        <w:t xml:space="preserve">the </w:t>
      </w:r>
      <w:r w:rsidRPr="004A1B41">
        <w:rPr>
          <w:rFonts w:ascii="Arial" w:hAnsi="Arial" w:cs="Arial"/>
          <w:sz w:val="20"/>
          <w:szCs w:val="20"/>
        </w:rPr>
        <w:t xml:space="preserve">spectrum value over </w:t>
      </w:r>
      <w:r w:rsidR="009F0250">
        <w:rPr>
          <w:rFonts w:ascii="Arial" w:hAnsi="Arial" w:cs="Arial"/>
          <w:sz w:val="20"/>
          <w:szCs w:val="20"/>
        </w:rPr>
        <w:t>a</w:t>
      </w:r>
      <w:r w:rsidRPr="004A1B41">
        <w:rPr>
          <w:rFonts w:ascii="Arial" w:hAnsi="Arial" w:cs="Arial"/>
          <w:sz w:val="20"/>
          <w:szCs w:val="20"/>
        </w:rPr>
        <w:t xml:space="preserve"> licence period of 15 years ($0.23/MHz/Pop)</w:t>
      </w:r>
    </w:p>
    <w:p w:rsidR="006F2C93" w:rsidRDefault="004A1B41">
      <w:pPr>
        <w:ind w:left="1440" w:hanging="720"/>
        <w:jc w:val="both"/>
        <w:rPr>
          <w:rFonts w:ascii="Arial" w:hAnsi="Arial" w:cs="Arial"/>
          <w:sz w:val="20"/>
          <w:szCs w:val="20"/>
        </w:rPr>
      </w:pPr>
      <w:r w:rsidRPr="004A1B41">
        <w:rPr>
          <w:rFonts w:ascii="Arial" w:hAnsi="Arial" w:cs="Arial"/>
          <w:i/>
          <w:sz w:val="20"/>
          <w:szCs w:val="20"/>
        </w:rPr>
        <w:t>z</w:t>
      </w:r>
      <w:r w:rsidRPr="004A1B41">
        <w:rPr>
          <w:rFonts w:ascii="Arial" w:hAnsi="Arial" w:cs="Arial"/>
          <w:sz w:val="20"/>
          <w:szCs w:val="20"/>
        </w:rPr>
        <w:tab/>
        <w:t xml:space="preserve">denotes </w:t>
      </w:r>
      <w:r w:rsidR="009F0250">
        <w:rPr>
          <w:rFonts w:ascii="Arial" w:hAnsi="Arial" w:cs="Arial"/>
          <w:sz w:val="20"/>
          <w:szCs w:val="20"/>
        </w:rPr>
        <w:t xml:space="preserve">the </w:t>
      </w:r>
      <w:r w:rsidRPr="004A1B41">
        <w:rPr>
          <w:rFonts w:ascii="Arial" w:hAnsi="Arial" w:cs="Arial"/>
          <w:sz w:val="20"/>
          <w:szCs w:val="20"/>
        </w:rPr>
        <w:t xml:space="preserve">estimated compound growth rate over </w:t>
      </w:r>
      <w:r w:rsidR="009F0250">
        <w:rPr>
          <w:rFonts w:ascii="Arial" w:hAnsi="Arial" w:cs="Arial"/>
          <w:sz w:val="20"/>
          <w:szCs w:val="20"/>
        </w:rPr>
        <w:t>a</w:t>
      </w:r>
      <w:r w:rsidRPr="004A1B41">
        <w:rPr>
          <w:rFonts w:ascii="Arial" w:hAnsi="Arial" w:cs="Arial"/>
          <w:sz w:val="20"/>
          <w:szCs w:val="20"/>
        </w:rPr>
        <w:t xml:space="preserve"> </w:t>
      </w:r>
      <w:r w:rsidR="009F0250">
        <w:rPr>
          <w:rFonts w:ascii="Arial" w:hAnsi="Arial" w:cs="Arial"/>
          <w:sz w:val="20"/>
          <w:szCs w:val="20"/>
        </w:rPr>
        <w:t>15 year</w:t>
      </w:r>
      <w:r w:rsidRPr="004A1B41">
        <w:rPr>
          <w:rFonts w:ascii="Arial" w:hAnsi="Arial" w:cs="Arial"/>
          <w:sz w:val="20"/>
          <w:szCs w:val="20"/>
        </w:rPr>
        <w:t xml:space="preserve"> licence period and is analogous to the degree of “tilt” in a tilted annuity (2.5%)</w:t>
      </w:r>
    </w:p>
    <w:p w:rsidR="00E8577B" w:rsidRPr="001B2566" w:rsidRDefault="004A1B41" w:rsidP="001B2566">
      <w:pPr>
        <w:ind w:left="720"/>
        <w:jc w:val="both"/>
        <w:rPr>
          <w:rFonts w:ascii="Arial" w:hAnsi="Arial" w:cs="Arial"/>
          <w:sz w:val="20"/>
          <w:szCs w:val="20"/>
        </w:rPr>
      </w:pPr>
      <w:r w:rsidRPr="004A1B41">
        <w:rPr>
          <w:rFonts w:ascii="Arial" w:hAnsi="Arial" w:cs="Arial"/>
          <w:i/>
          <w:sz w:val="20"/>
          <w:szCs w:val="20"/>
        </w:rPr>
        <w:t>n</w:t>
      </w:r>
      <w:r w:rsidRPr="004A1B41">
        <w:rPr>
          <w:rFonts w:ascii="Arial" w:hAnsi="Arial" w:cs="Arial"/>
          <w:sz w:val="20"/>
          <w:szCs w:val="20"/>
        </w:rPr>
        <w:tab/>
        <w:t>denotes the number of years in the initial part-period (13.12 years)</w:t>
      </w:r>
    </w:p>
    <w:p w:rsidR="00E8577B" w:rsidRPr="001B2566" w:rsidRDefault="004A1B41" w:rsidP="001B2566">
      <w:pPr>
        <w:ind w:left="720"/>
        <w:jc w:val="both"/>
        <w:rPr>
          <w:rFonts w:ascii="Arial" w:hAnsi="Arial" w:cs="Arial"/>
          <w:sz w:val="20"/>
          <w:szCs w:val="20"/>
        </w:rPr>
      </w:pPr>
      <w:r w:rsidRPr="004A1B41">
        <w:rPr>
          <w:rFonts w:ascii="Arial" w:hAnsi="Arial" w:cs="Arial"/>
          <w:i/>
          <w:sz w:val="20"/>
          <w:szCs w:val="20"/>
        </w:rPr>
        <w:t>m</w:t>
      </w:r>
      <w:r w:rsidRPr="004A1B41">
        <w:rPr>
          <w:rFonts w:ascii="Arial" w:hAnsi="Arial" w:cs="Arial"/>
          <w:sz w:val="20"/>
          <w:szCs w:val="20"/>
        </w:rPr>
        <w:tab/>
        <w:t>denotes the number of years in the subsequent part-period (1.88 years)</w:t>
      </w:r>
    </w:p>
    <w:p w:rsidR="00E8577B" w:rsidRPr="001B2566" w:rsidRDefault="004A1B41" w:rsidP="001B2566">
      <w:pPr>
        <w:ind w:left="720"/>
        <w:jc w:val="both"/>
        <w:rPr>
          <w:rFonts w:ascii="Arial" w:hAnsi="Arial" w:cs="Arial"/>
          <w:sz w:val="20"/>
          <w:szCs w:val="20"/>
        </w:rPr>
      </w:pPr>
      <w:r w:rsidRPr="004A1B41">
        <w:rPr>
          <w:rFonts w:ascii="Arial" w:hAnsi="Arial" w:cs="Arial"/>
          <w:i/>
          <w:sz w:val="20"/>
          <w:szCs w:val="20"/>
        </w:rPr>
        <w:t>r</w:t>
      </w:r>
      <w:r w:rsidRPr="004A1B41">
        <w:rPr>
          <w:rFonts w:ascii="Arial" w:hAnsi="Arial" w:cs="Arial"/>
          <w:sz w:val="20"/>
          <w:szCs w:val="20"/>
        </w:rPr>
        <w:tab/>
        <w:t>denotes the appropriate discount rate (8.4%)</w:t>
      </w:r>
      <w:r w:rsidR="00856FB6">
        <w:rPr>
          <w:rFonts w:ascii="Arial" w:hAnsi="Arial" w:cs="Arial"/>
          <w:sz w:val="20"/>
          <w:szCs w:val="20"/>
        </w:rPr>
        <w:t>.</w:t>
      </w:r>
    </w:p>
    <w:p w:rsidR="005331ED" w:rsidRDefault="005331ED">
      <w:pPr>
        <w:spacing w:after="120"/>
        <w:rPr>
          <w:rFonts w:ascii="Arial" w:hAnsi="Arial" w:cs="Arial"/>
          <w:sz w:val="20"/>
          <w:szCs w:val="20"/>
        </w:rPr>
      </w:pPr>
    </w:p>
    <w:p w:rsidR="002F3D43" w:rsidRPr="002F3D43" w:rsidRDefault="002F3D43" w:rsidP="003920A6">
      <w:pPr>
        <w:spacing w:line="360" w:lineRule="auto"/>
        <w:rPr>
          <w:rFonts w:ascii="Arial" w:hAnsi="Arial" w:cs="Arial"/>
          <w:sz w:val="20"/>
          <w:szCs w:val="20"/>
        </w:rPr>
      </w:pPr>
      <w:r w:rsidRPr="002F3D43">
        <w:rPr>
          <w:rFonts w:ascii="Arial" w:hAnsi="Arial" w:cs="Arial"/>
          <w:sz w:val="20"/>
          <w:szCs w:val="20"/>
        </w:rPr>
        <w:t>On 24 July 2013</w:t>
      </w:r>
      <w:r w:rsidR="005C500E">
        <w:rPr>
          <w:rFonts w:ascii="Arial" w:hAnsi="Arial" w:cs="Arial"/>
          <w:sz w:val="20"/>
          <w:szCs w:val="20"/>
        </w:rPr>
        <w:t>,</w:t>
      </w:r>
      <w:r w:rsidRPr="002F3D43">
        <w:rPr>
          <w:rFonts w:ascii="Arial" w:hAnsi="Arial" w:cs="Arial"/>
          <w:sz w:val="20"/>
          <w:szCs w:val="20"/>
        </w:rPr>
        <w:t xml:space="preserve"> the </w:t>
      </w:r>
      <w:r w:rsidR="00856FB6">
        <w:rPr>
          <w:rFonts w:ascii="Arial" w:hAnsi="Arial" w:cs="Arial"/>
          <w:sz w:val="20"/>
          <w:szCs w:val="20"/>
        </w:rPr>
        <w:t>then</w:t>
      </w:r>
      <w:r w:rsidR="005C500E">
        <w:rPr>
          <w:rFonts w:ascii="Arial" w:hAnsi="Arial" w:cs="Arial"/>
          <w:sz w:val="20"/>
          <w:szCs w:val="20"/>
        </w:rPr>
        <w:t xml:space="preserve"> </w:t>
      </w:r>
      <w:r w:rsidRPr="002F3D43">
        <w:rPr>
          <w:rFonts w:ascii="Arial" w:hAnsi="Arial" w:cs="Arial"/>
          <w:sz w:val="20"/>
          <w:szCs w:val="20"/>
        </w:rPr>
        <w:t xml:space="preserve">Minister made the </w:t>
      </w:r>
      <w:r w:rsidR="00CE7D21" w:rsidRPr="00CE7D21">
        <w:rPr>
          <w:rFonts w:ascii="Arial" w:hAnsi="Arial" w:cs="Arial"/>
          <w:i/>
          <w:sz w:val="20"/>
          <w:szCs w:val="20"/>
        </w:rPr>
        <w:t>Radiocommunications (Spectrum Access Charges) Direction 2013</w:t>
      </w:r>
      <w:r w:rsidRPr="002F3D43">
        <w:rPr>
          <w:rFonts w:ascii="Arial" w:hAnsi="Arial" w:cs="Arial"/>
          <w:sz w:val="20"/>
          <w:szCs w:val="20"/>
        </w:rPr>
        <w:t xml:space="preserve"> (the </w:t>
      </w:r>
      <w:r w:rsidR="005C500E">
        <w:rPr>
          <w:rFonts w:ascii="Arial" w:hAnsi="Arial" w:cs="Arial"/>
          <w:sz w:val="20"/>
          <w:szCs w:val="20"/>
        </w:rPr>
        <w:t xml:space="preserve">Public Interest Charges </w:t>
      </w:r>
      <w:r w:rsidRPr="002F3D43">
        <w:rPr>
          <w:rFonts w:ascii="Arial" w:hAnsi="Arial" w:cs="Arial"/>
          <w:sz w:val="20"/>
          <w:szCs w:val="20"/>
        </w:rPr>
        <w:t xml:space="preserve">Direction) under subsection 294(2) of the Act. </w:t>
      </w:r>
      <w:r w:rsidR="00D837B2">
        <w:rPr>
          <w:rFonts w:ascii="Arial" w:hAnsi="Arial" w:cs="Arial"/>
          <w:sz w:val="20"/>
          <w:szCs w:val="20"/>
        </w:rPr>
        <w:t>The Public Interest Charges</w:t>
      </w:r>
      <w:r w:rsidR="00077A78" w:rsidRPr="002F3D43">
        <w:rPr>
          <w:rFonts w:ascii="Arial" w:hAnsi="Arial" w:cs="Arial"/>
          <w:sz w:val="20"/>
          <w:szCs w:val="20"/>
        </w:rPr>
        <w:t xml:space="preserve"> </w:t>
      </w:r>
      <w:r w:rsidRPr="002F3D43">
        <w:rPr>
          <w:rFonts w:ascii="Arial" w:hAnsi="Arial" w:cs="Arial"/>
          <w:sz w:val="20"/>
          <w:szCs w:val="20"/>
        </w:rPr>
        <w:t xml:space="preserve">Direction </w:t>
      </w:r>
      <w:r w:rsidR="00D837B2">
        <w:rPr>
          <w:rFonts w:ascii="Arial" w:hAnsi="Arial" w:cs="Arial"/>
          <w:sz w:val="20"/>
          <w:szCs w:val="20"/>
        </w:rPr>
        <w:t xml:space="preserve">directs the ACMA that spectrum </w:t>
      </w:r>
      <w:r w:rsidR="00511694">
        <w:rPr>
          <w:rFonts w:ascii="Arial" w:hAnsi="Arial" w:cs="Arial"/>
          <w:sz w:val="20"/>
          <w:szCs w:val="20"/>
        </w:rPr>
        <w:t xml:space="preserve">access </w:t>
      </w:r>
      <w:r w:rsidR="00D837B2">
        <w:rPr>
          <w:rFonts w:ascii="Arial" w:hAnsi="Arial" w:cs="Arial"/>
          <w:sz w:val="20"/>
          <w:szCs w:val="20"/>
        </w:rPr>
        <w:t xml:space="preserve">charges payable for re-issued licences in the 1800Mz frequency ranges used for rail safety and control communications are to reflect </w:t>
      </w:r>
      <w:r w:rsidRPr="002F3D43">
        <w:rPr>
          <w:rFonts w:ascii="Arial" w:hAnsi="Arial" w:cs="Arial"/>
          <w:sz w:val="20"/>
          <w:szCs w:val="20"/>
        </w:rPr>
        <w:t xml:space="preserve">a public interest price of 50 per cent </w:t>
      </w:r>
      <w:r w:rsidR="00D837B2">
        <w:rPr>
          <w:rFonts w:ascii="Arial" w:hAnsi="Arial" w:cs="Arial"/>
          <w:sz w:val="20"/>
          <w:szCs w:val="20"/>
        </w:rPr>
        <w:t>of</w:t>
      </w:r>
      <w:r w:rsidR="00D837B2" w:rsidRPr="002F3D43">
        <w:rPr>
          <w:rFonts w:ascii="Arial" w:hAnsi="Arial" w:cs="Arial"/>
          <w:sz w:val="20"/>
          <w:szCs w:val="20"/>
        </w:rPr>
        <w:t xml:space="preserve"> </w:t>
      </w:r>
      <w:r w:rsidRPr="002F3D43">
        <w:rPr>
          <w:rFonts w:ascii="Arial" w:hAnsi="Arial" w:cs="Arial"/>
          <w:sz w:val="20"/>
          <w:szCs w:val="20"/>
        </w:rPr>
        <w:t>the spectrum access charges otherwise payable for re-issued spectrum licences</w:t>
      </w:r>
      <w:r w:rsidR="00D837B2">
        <w:rPr>
          <w:rFonts w:ascii="Arial" w:hAnsi="Arial" w:cs="Arial"/>
          <w:sz w:val="20"/>
          <w:szCs w:val="20"/>
        </w:rPr>
        <w:t xml:space="preserve"> in accordance with the Pricing Direction</w:t>
      </w:r>
      <w:r w:rsidRPr="002F3D43">
        <w:rPr>
          <w:rFonts w:ascii="Arial" w:hAnsi="Arial" w:cs="Arial"/>
          <w:sz w:val="20"/>
          <w:szCs w:val="20"/>
        </w:rPr>
        <w:t xml:space="preserve">. The </w:t>
      </w:r>
      <w:r w:rsidR="00D837B2">
        <w:rPr>
          <w:rFonts w:ascii="Arial" w:hAnsi="Arial" w:cs="Arial"/>
          <w:sz w:val="20"/>
          <w:szCs w:val="20"/>
        </w:rPr>
        <w:t>Public Interest Charges</w:t>
      </w:r>
      <w:r w:rsidR="00077A78" w:rsidRPr="002F3D43">
        <w:rPr>
          <w:rFonts w:ascii="Arial" w:hAnsi="Arial" w:cs="Arial"/>
          <w:sz w:val="20"/>
          <w:szCs w:val="20"/>
        </w:rPr>
        <w:t xml:space="preserve"> </w:t>
      </w:r>
      <w:r w:rsidRPr="002F3D43">
        <w:rPr>
          <w:rFonts w:ascii="Arial" w:hAnsi="Arial" w:cs="Arial"/>
          <w:sz w:val="20"/>
          <w:szCs w:val="20"/>
        </w:rPr>
        <w:t xml:space="preserve">Direction also </w:t>
      </w:r>
      <w:r w:rsidR="00D837B2">
        <w:rPr>
          <w:rFonts w:ascii="Arial" w:hAnsi="Arial" w:cs="Arial"/>
          <w:sz w:val="20"/>
          <w:szCs w:val="20"/>
        </w:rPr>
        <w:t>directs the ACMA that the spectrum access charges fixed by it in any determination under subsection 294(1) of the Act that apply to re-issued rail authority licences</w:t>
      </w:r>
      <w:r w:rsidRPr="002F3D43">
        <w:rPr>
          <w:rFonts w:ascii="Arial" w:hAnsi="Arial" w:cs="Arial"/>
          <w:sz w:val="20"/>
          <w:szCs w:val="20"/>
        </w:rPr>
        <w:t xml:space="preserve"> must not </w:t>
      </w:r>
      <w:r w:rsidR="00D837B2">
        <w:rPr>
          <w:rFonts w:ascii="Arial" w:hAnsi="Arial" w:cs="Arial"/>
          <w:sz w:val="20"/>
          <w:szCs w:val="20"/>
        </w:rPr>
        <w:t xml:space="preserve">be </w:t>
      </w:r>
      <w:r w:rsidRPr="002F3D43">
        <w:rPr>
          <w:rFonts w:ascii="Arial" w:hAnsi="Arial" w:cs="Arial"/>
          <w:sz w:val="20"/>
          <w:szCs w:val="20"/>
        </w:rPr>
        <w:t>require</w:t>
      </w:r>
      <w:r w:rsidR="00D837B2">
        <w:rPr>
          <w:rFonts w:ascii="Arial" w:hAnsi="Arial" w:cs="Arial"/>
          <w:sz w:val="20"/>
          <w:szCs w:val="20"/>
        </w:rPr>
        <w:t>d to be paid in</w:t>
      </w:r>
      <w:r w:rsidRPr="002F3D43">
        <w:rPr>
          <w:rFonts w:ascii="Arial" w:hAnsi="Arial" w:cs="Arial"/>
          <w:sz w:val="20"/>
          <w:szCs w:val="20"/>
        </w:rPr>
        <w:t xml:space="preserve"> full before </w:t>
      </w:r>
      <w:r w:rsidRPr="005331ED">
        <w:rPr>
          <w:rFonts w:ascii="Arial" w:hAnsi="Arial" w:cs="Arial"/>
          <w:sz w:val="20"/>
          <w:szCs w:val="20"/>
        </w:rPr>
        <w:t>1 July 2014.</w:t>
      </w:r>
    </w:p>
    <w:p w:rsidR="002F3D43" w:rsidRDefault="00D837B2" w:rsidP="003920A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="002F3D43" w:rsidRPr="002F3D43">
        <w:rPr>
          <w:rFonts w:ascii="Arial" w:hAnsi="Arial" w:cs="Arial"/>
          <w:sz w:val="20"/>
          <w:szCs w:val="20"/>
        </w:rPr>
        <w:t xml:space="preserve"> public interest price applies only to a maximum of 2x10 MHz of spectrum </w:t>
      </w:r>
      <w:r>
        <w:rPr>
          <w:rFonts w:ascii="Arial" w:hAnsi="Arial" w:cs="Arial"/>
          <w:sz w:val="20"/>
          <w:szCs w:val="20"/>
        </w:rPr>
        <w:t>in the</w:t>
      </w:r>
      <w:r w:rsidRPr="002F3D43">
        <w:rPr>
          <w:rFonts w:ascii="Arial" w:hAnsi="Arial" w:cs="Arial"/>
          <w:sz w:val="20"/>
          <w:szCs w:val="20"/>
        </w:rPr>
        <w:t xml:space="preserve"> </w:t>
      </w:r>
      <w:r w:rsidR="002F3D43" w:rsidRPr="002F3D43">
        <w:rPr>
          <w:rFonts w:ascii="Arial" w:hAnsi="Arial" w:cs="Arial"/>
          <w:sz w:val="20"/>
          <w:szCs w:val="20"/>
        </w:rPr>
        <w:t xml:space="preserve">1800 MHz </w:t>
      </w:r>
      <w:r>
        <w:rPr>
          <w:rFonts w:ascii="Arial" w:hAnsi="Arial" w:cs="Arial"/>
          <w:sz w:val="20"/>
          <w:szCs w:val="20"/>
        </w:rPr>
        <w:t>band re-issued to each rail authority</w:t>
      </w:r>
      <w:r w:rsidR="002F3D43" w:rsidRPr="002F3D43">
        <w:rPr>
          <w:rFonts w:ascii="Arial" w:hAnsi="Arial" w:cs="Arial"/>
          <w:sz w:val="20"/>
          <w:szCs w:val="20"/>
        </w:rPr>
        <w:t xml:space="preserve">. If a </w:t>
      </w:r>
      <w:r>
        <w:rPr>
          <w:rFonts w:ascii="Arial" w:hAnsi="Arial" w:cs="Arial"/>
          <w:sz w:val="20"/>
          <w:szCs w:val="20"/>
        </w:rPr>
        <w:t>r</w:t>
      </w:r>
      <w:r w:rsidRPr="002F3D43">
        <w:rPr>
          <w:rFonts w:ascii="Arial" w:hAnsi="Arial" w:cs="Arial"/>
          <w:sz w:val="20"/>
          <w:szCs w:val="20"/>
        </w:rPr>
        <w:t xml:space="preserve">ail </w:t>
      </w:r>
      <w:r>
        <w:rPr>
          <w:rFonts w:ascii="Arial" w:hAnsi="Arial" w:cs="Arial"/>
          <w:sz w:val="20"/>
          <w:szCs w:val="20"/>
        </w:rPr>
        <w:t>a</w:t>
      </w:r>
      <w:r w:rsidRPr="002F3D43">
        <w:rPr>
          <w:rFonts w:ascii="Arial" w:hAnsi="Arial" w:cs="Arial"/>
          <w:sz w:val="20"/>
          <w:szCs w:val="20"/>
        </w:rPr>
        <w:t xml:space="preserve">uthority </w:t>
      </w:r>
      <w:r w:rsidR="002F3D43" w:rsidRPr="002F3D43">
        <w:rPr>
          <w:rFonts w:ascii="Arial" w:hAnsi="Arial" w:cs="Arial"/>
          <w:sz w:val="20"/>
          <w:szCs w:val="20"/>
        </w:rPr>
        <w:t>seeks to have re-issued more than 2x10 MHz of spectrum, any spectrum re-issued in excess of this amount will be at the price specified in the Pricing Direction.</w:t>
      </w:r>
    </w:p>
    <w:p w:rsidR="00511694" w:rsidRPr="002F3D43" w:rsidRDefault="00D679FC" w:rsidP="003920A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Therefore</w:t>
      </w:r>
      <w:r w:rsidR="005331ED">
        <w:rPr>
          <w:rFonts w:ascii="Arial" w:hAnsi="Arial" w:cs="Arial"/>
          <w:sz w:val="20"/>
          <w:szCs w:val="20"/>
        </w:rPr>
        <w:t>, for the first 20</w:t>
      </w:r>
      <w:r w:rsidR="00BE707A">
        <w:rPr>
          <w:rFonts w:ascii="Arial" w:hAnsi="Arial" w:cs="Arial"/>
          <w:sz w:val="20"/>
          <w:szCs w:val="20"/>
        </w:rPr>
        <w:t xml:space="preserve"> </w:t>
      </w:r>
      <w:r w:rsidR="005331ED">
        <w:rPr>
          <w:rFonts w:ascii="Arial" w:hAnsi="Arial" w:cs="Arial"/>
          <w:sz w:val="20"/>
          <w:szCs w:val="20"/>
        </w:rPr>
        <w:t xml:space="preserve">MHz of </w:t>
      </w:r>
      <w:r>
        <w:rPr>
          <w:rFonts w:ascii="Arial" w:hAnsi="Arial" w:cs="Arial"/>
          <w:sz w:val="20"/>
          <w:szCs w:val="20"/>
        </w:rPr>
        <w:t>spectrum the</w:t>
      </w:r>
      <w:r w:rsidR="005331ED">
        <w:rPr>
          <w:rFonts w:ascii="Arial" w:hAnsi="Arial" w:cs="Arial"/>
          <w:sz w:val="20"/>
          <w:szCs w:val="20"/>
        </w:rPr>
        <w:t xml:space="preserve"> amount derived by the above formula is halved when </w:t>
      </w:r>
      <w:r>
        <w:rPr>
          <w:rFonts w:ascii="Arial" w:hAnsi="Arial" w:cs="Arial"/>
          <w:sz w:val="20"/>
          <w:szCs w:val="20"/>
        </w:rPr>
        <w:t>calculating the</w:t>
      </w:r>
      <w:r w:rsidR="005331ED">
        <w:rPr>
          <w:rFonts w:ascii="Arial" w:hAnsi="Arial" w:cs="Arial"/>
          <w:sz w:val="20"/>
          <w:szCs w:val="20"/>
        </w:rPr>
        <w:t xml:space="preserve"> spectrum access charge to be paid by rail authority </w:t>
      </w:r>
      <w:r>
        <w:rPr>
          <w:rFonts w:ascii="Arial" w:hAnsi="Arial" w:cs="Arial"/>
          <w:sz w:val="20"/>
          <w:szCs w:val="20"/>
        </w:rPr>
        <w:t>licensees</w:t>
      </w:r>
      <w:r w:rsidR="005331ED">
        <w:rPr>
          <w:rFonts w:ascii="Arial" w:hAnsi="Arial" w:cs="Arial"/>
          <w:sz w:val="20"/>
          <w:szCs w:val="20"/>
        </w:rPr>
        <w:t>. For the amount of spectrum in excess of 20</w:t>
      </w:r>
      <w:r w:rsidR="00BE707A">
        <w:rPr>
          <w:rFonts w:ascii="Arial" w:hAnsi="Arial" w:cs="Arial"/>
          <w:sz w:val="20"/>
          <w:szCs w:val="20"/>
        </w:rPr>
        <w:t xml:space="preserve"> </w:t>
      </w:r>
      <w:r w:rsidR="005331ED">
        <w:rPr>
          <w:rFonts w:ascii="Arial" w:hAnsi="Arial" w:cs="Arial"/>
          <w:sz w:val="20"/>
          <w:szCs w:val="20"/>
        </w:rPr>
        <w:t>MHz, the formula is applied in the usual way.</w:t>
      </w:r>
    </w:p>
    <w:p w:rsidR="00446617" w:rsidRDefault="0044661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6F2C93" w:rsidRDefault="009E17B4" w:rsidP="003920A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E17B4">
        <w:rPr>
          <w:rFonts w:ascii="Arial" w:hAnsi="Arial" w:cs="Arial"/>
          <w:b/>
          <w:sz w:val="20"/>
          <w:szCs w:val="20"/>
        </w:rPr>
        <w:lastRenderedPageBreak/>
        <w:t>Consultation</w:t>
      </w:r>
    </w:p>
    <w:p w:rsidR="006F2C93" w:rsidRDefault="00D837B2" w:rsidP="003920A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="00BD25C8">
        <w:rPr>
          <w:rFonts w:ascii="Arial" w:hAnsi="Arial" w:cs="Arial"/>
          <w:sz w:val="20"/>
          <w:szCs w:val="20"/>
        </w:rPr>
        <w:t xml:space="preserve"> ACMA sought </w:t>
      </w:r>
      <w:r w:rsidR="009E17B4" w:rsidRPr="009E17B4">
        <w:rPr>
          <w:rFonts w:ascii="Arial" w:hAnsi="Arial" w:cs="Arial"/>
          <w:sz w:val="20"/>
          <w:szCs w:val="20"/>
        </w:rPr>
        <w:t>comment</w:t>
      </w:r>
      <w:r>
        <w:rPr>
          <w:rFonts w:ascii="Arial" w:hAnsi="Arial" w:cs="Arial"/>
          <w:sz w:val="20"/>
          <w:szCs w:val="20"/>
        </w:rPr>
        <w:t xml:space="preserve"> from each affected licensee</w:t>
      </w:r>
      <w:r w:rsidR="009E17B4" w:rsidRPr="009E17B4">
        <w:rPr>
          <w:rFonts w:ascii="Arial" w:hAnsi="Arial" w:cs="Arial"/>
          <w:sz w:val="20"/>
          <w:szCs w:val="20"/>
        </w:rPr>
        <w:t xml:space="preserve"> about matters pertaining to the calculation of the spectrum access charges</w:t>
      </w:r>
      <w:r w:rsidR="00BD25C8">
        <w:rPr>
          <w:rFonts w:ascii="Arial" w:hAnsi="Arial" w:cs="Arial"/>
          <w:sz w:val="20"/>
          <w:szCs w:val="20"/>
        </w:rPr>
        <w:t>, the amounts of the spectrum access charges for each of the licences and the payment date</w:t>
      </w:r>
      <w:r w:rsidR="009E17B4" w:rsidRPr="009E17B4">
        <w:rPr>
          <w:rFonts w:ascii="Arial" w:hAnsi="Arial" w:cs="Arial"/>
          <w:sz w:val="20"/>
          <w:szCs w:val="20"/>
        </w:rPr>
        <w:t xml:space="preserve">. </w:t>
      </w:r>
      <w:r w:rsidR="001013B0">
        <w:rPr>
          <w:rFonts w:ascii="Arial" w:hAnsi="Arial" w:cs="Arial"/>
          <w:sz w:val="20"/>
          <w:szCs w:val="20"/>
        </w:rPr>
        <w:t xml:space="preserve"> </w:t>
      </w:r>
      <w:r w:rsidR="00B61D28">
        <w:rPr>
          <w:rFonts w:ascii="Arial" w:hAnsi="Arial" w:cs="Arial"/>
          <w:sz w:val="20"/>
          <w:szCs w:val="20"/>
        </w:rPr>
        <w:t xml:space="preserve">The comments received </w:t>
      </w:r>
      <w:r w:rsidR="00597A91">
        <w:rPr>
          <w:rFonts w:ascii="Arial" w:hAnsi="Arial" w:cs="Arial"/>
          <w:sz w:val="20"/>
          <w:szCs w:val="20"/>
        </w:rPr>
        <w:t xml:space="preserve">by the ACMA </w:t>
      </w:r>
      <w:r w:rsidR="00B61D28">
        <w:rPr>
          <w:rFonts w:ascii="Arial" w:hAnsi="Arial" w:cs="Arial"/>
          <w:sz w:val="20"/>
          <w:szCs w:val="20"/>
        </w:rPr>
        <w:t>were considered in the making of th</w:t>
      </w:r>
      <w:r w:rsidR="00172222">
        <w:rPr>
          <w:rFonts w:ascii="Arial" w:hAnsi="Arial" w:cs="Arial"/>
          <w:sz w:val="20"/>
          <w:szCs w:val="20"/>
        </w:rPr>
        <w:t>e</w:t>
      </w:r>
      <w:r w:rsidR="00B61D28">
        <w:rPr>
          <w:rFonts w:ascii="Arial" w:hAnsi="Arial" w:cs="Arial"/>
          <w:sz w:val="20"/>
          <w:szCs w:val="20"/>
        </w:rPr>
        <w:t xml:space="preserve"> D</w:t>
      </w:r>
      <w:r w:rsidR="00B93A08">
        <w:rPr>
          <w:rFonts w:ascii="Arial" w:hAnsi="Arial" w:cs="Arial"/>
          <w:sz w:val="20"/>
          <w:szCs w:val="20"/>
        </w:rPr>
        <w:t>etermination</w:t>
      </w:r>
      <w:r w:rsidR="00B61D28">
        <w:rPr>
          <w:rFonts w:ascii="Arial" w:hAnsi="Arial" w:cs="Arial"/>
          <w:sz w:val="20"/>
          <w:szCs w:val="20"/>
        </w:rPr>
        <w:t>.</w:t>
      </w:r>
    </w:p>
    <w:p w:rsidR="006F2C93" w:rsidRDefault="009E17B4" w:rsidP="003920A6">
      <w:pPr>
        <w:spacing w:line="360" w:lineRule="auto"/>
        <w:rPr>
          <w:rFonts w:ascii="Arial" w:hAnsi="Arial" w:cs="Arial"/>
          <w:sz w:val="20"/>
          <w:szCs w:val="20"/>
        </w:rPr>
      </w:pPr>
      <w:r w:rsidRPr="009E17B4">
        <w:rPr>
          <w:rFonts w:ascii="Arial" w:hAnsi="Arial" w:cs="Arial"/>
          <w:b/>
          <w:sz w:val="20"/>
          <w:szCs w:val="20"/>
        </w:rPr>
        <w:t>Regulation impact</w:t>
      </w:r>
    </w:p>
    <w:p w:rsidR="006F2C93" w:rsidRDefault="00597A91" w:rsidP="003920A6">
      <w:pPr>
        <w:pStyle w:val="ACMABulletLevel1"/>
        <w:numPr>
          <w:ilvl w:val="0"/>
          <w:numId w:val="0"/>
        </w:numPr>
        <w:spacing w:after="200" w:line="360" w:lineRule="auto"/>
        <w:rPr>
          <w:rStyle w:val="CharSectno"/>
          <w:rFonts w:ascii="Arial" w:eastAsiaTheme="minorHAnsi" w:hAnsi="Arial" w:cs="Arial"/>
          <w:sz w:val="20"/>
          <w:szCs w:val="22"/>
        </w:rPr>
      </w:pPr>
      <w:r>
        <w:rPr>
          <w:rStyle w:val="CharSectno"/>
          <w:rFonts w:ascii="Arial" w:hAnsi="Arial" w:cs="Arial"/>
          <w:sz w:val="20"/>
        </w:rPr>
        <w:t>The</w:t>
      </w:r>
      <w:r w:rsidR="00E93959" w:rsidRPr="00EE7F65">
        <w:rPr>
          <w:rFonts w:ascii="Arial" w:hAnsi="Arial" w:cs="Arial"/>
          <w:sz w:val="20"/>
        </w:rPr>
        <w:t xml:space="preserve"> ACMA </w:t>
      </w:r>
      <w:r>
        <w:rPr>
          <w:rFonts w:ascii="Arial" w:hAnsi="Arial" w:cs="Arial"/>
          <w:sz w:val="20"/>
        </w:rPr>
        <w:t xml:space="preserve">has </w:t>
      </w:r>
      <w:r w:rsidR="00E93959" w:rsidRPr="00EE7F65">
        <w:rPr>
          <w:rFonts w:ascii="Arial" w:hAnsi="Arial" w:cs="Arial"/>
          <w:sz w:val="20"/>
        </w:rPr>
        <w:t xml:space="preserve">consulted with the Office of Best Practice Regulation (the OBPR) on the requirement for a Regulation Impact Statement (RIS). The OBPR advised that the Determination does not warrant the preparation of a RIS because it is likely to have </w:t>
      </w:r>
      <w:r w:rsidR="00172222">
        <w:rPr>
          <w:rFonts w:ascii="Arial" w:hAnsi="Arial" w:cs="Arial"/>
          <w:sz w:val="20"/>
        </w:rPr>
        <w:t xml:space="preserve">only </w:t>
      </w:r>
      <w:r w:rsidR="00E93959" w:rsidRPr="00EE7F65">
        <w:rPr>
          <w:rFonts w:ascii="Arial" w:hAnsi="Arial" w:cs="Arial"/>
          <w:sz w:val="20"/>
        </w:rPr>
        <w:t xml:space="preserve">minor and machinery impacts. The reference for the OBPR’s assessment is </w:t>
      </w:r>
      <w:r w:rsidR="00E93959" w:rsidRPr="005331ED">
        <w:rPr>
          <w:rFonts w:ascii="Arial" w:hAnsi="Arial" w:cs="Arial"/>
          <w:sz w:val="20"/>
        </w:rPr>
        <w:t xml:space="preserve">ID </w:t>
      </w:r>
      <w:r w:rsidR="005E5B8A" w:rsidRPr="005331ED">
        <w:rPr>
          <w:rStyle w:val="CharSectno"/>
          <w:rFonts w:ascii="Arial" w:hAnsi="Arial" w:cs="Arial"/>
          <w:sz w:val="20"/>
        </w:rPr>
        <w:t>14048</w:t>
      </w:r>
      <w:r w:rsidR="009E17B4" w:rsidRPr="009E17B4">
        <w:rPr>
          <w:rStyle w:val="CharSectno"/>
          <w:rFonts w:ascii="Arial" w:hAnsi="Arial" w:cs="Arial"/>
          <w:sz w:val="20"/>
        </w:rPr>
        <w:t xml:space="preserve">.  </w:t>
      </w:r>
    </w:p>
    <w:p w:rsidR="006F2C93" w:rsidRDefault="00937B79" w:rsidP="003920A6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092561">
        <w:rPr>
          <w:rFonts w:ascii="Arial" w:hAnsi="Arial" w:cs="Arial"/>
          <w:b/>
          <w:sz w:val="20"/>
          <w:szCs w:val="20"/>
        </w:rPr>
        <w:t xml:space="preserve">Detailed </w:t>
      </w:r>
      <w:r w:rsidR="00597A91">
        <w:rPr>
          <w:rFonts w:ascii="Arial" w:hAnsi="Arial" w:cs="Arial"/>
          <w:b/>
          <w:sz w:val="20"/>
          <w:szCs w:val="20"/>
        </w:rPr>
        <w:t>d</w:t>
      </w:r>
      <w:r w:rsidR="00597A91" w:rsidRPr="00092561">
        <w:rPr>
          <w:rFonts w:ascii="Arial" w:hAnsi="Arial" w:cs="Arial"/>
          <w:b/>
          <w:sz w:val="20"/>
          <w:szCs w:val="20"/>
        </w:rPr>
        <w:t xml:space="preserve">escription </w:t>
      </w:r>
      <w:r w:rsidRPr="00092561">
        <w:rPr>
          <w:rFonts w:ascii="Arial" w:hAnsi="Arial" w:cs="Arial"/>
          <w:b/>
          <w:sz w:val="20"/>
          <w:szCs w:val="20"/>
        </w:rPr>
        <w:t>of the Determination</w:t>
      </w:r>
    </w:p>
    <w:p w:rsidR="006F2C93" w:rsidRDefault="00937B79" w:rsidP="003920A6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092561">
        <w:rPr>
          <w:rFonts w:ascii="Arial" w:hAnsi="Arial" w:cs="Arial"/>
          <w:sz w:val="20"/>
          <w:szCs w:val="20"/>
        </w:rPr>
        <w:t>Details of the</w:t>
      </w:r>
      <w:r w:rsidR="00172222">
        <w:rPr>
          <w:rFonts w:ascii="Arial" w:hAnsi="Arial" w:cs="Arial"/>
          <w:sz w:val="20"/>
          <w:szCs w:val="20"/>
        </w:rPr>
        <w:t xml:space="preserve"> </w:t>
      </w:r>
      <w:r w:rsidR="00597A91">
        <w:rPr>
          <w:rFonts w:ascii="Arial" w:hAnsi="Arial" w:cs="Arial"/>
          <w:sz w:val="20"/>
          <w:szCs w:val="20"/>
        </w:rPr>
        <w:t xml:space="preserve">provisions of the </w:t>
      </w:r>
      <w:r w:rsidR="00172222">
        <w:rPr>
          <w:rFonts w:ascii="Arial" w:hAnsi="Arial" w:cs="Arial"/>
          <w:sz w:val="20"/>
          <w:szCs w:val="20"/>
        </w:rPr>
        <w:t>Determination</w:t>
      </w:r>
      <w:r w:rsidRPr="00092561">
        <w:rPr>
          <w:rFonts w:ascii="Arial" w:hAnsi="Arial" w:cs="Arial"/>
          <w:sz w:val="20"/>
          <w:szCs w:val="20"/>
        </w:rPr>
        <w:t xml:space="preserve"> are set out </w:t>
      </w:r>
      <w:r w:rsidR="009E1EBE" w:rsidRPr="00092561">
        <w:rPr>
          <w:rFonts w:ascii="Arial" w:hAnsi="Arial" w:cs="Arial"/>
          <w:sz w:val="20"/>
          <w:szCs w:val="20"/>
        </w:rPr>
        <w:t>in Attachment</w:t>
      </w:r>
      <w:r w:rsidRPr="00092561">
        <w:rPr>
          <w:rFonts w:ascii="Arial" w:hAnsi="Arial" w:cs="Arial"/>
          <w:b/>
          <w:sz w:val="20"/>
          <w:szCs w:val="20"/>
        </w:rPr>
        <w:t xml:space="preserve"> </w:t>
      </w:r>
      <w:r w:rsidR="00CE7D21" w:rsidRPr="00CE7D21">
        <w:rPr>
          <w:rFonts w:ascii="Arial" w:hAnsi="Arial" w:cs="Arial"/>
          <w:sz w:val="20"/>
          <w:szCs w:val="20"/>
        </w:rPr>
        <w:t>A</w:t>
      </w:r>
      <w:r w:rsidRPr="00597A91">
        <w:rPr>
          <w:rFonts w:ascii="Arial" w:hAnsi="Arial" w:cs="Arial"/>
          <w:sz w:val="20"/>
          <w:szCs w:val="20"/>
        </w:rPr>
        <w:t>.</w:t>
      </w:r>
    </w:p>
    <w:p w:rsidR="006F2C93" w:rsidRDefault="00E93959" w:rsidP="003920A6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092561">
        <w:rPr>
          <w:rFonts w:ascii="Arial" w:hAnsi="Arial" w:cs="Arial"/>
          <w:b/>
          <w:sz w:val="20"/>
          <w:szCs w:val="20"/>
        </w:rPr>
        <w:t>Statement of compatibility with human rights</w:t>
      </w:r>
    </w:p>
    <w:p w:rsidR="006F2C93" w:rsidRDefault="00597A91" w:rsidP="003920A6">
      <w:pPr>
        <w:spacing w:line="360" w:lineRule="auto"/>
        <w:rPr>
          <w:rFonts w:ascii="Arial" w:hAnsi="Arial" w:cs="Arial"/>
          <w:sz w:val="20"/>
          <w:szCs w:val="20"/>
        </w:rPr>
      </w:pPr>
      <w:r w:rsidRPr="006C7069">
        <w:rPr>
          <w:rFonts w:ascii="Arial" w:hAnsi="Arial" w:cs="Arial"/>
          <w:sz w:val="20"/>
          <w:szCs w:val="20"/>
        </w:rPr>
        <w:t xml:space="preserve">In accordance with Part 3 of the </w:t>
      </w:r>
      <w:r w:rsidRPr="006C7069">
        <w:rPr>
          <w:rFonts w:ascii="Arial" w:hAnsi="Arial" w:cs="Arial"/>
          <w:i/>
          <w:sz w:val="20"/>
          <w:szCs w:val="20"/>
        </w:rPr>
        <w:t>Human Rights (Parliamentary Scrutiny) Act 2011</w:t>
      </w:r>
      <w:r w:rsidRPr="006C7069">
        <w:rPr>
          <w:rFonts w:ascii="Arial" w:hAnsi="Arial" w:cs="Arial"/>
          <w:sz w:val="20"/>
          <w:szCs w:val="20"/>
        </w:rPr>
        <w:t xml:space="preserve">, the ACMA has prepared a Statement of Compatibility with Human Rights to consider the human rights implications of this </w:t>
      </w:r>
      <w:r>
        <w:rPr>
          <w:rFonts w:ascii="Arial" w:hAnsi="Arial" w:cs="Arial"/>
          <w:sz w:val="20"/>
          <w:szCs w:val="20"/>
        </w:rPr>
        <w:t>Determination</w:t>
      </w:r>
      <w:r w:rsidRPr="006C7069">
        <w:rPr>
          <w:rFonts w:ascii="Arial" w:hAnsi="Arial" w:cs="Arial"/>
          <w:sz w:val="20"/>
          <w:szCs w:val="20"/>
        </w:rPr>
        <w:t>. The Statement</w:t>
      </w:r>
      <w:r>
        <w:rPr>
          <w:rFonts w:ascii="Arial" w:hAnsi="Arial" w:cs="Arial"/>
          <w:sz w:val="20"/>
          <w:szCs w:val="20"/>
        </w:rPr>
        <w:t>, set out in Attachment B,</w:t>
      </w:r>
      <w:r w:rsidRPr="006C7069">
        <w:rPr>
          <w:rFonts w:ascii="Arial" w:hAnsi="Arial" w:cs="Arial"/>
          <w:sz w:val="20"/>
          <w:szCs w:val="20"/>
        </w:rPr>
        <w:t xml:space="preserve"> concludes that the content of this </w:t>
      </w:r>
      <w:r>
        <w:rPr>
          <w:rFonts w:ascii="Arial" w:hAnsi="Arial" w:cs="Arial"/>
          <w:sz w:val="20"/>
          <w:szCs w:val="20"/>
        </w:rPr>
        <w:t>Determination</w:t>
      </w:r>
      <w:r w:rsidRPr="006C7069">
        <w:rPr>
          <w:rFonts w:ascii="Arial" w:hAnsi="Arial" w:cs="Arial"/>
          <w:sz w:val="20"/>
          <w:szCs w:val="20"/>
        </w:rPr>
        <w:t xml:space="preserve"> does not raise any human rights issues and is therefore regarded as being compatible with human rights</w:t>
      </w:r>
      <w:r>
        <w:rPr>
          <w:rFonts w:ascii="Arial" w:hAnsi="Arial" w:cs="Arial"/>
          <w:sz w:val="20"/>
          <w:szCs w:val="20"/>
        </w:rPr>
        <w:t>.</w:t>
      </w:r>
      <w:r w:rsidR="009E17B4">
        <w:rPr>
          <w:rFonts w:ascii="Arial" w:hAnsi="Arial" w:cs="Arial"/>
          <w:sz w:val="20"/>
          <w:szCs w:val="20"/>
        </w:rPr>
        <w:br w:type="page"/>
      </w:r>
    </w:p>
    <w:p w:rsidR="006F2C93" w:rsidRDefault="009E17B4">
      <w:pPr>
        <w:spacing w:line="360" w:lineRule="auto"/>
        <w:ind w:left="6804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ATTACHMENT A</w:t>
      </w:r>
    </w:p>
    <w:p w:rsidR="006F2C93" w:rsidRDefault="00937B79">
      <w:pPr>
        <w:jc w:val="both"/>
        <w:rPr>
          <w:rFonts w:ascii="Arial" w:hAnsi="Arial" w:cs="Arial"/>
          <w:b/>
        </w:rPr>
      </w:pPr>
      <w:r w:rsidRPr="00092561">
        <w:rPr>
          <w:rFonts w:ascii="Arial" w:hAnsi="Arial" w:cs="Arial"/>
          <w:b/>
          <w:sz w:val="20"/>
          <w:szCs w:val="20"/>
        </w:rPr>
        <w:t xml:space="preserve">DETAILS OF THE </w:t>
      </w:r>
      <w:r w:rsidR="005D76C2">
        <w:rPr>
          <w:rFonts w:ascii="Arial" w:hAnsi="Arial" w:cs="Arial"/>
          <w:b/>
          <w:sz w:val="20"/>
          <w:szCs w:val="20"/>
        </w:rPr>
        <w:t xml:space="preserve">PROVISIONS OF THE </w:t>
      </w:r>
      <w:r w:rsidR="00CE7D21" w:rsidRPr="00CE7D21">
        <w:rPr>
          <w:rFonts w:ascii="Arial" w:hAnsi="Arial" w:cs="Arial"/>
          <w:b/>
          <w:i/>
          <w:sz w:val="20"/>
          <w:szCs w:val="20"/>
        </w:rPr>
        <w:t xml:space="preserve">RADIOCOMMUNICATIONS (SPECTRUM ACCESS CHARGES –1800 MHz BAND) DETERMINATION </w:t>
      </w:r>
      <w:r w:rsidR="00CE7D21" w:rsidRPr="00C67FC8">
        <w:rPr>
          <w:rFonts w:ascii="Arial" w:hAnsi="Arial" w:cs="Arial"/>
          <w:b/>
          <w:i/>
          <w:sz w:val="20"/>
          <w:szCs w:val="20"/>
        </w:rPr>
        <w:t>2013 (No.</w:t>
      </w:r>
      <w:r w:rsidR="00AA7A50" w:rsidRPr="00C67FC8">
        <w:rPr>
          <w:rFonts w:ascii="Arial" w:hAnsi="Arial" w:cs="Arial"/>
          <w:b/>
          <w:i/>
          <w:sz w:val="20"/>
          <w:szCs w:val="20"/>
        </w:rPr>
        <w:t xml:space="preserve"> </w:t>
      </w:r>
      <w:r w:rsidR="00BE707A" w:rsidRPr="00C67FC8">
        <w:rPr>
          <w:rFonts w:ascii="Arial" w:hAnsi="Arial" w:cs="Arial"/>
          <w:b/>
          <w:i/>
          <w:sz w:val="20"/>
          <w:szCs w:val="20"/>
        </w:rPr>
        <w:t>2</w:t>
      </w:r>
      <w:r w:rsidR="00CE7D21" w:rsidRPr="00C67FC8">
        <w:rPr>
          <w:rFonts w:ascii="Arial" w:hAnsi="Arial" w:cs="Arial"/>
          <w:b/>
          <w:i/>
          <w:sz w:val="20"/>
          <w:szCs w:val="20"/>
        </w:rPr>
        <w:t>)</w:t>
      </w:r>
    </w:p>
    <w:p w:rsidR="006F2C93" w:rsidRDefault="00937B79" w:rsidP="003920A6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092561">
        <w:rPr>
          <w:rFonts w:ascii="Arial" w:hAnsi="Arial" w:cs="Arial"/>
          <w:b/>
          <w:sz w:val="20"/>
          <w:szCs w:val="20"/>
        </w:rPr>
        <w:t>Section 1 – Name of Determination</w:t>
      </w:r>
    </w:p>
    <w:p w:rsidR="006F2C93" w:rsidRDefault="00937B79" w:rsidP="003920A6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92561">
        <w:rPr>
          <w:rFonts w:ascii="Arial" w:hAnsi="Arial" w:cs="Arial"/>
          <w:sz w:val="20"/>
          <w:szCs w:val="20"/>
        </w:rPr>
        <w:t xml:space="preserve">This section </w:t>
      </w:r>
      <w:r w:rsidR="005D76C2">
        <w:rPr>
          <w:rFonts w:ascii="Arial" w:hAnsi="Arial" w:cs="Arial"/>
          <w:sz w:val="20"/>
          <w:szCs w:val="20"/>
        </w:rPr>
        <w:t>names</w:t>
      </w:r>
      <w:r w:rsidRPr="00092561">
        <w:rPr>
          <w:rFonts w:ascii="Arial" w:hAnsi="Arial" w:cs="Arial"/>
          <w:sz w:val="20"/>
          <w:szCs w:val="20"/>
        </w:rPr>
        <w:t xml:space="preserve"> the Determination the </w:t>
      </w:r>
      <w:r w:rsidR="009E17B4" w:rsidRPr="009E17B4">
        <w:rPr>
          <w:rFonts w:ascii="Arial" w:hAnsi="Arial" w:cs="Arial"/>
          <w:i/>
          <w:sz w:val="20"/>
          <w:szCs w:val="20"/>
        </w:rPr>
        <w:t>Radiocommunications (Spectrum Access Charge</w:t>
      </w:r>
      <w:r w:rsidR="008D4EA2">
        <w:rPr>
          <w:rFonts w:ascii="Arial" w:hAnsi="Arial" w:cs="Arial"/>
          <w:i/>
          <w:sz w:val="20"/>
          <w:szCs w:val="20"/>
        </w:rPr>
        <w:t>s</w:t>
      </w:r>
      <w:r w:rsidR="009E17B4" w:rsidRPr="009E17B4">
        <w:rPr>
          <w:rFonts w:ascii="Arial" w:hAnsi="Arial" w:cs="Arial"/>
          <w:i/>
          <w:sz w:val="20"/>
          <w:szCs w:val="20"/>
        </w:rPr>
        <w:t xml:space="preserve"> – </w:t>
      </w:r>
      <w:r w:rsidR="002838AB">
        <w:rPr>
          <w:rFonts w:ascii="Arial" w:hAnsi="Arial" w:cs="Arial"/>
          <w:i/>
          <w:sz w:val="20"/>
          <w:szCs w:val="20"/>
        </w:rPr>
        <w:t>1</w:t>
      </w:r>
      <w:r w:rsidR="009E17B4" w:rsidRPr="009E17B4">
        <w:rPr>
          <w:rFonts w:ascii="Arial" w:hAnsi="Arial" w:cs="Arial"/>
          <w:i/>
          <w:sz w:val="20"/>
          <w:szCs w:val="20"/>
        </w:rPr>
        <w:t xml:space="preserve">800 MHz Band) </w:t>
      </w:r>
      <w:r w:rsidR="009E17B4" w:rsidRPr="00C67FC8">
        <w:rPr>
          <w:rFonts w:ascii="Arial" w:hAnsi="Arial" w:cs="Arial"/>
          <w:i/>
          <w:sz w:val="20"/>
          <w:szCs w:val="20"/>
        </w:rPr>
        <w:t>Determination</w:t>
      </w:r>
      <w:r w:rsidR="00827697" w:rsidRPr="00C67FC8">
        <w:rPr>
          <w:rFonts w:ascii="Arial" w:hAnsi="Arial" w:cs="Arial"/>
          <w:i/>
          <w:sz w:val="20"/>
          <w:szCs w:val="20"/>
        </w:rPr>
        <w:t xml:space="preserve"> </w:t>
      </w:r>
      <w:r w:rsidR="009E17B4" w:rsidRPr="00C67FC8">
        <w:rPr>
          <w:rFonts w:ascii="Arial" w:hAnsi="Arial" w:cs="Arial"/>
          <w:i/>
          <w:sz w:val="20"/>
          <w:szCs w:val="20"/>
        </w:rPr>
        <w:t>201</w:t>
      </w:r>
      <w:r w:rsidR="00464B88" w:rsidRPr="00C67FC8">
        <w:rPr>
          <w:rFonts w:ascii="Arial" w:hAnsi="Arial" w:cs="Arial"/>
          <w:i/>
          <w:sz w:val="20"/>
          <w:szCs w:val="20"/>
        </w:rPr>
        <w:t>3</w:t>
      </w:r>
      <w:r w:rsidR="009E17B4" w:rsidRPr="00C67FC8">
        <w:rPr>
          <w:rFonts w:ascii="Arial" w:hAnsi="Arial" w:cs="Arial"/>
          <w:i/>
          <w:sz w:val="20"/>
          <w:szCs w:val="20"/>
        </w:rPr>
        <w:t xml:space="preserve"> (No. </w:t>
      </w:r>
      <w:r w:rsidR="00BE707A" w:rsidRPr="00C67FC8">
        <w:rPr>
          <w:rFonts w:ascii="Arial" w:hAnsi="Arial" w:cs="Arial"/>
          <w:i/>
          <w:sz w:val="20"/>
          <w:szCs w:val="20"/>
        </w:rPr>
        <w:t>2</w:t>
      </w:r>
      <w:r w:rsidR="009E17B4" w:rsidRPr="00C67FC8">
        <w:rPr>
          <w:rFonts w:ascii="Arial" w:hAnsi="Arial" w:cs="Arial"/>
          <w:i/>
          <w:sz w:val="20"/>
          <w:szCs w:val="20"/>
        </w:rPr>
        <w:t>)</w:t>
      </w:r>
      <w:r w:rsidR="00172222" w:rsidRPr="00C67FC8">
        <w:rPr>
          <w:rFonts w:ascii="Arial" w:hAnsi="Arial" w:cs="Arial"/>
          <w:i/>
          <w:sz w:val="20"/>
          <w:szCs w:val="20"/>
        </w:rPr>
        <w:t>.</w:t>
      </w:r>
    </w:p>
    <w:p w:rsidR="006F2C93" w:rsidRDefault="00937B79" w:rsidP="003920A6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092561">
        <w:rPr>
          <w:rFonts w:ascii="Arial" w:hAnsi="Arial" w:cs="Arial"/>
          <w:b/>
          <w:sz w:val="20"/>
          <w:szCs w:val="20"/>
        </w:rPr>
        <w:t xml:space="preserve">Section 2 - Commencement </w:t>
      </w:r>
    </w:p>
    <w:p w:rsidR="006F2C93" w:rsidRDefault="00937B79" w:rsidP="003920A6">
      <w:pPr>
        <w:spacing w:line="360" w:lineRule="auto"/>
        <w:rPr>
          <w:rFonts w:ascii="Arial" w:hAnsi="Arial" w:cs="Arial"/>
        </w:rPr>
      </w:pPr>
      <w:r w:rsidRPr="00092561">
        <w:rPr>
          <w:rFonts w:ascii="Arial" w:hAnsi="Arial" w:cs="Arial"/>
          <w:sz w:val="20"/>
          <w:szCs w:val="20"/>
        </w:rPr>
        <w:t>This section</w:t>
      </w:r>
      <w:r w:rsidR="004E35C3">
        <w:rPr>
          <w:rFonts w:ascii="Arial" w:hAnsi="Arial" w:cs="Arial"/>
          <w:sz w:val="20"/>
          <w:szCs w:val="20"/>
        </w:rPr>
        <w:t xml:space="preserve"> </w:t>
      </w:r>
      <w:r w:rsidR="005D76C2">
        <w:rPr>
          <w:rFonts w:ascii="Arial" w:hAnsi="Arial" w:cs="Arial"/>
          <w:sz w:val="20"/>
          <w:szCs w:val="20"/>
        </w:rPr>
        <w:t>provides</w:t>
      </w:r>
      <w:r w:rsidRPr="00092561">
        <w:rPr>
          <w:rFonts w:ascii="Arial" w:hAnsi="Arial" w:cs="Arial"/>
          <w:sz w:val="20"/>
          <w:szCs w:val="20"/>
        </w:rPr>
        <w:t xml:space="preserve"> that the Determination will commence on</w:t>
      </w:r>
      <w:r w:rsidR="009E17B4" w:rsidRPr="009E17B4">
        <w:rPr>
          <w:rFonts w:ascii="Arial" w:hAnsi="Arial" w:cs="Arial"/>
        </w:rPr>
        <w:t xml:space="preserve"> </w:t>
      </w:r>
      <w:r w:rsidR="009E17B4" w:rsidRPr="009E17B4">
        <w:rPr>
          <w:rFonts w:ascii="Arial" w:hAnsi="Arial" w:cs="Arial"/>
          <w:sz w:val="20"/>
          <w:szCs w:val="20"/>
        </w:rPr>
        <w:t>the day after it is registered.</w:t>
      </w:r>
    </w:p>
    <w:p w:rsidR="006F2C93" w:rsidRDefault="00937B79" w:rsidP="003920A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92561">
        <w:rPr>
          <w:rFonts w:ascii="Arial" w:hAnsi="Arial" w:cs="Arial"/>
          <w:b/>
          <w:sz w:val="20"/>
          <w:szCs w:val="20"/>
        </w:rPr>
        <w:t xml:space="preserve">Section 3 – </w:t>
      </w:r>
      <w:r w:rsidR="009E17B4" w:rsidRPr="009E17B4">
        <w:rPr>
          <w:rFonts w:ascii="Arial" w:hAnsi="Arial" w:cs="Arial"/>
          <w:b/>
          <w:sz w:val="20"/>
          <w:szCs w:val="20"/>
        </w:rPr>
        <w:t>Definitions</w:t>
      </w:r>
    </w:p>
    <w:p w:rsidR="006F2C93" w:rsidRDefault="00937B79" w:rsidP="003920A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92561">
        <w:rPr>
          <w:rFonts w:ascii="Arial" w:hAnsi="Arial" w:cs="Arial"/>
          <w:sz w:val="20"/>
          <w:szCs w:val="20"/>
        </w:rPr>
        <w:t xml:space="preserve">This section </w:t>
      </w:r>
      <w:r w:rsidR="00AF3C54">
        <w:rPr>
          <w:rFonts w:ascii="Arial" w:hAnsi="Arial" w:cs="Arial"/>
          <w:sz w:val="20"/>
          <w:szCs w:val="20"/>
        </w:rPr>
        <w:t>defines</w:t>
      </w:r>
      <w:r w:rsidRPr="00092561">
        <w:rPr>
          <w:rFonts w:ascii="Arial" w:hAnsi="Arial" w:cs="Arial"/>
          <w:sz w:val="20"/>
          <w:szCs w:val="20"/>
        </w:rPr>
        <w:t xml:space="preserve"> the terms used in the Determination.</w:t>
      </w:r>
    </w:p>
    <w:p w:rsidR="006F2C93" w:rsidRDefault="00937B79" w:rsidP="003920A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92561">
        <w:rPr>
          <w:rFonts w:ascii="Arial" w:hAnsi="Arial" w:cs="Arial"/>
          <w:b/>
          <w:sz w:val="20"/>
          <w:szCs w:val="20"/>
        </w:rPr>
        <w:t xml:space="preserve">Section 4 - </w:t>
      </w:r>
      <w:r w:rsidR="009E17B4" w:rsidRPr="009E17B4">
        <w:rPr>
          <w:rFonts w:ascii="Arial" w:hAnsi="Arial" w:cs="Arial"/>
          <w:b/>
          <w:sz w:val="20"/>
          <w:szCs w:val="20"/>
        </w:rPr>
        <w:t>Population of a licence area for a spectrum licence</w:t>
      </w:r>
    </w:p>
    <w:p w:rsidR="006F2C93" w:rsidRDefault="009E17B4" w:rsidP="003920A6">
      <w:pPr>
        <w:spacing w:line="360" w:lineRule="auto"/>
        <w:rPr>
          <w:rFonts w:ascii="Arial" w:hAnsi="Arial" w:cs="Arial"/>
          <w:sz w:val="20"/>
          <w:szCs w:val="20"/>
        </w:rPr>
      </w:pPr>
      <w:r w:rsidRPr="00A85470">
        <w:rPr>
          <w:rFonts w:ascii="Arial" w:hAnsi="Arial" w:cs="Arial"/>
          <w:sz w:val="20"/>
          <w:szCs w:val="20"/>
        </w:rPr>
        <w:t>This section</w:t>
      </w:r>
      <w:r w:rsidR="00EE7F65" w:rsidRPr="00A85470">
        <w:rPr>
          <w:rFonts w:ascii="Arial" w:hAnsi="Arial" w:cs="Arial"/>
          <w:sz w:val="20"/>
          <w:szCs w:val="20"/>
        </w:rPr>
        <w:t xml:space="preserve"> provides </w:t>
      </w:r>
      <w:r w:rsidR="005D76C2">
        <w:rPr>
          <w:rFonts w:ascii="Arial" w:hAnsi="Arial" w:cs="Arial"/>
          <w:sz w:val="20"/>
          <w:szCs w:val="20"/>
        </w:rPr>
        <w:t xml:space="preserve">that the </w:t>
      </w:r>
      <w:r w:rsidRPr="00A85470">
        <w:rPr>
          <w:rFonts w:ascii="Arial" w:hAnsi="Arial" w:cs="Arial"/>
          <w:sz w:val="20"/>
          <w:szCs w:val="20"/>
        </w:rPr>
        <w:t xml:space="preserve">population estimate </w:t>
      </w:r>
      <w:r w:rsidR="00F06832" w:rsidRPr="00F06832">
        <w:rPr>
          <w:rFonts w:ascii="Arial" w:hAnsi="Arial" w:cs="Arial"/>
          <w:sz w:val="20"/>
          <w:szCs w:val="20"/>
        </w:rPr>
        <w:t>for a spectrum licence</w:t>
      </w:r>
      <w:r w:rsidR="005D76C2">
        <w:rPr>
          <w:rFonts w:ascii="Arial" w:hAnsi="Arial" w:cs="Arial"/>
          <w:sz w:val="20"/>
          <w:szCs w:val="20"/>
        </w:rPr>
        <w:t xml:space="preserve"> men</w:t>
      </w:r>
      <w:r w:rsidR="0098563E">
        <w:rPr>
          <w:rFonts w:ascii="Arial" w:hAnsi="Arial" w:cs="Arial"/>
          <w:sz w:val="20"/>
          <w:szCs w:val="20"/>
        </w:rPr>
        <w:t>tioned in column 1 of the table</w:t>
      </w:r>
      <w:r w:rsidR="005D76C2">
        <w:rPr>
          <w:rFonts w:ascii="Arial" w:hAnsi="Arial" w:cs="Arial"/>
          <w:sz w:val="20"/>
          <w:szCs w:val="20"/>
        </w:rPr>
        <w:t xml:space="preserve"> in sections 6, 7, 8</w:t>
      </w:r>
      <w:r w:rsidR="00AA7A50">
        <w:rPr>
          <w:rFonts w:ascii="Arial" w:hAnsi="Arial" w:cs="Arial"/>
          <w:sz w:val="20"/>
          <w:szCs w:val="20"/>
        </w:rPr>
        <w:t xml:space="preserve"> or</w:t>
      </w:r>
      <w:r w:rsidR="005D76C2">
        <w:rPr>
          <w:rFonts w:ascii="Arial" w:hAnsi="Arial" w:cs="Arial"/>
          <w:sz w:val="20"/>
          <w:szCs w:val="20"/>
        </w:rPr>
        <w:t xml:space="preserve"> 9 is the c</w:t>
      </w:r>
      <w:r w:rsidR="0098563E">
        <w:rPr>
          <w:rFonts w:ascii="Arial" w:hAnsi="Arial" w:cs="Arial"/>
          <w:sz w:val="20"/>
          <w:szCs w:val="20"/>
        </w:rPr>
        <w:t>orresponding number in column 2</w:t>
      </w:r>
      <w:r w:rsidR="00EE7F65" w:rsidRPr="00A85470">
        <w:rPr>
          <w:rFonts w:ascii="Arial" w:hAnsi="Arial" w:cs="Arial"/>
          <w:sz w:val="20"/>
          <w:szCs w:val="20"/>
        </w:rPr>
        <w:t xml:space="preserve">. </w:t>
      </w:r>
    </w:p>
    <w:p w:rsidR="006F2C93" w:rsidRDefault="00735C90" w:rsidP="003920A6">
      <w:pPr>
        <w:spacing w:line="360" w:lineRule="auto"/>
        <w:rPr>
          <w:rFonts w:ascii="Arial" w:hAnsi="Arial" w:cs="Arial"/>
          <w:sz w:val="20"/>
          <w:szCs w:val="20"/>
        </w:rPr>
      </w:pPr>
      <w:r w:rsidRPr="009E17B4">
        <w:rPr>
          <w:rFonts w:ascii="Arial" w:hAnsi="Arial" w:cs="Arial"/>
          <w:sz w:val="20"/>
          <w:szCs w:val="20"/>
        </w:rPr>
        <w:t>The ACMA</w:t>
      </w:r>
      <w:r w:rsidR="000D5102">
        <w:rPr>
          <w:rFonts w:ascii="Arial" w:hAnsi="Arial" w:cs="Arial"/>
          <w:sz w:val="20"/>
          <w:szCs w:val="20"/>
        </w:rPr>
        <w:t xml:space="preserve"> is required</w:t>
      </w:r>
      <w:r w:rsidRPr="009E17B4">
        <w:rPr>
          <w:rFonts w:ascii="Arial" w:hAnsi="Arial" w:cs="Arial"/>
          <w:sz w:val="20"/>
          <w:szCs w:val="20"/>
        </w:rPr>
        <w:t xml:space="preserve"> to apply population estimates for each licence area at the time </w:t>
      </w:r>
      <w:r w:rsidR="00C20FEC">
        <w:rPr>
          <w:rFonts w:ascii="Arial" w:hAnsi="Arial" w:cs="Arial"/>
          <w:sz w:val="20"/>
          <w:szCs w:val="20"/>
        </w:rPr>
        <w:t>the</w:t>
      </w:r>
      <w:r w:rsidRPr="009E17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9E17B4">
        <w:rPr>
          <w:rFonts w:ascii="Arial" w:hAnsi="Arial" w:cs="Arial"/>
          <w:sz w:val="20"/>
          <w:szCs w:val="20"/>
        </w:rPr>
        <w:t>etermination</w:t>
      </w:r>
      <w:r w:rsidR="00C20FEC">
        <w:rPr>
          <w:rFonts w:ascii="Arial" w:hAnsi="Arial" w:cs="Arial"/>
          <w:sz w:val="20"/>
          <w:szCs w:val="20"/>
        </w:rPr>
        <w:t xml:space="preserve"> is made</w:t>
      </w:r>
      <w:r w:rsidRPr="009E17B4">
        <w:rPr>
          <w:rFonts w:ascii="Arial" w:hAnsi="Arial" w:cs="Arial"/>
          <w:sz w:val="20"/>
          <w:szCs w:val="20"/>
        </w:rPr>
        <w:t xml:space="preserve">.  </w:t>
      </w:r>
    </w:p>
    <w:p w:rsidR="00691893" w:rsidRDefault="004E56FA" w:rsidP="003920A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ACMA</w:t>
      </w:r>
      <w:r w:rsidRPr="00A238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first </w:t>
      </w:r>
      <w:r w:rsidRPr="00A23869">
        <w:rPr>
          <w:rFonts w:ascii="Arial" w:hAnsi="Arial" w:cs="Arial"/>
          <w:sz w:val="20"/>
          <w:szCs w:val="20"/>
        </w:rPr>
        <w:t>derives an estimated population count for each licence area consistent with the population count and dispersion enumerated in Census 2011.</w:t>
      </w:r>
      <w:r w:rsidR="00930BBE" w:rsidRPr="003920A6">
        <w:rPr>
          <w:vertAlign w:val="superscript"/>
        </w:rPr>
        <w:footnoteReference w:id="1"/>
      </w:r>
      <w:r w:rsidR="00114DE8" w:rsidRPr="003920A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14DE8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comply with the Pricing </w:t>
      </w:r>
      <w:r w:rsidRPr="009E17B4">
        <w:rPr>
          <w:rFonts w:ascii="Arial" w:hAnsi="Arial" w:cs="Arial"/>
          <w:sz w:val="20"/>
          <w:szCs w:val="20"/>
        </w:rPr>
        <w:t xml:space="preserve">Direction </w:t>
      </w:r>
      <w:r>
        <w:rPr>
          <w:rFonts w:ascii="Arial" w:hAnsi="Arial" w:cs="Arial"/>
          <w:sz w:val="20"/>
          <w:szCs w:val="20"/>
        </w:rPr>
        <w:t>the ACMA has considered</w:t>
      </w:r>
      <w:r w:rsidRPr="00735C90">
        <w:rPr>
          <w:rFonts w:ascii="Arial" w:hAnsi="Arial" w:cs="Arial"/>
          <w:sz w:val="20"/>
          <w:szCs w:val="20"/>
        </w:rPr>
        <w:t xml:space="preserve"> how population </w:t>
      </w:r>
      <w:r>
        <w:rPr>
          <w:rFonts w:ascii="Arial" w:hAnsi="Arial" w:cs="Arial"/>
          <w:sz w:val="20"/>
          <w:szCs w:val="20"/>
        </w:rPr>
        <w:t xml:space="preserve">numbers </w:t>
      </w:r>
      <w:r w:rsidRPr="00735C90">
        <w:rPr>
          <w:rFonts w:ascii="Arial" w:hAnsi="Arial" w:cs="Arial"/>
          <w:sz w:val="20"/>
          <w:szCs w:val="20"/>
        </w:rPr>
        <w:t>ha</w:t>
      </w:r>
      <w:r>
        <w:rPr>
          <w:rFonts w:ascii="Arial" w:hAnsi="Arial" w:cs="Arial"/>
          <w:sz w:val="20"/>
          <w:szCs w:val="20"/>
        </w:rPr>
        <w:t>ve</w:t>
      </w:r>
      <w:r w:rsidRPr="00735C90">
        <w:rPr>
          <w:rFonts w:ascii="Arial" w:hAnsi="Arial" w:cs="Arial"/>
          <w:sz w:val="20"/>
          <w:szCs w:val="20"/>
        </w:rPr>
        <w:t xml:space="preserve"> grown across the intervening period (i.e. between the most recent available Censu</w:t>
      </w:r>
      <w:r>
        <w:rPr>
          <w:rFonts w:ascii="Arial" w:hAnsi="Arial" w:cs="Arial"/>
          <w:sz w:val="20"/>
          <w:szCs w:val="20"/>
        </w:rPr>
        <w:t>s and a time proximate to the making of the D</w:t>
      </w:r>
      <w:r w:rsidRPr="00735C90">
        <w:rPr>
          <w:rFonts w:ascii="Arial" w:hAnsi="Arial" w:cs="Arial"/>
          <w:sz w:val="20"/>
          <w:szCs w:val="20"/>
        </w:rPr>
        <w:t>etermination</w:t>
      </w:r>
      <w:r>
        <w:rPr>
          <w:rFonts w:ascii="Arial" w:hAnsi="Arial" w:cs="Arial"/>
          <w:sz w:val="20"/>
          <w:szCs w:val="20"/>
        </w:rPr>
        <w:t>).</w:t>
      </w:r>
    </w:p>
    <w:p w:rsidR="00691893" w:rsidRDefault="004E56FA" w:rsidP="003920A6">
      <w:pPr>
        <w:spacing w:line="360" w:lineRule="auto"/>
        <w:rPr>
          <w:rFonts w:ascii="Arial" w:hAnsi="Arial" w:cs="Arial"/>
          <w:sz w:val="20"/>
          <w:szCs w:val="20"/>
        </w:rPr>
      </w:pPr>
      <w:r w:rsidRPr="00EE19B9">
        <w:rPr>
          <w:rFonts w:ascii="Arial" w:hAnsi="Arial" w:cs="Arial"/>
          <w:sz w:val="20"/>
          <w:szCs w:val="20"/>
        </w:rPr>
        <w:t xml:space="preserve">The ratio of the projected national resident population at </w:t>
      </w:r>
      <w:r>
        <w:rPr>
          <w:rFonts w:ascii="Arial" w:hAnsi="Arial" w:cs="Arial"/>
          <w:sz w:val="20"/>
          <w:szCs w:val="20"/>
        </w:rPr>
        <w:t>September</w:t>
      </w:r>
      <w:r w:rsidRPr="00EE19B9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3</w:t>
      </w:r>
      <w:r w:rsidRPr="00EE19B9">
        <w:rPr>
          <w:rFonts w:ascii="Arial" w:hAnsi="Arial" w:cs="Arial"/>
          <w:sz w:val="20"/>
          <w:szCs w:val="20"/>
        </w:rPr>
        <w:t xml:space="preserve"> to the Census 2011 national population count provides an indicator of how population has grown across th</w:t>
      </w:r>
      <w:r>
        <w:rPr>
          <w:rFonts w:ascii="Arial" w:hAnsi="Arial" w:cs="Arial"/>
          <w:sz w:val="20"/>
          <w:szCs w:val="20"/>
        </w:rPr>
        <w:t>is</w:t>
      </w:r>
      <w:r w:rsidRPr="00EE19B9">
        <w:rPr>
          <w:rFonts w:ascii="Arial" w:hAnsi="Arial" w:cs="Arial"/>
          <w:sz w:val="20"/>
          <w:szCs w:val="20"/>
        </w:rPr>
        <w:t xml:space="preserve"> intervening period.</w:t>
      </w:r>
      <w:r w:rsidR="00930BBE" w:rsidRPr="003920A6">
        <w:rPr>
          <w:vertAlign w:val="superscript"/>
        </w:rPr>
        <w:footnoteReference w:id="2"/>
      </w:r>
      <w:r w:rsidRPr="00EE19B9">
        <w:rPr>
          <w:rFonts w:ascii="Arial" w:hAnsi="Arial" w:cs="Arial"/>
          <w:sz w:val="20"/>
          <w:szCs w:val="20"/>
        </w:rPr>
        <w:t xml:space="preserve"> This ratio is then applied to the estimate of population in each </w:t>
      </w:r>
      <w:r>
        <w:rPr>
          <w:rFonts w:ascii="Arial" w:hAnsi="Arial" w:cs="Arial"/>
          <w:sz w:val="20"/>
          <w:szCs w:val="20"/>
        </w:rPr>
        <w:t>licence area</w:t>
      </w:r>
      <w:r w:rsidRPr="00EE19B9">
        <w:rPr>
          <w:rFonts w:ascii="Arial" w:hAnsi="Arial" w:cs="Arial"/>
          <w:sz w:val="20"/>
          <w:szCs w:val="20"/>
        </w:rPr>
        <w:t xml:space="preserve"> at August 2011 to derive an estimate of population in </w:t>
      </w:r>
      <w:r>
        <w:rPr>
          <w:rFonts w:ascii="Arial" w:hAnsi="Arial" w:cs="Arial"/>
          <w:sz w:val="20"/>
          <w:szCs w:val="20"/>
        </w:rPr>
        <w:t>the area</w:t>
      </w:r>
      <w:r w:rsidRPr="00EE19B9">
        <w:rPr>
          <w:rFonts w:ascii="Arial" w:hAnsi="Arial" w:cs="Arial"/>
          <w:sz w:val="20"/>
          <w:szCs w:val="20"/>
        </w:rPr>
        <w:t xml:space="preserve"> as at </w:t>
      </w:r>
      <w:r>
        <w:rPr>
          <w:rFonts w:ascii="Arial" w:hAnsi="Arial" w:cs="Arial"/>
          <w:sz w:val="20"/>
          <w:szCs w:val="20"/>
        </w:rPr>
        <w:t>September</w:t>
      </w:r>
      <w:r w:rsidRPr="00EE19B9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3</w:t>
      </w:r>
      <w:r w:rsidR="00BB1DF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being the end of the most recent complete quarter before the Determination is made</w:t>
      </w:r>
      <w:r w:rsidR="00BB1DFF">
        <w:rPr>
          <w:rFonts w:ascii="Arial" w:hAnsi="Arial" w:cs="Arial"/>
          <w:sz w:val="20"/>
          <w:szCs w:val="20"/>
        </w:rPr>
        <w:t>)</w:t>
      </w:r>
      <w:r w:rsidRPr="00EE19B9">
        <w:rPr>
          <w:rFonts w:ascii="Arial" w:hAnsi="Arial" w:cs="Arial"/>
          <w:sz w:val="20"/>
          <w:szCs w:val="20"/>
        </w:rPr>
        <w:t xml:space="preserve">. </w:t>
      </w:r>
    </w:p>
    <w:p w:rsidR="00B20D5F" w:rsidRDefault="00B20D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91893" w:rsidRDefault="004E56FA" w:rsidP="003920A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The source of data and an example of the population calculation for a licence area is provided in the following table:</w:t>
      </w:r>
    </w:p>
    <w:p w:rsidR="006F2C93" w:rsidRDefault="00F31EF6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szCs w:val="20"/>
          <w:lang w:eastAsia="en-AU"/>
        </w:rPr>
        <w:drawing>
          <wp:inline distT="0" distB="0" distL="0" distR="0">
            <wp:extent cx="5731510" cy="3084949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84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C93" w:rsidRDefault="00241C0E" w:rsidP="003920A6">
      <w:pPr>
        <w:spacing w:line="360" w:lineRule="auto"/>
        <w:rPr>
          <w:rFonts w:ascii="Arial" w:hAnsi="Arial" w:cs="Arial"/>
          <w:sz w:val="20"/>
          <w:szCs w:val="20"/>
        </w:rPr>
      </w:pPr>
      <w:r w:rsidRPr="009E17B4">
        <w:rPr>
          <w:rFonts w:ascii="Arial" w:hAnsi="Arial" w:cs="Arial"/>
          <w:b/>
          <w:sz w:val="20"/>
          <w:szCs w:val="20"/>
        </w:rPr>
        <w:t xml:space="preserve">Section 5 </w:t>
      </w:r>
      <w:r>
        <w:rPr>
          <w:rFonts w:ascii="Arial" w:hAnsi="Arial" w:cs="Arial"/>
          <w:b/>
          <w:sz w:val="20"/>
          <w:szCs w:val="20"/>
        </w:rPr>
        <w:t>–</w:t>
      </w:r>
      <w:r w:rsidRPr="009E17B4">
        <w:rPr>
          <w:rFonts w:ascii="Arial" w:hAnsi="Arial" w:cs="Arial"/>
          <w:b/>
          <w:sz w:val="20"/>
          <w:szCs w:val="20"/>
        </w:rPr>
        <w:t xml:space="preserve"> </w:t>
      </w:r>
      <w:r w:rsidR="00716B63">
        <w:rPr>
          <w:rFonts w:ascii="Arial" w:hAnsi="Arial" w:cs="Arial"/>
          <w:b/>
          <w:sz w:val="20"/>
          <w:szCs w:val="20"/>
        </w:rPr>
        <w:t>Unit a</w:t>
      </w:r>
      <w:r w:rsidR="00657228">
        <w:rPr>
          <w:rFonts w:ascii="Arial" w:hAnsi="Arial" w:cs="Arial"/>
          <w:b/>
          <w:sz w:val="20"/>
          <w:szCs w:val="20"/>
        </w:rPr>
        <w:t>mount</w:t>
      </w:r>
      <w:r w:rsidR="000D5102">
        <w:rPr>
          <w:rFonts w:ascii="Arial" w:hAnsi="Arial" w:cs="Arial"/>
          <w:b/>
          <w:sz w:val="20"/>
          <w:szCs w:val="20"/>
        </w:rPr>
        <w:t>s</w:t>
      </w:r>
      <w:r w:rsidR="00716B63">
        <w:rPr>
          <w:rFonts w:ascii="Arial" w:hAnsi="Arial" w:cs="Arial"/>
          <w:b/>
          <w:sz w:val="20"/>
          <w:szCs w:val="20"/>
        </w:rPr>
        <w:t xml:space="preserve"> applied </w:t>
      </w:r>
    </w:p>
    <w:p w:rsidR="000D5102" w:rsidRDefault="000D5102" w:rsidP="003920A6">
      <w:pPr>
        <w:spacing w:line="360" w:lineRule="auto"/>
        <w:rPr>
          <w:rFonts w:ascii="Arial" w:hAnsi="Arial" w:cs="Arial"/>
          <w:sz w:val="20"/>
          <w:szCs w:val="20"/>
        </w:rPr>
      </w:pPr>
      <w:r w:rsidRPr="00A85470">
        <w:rPr>
          <w:rFonts w:ascii="Arial" w:hAnsi="Arial" w:cs="Arial"/>
          <w:sz w:val="20"/>
          <w:szCs w:val="20"/>
        </w:rPr>
        <w:t xml:space="preserve">This section provides </w:t>
      </w:r>
      <w:r>
        <w:rPr>
          <w:rFonts w:ascii="Arial" w:hAnsi="Arial" w:cs="Arial"/>
          <w:sz w:val="20"/>
          <w:szCs w:val="20"/>
        </w:rPr>
        <w:t>that the unit amounts applied by the ACMA in calculating the spectrum access charges payable by a rail authority licensee mentioned in sections 6, 7, 8</w:t>
      </w:r>
      <w:r w:rsidR="00856265">
        <w:rPr>
          <w:rFonts w:ascii="Arial" w:hAnsi="Arial" w:cs="Arial"/>
          <w:sz w:val="20"/>
          <w:szCs w:val="20"/>
        </w:rPr>
        <w:t xml:space="preserve"> or</w:t>
      </w:r>
      <w:r>
        <w:rPr>
          <w:rFonts w:ascii="Arial" w:hAnsi="Arial" w:cs="Arial"/>
          <w:sz w:val="20"/>
          <w:szCs w:val="20"/>
        </w:rPr>
        <w:t xml:space="preserve"> 9 are </w:t>
      </w:r>
      <w:r w:rsidR="00771BE1">
        <w:rPr>
          <w:rFonts w:ascii="Arial" w:hAnsi="Arial" w:cs="Arial"/>
          <w:sz w:val="20"/>
          <w:szCs w:val="20"/>
        </w:rPr>
        <w:t xml:space="preserve">$0.1053/MHz/Pop and </w:t>
      </w:r>
      <w:r>
        <w:rPr>
          <w:rFonts w:ascii="Arial" w:hAnsi="Arial" w:cs="Arial"/>
          <w:sz w:val="20"/>
          <w:szCs w:val="20"/>
        </w:rPr>
        <w:t xml:space="preserve">$0.2106/MHz/Pop, </w:t>
      </w:r>
      <w:r w:rsidR="00771BE1">
        <w:rPr>
          <w:rFonts w:ascii="Arial" w:hAnsi="Arial" w:cs="Arial"/>
          <w:sz w:val="20"/>
          <w:szCs w:val="20"/>
        </w:rPr>
        <w:t>where $0.1053 is the public interest price (being 50% of the value of the spectrum) and $0.2106 is</w:t>
      </w:r>
      <w:r>
        <w:rPr>
          <w:rFonts w:ascii="Arial" w:hAnsi="Arial" w:cs="Arial"/>
          <w:sz w:val="20"/>
          <w:szCs w:val="20"/>
        </w:rPr>
        <w:t xml:space="preserve"> the value of the </w:t>
      </w:r>
      <w:r w:rsidR="0098563E">
        <w:rPr>
          <w:rFonts w:ascii="Arial" w:hAnsi="Arial" w:cs="Arial"/>
          <w:sz w:val="20"/>
          <w:szCs w:val="20"/>
        </w:rPr>
        <w:t xml:space="preserve">1800 MHz </w:t>
      </w:r>
      <w:r>
        <w:rPr>
          <w:rFonts w:ascii="Arial" w:hAnsi="Arial" w:cs="Arial"/>
          <w:sz w:val="20"/>
          <w:szCs w:val="20"/>
        </w:rPr>
        <w:t>spectrum for re-issue of a licence for a period of 13 years and 45 days.</w:t>
      </w:r>
    </w:p>
    <w:p w:rsidR="000D5102" w:rsidRDefault="000D5102" w:rsidP="003920A6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Section</w:t>
      </w:r>
      <w:r w:rsidR="00CD4C09">
        <w:rPr>
          <w:rFonts w:ascii="Arial" w:hAnsi="Arial" w:cs="Arial"/>
          <w:b/>
          <w:sz w:val="20"/>
          <w:szCs w:val="20"/>
        </w:rPr>
        <w:t xml:space="preserve"> </w:t>
      </w:r>
      <w:r w:rsidR="00856265">
        <w:rPr>
          <w:rFonts w:ascii="Arial" w:hAnsi="Arial" w:cs="Arial"/>
          <w:b/>
          <w:sz w:val="20"/>
          <w:szCs w:val="20"/>
        </w:rPr>
        <w:t>6</w:t>
      </w:r>
      <w:r w:rsidR="00771BE1">
        <w:rPr>
          <w:rFonts w:ascii="Arial" w:hAnsi="Arial" w:cs="Arial"/>
          <w:b/>
          <w:sz w:val="20"/>
          <w:szCs w:val="20"/>
        </w:rPr>
        <w:t xml:space="preserve">- </w:t>
      </w:r>
      <w:r w:rsidRPr="009E17B4">
        <w:rPr>
          <w:rFonts w:ascii="Arial" w:hAnsi="Arial" w:cs="Arial"/>
          <w:b/>
          <w:sz w:val="20"/>
        </w:rPr>
        <w:t>Spectrum</w:t>
      </w:r>
      <w:r w:rsidRPr="00092561">
        <w:rPr>
          <w:rFonts w:ascii="Arial" w:hAnsi="Arial" w:cs="Arial"/>
          <w:b/>
          <w:sz w:val="20"/>
        </w:rPr>
        <w:t xml:space="preserve"> access</w:t>
      </w:r>
      <w:r w:rsidRPr="00092561">
        <w:rPr>
          <w:rFonts w:ascii="Arial" w:hAnsi="Arial" w:cs="Arial"/>
          <w:sz w:val="20"/>
        </w:rPr>
        <w:t xml:space="preserve"> </w:t>
      </w:r>
      <w:r w:rsidRPr="00092561">
        <w:rPr>
          <w:rFonts w:ascii="Arial" w:hAnsi="Arial" w:cs="Arial"/>
          <w:b/>
          <w:sz w:val="20"/>
          <w:szCs w:val="20"/>
        </w:rPr>
        <w:t xml:space="preserve">charge payable </w:t>
      </w:r>
      <w:r w:rsidRPr="00883C1E">
        <w:rPr>
          <w:rFonts w:ascii="Arial" w:hAnsi="Arial" w:cs="Arial"/>
          <w:b/>
          <w:sz w:val="20"/>
          <w:szCs w:val="20"/>
        </w:rPr>
        <w:t>by</w:t>
      </w:r>
      <w:r w:rsidR="00771BE1">
        <w:rPr>
          <w:rFonts w:ascii="Arial" w:hAnsi="Arial" w:cs="Arial"/>
          <w:b/>
          <w:sz w:val="20"/>
          <w:szCs w:val="20"/>
        </w:rPr>
        <w:t xml:space="preserve"> Queensland Rail Limited</w:t>
      </w:r>
    </w:p>
    <w:p w:rsidR="000D5102" w:rsidRDefault="000D5102" w:rsidP="003920A6">
      <w:pPr>
        <w:spacing w:line="360" w:lineRule="auto"/>
        <w:rPr>
          <w:rFonts w:ascii="Arial" w:hAnsi="Arial" w:cs="Arial"/>
          <w:sz w:val="20"/>
          <w:szCs w:val="20"/>
        </w:rPr>
      </w:pPr>
      <w:r w:rsidRPr="00092561">
        <w:rPr>
          <w:rFonts w:ascii="Arial" w:hAnsi="Arial" w:cs="Arial"/>
          <w:sz w:val="20"/>
          <w:szCs w:val="20"/>
        </w:rPr>
        <w:t xml:space="preserve">This section provides the amount of spectrum access charge payable by </w:t>
      </w:r>
      <w:r w:rsidR="00771BE1">
        <w:rPr>
          <w:rFonts w:ascii="Arial" w:hAnsi="Arial" w:cs="Arial"/>
          <w:sz w:val="20"/>
          <w:szCs w:val="20"/>
        </w:rPr>
        <w:t>Queensland Rail Limited</w:t>
      </w:r>
      <w:r>
        <w:rPr>
          <w:rFonts w:ascii="Arial" w:hAnsi="Arial" w:cs="Arial"/>
          <w:sz w:val="20"/>
          <w:szCs w:val="20"/>
        </w:rPr>
        <w:t xml:space="preserve"> </w:t>
      </w:r>
      <w:r w:rsidRPr="00092561">
        <w:rPr>
          <w:rFonts w:ascii="Arial" w:hAnsi="Arial" w:cs="Arial"/>
          <w:sz w:val="20"/>
          <w:szCs w:val="20"/>
        </w:rPr>
        <w:t xml:space="preserve">for the re-issue of </w:t>
      </w:r>
      <w:r w:rsidR="00771BE1">
        <w:rPr>
          <w:rFonts w:ascii="Arial" w:hAnsi="Arial" w:cs="Arial"/>
          <w:sz w:val="20"/>
          <w:szCs w:val="20"/>
        </w:rPr>
        <w:t>its</w:t>
      </w:r>
      <w:r w:rsidRPr="00092561">
        <w:rPr>
          <w:rFonts w:ascii="Arial" w:hAnsi="Arial" w:cs="Arial"/>
          <w:sz w:val="20"/>
          <w:szCs w:val="20"/>
        </w:rPr>
        <w:t xml:space="preserve"> spectrum licence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D5102" w:rsidRDefault="000D5102" w:rsidP="003920A6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</w:t>
      </w:r>
      <w:r w:rsidR="00856265">
        <w:rPr>
          <w:rFonts w:ascii="Arial" w:hAnsi="Arial" w:cs="Arial"/>
          <w:b/>
          <w:sz w:val="20"/>
          <w:szCs w:val="20"/>
        </w:rPr>
        <w:t>7</w:t>
      </w:r>
      <w:r w:rsidR="004E35C3">
        <w:rPr>
          <w:rFonts w:ascii="Arial" w:hAnsi="Arial" w:cs="Arial"/>
          <w:b/>
          <w:sz w:val="20"/>
          <w:szCs w:val="20"/>
        </w:rPr>
        <w:t xml:space="preserve"> </w:t>
      </w:r>
      <w:r w:rsidR="00771BE1">
        <w:rPr>
          <w:rFonts w:ascii="Arial" w:hAnsi="Arial" w:cs="Arial"/>
          <w:b/>
          <w:sz w:val="20"/>
          <w:szCs w:val="20"/>
        </w:rPr>
        <w:t xml:space="preserve">- </w:t>
      </w:r>
      <w:r w:rsidRPr="009E17B4">
        <w:rPr>
          <w:rFonts w:ascii="Arial" w:hAnsi="Arial" w:cs="Arial"/>
          <w:b/>
          <w:sz w:val="20"/>
        </w:rPr>
        <w:t>Spectrum</w:t>
      </w:r>
      <w:r w:rsidRPr="00092561">
        <w:rPr>
          <w:rFonts w:ascii="Arial" w:hAnsi="Arial" w:cs="Arial"/>
          <w:b/>
          <w:sz w:val="20"/>
        </w:rPr>
        <w:t xml:space="preserve"> access</w:t>
      </w:r>
      <w:r w:rsidRPr="00092561">
        <w:rPr>
          <w:rFonts w:ascii="Arial" w:hAnsi="Arial" w:cs="Arial"/>
          <w:sz w:val="20"/>
        </w:rPr>
        <w:t xml:space="preserve"> </w:t>
      </w:r>
      <w:r w:rsidRPr="00092561">
        <w:rPr>
          <w:rFonts w:ascii="Arial" w:hAnsi="Arial" w:cs="Arial"/>
          <w:b/>
          <w:sz w:val="20"/>
          <w:szCs w:val="20"/>
        </w:rPr>
        <w:t xml:space="preserve">charge payable </w:t>
      </w:r>
      <w:r w:rsidRPr="00883C1E">
        <w:rPr>
          <w:rFonts w:ascii="Arial" w:hAnsi="Arial" w:cs="Arial"/>
          <w:b/>
          <w:sz w:val="20"/>
          <w:szCs w:val="20"/>
        </w:rPr>
        <w:t>by</w:t>
      </w:r>
      <w:r w:rsidR="00771BE1">
        <w:rPr>
          <w:rFonts w:ascii="Arial" w:hAnsi="Arial" w:cs="Arial"/>
          <w:b/>
          <w:sz w:val="20"/>
          <w:szCs w:val="20"/>
        </w:rPr>
        <w:t xml:space="preserve"> the Public Transport Authority of Western Australia</w:t>
      </w:r>
    </w:p>
    <w:p w:rsidR="000D5102" w:rsidRDefault="000D5102" w:rsidP="003920A6">
      <w:pPr>
        <w:spacing w:line="360" w:lineRule="auto"/>
        <w:rPr>
          <w:rFonts w:ascii="Arial" w:hAnsi="Arial" w:cs="Arial"/>
          <w:sz w:val="20"/>
          <w:szCs w:val="20"/>
        </w:rPr>
      </w:pPr>
      <w:r w:rsidRPr="00092561">
        <w:rPr>
          <w:rFonts w:ascii="Arial" w:hAnsi="Arial" w:cs="Arial"/>
          <w:sz w:val="20"/>
          <w:szCs w:val="20"/>
        </w:rPr>
        <w:t xml:space="preserve">This section provides the amount of spectrum access charge payable by </w:t>
      </w:r>
      <w:r w:rsidR="00771BE1">
        <w:rPr>
          <w:rFonts w:ascii="Arial" w:hAnsi="Arial" w:cs="Arial"/>
          <w:sz w:val="20"/>
          <w:szCs w:val="20"/>
        </w:rPr>
        <w:t>the Public Transport Authority of Western Australia</w:t>
      </w:r>
      <w:r>
        <w:rPr>
          <w:rFonts w:ascii="Arial" w:hAnsi="Arial" w:cs="Arial"/>
          <w:sz w:val="20"/>
          <w:szCs w:val="20"/>
        </w:rPr>
        <w:t xml:space="preserve"> </w:t>
      </w:r>
      <w:r w:rsidRPr="00092561">
        <w:rPr>
          <w:rFonts w:ascii="Arial" w:hAnsi="Arial" w:cs="Arial"/>
          <w:sz w:val="20"/>
          <w:szCs w:val="20"/>
        </w:rPr>
        <w:t xml:space="preserve">for the re-issue of </w:t>
      </w:r>
      <w:r w:rsidR="00771BE1">
        <w:rPr>
          <w:rFonts w:ascii="Arial" w:hAnsi="Arial" w:cs="Arial"/>
          <w:sz w:val="20"/>
          <w:szCs w:val="20"/>
        </w:rPr>
        <w:t>its</w:t>
      </w:r>
      <w:r w:rsidRPr="00092561">
        <w:rPr>
          <w:rFonts w:ascii="Arial" w:hAnsi="Arial" w:cs="Arial"/>
          <w:sz w:val="20"/>
          <w:szCs w:val="20"/>
        </w:rPr>
        <w:t xml:space="preserve"> spectrum licence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D5102" w:rsidRDefault="000D5102" w:rsidP="003920A6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</w:t>
      </w:r>
      <w:r w:rsidR="00856265">
        <w:rPr>
          <w:rFonts w:ascii="Arial" w:hAnsi="Arial" w:cs="Arial"/>
          <w:b/>
          <w:sz w:val="20"/>
          <w:szCs w:val="20"/>
        </w:rPr>
        <w:t>8</w:t>
      </w:r>
      <w:r w:rsidR="00CD4C0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- </w:t>
      </w:r>
      <w:r w:rsidRPr="009E17B4">
        <w:rPr>
          <w:rFonts w:ascii="Arial" w:hAnsi="Arial" w:cs="Arial"/>
          <w:b/>
          <w:sz w:val="20"/>
        </w:rPr>
        <w:t>Spectrum</w:t>
      </w:r>
      <w:r w:rsidRPr="00092561">
        <w:rPr>
          <w:rFonts w:ascii="Arial" w:hAnsi="Arial" w:cs="Arial"/>
          <w:b/>
          <w:sz w:val="20"/>
        </w:rPr>
        <w:t xml:space="preserve"> access</w:t>
      </w:r>
      <w:r w:rsidRPr="00092561">
        <w:rPr>
          <w:rFonts w:ascii="Arial" w:hAnsi="Arial" w:cs="Arial"/>
          <w:sz w:val="20"/>
        </w:rPr>
        <w:t xml:space="preserve"> </w:t>
      </w:r>
      <w:r w:rsidRPr="00092561">
        <w:rPr>
          <w:rFonts w:ascii="Arial" w:hAnsi="Arial" w:cs="Arial"/>
          <w:b/>
          <w:sz w:val="20"/>
          <w:szCs w:val="20"/>
        </w:rPr>
        <w:t xml:space="preserve">charge payable </w:t>
      </w:r>
      <w:r w:rsidRPr="00883C1E">
        <w:rPr>
          <w:rFonts w:ascii="Arial" w:hAnsi="Arial" w:cs="Arial"/>
          <w:b/>
          <w:sz w:val="20"/>
          <w:szCs w:val="20"/>
        </w:rPr>
        <w:t>by</w:t>
      </w:r>
      <w:r w:rsidR="00771BE1">
        <w:rPr>
          <w:rFonts w:ascii="Arial" w:hAnsi="Arial" w:cs="Arial"/>
          <w:b/>
          <w:sz w:val="20"/>
          <w:szCs w:val="20"/>
        </w:rPr>
        <w:t xml:space="preserve"> Victorian Rail Track</w:t>
      </w:r>
    </w:p>
    <w:p w:rsidR="000D5102" w:rsidRDefault="000D5102" w:rsidP="003920A6">
      <w:pPr>
        <w:spacing w:line="360" w:lineRule="auto"/>
        <w:rPr>
          <w:rFonts w:ascii="Arial" w:hAnsi="Arial" w:cs="Arial"/>
          <w:sz w:val="20"/>
          <w:szCs w:val="20"/>
        </w:rPr>
      </w:pPr>
      <w:r w:rsidRPr="00092561">
        <w:rPr>
          <w:rFonts w:ascii="Arial" w:hAnsi="Arial" w:cs="Arial"/>
          <w:sz w:val="20"/>
          <w:szCs w:val="20"/>
        </w:rPr>
        <w:t xml:space="preserve">This section provides the amount of spectrum access charge payable by </w:t>
      </w:r>
      <w:r>
        <w:rPr>
          <w:rFonts w:ascii="Arial" w:hAnsi="Arial" w:cs="Arial"/>
          <w:sz w:val="20"/>
          <w:szCs w:val="20"/>
        </w:rPr>
        <w:t>V</w:t>
      </w:r>
      <w:r w:rsidR="00771BE1">
        <w:rPr>
          <w:rFonts w:ascii="Arial" w:hAnsi="Arial" w:cs="Arial"/>
          <w:sz w:val="20"/>
          <w:szCs w:val="20"/>
        </w:rPr>
        <w:t>ictorian Rail Track</w:t>
      </w:r>
      <w:r>
        <w:rPr>
          <w:rFonts w:ascii="Arial" w:hAnsi="Arial" w:cs="Arial"/>
          <w:sz w:val="20"/>
          <w:szCs w:val="20"/>
        </w:rPr>
        <w:t xml:space="preserve"> </w:t>
      </w:r>
      <w:r w:rsidRPr="00092561">
        <w:rPr>
          <w:rFonts w:ascii="Arial" w:hAnsi="Arial" w:cs="Arial"/>
          <w:sz w:val="20"/>
          <w:szCs w:val="20"/>
        </w:rPr>
        <w:t xml:space="preserve">for the re-issue of </w:t>
      </w:r>
      <w:r w:rsidR="00771BE1">
        <w:rPr>
          <w:rFonts w:ascii="Arial" w:hAnsi="Arial" w:cs="Arial"/>
          <w:sz w:val="20"/>
          <w:szCs w:val="20"/>
        </w:rPr>
        <w:t xml:space="preserve">its </w:t>
      </w:r>
      <w:r w:rsidRPr="00092561">
        <w:rPr>
          <w:rFonts w:ascii="Arial" w:hAnsi="Arial" w:cs="Arial"/>
          <w:sz w:val="20"/>
          <w:szCs w:val="20"/>
        </w:rPr>
        <w:t>spectrum licence</w:t>
      </w:r>
      <w:r>
        <w:rPr>
          <w:rFonts w:ascii="Arial" w:hAnsi="Arial" w:cs="Arial"/>
          <w:sz w:val="20"/>
          <w:szCs w:val="20"/>
        </w:rPr>
        <w:t xml:space="preserve">. </w:t>
      </w:r>
    </w:p>
    <w:p w:rsidR="00856FB6" w:rsidRDefault="00856FB6" w:rsidP="003920A6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6F2C93" w:rsidRDefault="000D5102" w:rsidP="003920A6">
      <w:pPr>
        <w:spacing w:line="360" w:lineRule="auto"/>
        <w:rPr>
          <w:rFonts w:cs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Section </w:t>
      </w:r>
      <w:r w:rsidR="00856265">
        <w:rPr>
          <w:rFonts w:ascii="Arial" w:hAnsi="Arial" w:cs="Arial"/>
          <w:b/>
          <w:sz w:val="20"/>
          <w:szCs w:val="20"/>
        </w:rPr>
        <w:t>9</w:t>
      </w:r>
      <w:r w:rsidR="005E5B8A" w:rsidRPr="009E17B4">
        <w:rPr>
          <w:rFonts w:ascii="Arial" w:hAnsi="Arial" w:cs="Arial"/>
          <w:b/>
          <w:sz w:val="20"/>
          <w:szCs w:val="20"/>
        </w:rPr>
        <w:t xml:space="preserve"> - </w:t>
      </w:r>
      <w:r w:rsidR="005E5B8A" w:rsidRPr="009E17B4">
        <w:rPr>
          <w:rFonts w:ascii="Arial" w:hAnsi="Arial" w:cs="Arial"/>
          <w:b/>
          <w:sz w:val="20"/>
        </w:rPr>
        <w:t>Spectrum</w:t>
      </w:r>
      <w:r w:rsidR="005E5B8A" w:rsidRPr="00092561">
        <w:rPr>
          <w:rFonts w:ascii="Arial" w:hAnsi="Arial" w:cs="Arial"/>
          <w:b/>
          <w:sz w:val="20"/>
        </w:rPr>
        <w:t xml:space="preserve"> access</w:t>
      </w:r>
      <w:r w:rsidR="005E5B8A" w:rsidRPr="00092561">
        <w:rPr>
          <w:rFonts w:ascii="Arial" w:hAnsi="Arial" w:cs="Arial"/>
          <w:sz w:val="20"/>
        </w:rPr>
        <w:t xml:space="preserve"> </w:t>
      </w:r>
      <w:r w:rsidR="005E5B8A" w:rsidRPr="00092561">
        <w:rPr>
          <w:rFonts w:ascii="Arial" w:hAnsi="Arial" w:cs="Arial"/>
          <w:b/>
          <w:sz w:val="20"/>
          <w:szCs w:val="20"/>
        </w:rPr>
        <w:t xml:space="preserve">charge payable </w:t>
      </w:r>
      <w:r w:rsidR="005E5B8A" w:rsidRPr="00883C1E">
        <w:rPr>
          <w:rFonts w:ascii="Arial" w:hAnsi="Arial" w:cs="Arial"/>
          <w:b/>
          <w:sz w:val="20"/>
          <w:szCs w:val="20"/>
        </w:rPr>
        <w:t xml:space="preserve">by </w:t>
      </w:r>
      <w:r w:rsidR="00771BE1">
        <w:rPr>
          <w:rFonts w:ascii="Arial" w:hAnsi="Arial" w:cs="Arial"/>
          <w:b/>
          <w:sz w:val="20"/>
          <w:szCs w:val="20"/>
        </w:rPr>
        <w:t>Rail Corporation New South Wales</w:t>
      </w:r>
    </w:p>
    <w:p w:rsidR="000D5102" w:rsidRDefault="000D5102" w:rsidP="003920A6">
      <w:pPr>
        <w:spacing w:line="360" w:lineRule="auto"/>
        <w:rPr>
          <w:rFonts w:ascii="Arial" w:hAnsi="Arial" w:cs="Arial"/>
          <w:sz w:val="20"/>
          <w:szCs w:val="20"/>
        </w:rPr>
      </w:pPr>
      <w:r w:rsidRPr="00092561">
        <w:rPr>
          <w:rFonts w:ascii="Arial" w:hAnsi="Arial" w:cs="Arial"/>
          <w:sz w:val="20"/>
          <w:szCs w:val="20"/>
        </w:rPr>
        <w:t xml:space="preserve">This section provides the amount of spectrum access charge payable by </w:t>
      </w:r>
      <w:r w:rsidR="00771BE1">
        <w:rPr>
          <w:rFonts w:ascii="Arial" w:hAnsi="Arial" w:cs="Arial"/>
          <w:sz w:val="20"/>
          <w:szCs w:val="20"/>
        </w:rPr>
        <w:t>Rail Corporation New South Wales</w:t>
      </w:r>
      <w:r>
        <w:rPr>
          <w:rFonts w:ascii="Arial" w:hAnsi="Arial" w:cs="Arial"/>
          <w:sz w:val="20"/>
          <w:szCs w:val="20"/>
        </w:rPr>
        <w:t xml:space="preserve"> </w:t>
      </w:r>
      <w:r w:rsidRPr="00092561">
        <w:rPr>
          <w:rFonts w:ascii="Arial" w:hAnsi="Arial" w:cs="Arial"/>
          <w:sz w:val="20"/>
          <w:szCs w:val="20"/>
        </w:rPr>
        <w:t xml:space="preserve">for the re-issue of </w:t>
      </w:r>
      <w:r w:rsidR="00771BE1">
        <w:rPr>
          <w:rFonts w:ascii="Arial" w:hAnsi="Arial" w:cs="Arial"/>
          <w:sz w:val="20"/>
          <w:szCs w:val="20"/>
        </w:rPr>
        <w:t>its</w:t>
      </w:r>
      <w:r w:rsidRPr="00092561">
        <w:rPr>
          <w:rFonts w:ascii="Arial" w:hAnsi="Arial" w:cs="Arial"/>
          <w:sz w:val="20"/>
          <w:szCs w:val="20"/>
        </w:rPr>
        <w:t xml:space="preserve"> spectrum licence</w:t>
      </w:r>
      <w:r>
        <w:rPr>
          <w:rFonts w:ascii="Arial" w:hAnsi="Arial" w:cs="Arial"/>
          <w:sz w:val="20"/>
          <w:szCs w:val="20"/>
        </w:rPr>
        <w:t xml:space="preserve">. </w:t>
      </w:r>
    </w:p>
    <w:p w:rsidR="006F2C93" w:rsidRDefault="006921D4" w:rsidP="003920A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16B63">
        <w:rPr>
          <w:rFonts w:ascii="Arial" w:hAnsi="Arial" w:cs="Arial"/>
          <w:b/>
          <w:sz w:val="20"/>
          <w:szCs w:val="20"/>
        </w:rPr>
        <w:t xml:space="preserve">Section </w:t>
      </w:r>
      <w:r w:rsidR="00BC07CA">
        <w:rPr>
          <w:rFonts w:ascii="Arial" w:hAnsi="Arial" w:cs="Arial"/>
          <w:b/>
          <w:sz w:val="20"/>
          <w:szCs w:val="20"/>
        </w:rPr>
        <w:t>1</w:t>
      </w:r>
      <w:r w:rsidR="00856265">
        <w:rPr>
          <w:rFonts w:ascii="Arial" w:hAnsi="Arial" w:cs="Arial"/>
          <w:b/>
          <w:sz w:val="20"/>
          <w:szCs w:val="20"/>
        </w:rPr>
        <w:t>0</w:t>
      </w:r>
      <w:r w:rsidR="00092561">
        <w:rPr>
          <w:rFonts w:ascii="Arial" w:hAnsi="Arial" w:cs="Arial"/>
          <w:b/>
          <w:sz w:val="20"/>
          <w:szCs w:val="20"/>
        </w:rPr>
        <w:t xml:space="preserve"> – When </w:t>
      </w:r>
      <w:r w:rsidR="00771BE1">
        <w:rPr>
          <w:rFonts w:ascii="Arial" w:hAnsi="Arial" w:cs="Arial"/>
          <w:b/>
          <w:sz w:val="20"/>
          <w:szCs w:val="20"/>
        </w:rPr>
        <w:t xml:space="preserve">a </w:t>
      </w:r>
      <w:r w:rsidR="00092561">
        <w:rPr>
          <w:rFonts w:ascii="Arial" w:hAnsi="Arial" w:cs="Arial"/>
          <w:b/>
          <w:sz w:val="20"/>
          <w:szCs w:val="20"/>
        </w:rPr>
        <w:t>spectrum access charge is payable</w:t>
      </w:r>
    </w:p>
    <w:p w:rsidR="000D5102" w:rsidRDefault="000D5102" w:rsidP="003920A6">
      <w:pPr>
        <w:spacing w:line="360" w:lineRule="auto"/>
        <w:rPr>
          <w:rFonts w:ascii="Arial" w:hAnsi="Arial" w:cs="Arial"/>
          <w:sz w:val="20"/>
          <w:szCs w:val="20"/>
        </w:rPr>
      </w:pPr>
      <w:r w:rsidRPr="00092561">
        <w:rPr>
          <w:rFonts w:ascii="Arial" w:hAnsi="Arial" w:cs="Arial"/>
          <w:sz w:val="20"/>
          <w:szCs w:val="20"/>
        </w:rPr>
        <w:t xml:space="preserve">This section provides </w:t>
      </w:r>
      <w:r>
        <w:rPr>
          <w:rFonts w:ascii="Arial" w:hAnsi="Arial" w:cs="Arial"/>
          <w:sz w:val="20"/>
          <w:szCs w:val="20"/>
        </w:rPr>
        <w:t xml:space="preserve">that </w:t>
      </w:r>
      <w:r w:rsidRPr="009E17B4">
        <w:rPr>
          <w:rFonts w:ascii="Arial" w:hAnsi="Arial" w:cs="Arial"/>
          <w:sz w:val="20"/>
          <w:szCs w:val="20"/>
        </w:rPr>
        <w:t xml:space="preserve">the spectrum access charge </w:t>
      </w:r>
      <w:r>
        <w:rPr>
          <w:rFonts w:ascii="Arial" w:hAnsi="Arial" w:cs="Arial"/>
          <w:sz w:val="20"/>
          <w:szCs w:val="20"/>
        </w:rPr>
        <w:t xml:space="preserve">fixed by the Determination </w:t>
      </w:r>
      <w:r w:rsidRPr="009E17B4">
        <w:rPr>
          <w:rFonts w:ascii="Arial" w:hAnsi="Arial" w:cs="Arial"/>
          <w:sz w:val="20"/>
          <w:szCs w:val="20"/>
        </w:rPr>
        <w:t xml:space="preserve">for </w:t>
      </w:r>
      <w:r w:rsidR="00771BE1">
        <w:rPr>
          <w:rFonts w:ascii="Arial" w:hAnsi="Arial" w:cs="Arial"/>
          <w:sz w:val="20"/>
          <w:szCs w:val="20"/>
        </w:rPr>
        <w:t>the re-issue of a</w:t>
      </w:r>
      <w:r w:rsidRPr="009E17B4">
        <w:rPr>
          <w:rFonts w:ascii="Arial" w:hAnsi="Arial" w:cs="Arial"/>
          <w:sz w:val="20"/>
          <w:szCs w:val="20"/>
        </w:rPr>
        <w:t xml:space="preserve"> licence is </w:t>
      </w:r>
      <w:r>
        <w:rPr>
          <w:rFonts w:ascii="Arial" w:hAnsi="Arial" w:cs="Arial"/>
          <w:sz w:val="20"/>
          <w:szCs w:val="20"/>
        </w:rPr>
        <w:t>payable</w:t>
      </w:r>
      <w:r w:rsidRPr="009E17B4">
        <w:rPr>
          <w:rFonts w:ascii="Arial" w:hAnsi="Arial" w:cs="Arial"/>
          <w:sz w:val="20"/>
          <w:szCs w:val="20"/>
        </w:rPr>
        <w:t xml:space="preserve"> on or before </w:t>
      </w:r>
      <w:r w:rsidR="00856265">
        <w:rPr>
          <w:rFonts w:ascii="Arial" w:hAnsi="Arial" w:cs="Arial"/>
          <w:sz w:val="20"/>
          <w:szCs w:val="20"/>
        </w:rPr>
        <w:t xml:space="preserve">30 July </w:t>
      </w:r>
      <w:r w:rsidR="00856265" w:rsidRPr="00D826D7">
        <w:rPr>
          <w:rFonts w:ascii="Arial" w:hAnsi="Arial" w:cs="Arial"/>
          <w:sz w:val="20"/>
          <w:szCs w:val="20"/>
        </w:rPr>
        <w:t>2014</w:t>
      </w:r>
      <w:r w:rsidR="00CE7D21" w:rsidRPr="00D826D7">
        <w:rPr>
          <w:rFonts w:ascii="Arial" w:hAnsi="Arial" w:cs="Arial"/>
          <w:sz w:val="20"/>
          <w:szCs w:val="20"/>
        </w:rPr>
        <w:t>.</w:t>
      </w:r>
    </w:p>
    <w:p w:rsidR="006F2C93" w:rsidRDefault="000B0352" w:rsidP="003920A6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</w:t>
      </w:r>
      <w:r w:rsidR="00BC07CA">
        <w:rPr>
          <w:rFonts w:ascii="Arial" w:hAnsi="Arial" w:cs="Arial"/>
          <w:b/>
          <w:sz w:val="20"/>
          <w:szCs w:val="20"/>
        </w:rPr>
        <w:t>1</w:t>
      </w:r>
      <w:r w:rsidR="00856FB6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– Expiry</w:t>
      </w:r>
    </w:p>
    <w:p w:rsidR="006F2C93" w:rsidRDefault="000B0352" w:rsidP="003920A6">
      <w:pPr>
        <w:spacing w:line="360" w:lineRule="auto"/>
        <w:rPr>
          <w:rFonts w:ascii="Arial" w:hAnsi="Arial" w:cs="Arial"/>
          <w:sz w:val="20"/>
          <w:szCs w:val="20"/>
        </w:rPr>
      </w:pPr>
      <w:r w:rsidRPr="0082080E">
        <w:rPr>
          <w:rFonts w:ascii="Arial" w:hAnsi="Arial" w:cs="Arial"/>
          <w:sz w:val="20"/>
          <w:szCs w:val="20"/>
        </w:rPr>
        <w:t xml:space="preserve">This section provides that </w:t>
      </w:r>
      <w:r w:rsidR="000D5102">
        <w:rPr>
          <w:rFonts w:ascii="Arial" w:hAnsi="Arial" w:cs="Arial"/>
          <w:sz w:val="20"/>
          <w:szCs w:val="20"/>
        </w:rPr>
        <w:t>the</w:t>
      </w:r>
      <w:r w:rsidRPr="0082080E">
        <w:rPr>
          <w:rFonts w:ascii="Arial" w:hAnsi="Arial" w:cs="Arial"/>
          <w:sz w:val="20"/>
          <w:szCs w:val="20"/>
        </w:rPr>
        <w:t xml:space="preserve"> Determination </w:t>
      </w:r>
      <w:r w:rsidR="00F06832" w:rsidRPr="00F06832">
        <w:rPr>
          <w:rFonts w:ascii="Arial" w:hAnsi="Arial" w:cs="Arial"/>
          <w:sz w:val="20"/>
          <w:szCs w:val="20"/>
        </w:rPr>
        <w:t xml:space="preserve">ceases to have effect at the end </w:t>
      </w:r>
      <w:r w:rsidR="00F06832" w:rsidRPr="00D826D7">
        <w:rPr>
          <w:rFonts w:ascii="Arial" w:hAnsi="Arial" w:cs="Arial"/>
          <w:sz w:val="20"/>
          <w:szCs w:val="20"/>
        </w:rPr>
        <w:t xml:space="preserve">of </w:t>
      </w:r>
      <w:r w:rsidR="00CD4C09" w:rsidRPr="00A16617">
        <w:rPr>
          <w:rFonts w:ascii="Arial" w:hAnsi="Arial" w:cs="Arial"/>
          <w:sz w:val="20"/>
          <w:szCs w:val="20"/>
        </w:rPr>
        <w:t>3 May 2015</w:t>
      </w:r>
      <w:r w:rsidR="000D5102" w:rsidRPr="00A16617">
        <w:rPr>
          <w:rFonts w:ascii="Arial" w:hAnsi="Arial" w:cs="Arial"/>
          <w:sz w:val="20"/>
          <w:szCs w:val="20"/>
        </w:rPr>
        <w:t>,</w:t>
      </w:r>
      <w:r w:rsidR="00097096">
        <w:rPr>
          <w:rFonts w:ascii="Arial" w:hAnsi="Arial" w:cs="Arial"/>
          <w:sz w:val="20"/>
          <w:szCs w:val="20"/>
        </w:rPr>
        <w:t xml:space="preserve"> </w:t>
      </w:r>
      <w:r w:rsidR="000D5102">
        <w:rPr>
          <w:rFonts w:ascii="Arial" w:hAnsi="Arial" w:cs="Arial"/>
          <w:sz w:val="20"/>
          <w:szCs w:val="20"/>
        </w:rPr>
        <w:t>which is the date on which</w:t>
      </w:r>
      <w:r w:rsidR="000D5102" w:rsidRPr="00F06832">
        <w:rPr>
          <w:rFonts w:ascii="Arial" w:hAnsi="Arial" w:cs="Arial"/>
          <w:sz w:val="20"/>
          <w:szCs w:val="20"/>
        </w:rPr>
        <w:t xml:space="preserve"> the </w:t>
      </w:r>
      <w:r w:rsidR="00856FB6">
        <w:rPr>
          <w:rFonts w:ascii="Arial" w:hAnsi="Arial" w:cs="Arial"/>
          <w:sz w:val="20"/>
          <w:szCs w:val="20"/>
        </w:rPr>
        <w:t>current</w:t>
      </w:r>
      <w:r w:rsidR="000D5102">
        <w:rPr>
          <w:rFonts w:ascii="Arial" w:hAnsi="Arial" w:cs="Arial"/>
          <w:sz w:val="20"/>
          <w:szCs w:val="20"/>
        </w:rPr>
        <w:t xml:space="preserve"> spectrum</w:t>
      </w:r>
      <w:r w:rsidR="000D5102" w:rsidRPr="00F06832">
        <w:rPr>
          <w:rFonts w:ascii="Arial" w:hAnsi="Arial" w:cs="Arial"/>
          <w:sz w:val="20"/>
          <w:szCs w:val="20"/>
        </w:rPr>
        <w:t xml:space="preserve"> licences expire.</w:t>
      </w:r>
      <w:r w:rsidR="00F06832" w:rsidRPr="00F06832">
        <w:rPr>
          <w:rFonts w:ascii="Arial" w:hAnsi="Arial" w:cs="Arial"/>
          <w:sz w:val="20"/>
          <w:szCs w:val="20"/>
        </w:rPr>
        <w:br w:type="page"/>
      </w:r>
    </w:p>
    <w:p w:rsidR="006F2C93" w:rsidRDefault="00E93959">
      <w:pPr>
        <w:spacing w:line="360" w:lineRule="auto"/>
        <w:ind w:left="7371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92561">
        <w:rPr>
          <w:rFonts w:ascii="Arial" w:hAnsi="Arial" w:cs="Arial"/>
          <w:b/>
          <w:sz w:val="20"/>
          <w:szCs w:val="20"/>
        </w:rPr>
        <w:lastRenderedPageBreak/>
        <w:t>ATTACHMENT B</w:t>
      </w:r>
    </w:p>
    <w:p w:rsidR="00E93959" w:rsidRPr="006C3114" w:rsidRDefault="00E93959" w:rsidP="006C3114">
      <w:pPr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C3114">
        <w:rPr>
          <w:rFonts w:ascii="Arial" w:hAnsi="Arial" w:cs="Arial"/>
          <w:b/>
          <w:sz w:val="20"/>
          <w:szCs w:val="20"/>
        </w:rPr>
        <w:t>Statement of Compatibility with Human Rights</w:t>
      </w:r>
    </w:p>
    <w:p w:rsidR="00E93959" w:rsidRPr="006C3114" w:rsidRDefault="00E93959" w:rsidP="006C311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C3114">
        <w:rPr>
          <w:rFonts w:ascii="Arial" w:hAnsi="Arial" w:cs="Arial"/>
          <w:sz w:val="20"/>
          <w:szCs w:val="20"/>
        </w:rPr>
        <w:t xml:space="preserve">Prepared in accordance with Part 3 of the </w:t>
      </w:r>
      <w:r w:rsidR="00C22E1C" w:rsidRPr="006C3114">
        <w:rPr>
          <w:rFonts w:ascii="Arial" w:hAnsi="Arial" w:cs="Arial"/>
          <w:i/>
          <w:sz w:val="20"/>
          <w:szCs w:val="20"/>
        </w:rPr>
        <w:t>Human Rights (Parliamentary Scrutiny) Act 2011</w:t>
      </w:r>
    </w:p>
    <w:p w:rsidR="00E93959" w:rsidRPr="006C3114" w:rsidRDefault="004A1B41" w:rsidP="003920A6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4A1B41">
        <w:rPr>
          <w:rFonts w:ascii="Arial" w:hAnsi="Arial" w:cs="Arial"/>
          <w:b/>
          <w:i/>
          <w:sz w:val="20"/>
          <w:szCs w:val="20"/>
        </w:rPr>
        <w:t xml:space="preserve">Radiocommunications (Spectrum Access Charges – 1800 MHz Band) </w:t>
      </w:r>
      <w:r w:rsidRPr="00C67FC8">
        <w:rPr>
          <w:rFonts w:ascii="Arial" w:hAnsi="Arial" w:cs="Arial"/>
          <w:b/>
          <w:i/>
          <w:sz w:val="20"/>
          <w:szCs w:val="20"/>
        </w:rPr>
        <w:t>Determination 201</w:t>
      </w:r>
      <w:r w:rsidR="00097096" w:rsidRPr="00C67FC8">
        <w:rPr>
          <w:rFonts w:ascii="Arial" w:hAnsi="Arial" w:cs="Arial"/>
          <w:b/>
          <w:i/>
          <w:sz w:val="20"/>
          <w:szCs w:val="20"/>
        </w:rPr>
        <w:t>3</w:t>
      </w:r>
      <w:r w:rsidRPr="00C67FC8">
        <w:rPr>
          <w:rFonts w:ascii="Arial" w:hAnsi="Arial" w:cs="Arial"/>
          <w:b/>
          <w:i/>
          <w:sz w:val="20"/>
          <w:szCs w:val="20"/>
        </w:rPr>
        <w:t xml:space="preserve"> (No.</w:t>
      </w:r>
      <w:r w:rsidR="00BE707A" w:rsidRPr="00C67FC8">
        <w:rPr>
          <w:rFonts w:ascii="Arial" w:hAnsi="Arial" w:cs="Arial"/>
          <w:b/>
          <w:i/>
          <w:sz w:val="20"/>
          <w:szCs w:val="20"/>
        </w:rPr>
        <w:t>2</w:t>
      </w:r>
      <w:r w:rsidRPr="00C67FC8">
        <w:rPr>
          <w:rFonts w:ascii="Arial" w:hAnsi="Arial" w:cs="Arial"/>
          <w:b/>
          <w:i/>
          <w:sz w:val="20"/>
          <w:szCs w:val="20"/>
        </w:rPr>
        <w:t>)</w:t>
      </w:r>
    </w:p>
    <w:p w:rsidR="006F2C93" w:rsidRDefault="00E93959" w:rsidP="003920A6">
      <w:pPr>
        <w:spacing w:line="360" w:lineRule="auto"/>
        <w:rPr>
          <w:rFonts w:ascii="Arial" w:hAnsi="Arial" w:cs="Arial"/>
          <w:sz w:val="20"/>
          <w:szCs w:val="20"/>
        </w:rPr>
      </w:pPr>
      <w:r w:rsidRPr="00092561">
        <w:rPr>
          <w:rFonts w:ascii="Arial" w:hAnsi="Arial" w:cs="Arial"/>
          <w:sz w:val="20"/>
          <w:szCs w:val="20"/>
        </w:rPr>
        <w:t xml:space="preserve">This legislative instrument is compatible with the human rights and freedoms recognised or declared in the international instruments listed in section 3 of the </w:t>
      </w:r>
      <w:r w:rsidRPr="009F157B">
        <w:rPr>
          <w:rFonts w:ascii="Arial" w:hAnsi="Arial" w:cs="Arial"/>
          <w:i/>
          <w:sz w:val="20"/>
          <w:szCs w:val="20"/>
        </w:rPr>
        <w:t>Human Rights (Parliamentary Scrutiny) Act 2011</w:t>
      </w:r>
      <w:r w:rsidRPr="00092561">
        <w:rPr>
          <w:rFonts w:ascii="Arial" w:hAnsi="Arial" w:cs="Arial"/>
          <w:sz w:val="20"/>
          <w:szCs w:val="20"/>
        </w:rPr>
        <w:t>.</w:t>
      </w:r>
    </w:p>
    <w:p w:rsidR="006F2C93" w:rsidRDefault="009E17B4" w:rsidP="003920A6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9E17B4">
        <w:rPr>
          <w:rFonts w:ascii="Arial" w:hAnsi="Arial" w:cs="Arial"/>
          <w:b/>
          <w:sz w:val="20"/>
          <w:szCs w:val="20"/>
        </w:rPr>
        <w:t>Overview of the Legislative Instrument</w:t>
      </w:r>
    </w:p>
    <w:p w:rsidR="006F2C93" w:rsidRDefault="00CD4852" w:rsidP="003920A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C173D7">
        <w:rPr>
          <w:rFonts w:ascii="Arial" w:hAnsi="Arial" w:cs="Arial"/>
          <w:sz w:val="20"/>
          <w:szCs w:val="20"/>
        </w:rPr>
        <w:t xml:space="preserve">he </w:t>
      </w:r>
      <w:r w:rsidRPr="001A5C43">
        <w:rPr>
          <w:rFonts w:ascii="Arial" w:hAnsi="Arial" w:cs="Arial"/>
          <w:i/>
          <w:sz w:val="20"/>
          <w:szCs w:val="20"/>
        </w:rPr>
        <w:t>Radiocommunications (Spectrum Access Charge</w:t>
      </w:r>
      <w:r w:rsidR="008D4EA2" w:rsidRPr="001A5C43">
        <w:rPr>
          <w:rFonts w:ascii="Arial" w:hAnsi="Arial" w:cs="Arial"/>
          <w:i/>
          <w:sz w:val="20"/>
          <w:szCs w:val="20"/>
        </w:rPr>
        <w:t>s</w:t>
      </w:r>
      <w:r w:rsidRPr="001A5C43">
        <w:rPr>
          <w:rFonts w:ascii="Arial" w:hAnsi="Arial" w:cs="Arial"/>
          <w:i/>
          <w:sz w:val="20"/>
          <w:szCs w:val="20"/>
        </w:rPr>
        <w:t xml:space="preserve"> – </w:t>
      </w:r>
      <w:r w:rsidR="00492A5D">
        <w:rPr>
          <w:rFonts w:ascii="Arial" w:hAnsi="Arial" w:cs="Arial"/>
          <w:i/>
          <w:sz w:val="20"/>
          <w:szCs w:val="20"/>
        </w:rPr>
        <w:t>1</w:t>
      </w:r>
      <w:r w:rsidRPr="001A5C43">
        <w:rPr>
          <w:rFonts w:ascii="Arial" w:hAnsi="Arial" w:cs="Arial"/>
          <w:i/>
          <w:sz w:val="20"/>
          <w:szCs w:val="20"/>
        </w:rPr>
        <w:t>800 MHz Band) Determination</w:t>
      </w:r>
      <w:r w:rsidR="008D4EA2" w:rsidRPr="001A5C43">
        <w:rPr>
          <w:rFonts w:ascii="Arial" w:hAnsi="Arial" w:cs="Arial"/>
          <w:i/>
          <w:sz w:val="20"/>
          <w:szCs w:val="20"/>
        </w:rPr>
        <w:t xml:space="preserve"> </w:t>
      </w:r>
      <w:r w:rsidRPr="00C67FC8">
        <w:rPr>
          <w:rFonts w:ascii="Arial" w:hAnsi="Arial" w:cs="Arial"/>
          <w:i/>
          <w:sz w:val="20"/>
          <w:szCs w:val="20"/>
        </w:rPr>
        <w:t>201</w:t>
      </w:r>
      <w:r w:rsidR="00D515B2" w:rsidRPr="00C67FC8">
        <w:rPr>
          <w:rFonts w:ascii="Arial" w:hAnsi="Arial" w:cs="Arial"/>
          <w:i/>
          <w:sz w:val="20"/>
          <w:szCs w:val="20"/>
        </w:rPr>
        <w:t>3</w:t>
      </w:r>
      <w:r w:rsidRPr="00C67FC8">
        <w:rPr>
          <w:rFonts w:ascii="Arial" w:hAnsi="Arial" w:cs="Arial"/>
          <w:i/>
          <w:sz w:val="20"/>
          <w:szCs w:val="20"/>
        </w:rPr>
        <w:t xml:space="preserve"> (No </w:t>
      </w:r>
      <w:r w:rsidR="00BE707A" w:rsidRPr="00C67FC8">
        <w:rPr>
          <w:rFonts w:ascii="Arial" w:hAnsi="Arial" w:cs="Arial"/>
          <w:i/>
          <w:sz w:val="20"/>
          <w:szCs w:val="20"/>
        </w:rPr>
        <w:t>2</w:t>
      </w:r>
      <w:r w:rsidRPr="00C67FC8">
        <w:rPr>
          <w:rFonts w:ascii="Arial" w:hAnsi="Arial" w:cs="Arial"/>
          <w:i/>
          <w:sz w:val="20"/>
          <w:szCs w:val="20"/>
        </w:rPr>
        <w:t>)</w:t>
      </w:r>
      <w:r w:rsidRPr="009E17B4">
        <w:rPr>
          <w:rFonts w:ascii="Arial" w:hAnsi="Arial" w:cs="Arial"/>
          <w:sz w:val="20"/>
          <w:szCs w:val="20"/>
        </w:rPr>
        <w:t xml:space="preserve"> (the Determination)</w:t>
      </w:r>
      <w:r w:rsidR="00CA4CEA">
        <w:rPr>
          <w:rFonts w:ascii="Arial" w:hAnsi="Arial" w:cs="Arial"/>
          <w:sz w:val="20"/>
          <w:szCs w:val="20"/>
        </w:rPr>
        <w:t xml:space="preserve"> </w:t>
      </w:r>
      <w:r w:rsidR="008D4EA2">
        <w:rPr>
          <w:rFonts w:ascii="Arial" w:hAnsi="Arial" w:cs="Arial"/>
          <w:sz w:val="20"/>
          <w:szCs w:val="20"/>
        </w:rPr>
        <w:t>fixes</w:t>
      </w:r>
      <w:r w:rsidR="00CA4CEA">
        <w:rPr>
          <w:rFonts w:ascii="Arial" w:hAnsi="Arial" w:cs="Arial"/>
          <w:sz w:val="20"/>
          <w:szCs w:val="20"/>
        </w:rPr>
        <w:t xml:space="preserve"> spectrum access charges </w:t>
      </w:r>
      <w:r w:rsidR="008D4EA2">
        <w:rPr>
          <w:rFonts w:ascii="Arial" w:hAnsi="Arial" w:cs="Arial"/>
          <w:sz w:val="20"/>
          <w:szCs w:val="20"/>
        </w:rPr>
        <w:t xml:space="preserve">payable by </w:t>
      </w:r>
      <w:r w:rsidR="00E704B2">
        <w:rPr>
          <w:rFonts w:ascii="Arial" w:hAnsi="Arial" w:cs="Arial"/>
          <w:sz w:val="20"/>
          <w:szCs w:val="20"/>
        </w:rPr>
        <w:t xml:space="preserve">rail authority </w:t>
      </w:r>
      <w:r w:rsidR="008D4EA2">
        <w:rPr>
          <w:rFonts w:ascii="Arial" w:hAnsi="Arial" w:cs="Arial"/>
          <w:sz w:val="20"/>
          <w:szCs w:val="20"/>
        </w:rPr>
        <w:t xml:space="preserve">licensees </w:t>
      </w:r>
      <w:r w:rsidR="00CA4CEA">
        <w:rPr>
          <w:rFonts w:ascii="Arial" w:hAnsi="Arial" w:cs="Arial"/>
          <w:sz w:val="20"/>
          <w:szCs w:val="20"/>
        </w:rPr>
        <w:t xml:space="preserve">for the re-issue of expiring spectrum licences in the </w:t>
      </w:r>
      <w:r w:rsidR="00492A5D">
        <w:rPr>
          <w:rFonts w:ascii="Arial" w:hAnsi="Arial" w:cs="Arial"/>
          <w:sz w:val="20"/>
          <w:szCs w:val="20"/>
        </w:rPr>
        <w:t>1</w:t>
      </w:r>
      <w:r w:rsidR="00CA4CEA">
        <w:rPr>
          <w:rFonts w:ascii="Arial" w:hAnsi="Arial" w:cs="Arial"/>
          <w:sz w:val="20"/>
          <w:szCs w:val="20"/>
        </w:rPr>
        <w:t>800 MHz band.</w:t>
      </w:r>
    </w:p>
    <w:p w:rsidR="006F2C93" w:rsidRDefault="009E17B4" w:rsidP="003920A6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9E17B4">
        <w:rPr>
          <w:rFonts w:ascii="Arial" w:hAnsi="Arial" w:cs="Arial"/>
          <w:b/>
          <w:sz w:val="20"/>
          <w:szCs w:val="20"/>
        </w:rPr>
        <w:t>Human Rights Implications</w:t>
      </w:r>
    </w:p>
    <w:p w:rsidR="006F2C93" w:rsidRDefault="009E17B4" w:rsidP="003920A6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9E17B4">
        <w:rPr>
          <w:rFonts w:ascii="Arial" w:hAnsi="Arial" w:cs="Arial"/>
          <w:sz w:val="20"/>
          <w:szCs w:val="20"/>
        </w:rPr>
        <w:t>The Determination does not engage any of the applicable rights or freedoms.</w:t>
      </w:r>
    </w:p>
    <w:p w:rsidR="006F2C93" w:rsidRDefault="009E17B4" w:rsidP="003920A6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9E17B4">
        <w:rPr>
          <w:rFonts w:ascii="Arial" w:hAnsi="Arial" w:cs="Arial"/>
          <w:b/>
          <w:sz w:val="20"/>
          <w:szCs w:val="20"/>
        </w:rPr>
        <w:t>Conclusion</w:t>
      </w:r>
    </w:p>
    <w:p w:rsidR="006F2C93" w:rsidRDefault="009E17B4" w:rsidP="003920A6">
      <w:pPr>
        <w:spacing w:line="360" w:lineRule="auto"/>
        <w:rPr>
          <w:rFonts w:ascii="Arial" w:hAnsi="Arial" w:cs="Arial"/>
        </w:rPr>
      </w:pPr>
      <w:r w:rsidRPr="009E17B4">
        <w:rPr>
          <w:rFonts w:ascii="Arial" w:hAnsi="Arial" w:cs="Arial"/>
          <w:sz w:val="20"/>
          <w:szCs w:val="20"/>
        </w:rPr>
        <w:t>The Determination is compatible with human rights as it does not raise any human rights issues.</w:t>
      </w:r>
    </w:p>
    <w:sectPr w:rsidR="006F2C93" w:rsidSect="00457E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3CF" w:rsidRDefault="005C13CF" w:rsidP="00D45F2D">
      <w:pPr>
        <w:spacing w:after="0" w:line="240" w:lineRule="auto"/>
      </w:pPr>
      <w:r>
        <w:separator/>
      </w:r>
    </w:p>
  </w:endnote>
  <w:endnote w:type="continuationSeparator" w:id="0">
    <w:p w:rsidR="005C13CF" w:rsidRDefault="005C13CF" w:rsidP="00D4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3CF" w:rsidRDefault="005C13CF" w:rsidP="00D45F2D">
      <w:pPr>
        <w:spacing w:after="0" w:line="240" w:lineRule="auto"/>
      </w:pPr>
      <w:r>
        <w:separator/>
      </w:r>
    </w:p>
  </w:footnote>
  <w:footnote w:type="continuationSeparator" w:id="0">
    <w:p w:rsidR="005C13CF" w:rsidRDefault="005C13CF" w:rsidP="00D45F2D">
      <w:pPr>
        <w:spacing w:after="0" w:line="240" w:lineRule="auto"/>
      </w:pPr>
      <w:r>
        <w:continuationSeparator/>
      </w:r>
    </w:p>
  </w:footnote>
  <w:footnote w:id="1">
    <w:p w:rsidR="005C13CF" w:rsidRDefault="005C13CF">
      <w:r>
        <w:rPr>
          <w:rStyle w:val="FootnoteReference"/>
        </w:rPr>
        <w:footnoteRef/>
      </w:r>
      <w:r>
        <w:t xml:space="preserve"> </w:t>
      </w:r>
      <w:r w:rsidRPr="00B67D92">
        <w:rPr>
          <w:sz w:val="20"/>
          <w:szCs w:val="20"/>
        </w:rPr>
        <w:t xml:space="preserve">Australian Bureau of Statistics, </w:t>
      </w:r>
      <w:r w:rsidRPr="00B67D92">
        <w:rPr>
          <w:i/>
          <w:sz w:val="20"/>
          <w:szCs w:val="20"/>
        </w:rPr>
        <w:t>Census 2011, Basic Community, Aboriginal and Torres Strait Islander Peoples (Indigenous) and Time Series Profiles</w:t>
      </w:r>
      <w:r w:rsidRPr="00B67D92">
        <w:rPr>
          <w:sz w:val="20"/>
          <w:szCs w:val="20"/>
        </w:rPr>
        <w:t xml:space="preserve"> (catalogue number 2069.0.30.008).</w:t>
      </w:r>
    </w:p>
  </w:footnote>
  <w:footnote w:id="2">
    <w:p w:rsidR="005C13CF" w:rsidRDefault="005C13CF">
      <w:pPr>
        <w:pStyle w:val="FootnoteText"/>
      </w:pPr>
      <w:r>
        <w:rPr>
          <w:rStyle w:val="FootnoteReference"/>
        </w:rPr>
        <w:footnoteRef/>
      </w:r>
      <w:r>
        <w:t xml:space="preserve"> This is based on information from the </w:t>
      </w:r>
      <w:r w:rsidRPr="00B67D92">
        <w:t xml:space="preserve">Australian Bureau of Statistics, </w:t>
      </w:r>
      <w:r w:rsidRPr="00B67D92">
        <w:rPr>
          <w:i/>
        </w:rPr>
        <w:t>Census 2011, Basic Community, Aboriginal and Torres Strait Islander Peoples (Indigenous) and Time Series Profiles</w:t>
      </w:r>
      <w:r w:rsidRPr="00B67D92">
        <w:t xml:space="preserve"> (catalogue number 2069.0.30.008)</w:t>
      </w:r>
      <w:r>
        <w:t xml:space="preserve">, the Australian Bureau of Statistics, </w:t>
      </w:r>
      <w:r w:rsidRPr="00D45F2D">
        <w:rPr>
          <w:i/>
        </w:rPr>
        <w:t xml:space="preserve">Australian Demographic Statistics, </w:t>
      </w:r>
      <w:r>
        <w:rPr>
          <w:i/>
        </w:rPr>
        <w:t>March 2013</w:t>
      </w:r>
      <w:r>
        <w:t>, catalogue 3101.0, released 26 September 2013 and the Budget Paper No 3, Australia’s Federal Relations 2013-14; 14 May 2013, page 141.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BD8"/>
    <w:multiLevelType w:val="hybridMultilevel"/>
    <w:tmpl w:val="C882BD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81557E"/>
    <w:multiLevelType w:val="hybridMultilevel"/>
    <w:tmpl w:val="29DC6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560EA"/>
    <w:multiLevelType w:val="hybridMultilevel"/>
    <w:tmpl w:val="D2A0CDF6"/>
    <w:lvl w:ilvl="0" w:tplc="0C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17636A14"/>
    <w:multiLevelType w:val="hybridMultilevel"/>
    <w:tmpl w:val="91EC99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2C0631"/>
    <w:multiLevelType w:val="hybridMultilevel"/>
    <w:tmpl w:val="C240B2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8E2D77"/>
    <w:multiLevelType w:val="hybridMultilevel"/>
    <w:tmpl w:val="DA62A410"/>
    <w:lvl w:ilvl="0" w:tplc="0409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2F5A5080"/>
    <w:multiLevelType w:val="hybridMultilevel"/>
    <w:tmpl w:val="24705096"/>
    <w:lvl w:ilvl="0" w:tplc="33362AD0">
      <w:start w:val="1"/>
      <w:numFmt w:val="bullet"/>
      <w:pStyle w:val="ACMABulletLevel1"/>
      <w:lvlText w:val="●"/>
      <w:lvlJc w:val="left"/>
      <w:pPr>
        <w:tabs>
          <w:tab w:val="num" w:pos="-31680"/>
        </w:tabs>
        <w:ind w:left="357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7">
    <w:nsid w:val="3DBB66B7"/>
    <w:multiLevelType w:val="hybridMultilevel"/>
    <w:tmpl w:val="86CCA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34B3C"/>
    <w:multiLevelType w:val="hybridMultilevel"/>
    <w:tmpl w:val="F9F61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B09C4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769C8"/>
    <w:multiLevelType w:val="hybridMultilevel"/>
    <w:tmpl w:val="F64452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0200BF"/>
    <w:multiLevelType w:val="hybridMultilevel"/>
    <w:tmpl w:val="80387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430CBB"/>
    <w:multiLevelType w:val="hybridMultilevel"/>
    <w:tmpl w:val="21700E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DD752A"/>
    <w:multiLevelType w:val="hybridMultilevel"/>
    <w:tmpl w:val="4900D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0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FBD"/>
    <w:rsid w:val="000025E9"/>
    <w:rsid w:val="00006227"/>
    <w:rsid w:val="000220F8"/>
    <w:rsid w:val="00035879"/>
    <w:rsid w:val="00045828"/>
    <w:rsid w:val="00061DE0"/>
    <w:rsid w:val="00077A78"/>
    <w:rsid w:val="0009249F"/>
    <w:rsid w:val="00092561"/>
    <w:rsid w:val="00097096"/>
    <w:rsid w:val="000B0352"/>
    <w:rsid w:val="000D4ACC"/>
    <w:rsid w:val="000D5102"/>
    <w:rsid w:val="000E1CCB"/>
    <w:rsid w:val="000E5866"/>
    <w:rsid w:val="000F48AB"/>
    <w:rsid w:val="000F511D"/>
    <w:rsid w:val="000F7FB2"/>
    <w:rsid w:val="001013B0"/>
    <w:rsid w:val="00107E4D"/>
    <w:rsid w:val="0011333E"/>
    <w:rsid w:val="00114DE8"/>
    <w:rsid w:val="00116704"/>
    <w:rsid w:val="001268E4"/>
    <w:rsid w:val="00127C43"/>
    <w:rsid w:val="00154FA9"/>
    <w:rsid w:val="00172222"/>
    <w:rsid w:val="0018125F"/>
    <w:rsid w:val="00194000"/>
    <w:rsid w:val="001A2A13"/>
    <w:rsid w:val="001A5C43"/>
    <w:rsid w:val="001A6CB9"/>
    <w:rsid w:val="001B1EC9"/>
    <w:rsid w:val="001B2566"/>
    <w:rsid w:val="001E6EC7"/>
    <w:rsid w:val="00205A39"/>
    <w:rsid w:val="00205C12"/>
    <w:rsid w:val="0020632D"/>
    <w:rsid w:val="002267FD"/>
    <w:rsid w:val="00235B33"/>
    <w:rsid w:val="00241C0E"/>
    <w:rsid w:val="00256768"/>
    <w:rsid w:val="00271B98"/>
    <w:rsid w:val="00271EF6"/>
    <w:rsid w:val="00273321"/>
    <w:rsid w:val="0028161D"/>
    <w:rsid w:val="002838AB"/>
    <w:rsid w:val="00292305"/>
    <w:rsid w:val="002957C5"/>
    <w:rsid w:val="002A25D8"/>
    <w:rsid w:val="002B3D4B"/>
    <w:rsid w:val="002B49BE"/>
    <w:rsid w:val="002C1156"/>
    <w:rsid w:val="002C18A0"/>
    <w:rsid w:val="002C3119"/>
    <w:rsid w:val="002C691A"/>
    <w:rsid w:val="002C69C8"/>
    <w:rsid w:val="002D0016"/>
    <w:rsid w:val="002D43A6"/>
    <w:rsid w:val="002F2808"/>
    <w:rsid w:val="002F3D43"/>
    <w:rsid w:val="002F6D86"/>
    <w:rsid w:val="00313A29"/>
    <w:rsid w:val="00334CAD"/>
    <w:rsid w:val="00340627"/>
    <w:rsid w:val="003415ED"/>
    <w:rsid w:val="00350212"/>
    <w:rsid w:val="00352AFA"/>
    <w:rsid w:val="00352D88"/>
    <w:rsid w:val="00363BDC"/>
    <w:rsid w:val="00371674"/>
    <w:rsid w:val="00383EBC"/>
    <w:rsid w:val="00386173"/>
    <w:rsid w:val="00387AB2"/>
    <w:rsid w:val="0039002A"/>
    <w:rsid w:val="003920A6"/>
    <w:rsid w:val="00392272"/>
    <w:rsid w:val="003A0517"/>
    <w:rsid w:val="003A2602"/>
    <w:rsid w:val="003A4447"/>
    <w:rsid w:val="003B1252"/>
    <w:rsid w:val="003C3DCB"/>
    <w:rsid w:val="003D2D3C"/>
    <w:rsid w:val="003D312C"/>
    <w:rsid w:val="003D60EF"/>
    <w:rsid w:val="003D66D3"/>
    <w:rsid w:val="003E4A77"/>
    <w:rsid w:val="003F1635"/>
    <w:rsid w:val="003F53F7"/>
    <w:rsid w:val="004005A8"/>
    <w:rsid w:val="004010AC"/>
    <w:rsid w:val="00423620"/>
    <w:rsid w:val="0042398F"/>
    <w:rsid w:val="00435BB8"/>
    <w:rsid w:val="0044428E"/>
    <w:rsid w:val="0044455F"/>
    <w:rsid w:val="00446617"/>
    <w:rsid w:val="00457E4A"/>
    <w:rsid w:val="00463517"/>
    <w:rsid w:val="00464A35"/>
    <w:rsid w:val="00464B88"/>
    <w:rsid w:val="00466A15"/>
    <w:rsid w:val="004714FC"/>
    <w:rsid w:val="00492A5D"/>
    <w:rsid w:val="00493F3C"/>
    <w:rsid w:val="004965EB"/>
    <w:rsid w:val="004A0292"/>
    <w:rsid w:val="004A0DBD"/>
    <w:rsid w:val="004A1B41"/>
    <w:rsid w:val="004A4BFC"/>
    <w:rsid w:val="004A75D4"/>
    <w:rsid w:val="004B2C7E"/>
    <w:rsid w:val="004E27A7"/>
    <w:rsid w:val="004E35C3"/>
    <w:rsid w:val="004E56FA"/>
    <w:rsid w:val="004E7DE5"/>
    <w:rsid w:val="004F3525"/>
    <w:rsid w:val="004F5F3D"/>
    <w:rsid w:val="00501134"/>
    <w:rsid w:val="005067B6"/>
    <w:rsid w:val="00511694"/>
    <w:rsid w:val="00511877"/>
    <w:rsid w:val="00512B6A"/>
    <w:rsid w:val="00513FAA"/>
    <w:rsid w:val="0051755A"/>
    <w:rsid w:val="00527C2B"/>
    <w:rsid w:val="005331ED"/>
    <w:rsid w:val="0054073A"/>
    <w:rsid w:val="0055734B"/>
    <w:rsid w:val="005618E9"/>
    <w:rsid w:val="0056596C"/>
    <w:rsid w:val="00570FBD"/>
    <w:rsid w:val="0057338F"/>
    <w:rsid w:val="00591944"/>
    <w:rsid w:val="00593AEC"/>
    <w:rsid w:val="00597A91"/>
    <w:rsid w:val="005A0F8A"/>
    <w:rsid w:val="005C0AED"/>
    <w:rsid w:val="005C13CF"/>
    <w:rsid w:val="005C3360"/>
    <w:rsid w:val="005C3AE0"/>
    <w:rsid w:val="005C40C0"/>
    <w:rsid w:val="005C500E"/>
    <w:rsid w:val="005D6510"/>
    <w:rsid w:val="005D76C2"/>
    <w:rsid w:val="005E5B8A"/>
    <w:rsid w:val="005F5CFC"/>
    <w:rsid w:val="00604835"/>
    <w:rsid w:val="00615CA4"/>
    <w:rsid w:val="00624D29"/>
    <w:rsid w:val="006260F4"/>
    <w:rsid w:val="006308C6"/>
    <w:rsid w:val="00642895"/>
    <w:rsid w:val="006524D5"/>
    <w:rsid w:val="00657228"/>
    <w:rsid w:val="006675C8"/>
    <w:rsid w:val="0067116E"/>
    <w:rsid w:val="00691893"/>
    <w:rsid w:val="006921D4"/>
    <w:rsid w:val="006950C2"/>
    <w:rsid w:val="00696563"/>
    <w:rsid w:val="006A0693"/>
    <w:rsid w:val="006A3C9E"/>
    <w:rsid w:val="006A7850"/>
    <w:rsid w:val="006B0B5F"/>
    <w:rsid w:val="006C3114"/>
    <w:rsid w:val="006D09C4"/>
    <w:rsid w:val="006E01E5"/>
    <w:rsid w:val="006E2BA4"/>
    <w:rsid w:val="006E5C53"/>
    <w:rsid w:val="006F03F4"/>
    <w:rsid w:val="006F0F49"/>
    <w:rsid w:val="006F2C93"/>
    <w:rsid w:val="00711913"/>
    <w:rsid w:val="00716087"/>
    <w:rsid w:val="00716B63"/>
    <w:rsid w:val="007323E8"/>
    <w:rsid w:val="00735C90"/>
    <w:rsid w:val="007409DD"/>
    <w:rsid w:val="00740F05"/>
    <w:rsid w:val="00750818"/>
    <w:rsid w:val="007664CD"/>
    <w:rsid w:val="00771BE1"/>
    <w:rsid w:val="007728A7"/>
    <w:rsid w:val="007A60D6"/>
    <w:rsid w:val="007B1AC2"/>
    <w:rsid w:val="007B6592"/>
    <w:rsid w:val="007C6987"/>
    <w:rsid w:val="007C740B"/>
    <w:rsid w:val="00800A00"/>
    <w:rsid w:val="008105C6"/>
    <w:rsid w:val="0081364B"/>
    <w:rsid w:val="00817A75"/>
    <w:rsid w:val="0082080E"/>
    <w:rsid w:val="00827697"/>
    <w:rsid w:val="00830A79"/>
    <w:rsid w:val="00853C4E"/>
    <w:rsid w:val="00856265"/>
    <w:rsid w:val="00856FB6"/>
    <w:rsid w:val="00863771"/>
    <w:rsid w:val="008713A7"/>
    <w:rsid w:val="008725EC"/>
    <w:rsid w:val="00883C1E"/>
    <w:rsid w:val="008908DB"/>
    <w:rsid w:val="00896439"/>
    <w:rsid w:val="008A0EE6"/>
    <w:rsid w:val="008A37BC"/>
    <w:rsid w:val="008C5EC0"/>
    <w:rsid w:val="008D3734"/>
    <w:rsid w:val="008D4EA2"/>
    <w:rsid w:val="00925943"/>
    <w:rsid w:val="00930BBE"/>
    <w:rsid w:val="00932234"/>
    <w:rsid w:val="00934E13"/>
    <w:rsid w:val="00934E57"/>
    <w:rsid w:val="00937B79"/>
    <w:rsid w:val="00943A3F"/>
    <w:rsid w:val="00951389"/>
    <w:rsid w:val="00962800"/>
    <w:rsid w:val="00964298"/>
    <w:rsid w:val="00965530"/>
    <w:rsid w:val="00972101"/>
    <w:rsid w:val="009751E0"/>
    <w:rsid w:val="009778C6"/>
    <w:rsid w:val="0098207D"/>
    <w:rsid w:val="0098563E"/>
    <w:rsid w:val="0099015E"/>
    <w:rsid w:val="009B0F2C"/>
    <w:rsid w:val="009B69A0"/>
    <w:rsid w:val="009C48D3"/>
    <w:rsid w:val="009D15AD"/>
    <w:rsid w:val="009D7D23"/>
    <w:rsid w:val="009E17B4"/>
    <w:rsid w:val="009E1EBE"/>
    <w:rsid w:val="009F0250"/>
    <w:rsid w:val="009F157B"/>
    <w:rsid w:val="00A02F17"/>
    <w:rsid w:val="00A02F4E"/>
    <w:rsid w:val="00A129AC"/>
    <w:rsid w:val="00A16617"/>
    <w:rsid w:val="00A224D3"/>
    <w:rsid w:val="00A256D7"/>
    <w:rsid w:val="00A314EA"/>
    <w:rsid w:val="00A334FF"/>
    <w:rsid w:val="00A34760"/>
    <w:rsid w:val="00A40048"/>
    <w:rsid w:val="00A47D1B"/>
    <w:rsid w:val="00A652C9"/>
    <w:rsid w:val="00A728C1"/>
    <w:rsid w:val="00A757F0"/>
    <w:rsid w:val="00A805C5"/>
    <w:rsid w:val="00A85470"/>
    <w:rsid w:val="00A95FDB"/>
    <w:rsid w:val="00AA7A50"/>
    <w:rsid w:val="00AB079F"/>
    <w:rsid w:val="00AB3CC8"/>
    <w:rsid w:val="00AC5463"/>
    <w:rsid w:val="00AC56E1"/>
    <w:rsid w:val="00AC67BC"/>
    <w:rsid w:val="00AC7C8E"/>
    <w:rsid w:val="00AD7182"/>
    <w:rsid w:val="00AE4B34"/>
    <w:rsid w:val="00AF3C54"/>
    <w:rsid w:val="00AF3F52"/>
    <w:rsid w:val="00B0076B"/>
    <w:rsid w:val="00B045FC"/>
    <w:rsid w:val="00B20D5F"/>
    <w:rsid w:val="00B313DF"/>
    <w:rsid w:val="00B375B7"/>
    <w:rsid w:val="00B56426"/>
    <w:rsid w:val="00B6180B"/>
    <w:rsid w:val="00B61D28"/>
    <w:rsid w:val="00B77AEB"/>
    <w:rsid w:val="00B812D8"/>
    <w:rsid w:val="00B92E48"/>
    <w:rsid w:val="00B93A08"/>
    <w:rsid w:val="00BB100B"/>
    <w:rsid w:val="00BB1DFF"/>
    <w:rsid w:val="00BB1EE0"/>
    <w:rsid w:val="00BB2D48"/>
    <w:rsid w:val="00BC07CA"/>
    <w:rsid w:val="00BC669B"/>
    <w:rsid w:val="00BD25C8"/>
    <w:rsid w:val="00BE37B0"/>
    <w:rsid w:val="00BE707A"/>
    <w:rsid w:val="00C173D7"/>
    <w:rsid w:val="00C20FEC"/>
    <w:rsid w:val="00C22E1C"/>
    <w:rsid w:val="00C32625"/>
    <w:rsid w:val="00C34199"/>
    <w:rsid w:val="00C342CE"/>
    <w:rsid w:val="00C3652E"/>
    <w:rsid w:val="00C36C82"/>
    <w:rsid w:val="00C56281"/>
    <w:rsid w:val="00C67FC8"/>
    <w:rsid w:val="00C77D11"/>
    <w:rsid w:val="00C86254"/>
    <w:rsid w:val="00C9027D"/>
    <w:rsid w:val="00CA2002"/>
    <w:rsid w:val="00CA3664"/>
    <w:rsid w:val="00CA4CEA"/>
    <w:rsid w:val="00CA67C6"/>
    <w:rsid w:val="00CB20F5"/>
    <w:rsid w:val="00CC0643"/>
    <w:rsid w:val="00CC3DE5"/>
    <w:rsid w:val="00CC6792"/>
    <w:rsid w:val="00CD4852"/>
    <w:rsid w:val="00CD4C09"/>
    <w:rsid w:val="00CD6237"/>
    <w:rsid w:val="00CE092C"/>
    <w:rsid w:val="00CE5BEF"/>
    <w:rsid w:val="00CE7D21"/>
    <w:rsid w:val="00D27F05"/>
    <w:rsid w:val="00D30BAD"/>
    <w:rsid w:val="00D374DE"/>
    <w:rsid w:val="00D40617"/>
    <w:rsid w:val="00D406E4"/>
    <w:rsid w:val="00D43783"/>
    <w:rsid w:val="00D45F2D"/>
    <w:rsid w:val="00D515B2"/>
    <w:rsid w:val="00D679FC"/>
    <w:rsid w:val="00D72D8D"/>
    <w:rsid w:val="00D749CD"/>
    <w:rsid w:val="00D826D7"/>
    <w:rsid w:val="00D837B2"/>
    <w:rsid w:val="00DA2A91"/>
    <w:rsid w:val="00DA2CBF"/>
    <w:rsid w:val="00DB35A3"/>
    <w:rsid w:val="00DC1F7B"/>
    <w:rsid w:val="00DE1BE6"/>
    <w:rsid w:val="00DE248B"/>
    <w:rsid w:val="00DE4817"/>
    <w:rsid w:val="00DE483B"/>
    <w:rsid w:val="00DE4AD2"/>
    <w:rsid w:val="00DF2F75"/>
    <w:rsid w:val="00E0340D"/>
    <w:rsid w:val="00E05D43"/>
    <w:rsid w:val="00E068B7"/>
    <w:rsid w:val="00E11BE6"/>
    <w:rsid w:val="00E1656F"/>
    <w:rsid w:val="00E23EAF"/>
    <w:rsid w:val="00E3373C"/>
    <w:rsid w:val="00E346CA"/>
    <w:rsid w:val="00E522DA"/>
    <w:rsid w:val="00E6640A"/>
    <w:rsid w:val="00E67F2D"/>
    <w:rsid w:val="00E704B2"/>
    <w:rsid w:val="00E714BA"/>
    <w:rsid w:val="00E817E3"/>
    <w:rsid w:val="00E82D13"/>
    <w:rsid w:val="00E83545"/>
    <w:rsid w:val="00E8577B"/>
    <w:rsid w:val="00E865D9"/>
    <w:rsid w:val="00E93959"/>
    <w:rsid w:val="00E95E70"/>
    <w:rsid w:val="00E95E8F"/>
    <w:rsid w:val="00EA681F"/>
    <w:rsid w:val="00EB1E4A"/>
    <w:rsid w:val="00ED0192"/>
    <w:rsid w:val="00EE19B9"/>
    <w:rsid w:val="00EE7F65"/>
    <w:rsid w:val="00F033B9"/>
    <w:rsid w:val="00F06832"/>
    <w:rsid w:val="00F105EA"/>
    <w:rsid w:val="00F13CB9"/>
    <w:rsid w:val="00F15BE9"/>
    <w:rsid w:val="00F17E8D"/>
    <w:rsid w:val="00F26DC4"/>
    <w:rsid w:val="00F30932"/>
    <w:rsid w:val="00F31E7F"/>
    <w:rsid w:val="00F31EF6"/>
    <w:rsid w:val="00F322D3"/>
    <w:rsid w:val="00F32B35"/>
    <w:rsid w:val="00F37CAF"/>
    <w:rsid w:val="00F4322A"/>
    <w:rsid w:val="00F43AF6"/>
    <w:rsid w:val="00F44942"/>
    <w:rsid w:val="00F54DEE"/>
    <w:rsid w:val="00F717CB"/>
    <w:rsid w:val="00F9444B"/>
    <w:rsid w:val="00FA048A"/>
    <w:rsid w:val="00FA37FF"/>
    <w:rsid w:val="00FB4634"/>
    <w:rsid w:val="00FC15A6"/>
    <w:rsid w:val="00FF496A"/>
    <w:rsid w:val="00FF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EF6"/>
    <w:pPr>
      <w:spacing w:after="0" w:line="240" w:lineRule="atLeast"/>
      <w:ind w:left="720"/>
      <w:contextualSpacing/>
    </w:pPr>
    <w:rPr>
      <w:rFonts w:ascii="HelveticaNeueLT Std Lt" w:eastAsia="Times New Roman" w:hAnsi="HelveticaNeueLT Std Lt" w:cs="Times New Roman"/>
      <w:sz w:val="20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EF6"/>
    <w:rPr>
      <w:rFonts w:ascii="Tahoma" w:hAnsi="Tahoma" w:cs="Tahoma"/>
      <w:sz w:val="16"/>
      <w:szCs w:val="16"/>
    </w:rPr>
  </w:style>
  <w:style w:type="paragraph" w:customStyle="1" w:styleId="ACMABodyText">
    <w:name w:val="ACMA Body Text"/>
    <w:link w:val="ACMABodyTextChar"/>
    <w:qFormat/>
    <w:rsid w:val="00A652C9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">
    <w:name w:val="ACMA Body Text Char"/>
    <w:basedOn w:val="DefaultParagraphFont"/>
    <w:link w:val="ACMABodyText"/>
    <w:rsid w:val="00A652C9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t10t1">
    <w:name w:val="pt10t1"/>
    <w:basedOn w:val="DefaultParagraphFont"/>
    <w:rsid w:val="003B1252"/>
    <w:rPr>
      <w:rFonts w:ascii="Arial" w:hAnsi="Arial" w:cs="Arial" w:hint="default"/>
      <w:i w:val="0"/>
      <w:iCs w:val="0"/>
      <w:sz w:val="15"/>
      <w:szCs w:val="15"/>
    </w:rPr>
  </w:style>
  <w:style w:type="paragraph" w:styleId="FootnoteText">
    <w:name w:val="footnote text"/>
    <w:basedOn w:val="Normal"/>
    <w:link w:val="FootnoteTextChar"/>
    <w:uiPriority w:val="99"/>
    <w:unhideWhenUsed/>
    <w:rsid w:val="00D45F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5F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5F2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E4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A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A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AD2"/>
    <w:rPr>
      <w:b/>
      <w:bCs/>
    </w:rPr>
  </w:style>
  <w:style w:type="character" w:customStyle="1" w:styleId="CharSectno">
    <w:name w:val="CharSectno"/>
    <w:basedOn w:val="DefaultParagraphFont"/>
    <w:rsid w:val="003D312C"/>
  </w:style>
  <w:style w:type="paragraph" w:customStyle="1" w:styleId="ACMABulletLevel1">
    <w:name w:val="ACMA Bullet Level 1"/>
    <w:rsid w:val="003D312C"/>
    <w:pPr>
      <w:numPr>
        <w:numId w:val="10"/>
      </w:num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R">
    <w:name w:val="HR"/>
    <w:aliases w:val="Regulation Heading"/>
    <w:basedOn w:val="Normal"/>
    <w:next w:val="Normal"/>
    <w:rsid w:val="00092561"/>
    <w:pPr>
      <w:keepNext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883C1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26D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FA9C5-B2B8-4A67-9C0E-438AA753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8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13510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lharden</dc:creator>
  <cp:lastModifiedBy>Mark McGregor</cp:lastModifiedBy>
  <cp:revision>18</cp:revision>
  <cp:lastPrinted>2013-11-20T01:49:00Z</cp:lastPrinted>
  <dcterms:created xsi:type="dcterms:W3CDTF">2013-11-18T01:10:00Z</dcterms:created>
  <dcterms:modified xsi:type="dcterms:W3CDTF">2013-11-20T01:49:00Z</dcterms:modified>
</cp:coreProperties>
</file>