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EF" w:rsidRPr="00AB5F46" w:rsidRDefault="00915BEF" w:rsidP="002F7165">
      <w:pPr>
        <w:jc w:val="center"/>
        <w:rPr>
          <w:rFonts w:ascii="Times New Roman" w:hAnsi="Times New Roman"/>
          <w:b/>
          <w:sz w:val="24"/>
          <w:szCs w:val="24"/>
          <w:u w:val="single"/>
        </w:rPr>
      </w:pPr>
      <w:bookmarkStart w:id="0" w:name="_GoBack"/>
      <w:bookmarkEnd w:id="0"/>
      <w:r w:rsidRPr="00AB5F46">
        <w:rPr>
          <w:rFonts w:ascii="Times New Roman" w:hAnsi="Times New Roman"/>
          <w:b/>
          <w:sz w:val="24"/>
          <w:szCs w:val="24"/>
          <w:u w:val="single"/>
        </w:rPr>
        <w:t>EXPLANATORY STATEMENT</w:t>
      </w:r>
    </w:p>
    <w:p w:rsidR="00915BEF" w:rsidRPr="00AB5F46" w:rsidRDefault="00915BEF" w:rsidP="002F7165">
      <w:pPr>
        <w:rPr>
          <w:rFonts w:ascii="Times New Roman" w:hAnsi="Times New Roman"/>
          <w:b/>
          <w:sz w:val="24"/>
          <w:szCs w:val="24"/>
          <w:u w:val="single"/>
        </w:rPr>
      </w:pPr>
    </w:p>
    <w:p w:rsidR="00915BEF" w:rsidRPr="00AB5F46" w:rsidRDefault="00915BEF" w:rsidP="003E3B53">
      <w:pPr>
        <w:jc w:val="center"/>
        <w:rPr>
          <w:rFonts w:ascii="Times New Roman" w:hAnsi="Times New Roman"/>
          <w:sz w:val="24"/>
          <w:szCs w:val="24"/>
          <w:u w:val="single"/>
        </w:rPr>
      </w:pPr>
      <w:r w:rsidRPr="00AB5F46">
        <w:rPr>
          <w:rFonts w:ascii="Times New Roman" w:hAnsi="Times New Roman"/>
          <w:sz w:val="24"/>
          <w:szCs w:val="24"/>
          <w:u w:val="single"/>
        </w:rPr>
        <w:t xml:space="preserve">Issued by the Authority of the </w:t>
      </w:r>
      <w:r w:rsidR="0014141F">
        <w:rPr>
          <w:rFonts w:ascii="Times New Roman" w:hAnsi="Times New Roman"/>
          <w:sz w:val="24"/>
          <w:szCs w:val="24"/>
          <w:u w:val="single"/>
        </w:rPr>
        <w:t>Minister</w:t>
      </w:r>
      <w:r w:rsidR="0057765E">
        <w:rPr>
          <w:rFonts w:ascii="Times New Roman" w:hAnsi="Times New Roman"/>
          <w:sz w:val="24"/>
          <w:szCs w:val="24"/>
          <w:u w:val="single"/>
        </w:rPr>
        <w:t xml:space="preserve"> </w:t>
      </w:r>
      <w:r w:rsidRPr="00AB5F46">
        <w:rPr>
          <w:rFonts w:ascii="Times New Roman" w:hAnsi="Times New Roman"/>
          <w:sz w:val="24"/>
          <w:szCs w:val="24"/>
          <w:u w:val="single"/>
        </w:rPr>
        <w:t xml:space="preserve">for </w:t>
      </w:r>
      <w:r w:rsidR="0014141F">
        <w:rPr>
          <w:rFonts w:ascii="Times New Roman" w:hAnsi="Times New Roman"/>
          <w:sz w:val="24"/>
          <w:szCs w:val="24"/>
          <w:u w:val="single"/>
        </w:rPr>
        <w:t>the Environment</w:t>
      </w:r>
    </w:p>
    <w:p w:rsidR="00915BEF" w:rsidRPr="00AB5F46" w:rsidRDefault="00915BEF" w:rsidP="002F7165">
      <w:pPr>
        <w:pStyle w:val="Heading1"/>
        <w:spacing w:after="120"/>
        <w:jc w:val="center"/>
        <w:rPr>
          <w:b w:val="0"/>
          <w:i/>
          <w:color w:val="auto"/>
          <w:sz w:val="24"/>
          <w:szCs w:val="24"/>
        </w:rPr>
      </w:pPr>
      <w:r w:rsidRPr="00AB5F46">
        <w:rPr>
          <w:b w:val="0"/>
          <w:i/>
          <w:color w:val="auto"/>
          <w:sz w:val="24"/>
          <w:szCs w:val="24"/>
        </w:rPr>
        <w:t>Carbon Credits (Carbon Farming Initiative) Act 2011</w:t>
      </w:r>
    </w:p>
    <w:p w:rsidR="00915BEF" w:rsidRPr="00AB5F46" w:rsidRDefault="00915BEF">
      <w:pPr>
        <w:spacing w:before="240" w:after="120"/>
        <w:jc w:val="center"/>
        <w:rPr>
          <w:rFonts w:ascii="Times New Roman" w:hAnsi="Times New Roman"/>
          <w:i/>
          <w:sz w:val="24"/>
          <w:szCs w:val="24"/>
        </w:rPr>
      </w:pPr>
      <w:r w:rsidRPr="00AB5F46">
        <w:rPr>
          <w:rFonts w:ascii="Times New Roman" w:hAnsi="Times New Roman"/>
          <w:i/>
          <w:sz w:val="24"/>
          <w:szCs w:val="24"/>
        </w:rPr>
        <w:t xml:space="preserve">Carbon </w:t>
      </w:r>
      <w:r w:rsidR="00A96664">
        <w:rPr>
          <w:rFonts w:ascii="Times New Roman" w:hAnsi="Times New Roman"/>
          <w:i/>
          <w:sz w:val="24"/>
          <w:szCs w:val="24"/>
        </w:rPr>
        <w:t>Credits</w:t>
      </w:r>
      <w:r w:rsidRPr="00AB5F46">
        <w:rPr>
          <w:rFonts w:ascii="Times New Roman" w:hAnsi="Times New Roman"/>
          <w:i/>
          <w:sz w:val="24"/>
          <w:szCs w:val="24"/>
        </w:rPr>
        <w:t xml:space="preserve"> </w:t>
      </w:r>
      <w:r w:rsidR="00B72C57">
        <w:rPr>
          <w:rFonts w:ascii="Times New Roman" w:hAnsi="Times New Roman"/>
          <w:i/>
          <w:sz w:val="24"/>
          <w:szCs w:val="24"/>
        </w:rPr>
        <w:t xml:space="preserve">(Carbon Farming Initiative) </w:t>
      </w:r>
      <w:r w:rsidRPr="00AB5F46">
        <w:rPr>
          <w:rFonts w:ascii="Times New Roman" w:hAnsi="Times New Roman"/>
          <w:i/>
          <w:sz w:val="24"/>
          <w:szCs w:val="24"/>
        </w:rPr>
        <w:t>(</w:t>
      </w:r>
      <w:r w:rsidR="00213490">
        <w:rPr>
          <w:rFonts w:ascii="Times New Roman" w:hAnsi="Times New Roman"/>
          <w:i/>
          <w:sz w:val="24"/>
          <w:szCs w:val="24"/>
        </w:rPr>
        <w:t>Native Forest from Managed Regrowth</w:t>
      </w:r>
      <w:r w:rsidRPr="00AB5F46">
        <w:rPr>
          <w:rFonts w:ascii="Times New Roman" w:hAnsi="Times New Roman"/>
          <w:i/>
          <w:sz w:val="24"/>
          <w:szCs w:val="24"/>
        </w:rPr>
        <w:t>) Methodology Determination 201</w:t>
      </w:r>
      <w:r w:rsidR="00CE4326">
        <w:rPr>
          <w:rFonts w:ascii="Times New Roman" w:hAnsi="Times New Roman"/>
          <w:i/>
          <w:sz w:val="24"/>
          <w:szCs w:val="24"/>
        </w:rPr>
        <w:t>3</w:t>
      </w:r>
      <w:r w:rsidRPr="00AB5F46">
        <w:rPr>
          <w:rFonts w:ascii="Times New Roman" w:hAnsi="Times New Roman"/>
          <w:i/>
          <w:sz w:val="24"/>
          <w:szCs w:val="24"/>
        </w:rPr>
        <w:t xml:space="preserve"> </w:t>
      </w:r>
    </w:p>
    <w:p w:rsidR="00915BEF" w:rsidRPr="00405716" w:rsidRDefault="00915BEF">
      <w:pPr>
        <w:spacing w:before="240" w:after="120"/>
        <w:rPr>
          <w:rFonts w:ascii="Times New Roman" w:hAnsi="Times New Roman"/>
          <w:b/>
          <w:sz w:val="24"/>
          <w:szCs w:val="24"/>
        </w:rPr>
      </w:pPr>
      <w:r w:rsidRPr="00405716">
        <w:rPr>
          <w:rFonts w:ascii="Times New Roman" w:hAnsi="Times New Roman"/>
          <w:b/>
          <w:sz w:val="24"/>
          <w:szCs w:val="24"/>
        </w:rPr>
        <w:t>Background</w:t>
      </w:r>
    </w:p>
    <w:p w:rsidR="00915BEF" w:rsidRPr="00405716" w:rsidRDefault="00915BEF" w:rsidP="00986D81">
      <w:pPr>
        <w:spacing w:after="120" w:line="240" w:lineRule="auto"/>
        <w:rPr>
          <w:rFonts w:ascii="Times New Roman" w:hAnsi="Times New Roman"/>
          <w:sz w:val="24"/>
          <w:szCs w:val="24"/>
        </w:rPr>
      </w:pPr>
      <w:r w:rsidRPr="00405716">
        <w:rPr>
          <w:rFonts w:ascii="Times New Roman" w:hAnsi="Times New Roman"/>
          <w:sz w:val="24"/>
          <w:szCs w:val="24"/>
        </w:rPr>
        <w:t xml:space="preserve">The </w:t>
      </w:r>
      <w:r w:rsidRPr="00405716">
        <w:rPr>
          <w:rFonts w:ascii="Times New Roman" w:hAnsi="Times New Roman"/>
          <w:i/>
          <w:sz w:val="24"/>
          <w:szCs w:val="24"/>
        </w:rPr>
        <w:t>Carbon Credits (Carbon Farming Initiative) Act 2011</w:t>
      </w:r>
      <w:r w:rsidRPr="00405716">
        <w:rPr>
          <w:rFonts w:ascii="Times New Roman" w:hAnsi="Times New Roman"/>
          <w:sz w:val="24"/>
          <w:szCs w:val="24"/>
        </w:rPr>
        <w:t xml:space="preserve"> (the Act) enables the crediting of greenhouse gas abatement in the land sector. Greenhouse gas abatement is achieved </w:t>
      </w:r>
      <w:r w:rsidR="00E3503A" w:rsidRPr="00405716">
        <w:rPr>
          <w:rFonts w:ascii="Times New Roman" w:hAnsi="Times New Roman"/>
          <w:sz w:val="24"/>
          <w:szCs w:val="24"/>
        </w:rPr>
        <w:t xml:space="preserve">either </w:t>
      </w:r>
      <w:r w:rsidRPr="00405716">
        <w:rPr>
          <w:rFonts w:ascii="Times New Roman" w:hAnsi="Times New Roman"/>
          <w:sz w:val="24"/>
          <w:szCs w:val="24"/>
        </w:rPr>
        <w:t>by reducing or avoiding emissions or by removing carbon from the atmosphere and storing it in soil or trees.</w:t>
      </w:r>
    </w:p>
    <w:p w:rsidR="00915BEF" w:rsidRPr="00405716" w:rsidRDefault="00216746" w:rsidP="00986D81">
      <w:pPr>
        <w:spacing w:after="120" w:line="240" w:lineRule="auto"/>
        <w:rPr>
          <w:rFonts w:ascii="Times New Roman" w:hAnsi="Times New Roman"/>
          <w:sz w:val="24"/>
          <w:szCs w:val="24"/>
        </w:rPr>
      </w:pPr>
      <w:r>
        <w:rPr>
          <w:rFonts w:ascii="Times New Roman" w:hAnsi="Times New Roman"/>
          <w:sz w:val="24"/>
          <w:szCs w:val="24"/>
        </w:rPr>
        <w:t>Carbon sequestration and emissions reduction</w:t>
      </w:r>
      <w:r w:rsidR="00915BEF" w:rsidRPr="00405716">
        <w:rPr>
          <w:rFonts w:ascii="Times New Roman" w:hAnsi="Times New Roman"/>
          <w:sz w:val="24"/>
          <w:szCs w:val="24"/>
        </w:rPr>
        <w:t xml:space="preserve"> activities are undertaken as offsets projects. The process involved in establishing an offsets project is set out in Part 3 of the Act. An offsets project must be covered by</w:t>
      </w:r>
      <w:r w:rsidR="00F37029" w:rsidRPr="00405716">
        <w:rPr>
          <w:rFonts w:ascii="Times New Roman" w:hAnsi="Times New Roman"/>
          <w:sz w:val="24"/>
          <w:szCs w:val="24"/>
        </w:rPr>
        <w:t>,</w:t>
      </w:r>
      <w:r w:rsidR="00915BEF" w:rsidRPr="00405716">
        <w:rPr>
          <w:rFonts w:ascii="Times New Roman" w:hAnsi="Times New Roman"/>
          <w:sz w:val="24"/>
          <w:szCs w:val="24"/>
        </w:rPr>
        <w:t xml:space="preserve"> and undertaken in accordance with</w:t>
      </w:r>
      <w:r w:rsidR="00F37029" w:rsidRPr="00405716">
        <w:rPr>
          <w:rFonts w:ascii="Times New Roman" w:hAnsi="Times New Roman"/>
          <w:sz w:val="24"/>
          <w:szCs w:val="24"/>
        </w:rPr>
        <w:t>,</w:t>
      </w:r>
      <w:r w:rsidR="00915BEF" w:rsidRPr="00405716">
        <w:rPr>
          <w:rFonts w:ascii="Times New Roman" w:hAnsi="Times New Roman"/>
          <w:sz w:val="24"/>
          <w:szCs w:val="24"/>
        </w:rPr>
        <w:t xml:space="preserve"> a methodology determination.</w:t>
      </w:r>
    </w:p>
    <w:p w:rsidR="00915BEF" w:rsidRPr="00405716" w:rsidRDefault="00915BEF" w:rsidP="00986D81">
      <w:pPr>
        <w:spacing w:after="120" w:line="240" w:lineRule="auto"/>
        <w:rPr>
          <w:rFonts w:ascii="Times New Roman" w:hAnsi="Times New Roman"/>
          <w:sz w:val="24"/>
          <w:szCs w:val="24"/>
        </w:rPr>
      </w:pPr>
      <w:r w:rsidRPr="00405716">
        <w:rPr>
          <w:rFonts w:ascii="Times New Roman" w:hAnsi="Times New Roman"/>
          <w:sz w:val="24"/>
          <w:szCs w:val="24"/>
        </w:rPr>
        <w:t>Subsection 106(1) of the Act empowers the Minister to make</w:t>
      </w:r>
      <w:r w:rsidR="00393EE4" w:rsidRPr="00405716">
        <w:rPr>
          <w:rFonts w:ascii="Times New Roman" w:hAnsi="Times New Roman"/>
          <w:sz w:val="24"/>
          <w:szCs w:val="24"/>
        </w:rPr>
        <w:t>, by legislative instrument,</w:t>
      </w:r>
      <w:r w:rsidRPr="00405716">
        <w:rPr>
          <w:rFonts w:ascii="Times New Roman" w:hAnsi="Times New Roman"/>
          <w:sz w:val="24"/>
          <w:szCs w:val="24"/>
        </w:rPr>
        <w:t xml:space="preserve"> a methodology determination. The purpose of a methodology determination is to establish procedures for estimating abatement (emissions reductions and sequestration) and project rules for monitoring, record keeping and reporting on abatement.</w:t>
      </w:r>
    </w:p>
    <w:p w:rsidR="00915BEF" w:rsidRPr="00405716" w:rsidRDefault="00915BEF" w:rsidP="00986D81">
      <w:pPr>
        <w:spacing w:after="120" w:line="240" w:lineRule="auto"/>
        <w:rPr>
          <w:rFonts w:ascii="Times New Roman" w:hAnsi="Times New Roman"/>
          <w:sz w:val="24"/>
          <w:szCs w:val="24"/>
        </w:rPr>
      </w:pPr>
      <w:r w:rsidRPr="00405716">
        <w:rPr>
          <w:rFonts w:ascii="Times New Roman" w:hAnsi="Times New Roman"/>
          <w:sz w:val="24"/>
          <w:szCs w:val="24"/>
        </w:rPr>
        <w:t>A methodology determination must meet the offsets integrity standards set out in section 133 of the Act and the other eligibility criteria set out in section 106 of the Act. The Minister cannot make a methodology determination unless the Domestic Offsets Integrity Committee (DOIC) has endorsed the proposal</w:t>
      </w:r>
      <w:r w:rsidR="00393EE4" w:rsidRPr="00405716">
        <w:rPr>
          <w:rFonts w:ascii="Times New Roman" w:hAnsi="Times New Roman"/>
          <w:sz w:val="24"/>
          <w:szCs w:val="24"/>
        </w:rPr>
        <w:t xml:space="preserve"> for the methodology determination </w:t>
      </w:r>
      <w:r w:rsidRPr="00405716">
        <w:rPr>
          <w:rFonts w:ascii="Times New Roman" w:hAnsi="Times New Roman"/>
          <w:sz w:val="24"/>
          <w:szCs w:val="24"/>
        </w:rPr>
        <w:t xml:space="preserve">under section 112 of the Act and advised the Minister of the endorsement under section 113 of the Act. The DOIC is an independent expert panel established to evaluate </w:t>
      </w:r>
      <w:r w:rsidR="00393EE4" w:rsidRPr="00405716">
        <w:rPr>
          <w:rFonts w:ascii="Times New Roman" w:hAnsi="Times New Roman"/>
          <w:sz w:val="24"/>
          <w:szCs w:val="24"/>
        </w:rPr>
        <w:t>proposals for methodology determinations</w:t>
      </w:r>
      <w:r w:rsidRPr="00405716">
        <w:rPr>
          <w:rFonts w:ascii="Times New Roman" w:hAnsi="Times New Roman"/>
          <w:sz w:val="24"/>
          <w:szCs w:val="24"/>
        </w:rPr>
        <w:t>.</w:t>
      </w:r>
    </w:p>
    <w:p w:rsidR="00915BEF" w:rsidRPr="00405716" w:rsidRDefault="00915BEF" w:rsidP="00986D81">
      <w:pPr>
        <w:spacing w:after="120" w:line="240" w:lineRule="auto"/>
        <w:rPr>
          <w:rFonts w:ascii="Times New Roman" w:hAnsi="Times New Roman"/>
          <w:b/>
          <w:sz w:val="24"/>
          <w:szCs w:val="24"/>
        </w:rPr>
      </w:pPr>
      <w:r w:rsidRPr="00405716">
        <w:rPr>
          <w:rFonts w:ascii="Times New Roman" w:hAnsi="Times New Roman"/>
          <w:b/>
          <w:sz w:val="24"/>
          <w:szCs w:val="24"/>
        </w:rPr>
        <w:t>Application of the Determination</w:t>
      </w:r>
    </w:p>
    <w:p w:rsidR="00F9392C" w:rsidRDefault="00915BEF" w:rsidP="00986D81">
      <w:pPr>
        <w:spacing w:after="120" w:line="240" w:lineRule="auto"/>
        <w:rPr>
          <w:rFonts w:ascii="Times New Roman" w:hAnsi="Times New Roman"/>
          <w:sz w:val="24"/>
          <w:szCs w:val="24"/>
        </w:rPr>
      </w:pPr>
      <w:r w:rsidRPr="00405716">
        <w:rPr>
          <w:rFonts w:ascii="Times New Roman" w:hAnsi="Times New Roman"/>
          <w:sz w:val="24"/>
          <w:szCs w:val="24"/>
        </w:rPr>
        <w:t xml:space="preserve">The </w:t>
      </w:r>
      <w:r w:rsidRPr="00405716">
        <w:rPr>
          <w:rFonts w:ascii="Times New Roman" w:hAnsi="Times New Roman"/>
          <w:i/>
          <w:sz w:val="24"/>
          <w:szCs w:val="24"/>
        </w:rPr>
        <w:t xml:space="preserve">Carbon </w:t>
      </w:r>
      <w:r w:rsidR="00A96664" w:rsidRPr="00405716">
        <w:rPr>
          <w:rFonts w:ascii="Times New Roman" w:hAnsi="Times New Roman"/>
          <w:i/>
          <w:sz w:val="24"/>
          <w:szCs w:val="24"/>
        </w:rPr>
        <w:t xml:space="preserve">Credits </w:t>
      </w:r>
      <w:r w:rsidR="00761DEB" w:rsidRPr="00405716">
        <w:rPr>
          <w:rFonts w:ascii="Times New Roman" w:hAnsi="Times New Roman"/>
          <w:i/>
          <w:sz w:val="24"/>
          <w:szCs w:val="24"/>
        </w:rPr>
        <w:t xml:space="preserve">(Carbon Farming Initiative) </w:t>
      </w:r>
      <w:r w:rsidRPr="00405716">
        <w:rPr>
          <w:rFonts w:ascii="Times New Roman" w:hAnsi="Times New Roman"/>
          <w:i/>
          <w:sz w:val="24"/>
          <w:szCs w:val="24"/>
        </w:rPr>
        <w:t>(</w:t>
      </w:r>
      <w:r w:rsidR="0057684E">
        <w:rPr>
          <w:rFonts w:ascii="Times New Roman" w:hAnsi="Times New Roman"/>
          <w:i/>
          <w:sz w:val="24"/>
          <w:szCs w:val="24"/>
        </w:rPr>
        <w:t>Native Forest from Managed Regrowth</w:t>
      </w:r>
      <w:r w:rsidRPr="00405716">
        <w:rPr>
          <w:rFonts w:ascii="Times New Roman" w:hAnsi="Times New Roman"/>
          <w:i/>
          <w:sz w:val="24"/>
          <w:szCs w:val="24"/>
        </w:rPr>
        <w:t>) Methodology Determination 201</w:t>
      </w:r>
      <w:r w:rsidR="00CE4326" w:rsidRPr="00405716">
        <w:rPr>
          <w:rFonts w:ascii="Times New Roman" w:hAnsi="Times New Roman"/>
          <w:i/>
          <w:sz w:val="24"/>
          <w:szCs w:val="24"/>
        </w:rPr>
        <w:t>3</w:t>
      </w:r>
      <w:r w:rsidRPr="00405716">
        <w:rPr>
          <w:rFonts w:ascii="Times New Roman" w:hAnsi="Times New Roman"/>
          <w:i/>
          <w:sz w:val="24"/>
          <w:szCs w:val="24"/>
        </w:rPr>
        <w:t xml:space="preserve"> </w:t>
      </w:r>
      <w:r w:rsidRPr="00405716">
        <w:rPr>
          <w:rFonts w:ascii="Times New Roman" w:hAnsi="Times New Roman"/>
          <w:sz w:val="24"/>
          <w:szCs w:val="24"/>
        </w:rPr>
        <w:t>(the Determination) sets out the detailed rules for implementing and monitoring offsets project</w:t>
      </w:r>
      <w:r w:rsidR="00E3503A" w:rsidRPr="00405716">
        <w:rPr>
          <w:rFonts w:ascii="Times New Roman" w:hAnsi="Times New Roman"/>
          <w:sz w:val="24"/>
          <w:szCs w:val="24"/>
        </w:rPr>
        <w:t>s</w:t>
      </w:r>
      <w:r w:rsidRPr="00405716">
        <w:rPr>
          <w:rFonts w:ascii="Times New Roman" w:hAnsi="Times New Roman"/>
          <w:sz w:val="24"/>
          <w:szCs w:val="24"/>
        </w:rPr>
        <w:t xml:space="preserve"> </w:t>
      </w:r>
      <w:r w:rsidR="00981509" w:rsidRPr="00405716">
        <w:rPr>
          <w:rFonts w:ascii="Times New Roman" w:hAnsi="Times New Roman"/>
          <w:sz w:val="24"/>
          <w:szCs w:val="24"/>
        </w:rPr>
        <w:t>t</w:t>
      </w:r>
      <w:r w:rsidR="00F27F85" w:rsidRPr="00405716">
        <w:rPr>
          <w:rFonts w:ascii="Times New Roman" w:hAnsi="Times New Roman"/>
          <w:sz w:val="24"/>
          <w:szCs w:val="24"/>
        </w:rPr>
        <w:t>hat</w:t>
      </w:r>
      <w:r w:rsidR="00981509" w:rsidRPr="00405716">
        <w:rPr>
          <w:rFonts w:ascii="Times New Roman" w:hAnsi="Times New Roman"/>
          <w:sz w:val="24"/>
          <w:szCs w:val="24"/>
        </w:rPr>
        <w:t xml:space="preserve"> sequester carbon by </w:t>
      </w:r>
      <w:r w:rsidR="0057684E">
        <w:rPr>
          <w:rFonts w:ascii="Times New Roman" w:hAnsi="Times New Roman"/>
          <w:sz w:val="24"/>
          <w:szCs w:val="24"/>
        </w:rPr>
        <w:t>establishing a native forest</w:t>
      </w:r>
      <w:r w:rsidR="00981509" w:rsidRPr="00405716">
        <w:rPr>
          <w:rFonts w:ascii="Times New Roman" w:hAnsi="Times New Roman"/>
          <w:sz w:val="24"/>
          <w:szCs w:val="24"/>
        </w:rPr>
        <w:t xml:space="preserve"> </w:t>
      </w:r>
      <w:r w:rsidR="00B915E5" w:rsidRPr="00405716">
        <w:rPr>
          <w:rFonts w:ascii="Times New Roman" w:hAnsi="Times New Roman"/>
          <w:sz w:val="24"/>
          <w:szCs w:val="24"/>
        </w:rPr>
        <w:t>from in</w:t>
      </w:r>
      <w:r w:rsidR="00C3384E">
        <w:rPr>
          <w:rFonts w:ascii="Times New Roman" w:hAnsi="Times New Roman"/>
          <w:sz w:val="24"/>
          <w:szCs w:val="24"/>
        </w:rPr>
        <w:t>-</w:t>
      </w:r>
      <w:r w:rsidR="00B915E5" w:rsidRPr="00405716">
        <w:rPr>
          <w:rFonts w:ascii="Times New Roman" w:hAnsi="Times New Roman"/>
          <w:sz w:val="24"/>
          <w:szCs w:val="24"/>
        </w:rPr>
        <w:t>situ seed sources</w:t>
      </w:r>
      <w:r w:rsidR="00696BA5" w:rsidRPr="00405716">
        <w:rPr>
          <w:rFonts w:ascii="Times New Roman" w:hAnsi="Times New Roman"/>
          <w:sz w:val="24"/>
          <w:szCs w:val="24"/>
        </w:rPr>
        <w:t xml:space="preserve">, including rootstock and lignotubers. </w:t>
      </w:r>
      <w:r w:rsidR="0057684E">
        <w:rPr>
          <w:rFonts w:ascii="Times New Roman" w:hAnsi="Times New Roman"/>
          <w:sz w:val="24"/>
          <w:szCs w:val="24"/>
        </w:rPr>
        <w:t xml:space="preserve">The </w:t>
      </w:r>
      <w:r w:rsidR="005F1587">
        <w:rPr>
          <w:rFonts w:ascii="Times New Roman" w:hAnsi="Times New Roman"/>
          <w:sz w:val="24"/>
          <w:szCs w:val="24"/>
        </w:rPr>
        <w:t>projects</w:t>
      </w:r>
      <w:r w:rsidR="0057684E">
        <w:rPr>
          <w:rFonts w:ascii="Times New Roman" w:hAnsi="Times New Roman"/>
          <w:sz w:val="24"/>
          <w:szCs w:val="24"/>
        </w:rPr>
        <w:t xml:space="preserve"> will</w:t>
      </w:r>
      <w:r w:rsidR="00696BA5" w:rsidRPr="00405716">
        <w:rPr>
          <w:rFonts w:ascii="Times New Roman" w:hAnsi="Times New Roman"/>
          <w:sz w:val="24"/>
          <w:szCs w:val="24"/>
        </w:rPr>
        <w:t xml:space="preserve"> involve </w:t>
      </w:r>
      <w:r w:rsidR="0057684E">
        <w:rPr>
          <w:rFonts w:ascii="Times New Roman" w:hAnsi="Times New Roman"/>
          <w:sz w:val="24"/>
          <w:szCs w:val="24"/>
        </w:rPr>
        <w:t>a change in land management practice that</w:t>
      </w:r>
      <w:r w:rsidR="00853A72">
        <w:rPr>
          <w:rFonts w:ascii="Times New Roman" w:hAnsi="Times New Roman"/>
          <w:sz w:val="24"/>
          <w:szCs w:val="24"/>
        </w:rPr>
        <w:t xml:space="preserve"> </w:t>
      </w:r>
      <w:r w:rsidR="005F1587">
        <w:rPr>
          <w:rFonts w:ascii="Times New Roman" w:hAnsi="Times New Roman"/>
          <w:sz w:val="24"/>
          <w:szCs w:val="24"/>
        </w:rPr>
        <w:t>leads to</w:t>
      </w:r>
      <w:r w:rsidR="00853A72">
        <w:rPr>
          <w:rFonts w:ascii="Times New Roman" w:hAnsi="Times New Roman"/>
          <w:sz w:val="24"/>
          <w:szCs w:val="24"/>
        </w:rPr>
        <w:t xml:space="preserve"> the </w:t>
      </w:r>
      <w:r w:rsidR="00427775">
        <w:rPr>
          <w:rFonts w:ascii="Times New Roman" w:hAnsi="Times New Roman"/>
          <w:sz w:val="24"/>
          <w:szCs w:val="24"/>
        </w:rPr>
        <w:t>development</w:t>
      </w:r>
      <w:r w:rsidR="00853A72">
        <w:rPr>
          <w:rFonts w:ascii="Times New Roman" w:hAnsi="Times New Roman"/>
          <w:sz w:val="24"/>
          <w:szCs w:val="24"/>
        </w:rPr>
        <w:t xml:space="preserve"> of a native forest.</w:t>
      </w:r>
      <w:r w:rsidR="00F9392C">
        <w:rPr>
          <w:rFonts w:ascii="Times New Roman" w:hAnsi="Times New Roman"/>
          <w:sz w:val="24"/>
          <w:szCs w:val="24"/>
        </w:rPr>
        <w:t xml:space="preserve">  </w:t>
      </w:r>
      <w:r w:rsidR="00F9392C" w:rsidRPr="00F9392C">
        <w:rPr>
          <w:rFonts w:ascii="Times New Roman" w:hAnsi="Times New Roman"/>
          <w:sz w:val="24"/>
          <w:szCs w:val="24"/>
        </w:rPr>
        <w:t xml:space="preserve">The Determination applies to projects in which </w:t>
      </w:r>
      <w:r w:rsidR="00875F10">
        <w:rPr>
          <w:rFonts w:ascii="Times New Roman" w:hAnsi="Times New Roman"/>
          <w:sz w:val="24"/>
          <w:szCs w:val="24"/>
        </w:rPr>
        <w:t>land has been cleared of forest cover</w:t>
      </w:r>
      <w:r w:rsidR="00F9392C" w:rsidRPr="00F9392C">
        <w:rPr>
          <w:rFonts w:ascii="Times New Roman" w:hAnsi="Times New Roman"/>
          <w:sz w:val="24"/>
          <w:szCs w:val="24"/>
        </w:rPr>
        <w:t xml:space="preserve"> </w:t>
      </w:r>
      <w:r w:rsidR="00427775">
        <w:rPr>
          <w:rFonts w:ascii="Times New Roman" w:hAnsi="Times New Roman"/>
          <w:sz w:val="24"/>
          <w:szCs w:val="24"/>
        </w:rPr>
        <w:t>where</w:t>
      </w:r>
      <w:r w:rsidR="00F9392C" w:rsidRPr="00F9392C">
        <w:rPr>
          <w:rFonts w:ascii="Times New Roman" w:hAnsi="Times New Roman"/>
          <w:sz w:val="24"/>
          <w:szCs w:val="24"/>
        </w:rPr>
        <w:t xml:space="preserve"> regrowth </w:t>
      </w:r>
      <w:r w:rsidR="00427775">
        <w:rPr>
          <w:rFonts w:ascii="Times New Roman" w:hAnsi="Times New Roman"/>
          <w:sz w:val="24"/>
          <w:szCs w:val="24"/>
        </w:rPr>
        <w:t>has begun but has not attained forest cover and would be cleared to maintain pastoral use unless a project is implemented</w:t>
      </w:r>
      <w:r w:rsidR="00F9392C" w:rsidRPr="00F9392C">
        <w:rPr>
          <w:rFonts w:ascii="Times New Roman" w:hAnsi="Times New Roman"/>
          <w:sz w:val="24"/>
          <w:szCs w:val="24"/>
        </w:rPr>
        <w:t>.</w:t>
      </w:r>
    </w:p>
    <w:p w:rsidR="00853A72" w:rsidRPr="00F9392C" w:rsidRDefault="00853A72" w:rsidP="00986D81">
      <w:pPr>
        <w:spacing w:after="120" w:line="240" w:lineRule="auto"/>
        <w:rPr>
          <w:rFonts w:ascii="Times New Roman" w:hAnsi="Times New Roman"/>
          <w:sz w:val="24"/>
          <w:szCs w:val="24"/>
        </w:rPr>
      </w:pPr>
      <w:r w:rsidRPr="00F9392C">
        <w:rPr>
          <w:rFonts w:ascii="Times New Roman" w:hAnsi="Times New Roman"/>
          <w:color w:val="000000"/>
          <w:sz w:val="24"/>
          <w:szCs w:val="24"/>
          <w:lang w:val="en-CA"/>
        </w:rPr>
        <w:t xml:space="preserve">The Determination differs from the </w:t>
      </w:r>
      <w:r w:rsidRPr="00F9392C">
        <w:rPr>
          <w:rFonts w:ascii="Times New Roman" w:hAnsi="Times New Roman"/>
          <w:i/>
          <w:iCs/>
          <w:color w:val="000000"/>
          <w:sz w:val="24"/>
          <w:szCs w:val="24"/>
        </w:rPr>
        <w:t>Carbon Credits (Carbon Farming Initiative) (</w:t>
      </w:r>
      <w:r w:rsidR="00F9392C" w:rsidRPr="00F9392C">
        <w:rPr>
          <w:rFonts w:ascii="Times New Roman" w:hAnsi="Times New Roman"/>
          <w:i/>
          <w:iCs/>
          <w:color w:val="000000"/>
          <w:sz w:val="24"/>
          <w:szCs w:val="24"/>
        </w:rPr>
        <w:t>Human</w:t>
      </w:r>
      <w:r w:rsidR="005F1587">
        <w:rPr>
          <w:rFonts w:ascii="Times New Roman" w:hAnsi="Times New Roman"/>
          <w:i/>
          <w:iCs/>
          <w:color w:val="000000"/>
          <w:sz w:val="24"/>
          <w:szCs w:val="24"/>
        </w:rPr>
        <w:noBreakHyphen/>
      </w:r>
      <w:r w:rsidR="00F9392C" w:rsidRPr="00F9392C">
        <w:rPr>
          <w:rFonts w:ascii="Times New Roman" w:hAnsi="Times New Roman"/>
          <w:i/>
          <w:iCs/>
          <w:color w:val="000000"/>
          <w:sz w:val="24"/>
          <w:szCs w:val="24"/>
        </w:rPr>
        <w:t>Induced Regeneration of a Permanent</w:t>
      </w:r>
      <w:r w:rsidR="00F9392C" w:rsidRPr="00F9392C">
        <w:rPr>
          <w:rFonts w:ascii="Times New Roman" w:hAnsi="Times New Roman"/>
          <w:i/>
          <w:iCs/>
          <w:sz w:val="24"/>
          <w:szCs w:val="24"/>
        </w:rPr>
        <w:t xml:space="preserve"> Even-Aged Native Forest—1.1</w:t>
      </w:r>
      <w:r w:rsidRPr="00F9392C">
        <w:rPr>
          <w:rFonts w:ascii="Times New Roman" w:hAnsi="Times New Roman"/>
          <w:i/>
          <w:iCs/>
          <w:color w:val="000000"/>
          <w:sz w:val="24"/>
          <w:szCs w:val="24"/>
        </w:rPr>
        <w:t xml:space="preserve">) Methodology Determination 2013 </w:t>
      </w:r>
      <w:r w:rsidRPr="00F9392C">
        <w:rPr>
          <w:rFonts w:ascii="Times New Roman" w:hAnsi="Times New Roman"/>
          <w:color w:val="000000"/>
          <w:sz w:val="24"/>
          <w:szCs w:val="24"/>
        </w:rPr>
        <w:t>by</w:t>
      </w:r>
      <w:r w:rsidR="00F9392C">
        <w:rPr>
          <w:rFonts w:ascii="Times New Roman" w:hAnsi="Times New Roman"/>
          <w:color w:val="000000"/>
          <w:sz w:val="24"/>
          <w:szCs w:val="24"/>
        </w:rPr>
        <w:t xml:space="preserve"> </w:t>
      </w:r>
      <w:r w:rsidR="00F9392C" w:rsidRPr="00F9392C">
        <w:rPr>
          <w:rFonts w:ascii="Times New Roman" w:hAnsi="Times New Roman"/>
          <w:sz w:val="24"/>
          <w:szCs w:val="24"/>
        </w:rPr>
        <w:t>using the Full Carbon Accounting Model</w:t>
      </w:r>
      <w:r w:rsidR="00F9392C">
        <w:rPr>
          <w:rFonts w:ascii="Times New Roman" w:hAnsi="Times New Roman"/>
          <w:sz w:val="24"/>
          <w:szCs w:val="24"/>
        </w:rPr>
        <w:t xml:space="preserve">, rather than the Reforestation Modelling </w:t>
      </w:r>
      <w:r w:rsidR="002B6F1D">
        <w:rPr>
          <w:rFonts w:ascii="Times New Roman" w:hAnsi="Times New Roman"/>
          <w:sz w:val="24"/>
          <w:szCs w:val="24"/>
        </w:rPr>
        <w:t>T</w:t>
      </w:r>
      <w:r w:rsidR="00F9392C">
        <w:rPr>
          <w:rFonts w:ascii="Times New Roman" w:hAnsi="Times New Roman"/>
          <w:sz w:val="24"/>
          <w:szCs w:val="24"/>
        </w:rPr>
        <w:t xml:space="preserve">ool, to calculate abatement, and by accommodating baseline scenarios </w:t>
      </w:r>
      <w:r w:rsidR="00F9392C" w:rsidRPr="00D06E76">
        <w:rPr>
          <w:rFonts w:ascii="Times New Roman" w:hAnsi="Times New Roman"/>
          <w:sz w:val="24"/>
          <w:szCs w:val="24"/>
        </w:rPr>
        <w:t xml:space="preserve">that </w:t>
      </w:r>
      <w:r w:rsidR="00BF4D7A" w:rsidRPr="00D06E76">
        <w:rPr>
          <w:rFonts w:ascii="Times New Roman" w:hAnsi="Times New Roman"/>
          <w:sz w:val="24"/>
          <w:szCs w:val="24"/>
        </w:rPr>
        <w:t>allow for fluctuations in carbon stocks</w:t>
      </w:r>
      <w:r w:rsidR="00F9392C">
        <w:rPr>
          <w:rFonts w:ascii="Times New Roman" w:hAnsi="Times New Roman"/>
          <w:sz w:val="24"/>
          <w:szCs w:val="24"/>
        </w:rPr>
        <w:t>.</w:t>
      </w:r>
    </w:p>
    <w:p w:rsidR="00915BEF" w:rsidRPr="00DD6F62" w:rsidRDefault="007578AE" w:rsidP="00986D81">
      <w:pPr>
        <w:spacing w:after="120" w:line="240" w:lineRule="auto"/>
        <w:rPr>
          <w:rFonts w:ascii="Times New Roman" w:hAnsi="Times New Roman"/>
          <w:color w:val="808080" w:themeColor="background1" w:themeShade="80"/>
          <w:sz w:val="24"/>
          <w:szCs w:val="24"/>
        </w:rPr>
      </w:pPr>
      <w:r w:rsidRPr="003A0C38">
        <w:rPr>
          <w:rFonts w:ascii="Times New Roman" w:hAnsi="Times New Roman"/>
          <w:sz w:val="24"/>
          <w:szCs w:val="24"/>
        </w:rPr>
        <w:lastRenderedPageBreak/>
        <w:t>A p</w:t>
      </w:r>
      <w:r w:rsidR="00915BEF" w:rsidRPr="003A0C38">
        <w:rPr>
          <w:rFonts w:ascii="Times New Roman" w:hAnsi="Times New Roman"/>
          <w:sz w:val="24"/>
          <w:szCs w:val="24"/>
        </w:rPr>
        <w:t xml:space="preserve">roject proponent </w:t>
      </w:r>
      <w:r w:rsidR="005F1587">
        <w:rPr>
          <w:rFonts w:ascii="Times New Roman" w:hAnsi="Times New Roman"/>
          <w:sz w:val="24"/>
          <w:szCs w:val="24"/>
        </w:rPr>
        <w:t>wishing</w:t>
      </w:r>
      <w:r w:rsidR="00915BEF" w:rsidRPr="003A0C38">
        <w:rPr>
          <w:rFonts w:ascii="Times New Roman" w:hAnsi="Times New Roman"/>
          <w:sz w:val="24"/>
          <w:szCs w:val="24"/>
        </w:rPr>
        <w:t xml:space="preserve"> to implement the Determination must make an application to the Clean Energy Regulator (the Regulator) and meet the </w:t>
      </w:r>
      <w:r w:rsidR="003A0C38" w:rsidRPr="003A0C38">
        <w:rPr>
          <w:rFonts w:ascii="Times New Roman" w:hAnsi="Times New Roman"/>
          <w:sz w:val="24"/>
          <w:szCs w:val="24"/>
        </w:rPr>
        <w:t xml:space="preserve">general </w:t>
      </w:r>
      <w:r w:rsidR="00915BEF" w:rsidRPr="003A0C38">
        <w:rPr>
          <w:rFonts w:ascii="Times New Roman" w:hAnsi="Times New Roman"/>
          <w:sz w:val="24"/>
          <w:szCs w:val="24"/>
        </w:rPr>
        <w:t xml:space="preserve">eligibility requirements for an offsets project set out in subsection 27(4) of the Act. These requirements include compliance with the rules set out in the Determination.  </w:t>
      </w:r>
    </w:p>
    <w:p w:rsidR="00915BEF" w:rsidRPr="003A0C38" w:rsidRDefault="00915BEF" w:rsidP="00986D81">
      <w:pPr>
        <w:spacing w:after="120" w:line="240" w:lineRule="auto"/>
        <w:rPr>
          <w:rFonts w:ascii="Times New Roman" w:hAnsi="Times New Roman"/>
          <w:sz w:val="24"/>
          <w:szCs w:val="24"/>
        </w:rPr>
      </w:pPr>
      <w:r w:rsidRPr="003A0C38">
        <w:rPr>
          <w:rFonts w:ascii="Times New Roman" w:hAnsi="Times New Roman"/>
          <w:sz w:val="24"/>
          <w:szCs w:val="24"/>
        </w:rPr>
        <w:t xml:space="preserve">Offsets projects that are undertaken in accordance with the Determination and approved by the Regulator can generate Australian </w:t>
      </w:r>
      <w:r w:rsidR="00A65154" w:rsidRPr="003A0C38">
        <w:rPr>
          <w:rFonts w:ascii="Times New Roman" w:hAnsi="Times New Roman"/>
          <w:sz w:val="24"/>
          <w:szCs w:val="24"/>
        </w:rPr>
        <w:t xml:space="preserve">carbon credit units </w:t>
      </w:r>
      <w:r w:rsidRPr="003A0C38">
        <w:rPr>
          <w:rFonts w:ascii="Times New Roman" w:hAnsi="Times New Roman"/>
          <w:sz w:val="24"/>
          <w:szCs w:val="24"/>
        </w:rPr>
        <w:t>(ACCUs) that can be sold to:</w:t>
      </w:r>
    </w:p>
    <w:p w:rsidR="00915BEF" w:rsidRPr="003A0C38" w:rsidRDefault="00915BEF" w:rsidP="00AE7A3E">
      <w:pPr>
        <w:pStyle w:val="ListParagraph"/>
        <w:keepNext/>
        <w:numPr>
          <w:ilvl w:val="0"/>
          <w:numId w:val="3"/>
        </w:numPr>
        <w:spacing w:after="120" w:line="240" w:lineRule="auto"/>
        <w:rPr>
          <w:rFonts w:ascii="Times New Roman" w:hAnsi="Times New Roman"/>
          <w:sz w:val="24"/>
          <w:szCs w:val="24"/>
        </w:rPr>
      </w:pPr>
      <w:r w:rsidRPr="003A0C38">
        <w:rPr>
          <w:rFonts w:ascii="Times New Roman" w:hAnsi="Times New Roman"/>
          <w:sz w:val="24"/>
          <w:szCs w:val="24"/>
        </w:rPr>
        <w:t xml:space="preserve">Australian companies that pay the carbon price established under the </w:t>
      </w:r>
      <w:r w:rsidRPr="003A0C38">
        <w:rPr>
          <w:rFonts w:ascii="Times New Roman" w:hAnsi="Times New Roman"/>
          <w:i/>
          <w:sz w:val="24"/>
          <w:szCs w:val="24"/>
        </w:rPr>
        <w:t xml:space="preserve">Clean Energy </w:t>
      </w:r>
      <w:r w:rsidR="00F37029" w:rsidRPr="003A0C38">
        <w:rPr>
          <w:rFonts w:ascii="Times New Roman" w:hAnsi="Times New Roman"/>
          <w:i/>
          <w:sz w:val="24"/>
          <w:szCs w:val="24"/>
        </w:rPr>
        <w:t>Act 2011</w:t>
      </w:r>
      <w:r w:rsidRPr="003A0C38">
        <w:rPr>
          <w:rFonts w:ascii="Times New Roman" w:hAnsi="Times New Roman"/>
          <w:sz w:val="24"/>
          <w:szCs w:val="24"/>
        </w:rPr>
        <w:t>;</w:t>
      </w:r>
      <w:r w:rsidR="00F37029" w:rsidRPr="003A0C38">
        <w:rPr>
          <w:rFonts w:ascii="Times New Roman" w:hAnsi="Times New Roman"/>
          <w:sz w:val="24"/>
          <w:szCs w:val="24"/>
        </w:rPr>
        <w:t xml:space="preserve"> and</w:t>
      </w:r>
    </w:p>
    <w:p w:rsidR="00915BEF" w:rsidRDefault="00915BEF" w:rsidP="00AE7A3E">
      <w:pPr>
        <w:pStyle w:val="ListParagraph"/>
        <w:keepNext/>
        <w:numPr>
          <w:ilvl w:val="0"/>
          <w:numId w:val="3"/>
        </w:numPr>
        <w:spacing w:after="120" w:line="240" w:lineRule="auto"/>
        <w:rPr>
          <w:rFonts w:ascii="Times New Roman" w:hAnsi="Times New Roman"/>
          <w:sz w:val="24"/>
          <w:szCs w:val="24"/>
        </w:rPr>
      </w:pPr>
      <w:proofErr w:type="gramStart"/>
      <w:r w:rsidRPr="003A0C38">
        <w:rPr>
          <w:rFonts w:ascii="Times New Roman" w:hAnsi="Times New Roman"/>
          <w:sz w:val="24"/>
          <w:szCs w:val="24"/>
        </w:rPr>
        <w:t>businesses</w:t>
      </w:r>
      <w:proofErr w:type="gramEnd"/>
      <w:r w:rsidRPr="003A0C38">
        <w:rPr>
          <w:rFonts w:ascii="Times New Roman" w:hAnsi="Times New Roman"/>
          <w:sz w:val="24"/>
          <w:szCs w:val="24"/>
        </w:rPr>
        <w:t xml:space="preserve"> in Australia wanting to offset their own carbon pollution. </w:t>
      </w:r>
    </w:p>
    <w:p w:rsidR="00F16085" w:rsidRPr="00F16085" w:rsidRDefault="00F16085" w:rsidP="00F16085">
      <w:pPr>
        <w:keepNext/>
        <w:spacing w:after="120" w:line="240" w:lineRule="auto"/>
        <w:rPr>
          <w:rFonts w:ascii="Times New Roman" w:hAnsi="Times New Roman"/>
          <w:sz w:val="24"/>
          <w:szCs w:val="24"/>
        </w:rPr>
      </w:pPr>
      <w:r>
        <w:rPr>
          <w:rFonts w:ascii="Times New Roman" w:hAnsi="Times New Roman"/>
          <w:sz w:val="24"/>
          <w:szCs w:val="24"/>
        </w:rPr>
        <w:t xml:space="preserve">As they are sequestration offsets projects under section 54 of the Act, projects undertaken in accordance with the Determination are subject to </w:t>
      </w:r>
      <w:r w:rsidR="000D4835">
        <w:rPr>
          <w:rFonts w:ascii="Times New Roman" w:hAnsi="Times New Roman"/>
          <w:sz w:val="24"/>
          <w:szCs w:val="24"/>
        </w:rPr>
        <w:t>a risk of reversal buffer, as provided by section 16 of the Act.</w:t>
      </w:r>
    </w:p>
    <w:p w:rsidR="00915BEF" w:rsidRPr="003A0C38" w:rsidRDefault="00915BEF" w:rsidP="00986D81">
      <w:pPr>
        <w:spacing w:after="120" w:line="240" w:lineRule="auto"/>
        <w:rPr>
          <w:rFonts w:ascii="Times New Roman" w:hAnsi="Times New Roman"/>
          <w:b/>
          <w:sz w:val="24"/>
          <w:szCs w:val="24"/>
        </w:rPr>
      </w:pPr>
      <w:r w:rsidRPr="003A0C38">
        <w:rPr>
          <w:rFonts w:ascii="Times New Roman" w:hAnsi="Times New Roman"/>
          <w:b/>
          <w:sz w:val="24"/>
          <w:szCs w:val="24"/>
        </w:rPr>
        <w:t>Public Consultation</w:t>
      </w:r>
    </w:p>
    <w:p w:rsidR="003A0C38" w:rsidRPr="003A0C38" w:rsidRDefault="00915BEF" w:rsidP="00986D81">
      <w:pPr>
        <w:keepNext/>
        <w:spacing w:after="120" w:line="240" w:lineRule="auto"/>
        <w:rPr>
          <w:rFonts w:ascii="Times New Roman" w:hAnsi="Times New Roman"/>
          <w:sz w:val="24"/>
          <w:szCs w:val="24"/>
        </w:rPr>
      </w:pPr>
      <w:r w:rsidRPr="003A0C38">
        <w:rPr>
          <w:rFonts w:ascii="Times New Roman" w:hAnsi="Times New Roman"/>
          <w:sz w:val="24"/>
          <w:szCs w:val="24"/>
        </w:rPr>
        <w:t>The methodology</w:t>
      </w:r>
      <w:r w:rsidR="00981C9B" w:rsidRPr="003A0C38">
        <w:rPr>
          <w:rFonts w:ascii="Times New Roman" w:hAnsi="Times New Roman"/>
          <w:sz w:val="24"/>
          <w:szCs w:val="24"/>
        </w:rPr>
        <w:t xml:space="preserve"> determination </w:t>
      </w:r>
      <w:r w:rsidRPr="003A0C38">
        <w:rPr>
          <w:rFonts w:ascii="Times New Roman" w:hAnsi="Times New Roman"/>
          <w:sz w:val="24"/>
          <w:szCs w:val="24"/>
        </w:rPr>
        <w:t xml:space="preserve">proposal </w:t>
      </w:r>
      <w:r w:rsidR="00981C9B" w:rsidRPr="003A0C38">
        <w:rPr>
          <w:rFonts w:ascii="Times New Roman" w:hAnsi="Times New Roman"/>
          <w:sz w:val="24"/>
          <w:szCs w:val="24"/>
        </w:rPr>
        <w:t xml:space="preserve">for </w:t>
      </w:r>
      <w:r w:rsidR="003A0C38" w:rsidRPr="003A0C38">
        <w:rPr>
          <w:rFonts w:ascii="Times New Roman" w:hAnsi="Times New Roman"/>
          <w:i/>
          <w:sz w:val="24"/>
          <w:szCs w:val="24"/>
        </w:rPr>
        <w:t>N</w:t>
      </w:r>
      <w:r w:rsidR="00981C9B" w:rsidRPr="003A0C38">
        <w:rPr>
          <w:rFonts w:ascii="Times New Roman" w:hAnsi="Times New Roman"/>
          <w:i/>
          <w:sz w:val="24"/>
          <w:szCs w:val="24"/>
        </w:rPr>
        <w:t>ative forest</w:t>
      </w:r>
      <w:r w:rsidR="003A0C38" w:rsidRPr="003A0C38">
        <w:rPr>
          <w:rFonts w:ascii="Times New Roman" w:hAnsi="Times New Roman"/>
          <w:i/>
          <w:sz w:val="24"/>
          <w:szCs w:val="24"/>
        </w:rPr>
        <w:t>s from managed regrowth</w:t>
      </w:r>
      <w:r w:rsidRPr="003A0C38">
        <w:rPr>
          <w:rFonts w:ascii="Times New Roman" w:hAnsi="Times New Roman"/>
          <w:sz w:val="24"/>
          <w:szCs w:val="24"/>
        </w:rPr>
        <w:t xml:space="preserve"> </w:t>
      </w:r>
      <w:r w:rsidR="00981C9B" w:rsidRPr="003A0C38">
        <w:rPr>
          <w:rFonts w:ascii="Times New Roman" w:hAnsi="Times New Roman"/>
          <w:sz w:val="24"/>
          <w:szCs w:val="24"/>
        </w:rPr>
        <w:t>(the</w:t>
      </w:r>
      <w:r w:rsidR="008350AE">
        <w:rPr>
          <w:rFonts w:ascii="Times New Roman" w:hAnsi="Times New Roman"/>
          <w:sz w:val="24"/>
          <w:szCs w:val="24"/>
        </w:rPr>
        <w:t> </w:t>
      </w:r>
      <w:r w:rsidR="00981C9B" w:rsidRPr="003A0C38">
        <w:rPr>
          <w:rFonts w:ascii="Times New Roman" w:hAnsi="Times New Roman"/>
          <w:sz w:val="24"/>
          <w:szCs w:val="24"/>
        </w:rPr>
        <w:t xml:space="preserve">proposal) </w:t>
      </w:r>
      <w:r w:rsidRPr="003A0C38">
        <w:rPr>
          <w:rFonts w:ascii="Times New Roman" w:hAnsi="Times New Roman"/>
          <w:sz w:val="24"/>
          <w:szCs w:val="24"/>
        </w:rPr>
        <w:t xml:space="preserve">was developed by the </w:t>
      </w:r>
      <w:r w:rsidR="003A0C38">
        <w:rPr>
          <w:rFonts w:ascii="Times New Roman" w:hAnsi="Times New Roman"/>
          <w:sz w:val="24"/>
          <w:szCs w:val="24"/>
        </w:rPr>
        <w:t>Queensland Department of Science, Information Technology, Innovation and the Arts</w:t>
      </w:r>
      <w:r w:rsidR="00F75447">
        <w:rPr>
          <w:rFonts w:ascii="Times New Roman" w:hAnsi="Times New Roman"/>
          <w:sz w:val="24"/>
          <w:szCs w:val="24"/>
        </w:rPr>
        <w:t xml:space="preserve"> (the applicant)</w:t>
      </w:r>
      <w:r w:rsidR="003A0C38">
        <w:rPr>
          <w:rFonts w:ascii="Times New Roman" w:hAnsi="Times New Roman"/>
          <w:sz w:val="24"/>
          <w:szCs w:val="24"/>
        </w:rPr>
        <w:t xml:space="preserve">, in consultation with the </w:t>
      </w:r>
      <w:r w:rsidR="005F1587">
        <w:rPr>
          <w:rFonts w:ascii="Times New Roman" w:hAnsi="Times New Roman"/>
          <w:sz w:val="24"/>
          <w:szCs w:val="24"/>
        </w:rPr>
        <w:t xml:space="preserve">former </w:t>
      </w:r>
      <w:r w:rsidR="003A0C38">
        <w:rPr>
          <w:rFonts w:ascii="Times New Roman" w:hAnsi="Times New Roman"/>
          <w:sz w:val="24"/>
          <w:szCs w:val="24"/>
        </w:rPr>
        <w:t>Department of Industry, Innovation, Climate Change, Science, Research and Tertiary Education (the</w:t>
      </w:r>
      <w:r w:rsidR="008350AE">
        <w:rPr>
          <w:rFonts w:ascii="Times New Roman" w:hAnsi="Times New Roman"/>
          <w:sz w:val="24"/>
          <w:szCs w:val="24"/>
        </w:rPr>
        <w:t> </w:t>
      </w:r>
      <w:r w:rsidR="003A0C38">
        <w:rPr>
          <w:rFonts w:ascii="Times New Roman" w:hAnsi="Times New Roman"/>
          <w:sz w:val="24"/>
          <w:szCs w:val="24"/>
        </w:rPr>
        <w:t>Department).</w:t>
      </w:r>
    </w:p>
    <w:p w:rsidR="00915BEF" w:rsidRPr="007818AA" w:rsidRDefault="00915BEF" w:rsidP="00986D81">
      <w:pPr>
        <w:spacing w:after="120" w:line="240" w:lineRule="auto"/>
        <w:rPr>
          <w:rFonts w:ascii="Times New Roman" w:hAnsi="Times New Roman"/>
          <w:sz w:val="24"/>
          <w:szCs w:val="24"/>
        </w:rPr>
      </w:pPr>
      <w:r w:rsidRPr="007818AA">
        <w:rPr>
          <w:rFonts w:ascii="Times New Roman" w:hAnsi="Times New Roman"/>
          <w:sz w:val="24"/>
          <w:szCs w:val="24"/>
        </w:rPr>
        <w:t>The proposal was published on the</w:t>
      </w:r>
      <w:r w:rsidR="00981C9B" w:rsidRPr="007818AA">
        <w:rPr>
          <w:rFonts w:ascii="Times New Roman" w:hAnsi="Times New Roman"/>
          <w:sz w:val="24"/>
          <w:szCs w:val="24"/>
        </w:rPr>
        <w:t xml:space="preserve"> website of </w:t>
      </w:r>
      <w:r w:rsidR="007818AA" w:rsidRPr="007818AA">
        <w:rPr>
          <w:rFonts w:ascii="Times New Roman" w:hAnsi="Times New Roman"/>
          <w:sz w:val="24"/>
          <w:szCs w:val="24"/>
        </w:rPr>
        <w:t xml:space="preserve">the former Department of Climate Change and Energy Efficiency </w:t>
      </w:r>
      <w:r w:rsidR="00FC0ABE" w:rsidRPr="007818AA">
        <w:rPr>
          <w:rFonts w:ascii="Times New Roman" w:hAnsi="Times New Roman"/>
          <w:sz w:val="24"/>
          <w:szCs w:val="24"/>
        </w:rPr>
        <w:t>from</w:t>
      </w:r>
      <w:r w:rsidRPr="007818AA">
        <w:rPr>
          <w:rFonts w:ascii="Times New Roman" w:hAnsi="Times New Roman"/>
          <w:sz w:val="24"/>
          <w:szCs w:val="24"/>
        </w:rPr>
        <w:t xml:space="preserve"> </w:t>
      </w:r>
      <w:r w:rsidR="00F75447">
        <w:rPr>
          <w:rFonts w:ascii="Times New Roman" w:hAnsi="Times New Roman"/>
          <w:sz w:val="24"/>
          <w:szCs w:val="24"/>
        </w:rPr>
        <w:t>13 July</w:t>
      </w:r>
      <w:r w:rsidR="00A0512B" w:rsidRPr="007818AA">
        <w:rPr>
          <w:rFonts w:ascii="Times New Roman" w:hAnsi="Times New Roman"/>
          <w:sz w:val="24"/>
          <w:szCs w:val="24"/>
        </w:rPr>
        <w:t xml:space="preserve"> </w:t>
      </w:r>
      <w:r w:rsidRPr="007818AA">
        <w:rPr>
          <w:rFonts w:ascii="Times New Roman" w:hAnsi="Times New Roman"/>
          <w:sz w:val="24"/>
          <w:szCs w:val="24"/>
        </w:rPr>
        <w:t xml:space="preserve">to </w:t>
      </w:r>
      <w:r w:rsidR="00F75447">
        <w:rPr>
          <w:rFonts w:ascii="Times New Roman" w:hAnsi="Times New Roman"/>
          <w:sz w:val="24"/>
          <w:szCs w:val="24"/>
        </w:rPr>
        <w:t>22 August 2012</w:t>
      </w:r>
      <w:r w:rsidR="00030DC5" w:rsidRPr="007818AA">
        <w:rPr>
          <w:rFonts w:ascii="Times New Roman" w:hAnsi="Times New Roman"/>
          <w:sz w:val="24"/>
          <w:szCs w:val="24"/>
        </w:rPr>
        <w:t xml:space="preserve"> </w:t>
      </w:r>
      <w:r w:rsidRPr="007818AA">
        <w:rPr>
          <w:rFonts w:ascii="Times New Roman" w:hAnsi="Times New Roman"/>
          <w:sz w:val="24"/>
          <w:szCs w:val="24"/>
        </w:rPr>
        <w:t xml:space="preserve">for public comment. </w:t>
      </w:r>
      <w:r w:rsidR="00A0512B" w:rsidRPr="007818AA">
        <w:rPr>
          <w:rFonts w:ascii="Times New Roman" w:hAnsi="Times New Roman"/>
          <w:sz w:val="24"/>
          <w:szCs w:val="24"/>
        </w:rPr>
        <w:t xml:space="preserve"> </w:t>
      </w:r>
      <w:r w:rsidR="00F75447">
        <w:rPr>
          <w:rFonts w:ascii="Times New Roman" w:hAnsi="Times New Roman"/>
          <w:sz w:val="24"/>
          <w:szCs w:val="24"/>
        </w:rPr>
        <w:t>Four</w:t>
      </w:r>
      <w:r w:rsidR="00A0512B" w:rsidRPr="007818AA">
        <w:rPr>
          <w:rFonts w:ascii="Times New Roman" w:hAnsi="Times New Roman"/>
          <w:sz w:val="24"/>
          <w:szCs w:val="24"/>
        </w:rPr>
        <w:t xml:space="preserve"> </w:t>
      </w:r>
      <w:r w:rsidRPr="007818AA">
        <w:rPr>
          <w:rFonts w:ascii="Times New Roman" w:hAnsi="Times New Roman"/>
          <w:sz w:val="24"/>
          <w:szCs w:val="24"/>
        </w:rPr>
        <w:t>public submissions relating to the proposal were received.</w:t>
      </w:r>
    </w:p>
    <w:p w:rsidR="00981C9B" w:rsidRPr="007818AA" w:rsidRDefault="00915BEF" w:rsidP="00986D81">
      <w:pPr>
        <w:spacing w:after="120" w:line="240" w:lineRule="auto"/>
        <w:rPr>
          <w:rFonts w:ascii="Times New Roman" w:hAnsi="Times New Roman"/>
          <w:sz w:val="24"/>
          <w:szCs w:val="24"/>
        </w:rPr>
      </w:pPr>
      <w:r w:rsidRPr="007818AA">
        <w:rPr>
          <w:rFonts w:ascii="Times New Roman" w:hAnsi="Times New Roman"/>
          <w:sz w:val="24"/>
          <w:szCs w:val="24"/>
        </w:rPr>
        <w:t xml:space="preserve">The DOIC considered the issues raised in the public submissions during its assessment of the proposal as required under </w:t>
      </w:r>
      <w:r w:rsidR="00981C9B" w:rsidRPr="007818AA">
        <w:rPr>
          <w:rFonts w:ascii="Times New Roman" w:hAnsi="Times New Roman"/>
          <w:sz w:val="24"/>
          <w:szCs w:val="24"/>
        </w:rPr>
        <w:t>sub</w:t>
      </w:r>
      <w:r w:rsidRPr="007818AA">
        <w:rPr>
          <w:rFonts w:ascii="Times New Roman" w:hAnsi="Times New Roman"/>
          <w:sz w:val="24"/>
          <w:szCs w:val="24"/>
        </w:rPr>
        <w:t xml:space="preserve">section </w:t>
      </w:r>
      <w:r w:rsidR="00FC0ABE" w:rsidRPr="007818AA">
        <w:rPr>
          <w:rFonts w:ascii="Times New Roman" w:hAnsi="Times New Roman"/>
          <w:sz w:val="24"/>
          <w:szCs w:val="24"/>
        </w:rPr>
        <w:t>112(5)</w:t>
      </w:r>
      <w:r w:rsidRPr="007818AA">
        <w:rPr>
          <w:rFonts w:ascii="Times New Roman" w:hAnsi="Times New Roman"/>
          <w:sz w:val="24"/>
          <w:szCs w:val="24"/>
        </w:rPr>
        <w:t xml:space="preserve"> of the Act</w:t>
      </w:r>
      <w:r w:rsidR="00F75447">
        <w:rPr>
          <w:rFonts w:ascii="Times New Roman" w:hAnsi="Times New Roman"/>
          <w:sz w:val="24"/>
          <w:szCs w:val="24"/>
        </w:rPr>
        <w:t>,</w:t>
      </w:r>
      <w:r w:rsidR="00F75447" w:rsidRPr="00F75447">
        <w:rPr>
          <w:rFonts w:ascii="Times New Roman" w:hAnsi="Times New Roman"/>
          <w:sz w:val="24"/>
          <w:szCs w:val="24"/>
        </w:rPr>
        <w:t xml:space="preserve"> and requested further information from the applicant.  The Department assisted the applicant in the subsequent revision of the proposal</w:t>
      </w:r>
      <w:r w:rsidR="00F75447">
        <w:rPr>
          <w:rFonts w:ascii="Times New Roman" w:hAnsi="Times New Roman"/>
          <w:sz w:val="24"/>
          <w:szCs w:val="24"/>
        </w:rPr>
        <w:t>.</w:t>
      </w:r>
    </w:p>
    <w:p w:rsidR="00EE1E5A" w:rsidRPr="007818AA" w:rsidRDefault="00915BEF" w:rsidP="00986D81">
      <w:pPr>
        <w:spacing w:after="120" w:line="240" w:lineRule="auto"/>
        <w:rPr>
          <w:rFonts w:ascii="Times New Roman" w:hAnsi="Times New Roman"/>
          <w:sz w:val="24"/>
          <w:szCs w:val="24"/>
        </w:rPr>
      </w:pPr>
      <w:r w:rsidRPr="007818AA">
        <w:rPr>
          <w:rFonts w:ascii="Times New Roman" w:hAnsi="Times New Roman"/>
          <w:sz w:val="24"/>
          <w:szCs w:val="24"/>
        </w:rPr>
        <w:t xml:space="preserve">The proposal was endorsed by the DOIC on </w:t>
      </w:r>
      <w:r w:rsidR="007818AA">
        <w:rPr>
          <w:rFonts w:ascii="Times New Roman" w:hAnsi="Times New Roman"/>
          <w:sz w:val="24"/>
          <w:szCs w:val="24"/>
        </w:rPr>
        <w:t xml:space="preserve">25 </w:t>
      </w:r>
      <w:r w:rsidR="00DC0829">
        <w:rPr>
          <w:rFonts w:ascii="Times New Roman" w:hAnsi="Times New Roman"/>
          <w:sz w:val="24"/>
          <w:szCs w:val="24"/>
        </w:rPr>
        <w:t>July</w:t>
      </w:r>
      <w:r w:rsidR="007818AA">
        <w:rPr>
          <w:rFonts w:ascii="Times New Roman" w:hAnsi="Times New Roman"/>
          <w:sz w:val="24"/>
          <w:szCs w:val="24"/>
        </w:rPr>
        <w:t xml:space="preserve"> 2013</w:t>
      </w:r>
      <w:r w:rsidR="007818AA" w:rsidRPr="007818AA">
        <w:rPr>
          <w:rFonts w:ascii="Times New Roman" w:hAnsi="Times New Roman"/>
          <w:sz w:val="24"/>
          <w:szCs w:val="24"/>
        </w:rPr>
        <w:t>, subject to certain amendments being made to the proposal</w:t>
      </w:r>
      <w:r w:rsidRPr="007818AA">
        <w:rPr>
          <w:rFonts w:ascii="Times New Roman" w:hAnsi="Times New Roman"/>
          <w:sz w:val="24"/>
          <w:szCs w:val="24"/>
        </w:rPr>
        <w:t>.</w:t>
      </w:r>
      <w:r w:rsidR="00EE1E5A" w:rsidRPr="007818AA">
        <w:rPr>
          <w:rFonts w:ascii="Times New Roman" w:hAnsi="Times New Roman"/>
          <w:sz w:val="24"/>
          <w:szCs w:val="24"/>
        </w:rPr>
        <w:t xml:space="preserve"> </w:t>
      </w:r>
      <w:r w:rsidR="007818AA">
        <w:rPr>
          <w:rFonts w:ascii="Times New Roman" w:hAnsi="Times New Roman"/>
          <w:sz w:val="24"/>
          <w:szCs w:val="24"/>
        </w:rPr>
        <w:t xml:space="preserve"> The </w:t>
      </w:r>
      <w:r w:rsidR="005F1587">
        <w:rPr>
          <w:rFonts w:ascii="Times New Roman" w:hAnsi="Times New Roman"/>
          <w:sz w:val="24"/>
          <w:szCs w:val="24"/>
        </w:rPr>
        <w:t xml:space="preserve">final </w:t>
      </w:r>
      <w:r w:rsidR="007818AA">
        <w:rPr>
          <w:rFonts w:ascii="Times New Roman" w:hAnsi="Times New Roman"/>
          <w:sz w:val="24"/>
          <w:szCs w:val="24"/>
        </w:rPr>
        <w:t xml:space="preserve">amended proposal was submitted on </w:t>
      </w:r>
      <w:r w:rsidR="008350AE">
        <w:rPr>
          <w:rFonts w:ascii="Times New Roman" w:hAnsi="Times New Roman"/>
          <w:sz w:val="24"/>
          <w:szCs w:val="24"/>
        </w:rPr>
        <w:t>1 </w:t>
      </w:r>
      <w:r w:rsidR="005F1587">
        <w:rPr>
          <w:rFonts w:ascii="Times New Roman" w:hAnsi="Times New Roman"/>
          <w:sz w:val="24"/>
          <w:szCs w:val="24"/>
        </w:rPr>
        <w:t>September</w:t>
      </w:r>
      <w:r w:rsidR="008350AE">
        <w:rPr>
          <w:rFonts w:ascii="Times New Roman" w:hAnsi="Times New Roman"/>
          <w:sz w:val="24"/>
          <w:szCs w:val="24"/>
        </w:rPr>
        <w:t> </w:t>
      </w:r>
      <w:r w:rsidR="007818AA">
        <w:rPr>
          <w:rFonts w:ascii="Times New Roman" w:hAnsi="Times New Roman"/>
          <w:sz w:val="24"/>
          <w:szCs w:val="24"/>
        </w:rPr>
        <w:t>2013</w:t>
      </w:r>
      <w:r w:rsidR="00D06E76">
        <w:rPr>
          <w:rFonts w:ascii="Times New Roman" w:hAnsi="Times New Roman"/>
          <w:sz w:val="24"/>
          <w:szCs w:val="24"/>
        </w:rPr>
        <w:t xml:space="preserve"> and was published on the Department’s website on </w:t>
      </w:r>
      <w:r w:rsidR="00BB2419">
        <w:rPr>
          <w:rFonts w:ascii="Times New Roman" w:hAnsi="Times New Roman"/>
          <w:sz w:val="24"/>
          <w:szCs w:val="24"/>
        </w:rPr>
        <w:t>23 September 2013</w:t>
      </w:r>
      <w:r w:rsidR="007818AA">
        <w:rPr>
          <w:rFonts w:ascii="Times New Roman" w:hAnsi="Times New Roman"/>
          <w:sz w:val="24"/>
          <w:szCs w:val="24"/>
        </w:rPr>
        <w:t>.</w:t>
      </w:r>
    </w:p>
    <w:p w:rsidR="00980D55" w:rsidRDefault="00980D55" w:rsidP="00986D81">
      <w:pPr>
        <w:spacing w:after="120" w:line="240" w:lineRule="auto"/>
        <w:rPr>
          <w:rFonts w:ascii="Times New Roman" w:hAnsi="Times New Roman"/>
          <w:sz w:val="24"/>
          <w:szCs w:val="24"/>
        </w:rPr>
      </w:pPr>
      <w:r w:rsidRPr="007818AA">
        <w:rPr>
          <w:rFonts w:ascii="Times New Roman" w:hAnsi="Times New Roman"/>
          <w:sz w:val="24"/>
          <w:szCs w:val="24"/>
        </w:rPr>
        <w:t xml:space="preserve">The Department consulted with </w:t>
      </w:r>
      <w:r w:rsidR="007818AA" w:rsidRPr="003A0C38">
        <w:rPr>
          <w:rFonts w:ascii="Times New Roman" w:hAnsi="Times New Roman"/>
          <w:sz w:val="24"/>
          <w:szCs w:val="24"/>
        </w:rPr>
        <w:t xml:space="preserve">the </w:t>
      </w:r>
      <w:r w:rsidR="004E2744">
        <w:rPr>
          <w:rFonts w:ascii="Times New Roman" w:hAnsi="Times New Roman"/>
          <w:sz w:val="24"/>
          <w:szCs w:val="24"/>
        </w:rPr>
        <w:t>applicant,</w:t>
      </w:r>
      <w:r w:rsidR="007818AA" w:rsidRPr="007818AA">
        <w:rPr>
          <w:rFonts w:ascii="Times New Roman" w:hAnsi="Times New Roman"/>
          <w:sz w:val="24"/>
          <w:szCs w:val="24"/>
        </w:rPr>
        <w:t xml:space="preserve"> </w:t>
      </w:r>
      <w:r w:rsidRPr="007818AA">
        <w:rPr>
          <w:rFonts w:ascii="Times New Roman" w:hAnsi="Times New Roman"/>
          <w:sz w:val="24"/>
          <w:szCs w:val="24"/>
        </w:rPr>
        <w:t>the Regulator</w:t>
      </w:r>
      <w:r w:rsidR="004E2744">
        <w:rPr>
          <w:rFonts w:ascii="Times New Roman" w:hAnsi="Times New Roman"/>
          <w:sz w:val="24"/>
          <w:szCs w:val="24"/>
        </w:rPr>
        <w:t>, and key stakeholder</w:t>
      </w:r>
      <w:r w:rsidR="002F767F">
        <w:rPr>
          <w:rFonts w:ascii="Times New Roman" w:hAnsi="Times New Roman"/>
          <w:sz w:val="24"/>
          <w:szCs w:val="24"/>
        </w:rPr>
        <w:t>s</w:t>
      </w:r>
      <w:r w:rsidR="004E2744">
        <w:rPr>
          <w:rFonts w:ascii="Times New Roman" w:hAnsi="Times New Roman"/>
          <w:sz w:val="24"/>
          <w:szCs w:val="24"/>
        </w:rPr>
        <w:t xml:space="preserve"> </w:t>
      </w:r>
      <w:r w:rsidR="00CA03FF">
        <w:rPr>
          <w:rFonts w:ascii="Times New Roman" w:hAnsi="Times New Roman"/>
          <w:sz w:val="24"/>
          <w:szCs w:val="24"/>
        </w:rPr>
        <w:t>The Carbon Store</w:t>
      </w:r>
      <w:r w:rsidRPr="007818AA">
        <w:rPr>
          <w:rFonts w:ascii="Times New Roman" w:hAnsi="Times New Roman"/>
          <w:sz w:val="24"/>
          <w:szCs w:val="24"/>
        </w:rPr>
        <w:t xml:space="preserve"> </w:t>
      </w:r>
      <w:r w:rsidR="002F767F">
        <w:rPr>
          <w:rFonts w:ascii="Times New Roman" w:hAnsi="Times New Roman"/>
          <w:sz w:val="24"/>
          <w:szCs w:val="24"/>
        </w:rPr>
        <w:t xml:space="preserve">and Devine Agribusiness </w:t>
      </w:r>
      <w:r w:rsidRPr="007818AA">
        <w:rPr>
          <w:rFonts w:ascii="Times New Roman" w:hAnsi="Times New Roman"/>
          <w:sz w:val="24"/>
          <w:szCs w:val="24"/>
        </w:rPr>
        <w:t>in the development of the Determination.</w:t>
      </w:r>
      <w:r w:rsidR="007818AA">
        <w:rPr>
          <w:rFonts w:ascii="Times New Roman" w:hAnsi="Times New Roman"/>
          <w:sz w:val="24"/>
          <w:szCs w:val="24"/>
        </w:rPr>
        <w:t xml:space="preserve"> </w:t>
      </w:r>
    </w:p>
    <w:p w:rsidR="00915BEF" w:rsidRPr="00F75447" w:rsidRDefault="00915BEF" w:rsidP="00986D81">
      <w:pPr>
        <w:spacing w:after="120" w:line="240" w:lineRule="auto"/>
        <w:rPr>
          <w:rFonts w:ascii="Times New Roman" w:hAnsi="Times New Roman"/>
          <w:b/>
          <w:sz w:val="24"/>
          <w:szCs w:val="24"/>
        </w:rPr>
      </w:pPr>
      <w:r w:rsidRPr="00F75447">
        <w:rPr>
          <w:rFonts w:ascii="Times New Roman" w:hAnsi="Times New Roman"/>
          <w:b/>
          <w:sz w:val="24"/>
          <w:szCs w:val="24"/>
        </w:rPr>
        <w:t>Determination Details</w:t>
      </w:r>
    </w:p>
    <w:p w:rsidR="00915BEF" w:rsidRPr="00F75447" w:rsidRDefault="00915BEF" w:rsidP="00986D81">
      <w:pPr>
        <w:spacing w:after="120" w:line="240" w:lineRule="auto"/>
        <w:rPr>
          <w:rFonts w:ascii="Times New Roman" w:hAnsi="Times New Roman"/>
          <w:sz w:val="24"/>
          <w:szCs w:val="24"/>
        </w:rPr>
      </w:pPr>
      <w:r w:rsidRPr="00F75447">
        <w:rPr>
          <w:rFonts w:ascii="Times New Roman" w:hAnsi="Times New Roman"/>
          <w:sz w:val="24"/>
          <w:szCs w:val="24"/>
        </w:rPr>
        <w:t>The Determination</w:t>
      </w:r>
      <w:r w:rsidRPr="00F75447">
        <w:rPr>
          <w:rFonts w:ascii="Times New Roman" w:hAnsi="Times New Roman"/>
          <w:i/>
          <w:sz w:val="24"/>
          <w:szCs w:val="24"/>
        </w:rPr>
        <w:t xml:space="preserve"> </w:t>
      </w:r>
      <w:r w:rsidRPr="00F75447">
        <w:rPr>
          <w:rFonts w:ascii="Times New Roman" w:hAnsi="Times New Roman"/>
          <w:sz w:val="24"/>
          <w:szCs w:val="24"/>
        </w:rPr>
        <w:t xml:space="preserve">is a legislative instrument within the meaning of the </w:t>
      </w:r>
      <w:r w:rsidRPr="00F75447">
        <w:rPr>
          <w:rFonts w:ascii="Times New Roman" w:hAnsi="Times New Roman"/>
          <w:i/>
          <w:sz w:val="24"/>
          <w:szCs w:val="24"/>
        </w:rPr>
        <w:t xml:space="preserve">Legislative Instruments Act </w:t>
      </w:r>
      <w:r w:rsidRPr="00061A30">
        <w:rPr>
          <w:rFonts w:ascii="Times New Roman" w:hAnsi="Times New Roman"/>
          <w:i/>
          <w:sz w:val="24"/>
          <w:szCs w:val="24"/>
        </w:rPr>
        <w:t>2003</w:t>
      </w:r>
      <w:r w:rsidRPr="00F75447">
        <w:rPr>
          <w:rFonts w:ascii="Times New Roman" w:hAnsi="Times New Roman"/>
          <w:sz w:val="24"/>
          <w:szCs w:val="24"/>
        </w:rPr>
        <w:t>.</w:t>
      </w:r>
    </w:p>
    <w:p w:rsidR="00BF4D7A" w:rsidRDefault="00EC0827" w:rsidP="00986D81">
      <w:pPr>
        <w:spacing w:after="120" w:line="240" w:lineRule="auto"/>
        <w:rPr>
          <w:rFonts w:ascii="Times New Roman" w:hAnsi="Times New Roman"/>
          <w:sz w:val="24"/>
          <w:szCs w:val="24"/>
        </w:rPr>
      </w:pPr>
      <w:r w:rsidRPr="00F75447">
        <w:rPr>
          <w:rFonts w:ascii="Times New Roman" w:hAnsi="Times New Roman"/>
          <w:sz w:val="24"/>
          <w:szCs w:val="24"/>
        </w:rPr>
        <w:t xml:space="preserve">The </w:t>
      </w:r>
      <w:r w:rsidR="007A41B3" w:rsidRPr="00F75447">
        <w:rPr>
          <w:rFonts w:ascii="Times New Roman" w:hAnsi="Times New Roman"/>
          <w:sz w:val="24"/>
          <w:szCs w:val="24"/>
        </w:rPr>
        <w:t>D</w:t>
      </w:r>
      <w:r w:rsidR="0055229E" w:rsidRPr="00F75447">
        <w:rPr>
          <w:rFonts w:ascii="Times New Roman" w:hAnsi="Times New Roman"/>
          <w:sz w:val="24"/>
          <w:szCs w:val="24"/>
        </w:rPr>
        <w:t>etermination</w:t>
      </w:r>
      <w:r w:rsidRPr="00F75447">
        <w:rPr>
          <w:rFonts w:ascii="Times New Roman" w:hAnsi="Times New Roman"/>
          <w:sz w:val="24"/>
          <w:szCs w:val="24"/>
        </w:rPr>
        <w:t xml:space="preserve"> commences</w:t>
      </w:r>
      <w:r w:rsidR="003B0365">
        <w:rPr>
          <w:rFonts w:ascii="Times New Roman" w:hAnsi="Times New Roman"/>
          <w:sz w:val="24"/>
          <w:szCs w:val="24"/>
        </w:rPr>
        <w:t xml:space="preserve"> on the day after it is registered on the Federal Register of Legislative Instruments</w:t>
      </w:r>
      <w:r w:rsidR="00E3074D">
        <w:rPr>
          <w:rFonts w:ascii="Times New Roman" w:hAnsi="Times New Roman"/>
          <w:sz w:val="24"/>
          <w:szCs w:val="24"/>
        </w:rPr>
        <w:t xml:space="preserve"> (FRLI)</w:t>
      </w:r>
      <w:r w:rsidR="00061A30">
        <w:rPr>
          <w:rFonts w:ascii="Times New Roman" w:hAnsi="Times New Roman"/>
          <w:sz w:val="24"/>
          <w:szCs w:val="24"/>
        </w:rPr>
        <w:t>.</w:t>
      </w:r>
      <w:r w:rsidR="00BF4D7A">
        <w:rPr>
          <w:rFonts w:ascii="Times New Roman" w:hAnsi="Times New Roman"/>
          <w:sz w:val="24"/>
          <w:szCs w:val="24"/>
        </w:rPr>
        <w:t xml:space="preserve">  </w:t>
      </w:r>
    </w:p>
    <w:p w:rsidR="0055229E" w:rsidRPr="00E3074D" w:rsidRDefault="00061A30" w:rsidP="00986D81">
      <w:pPr>
        <w:spacing w:after="120" w:line="240" w:lineRule="auto"/>
        <w:rPr>
          <w:rFonts w:ascii="Times New Roman" w:hAnsi="Times New Roman"/>
          <w:sz w:val="24"/>
          <w:szCs w:val="24"/>
        </w:rPr>
      </w:pPr>
      <w:r w:rsidRPr="00F75447">
        <w:rPr>
          <w:rFonts w:ascii="Times New Roman" w:hAnsi="Times New Roman"/>
          <w:sz w:val="24"/>
          <w:szCs w:val="24"/>
        </w:rPr>
        <w:t xml:space="preserve">The Determination </w:t>
      </w:r>
      <w:r w:rsidR="003B0365">
        <w:rPr>
          <w:rFonts w:ascii="Times New Roman" w:hAnsi="Times New Roman"/>
          <w:sz w:val="24"/>
          <w:szCs w:val="24"/>
        </w:rPr>
        <w:t xml:space="preserve">expires </w:t>
      </w:r>
      <w:r w:rsidR="0086179A">
        <w:rPr>
          <w:rFonts w:ascii="Times New Roman" w:hAnsi="Times New Roman"/>
          <w:sz w:val="24"/>
          <w:szCs w:val="24"/>
        </w:rPr>
        <w:t xml:space="preserve">when it is either revoked under section 123 of the Act, or on </w:t>
      </w:r>
      <w:r w:rsidR="003B0365" w:rsidRPr="00061A30">
        <w:rPr>
          <w:rFonts w:ascii="Times New Roman" w:hAnsi="Times New Roman"/>
          <w:sz w:val="24"/>
          <w:szCs w:val="24"/>
        </w:rPr>
        <w:t>the day before it would otherwise be repealed under t</w:t>
      </w:r>
      <w:r>
        <w:rPr>
          <w:rFonts w:ascii="Times New Roman" w:hAnsi="Times New Roman"/>
          <w:sz w:val="24"/>
          <w:szCs w:val="24"/>
        </w:rPr>
        <w:t>he</w:t>
      </w:r>
      <w:r w:rsidR="003B0365">
        <w:rPr>
          <w:color w:val="1F497D"/>
        </w:rPr>
        <w:t xml:space="preserve"> </w:t>
      </w:r>
      <w:r w:rsidRPr="00F75447">
        <w:rPr>
          <w:rFonts w:ascii="Times New Roman" w:hAnsi="Times New Roman"/>
          <w:i/>
          <w:sz w:val="24"/>
          <w:szCs w:val="24"/>
        </w:rPr>
        <w:t xml:space="preserve">Legislative Instruments Act </w:t>
      </w:r>
      <w:r w:rsidRPr="00061A30">
        <w:rPr>
          <w:rFonts w:ascii="Times New Roman" w:hAnsi="Times New Roman"/>
          <w:i/>
          <w:sz w:val="24"/>
          <w:szCs w:val="24"/>
        </w:rPr>
        <w:t>2003</w:t>
      </w:r>
      <w:r>
        <w:rPr>
          <w:rFonts w:ascii="Times New Roman" w:hAnsi="Times New Roman"/>
          <w:sz w:val="24"/>
          <w:szCs w:val="24"/>
        </w:rPr>
        <w:t xml:space="preserve">, </w:t>
      </w:r>
      <w:r w:rsidR="0086179A">
        <w:rPr>
          <w:rFonts w:ascii="Times New Roman" w:hAnsi="Times New Roman"/>
          <w:sz w:val="24"/>
          <w:szCs w:val="24"/>
        </w:rPr>
        <w:t xml:space="preserve">whichever happens </w:t>
      </w:r>
      <w:r w:rsidR="0086179A" w:rsidRPr="0086179A">
        <w:rPr>
          <w:rFonts w:ascii="Times New Roman" w:hAnsi="Times New Roman"/>
          <w:sz w:val="24"/>
          <w:szCs w:val="24"/>
        </w:rPr>
        <w:t>first</w:t>
      </w:r>
      <w:r w:rsidRPr="0086179A">
        <w:rPr>
          <w:rFonts w:ascii="Times New Roman" w:hAnsi="Times New Roman"/>
          <w:sz w:val="24"/>
          <w:szCs w:val="24"/>
        </w:rPr>
        <w:t xml:space="preserve">.  Under </w:t>
      </w:r>
      <w:r w:rsidR="0086179A" w:rsidRPr="0086179A">
        <w:rPr>
          <w:rFonts w:ascii="Times New Roman" w:hAnsi="Times New Roman"/>
          <w:sz w:val="24"/>
          <w:szCs w:val="24"/>
        </w:rPr>
        <w:t>s</w:t>
      </w:r>
      <w:r w:rsidR="00E3074D">
        <w:rPr>
          <w:rFonts w:ascii="Times New Roman" w:hAnsi="Times New Roman"/>
          <w:sz w:val="24"/>
          <w:szCs w:val="24"/>
        </w:rPr>
        <w:t>ubs</w:t>
      </w:r>
      <w:r w:rsidR="0086179A" w:rsidRPr="0086179A">
        <w:rPr>
          <w:rFonts w:ascii="Times New Roman" w:hAnsi="Times New Roman"/>
          <w:sz w:val="24"/>
          <w:szCs w:val="24"/>
        </w:rPr>
        <w:t>ection 50</w:t>
      </w:r>
      <w:r w:rsidR="00E3074D">
        <w:rPr>
          <w:rFonts w:ascii="Times New Roman" w:hAnsi="Times New Roman"/>
          <w:sz w:val="24"/>
          <w:szCs w:val="24"/>
        </w:rPr>
        <w:t>(1)</w:t>
      </w:r>
      <w:r w:rsidR="0086179A" w:rsidRPr="0086179A">
        <w:rPr>
          <w:rFonts w:ascii="Times New Roman" w:hAnsi="Times New Roman"/>
          <w:sz w:val="24"/>
          <w:szCs w:val="24"/>
        </w:rPr>
        <w:t xml:space="preserve"> of that Act, </w:t>
      </w:r>
      <w:r w:rsidR="00E3074D">
        <w:rPr>
          <w:rFonts w:ascii="Times New Roman" w:hAnsi="Times New Roman"/>
          <w:sz w:val="24"/>
          <w:szCs w:val="24"/>
        </w:rPr>
        <w:t xml:space="preserve">a legislative instrument such as the Determination is repealed on the first </w:t>
      </w:r>
      <w:r w:rsidR="00E3074D" w:rsidRPr="00E3074D">
        <w:rPr>
          <w:rFonts w:ascii="Times New Roman" w:hAnsi="Times New Roman"/>
          <w:sz w:val="24"/>
          <w:szCs w:val="24"/>
        </w:rPr>
        <w:t>1 April or 1 October falling on or after the tenth anniversary of registration of the instrument</w:t>
      </w:r>
      <w:r w:rsidR="00E3074D">
        <w:rPr>
          <w:rFonts w:ascii="Times New Roman" w:hAnsi="Times New Roman"/>
          <w:sz w:val="24"/>
          <w:szCs w:val="24"/>
        </w:rPr>
        <w:t xml:space="preserve"> on FRLI.</w:t>
      </w:r>
      <w:r w:rsidR="00BF4D7A">
        <w:rPr>
          <w:rFonts w:ascii="Times New Roman" w:hAnsi="Times New Roman"/>
          <w:sz w:val="24"/>
          <w:szCs w:val="24"/>
        </w:rPr>
        <w:t xml:space="preserve">  For example, if the Determination is registered before 1 April 2014, it would expire on 31 March 2024.</w:t>
      </w:r>
    </w:p>
    <w:p w:rsidR="00915BEF" w:rsidRPr="00E3074D" w:rsidRDefault="00915BEF" w:rsidP="00986D81">
      <w:pPr>
        <w:spacing w:after="120" w:line="240" w:lineRule="auto"/>
        <w:rPr>
          <w:rFonts w:ascii="Times New Roman" w:hAnsi="Times New Roman"/>
          <w:sz w:val="24"/>
          <w:szCs w:val="24"/>
        </w:rPr>
      </w:pPr>
      <w:r w:rsidRPr="00E3074D">
        <w:rPr>
          <w:rFonts w:ascii="Times New Roman" w:hAnsi="Times New Roman"/>
          <w:sz w:val="24"/>
          <w:szCs w:val="24"/>
        </w:rPr>
        <w:t xml:space="preserve">Details of the Determination are at </w:t>
      </w:r>
      <w:r w:rsidRPr="00E3074D">
        <w:rPr>
          <w:rFonts w:ascii="Times New Roman" w:hAnsi="Times New Roman"/>
          <w:sz w:val="24"/>
          <w:szCs w:val="24"/>
          <w:u w:val="single"/>
        </w:rPr>
        <w:t>Attachment A</w:t>
      </w:r>
      <w:r w:rsidRPr="00E3074D">
        <w:rPr>
          <w:rFonts w:ascii="Times New Roman" w:hAnsi="Times New Roman"/>
          <w:sz w:val="24"/>
          <w:szCs w:val="24"/>
        </w:rPr>
        <w:t>.</w:t>
      </w:r>
    </w:p>
    <w:p w:rsidR="00B36B3C" w:rsidRPr="00E3074D" w:rsidRDefault="00B36B3C" w:rsidP="00986D81">
      <w:pPr>
        <w:spacing w:after="120" w:line="240" w:lineRule="auto"/>
        <w:rPr>
          <w:rFonts w:ascii="Times New Roman" w:hAnsi="Times New Roman"/>
          <w:sz w:val="24"/>
          <w:szCs w:val="24"/>
        </w:rPr>
      </w:pPr>
      <w:r w:rsidRPr="00E3074D">
        <w:rPr>
          <w:rFonts w:ascii="Times New Roman" w:hAnsi="Times New Roman"/>
          <w:sz w:val="24"/>
          <w:szCs w:val="24"/>
        </w:rPr>
        <w:lastRenderedPageBreak/>
        <w:t xml:space="preserve">A Statement of Compatibility prepared in accordance with the </w:t>
      </w:r>
      <w:r w:rsidRPr="00E3074D">
        <w:rPr>
          <w:rFonts w:ascii="Times New Roman" w:hAnsi="Times New Roman"/>
          <w:i/>
          <w:sz w:val="24"/>
          <w:szCs w:val="24"/>
        </w:rPr>
        <w:t>Human Rights (Parliamentary Scrutiny) Act 2011</w:t>
      </w:r>
      <w:r w:rsidRPr="00E3074D">
        <w:rPr>
          <w:rFonts w:ascii="Times New Roman" w:hAnsi="Times New Roman"/>
          <w:sz w:val="24"/>
          <w:szCs w:val="24"/>
        </w:rPr>
        <w:t xml:space="preserve"> is at </w:t>
      </w:r>
      <w:r w:rsidRPr="00E3074D">
        <w:rPr>
          <w:rFonts w:ascii="Times New Roman" w:hAnsi="Times New Roman"/>
          <w:sz w:val="24"/>
          <w:szCs w:val="24"/>
          <w:u w:val="single"/>
        </w:rPr>
        <w:t>Attachment B</w:t>
      </w:r>
      <w:r w:rsidRPr="00E3074D">
        <w:rPr>
          <w:rFonts w:ascii="Times New Roman" w:hAnsi="Times New Roman"/>
          <w:sz w:val="24"/>
          <w:szCs w:val="24"/>
        </w:rPr>
        <w:t>.</w:t>
      </w:r>
    </w:p>
    <w:p w:rsidR="0055229E" w:rsidRPr="00DD6F62" w:rsidRDefault="0055229E" w:rsidP="00986D81">
      <w:pPr>
        <w:spacing w:after="120" w:line="240" w:lineRule="auto"/>
        <w:rPr>
          <w:rFonts w:ascii="Times New Roman" w:hAnsi="Times New Roman"/>
          <w:color w:val="808080" w:themeColor="background1" w:themeShade="80"/>
          <w:sz w:val="24"/>
          <w:szCs w:val="24"/>
        </w:rPr>
      </w:pPr>
      <w:r w:rsidRPr="00DD6F62">
        <w:rPr>
          <w:rFonts w:ascii="Times New Roman" w:hAnsi="Times New Roman"/>
          <w:color w:val="808080" w:themeColor="background1" w:themeShade="80"/>
          <w:sz w:val="24"/>
          <w:szCs w:val="24"/>
        </w:rPr>
        <w:br w:type="page"/>
      </w:r>
    </w:p>
    <w:p w:rsidR="00915BEF" w:rsidRPr="00E3074D" w:rsidRDefault="00915BEF" w:rsidP="00986D81">
      <w:pPr>
        <w:pStyle w:val="Footer"/>
        <w:spacing w:after="120"/>
        <w:jc w:val="right"/>
        <w:rPr>
          <w:rFonts w:ascii="Times New Roman" w:hAnsi="Times New Roman"/>
          <w:sz w:val="24"/>
          <w:szCs w:val="24"/>
          <w:u w:val="single"/>
        </w:rPr>
      </w:pPr>
      <w:r w:rsidRPr="00E3074D">
        <w:rPr>
          <w:rFonts w:ascii="Times New Roman" w:hAnsi="Times New Roman"/>
          <w:sz w:val="24"/>
          <w:szCs w:val="24"/>
          <w:u w:val="single"/>
        </w:rPr>
        <w:lastRenderedPageBreak/>
        <w:t>Attachment A</w:t>
      </w:r>
    </w:p>
    <w:p w:rsidR="00915BEF" w:rsidRPr="00E3074D" w:rsidRDefault="00915BEF" w:rsidP="00986D81">
      <w:pPr>
        <w:pStyle w:val="Footer"/>
        <w:spacing w:after="120"/>
        <w:jc w:val="right"/>
        <w:rPr>
          <w:rFonts w:ascii="Times New Roman" w:hAnsi="Times New Roman"/>
          <w:sz w:val="24"/>
          <w:szCs w:val="24"/>
        </w:rPr>
      </w:pPr>
    </w:p>
    <w:p w:rsidR="00915BEF" w:rsidRPr="00E3074D" w:rsidRDefault="00915BEF" w:rsidP="00986D81">
      <w:pPr>
        <w:pStyle w:val="Footer"/>
        <w:spacing w:after="120"/>
        <w:jc w:val="center"/>
        <w:rPr>
          <w:rFonts w:ascii="Times New Roman" w:hAnsi="Times New Roman"/>
          <w:b/>
          <w:sz w:val="24"/>
          <w:szCs w:val="24"/>
        </w:rPr>
      </w:pPr>
      <w:r w:rsidRPr="00E3074D">
        <w:rPr>
          <w:rFonts w:ascii="Times New Roman" w:hAnsi="Times New Roman"/>
          <w:b/>
          <w:sz w:val="24"/>
          <w:szCs w:val="24"/>
        </w:rPr>
        <w:t>Details of the Methodology Determination</w:t>
      </w:r>
    </w:p>
    <w:p w:rsidR="00915BEF" w:rsidRPr="00E3074D" w:rsidRDefault="00915BEF" w:rsidP="00986D81">
      <w:pPr>
        <w:spacing w:after="120" w:line="240" w:lineRule="auto"/>
        <w:rPr>
          <w:rFonts w:ascii="Times New Roman" w:hAnsi="Times New Roman"/>
          <w:sz w:val="24"/>
          <w:szCs w:val="24"/>
        </w:rPr>
      </w:pPr>
    </w:p>
    <w:p w:rsidR="00915BEF" w:rsidRPr="00E3074D" w:rsidRDefault="00915BEF" w:rsidP="00986D81">
      <w:pPr>
        <w:spacing w:after="120" w:line="240" w:lineRule="auto"/>
        <w:rPr>
          <w:rFonts w:ascii="Times New Roman" w:hAnsi="Times New Roman"/>
          <w:b/>
          <w:sz w:val="24"/>
          <w:szCs w:val="24"/>
        </w:rPr>
      </w:pPr>
      <w:r w:rsidRPr="00E3074D">
        <w:rPr>
          <w:rFonts w:ascii="Times New Roman" w:hAnsi="Times New Roman"/>
          <w:b/>
          <w:sz w:val="24"/>
          <w:szCs w:val="24"/>
        </w:rPr>
        <w:t xml:space="preserve">Part 1 </w:t>
      </w:r>
      <w:r w:rsidRPr="00E3074D">
        <w:rPr>
          <w:rFonts w:ascii="Times New Roman" w:hAnsi="Times New Roman"/>
          <w:b/>
          <w:sz w:val="24"/>
          <w:szCs w:val="24"/>
        </w:rPr>
        <w:tab/>
      </w:r>
      <w:r w:rsidRPr="00E3074D">
        <w:rPr>
          <w:rFonts w:ascii="Times New Roman" w:hAnsi="Times New Roman"/>
          <w:b/>
          <w:sz w:val="24"/>
          <w:szCs w:val="24"/>
        </w:rPr>
        <w:tab/>
        <w:t>Preliminary</w:t>
      </w:r>
    </w:p>
    <w:p w:rsidR="00915BEF" w:rsidRPr="00E3074D" w:rsidRDefault="00915BEF" w:rsidP="00986D81">
      <w:pPr>
        <w:spacing w:after="120" w:line="240" w:lineRule="auto"/>
        <w:rPr>
          <w:rFonts w:ascii="Times New Roman" w:hAnsi="Times New Roman"/>
          <w:sz w:val="24"/>
          <w:szCs w:val="24"/>
          <w:u w:val="single"/>
        </w:rPr>
      </w:pPr>
      <w:r w:rsidRPr="00E3074D">
        <w:rPr>
          <w:rFonts w:ascii="Times New Roman" w:hAnsi="Times New Roman"/>
          <w:sz w:val="24"/>
          <w:szCs w:val="24"/>
          <w:u w:val="single"/>
        </w:rPr>
        <w:t>1.1</w:t>
      </w:r>
      <w:r w:rsidRPr="00E3074D">
        <w:rPr>
          <w:rFonts w:ascii="Times New Roman" w:hAnsi="Times New Roman"/>
          <w:sz w:val="24"/>
          <w:szCs w:val="24"/>
          <w:u w:val="single"/>
        </w:rPr>
        <w:tab/>
        <w:t>Name of Determination</w:t>
      </w:r>
    </w:p>
    <w:p w:rsidR="00915BEF" w:rsidRPr="00E3074D" w:rsidRDefault="00F154F2" w:rsidP="00986D81">
      <w:pPr>
        <w:spacing w:after="120" w:line="240" w:lineRule="auto"/>
        <w:rPr>
          <w:rFonts w:ascii="Times New Roman" w:hAnsi="Times New Roman"/>
          <w:sz w:val="24"/>
          <w:szCs w:val="24"/>
        </w:rPr>
      </w:pPr>
      <w:proofErr w:type="gramStart"/>
      <w:r w:rsidRPr="00E3074D">
        <w:rPr>
          <w:rFonts w:ascii="Times New Roman" w:hAnsi="Times New Roman"/>
          <w:sz w:val="24"/>
          <w:szCs w:val="24"/>
        </w:rPr>
        <w:t>S</w:t>
      </w:r>
      <w:r w:rsidR="00915BEF" w:rsidRPr="00E3074D">
        <w:rPr>
          <w:rFonts w:ascii="Times New Roman" w:hAnsi="Times New Roman"/>
          <w:sz w:val="24"/>
          <w:szCs w:val="24"/>
        </w:rPr>
        <w:t xml:space="preserve">ection </w:t>
      </w:r>
      <w:r w:rsidRPr="00E3074D">
        <w:rPr>
          <w:rFonts w:ascii="Times New Roman" w:hAnsi="Times New Roman"/>
          <w:sz w:val="24"/>
          <w:szCs w:val="24"/>
        </w:rPr>
        <w:t xml:space="preserve">1.1 </w:t>
      </w:r>
      <w:r w:rsidR="00B915E5" w:rsidRPr="00E3074D">
        <w:rPr>
          <w:rFonts w:ascii="Times New Roman" w:hAnsi="Times New Roman"/>
          <w:sz w:val="24"/>
          <w:szCs w:val="24"/>
        </w:rPr>
        <w:t>sets out the full name of</w:t>
      </w:r>
      <w:r w:rsidR="00915BEF" w:rsidRPr="00E3074D">
        <w:rPr>
          <w:rFonts w:ascii="Times New Roman" w:hAnsi="Times New Roman"/>
          <w:sz w:val="24"/>
          <w:szCs w:val="24"/>
        </w:rPr>
        <w:t xml:space="preserve"> the Determination</w:t>
      </w:r>
      <w:r w:rsidR="00B915E5" w:rsidRPr="00E3074D">
        <w:rPr>
          <w:rFonts w:ascii="Times New Roman" w:hAnsi="Times New Roman"/>
          <w:sz w:val="24"/>
          <w:szCs w:val="24"/>
        </w:rPr>
        <w:t>, which</w:t>
      </w:r>
      <w:r w:rsidR="00915BEF" w:rsidRPr="00E3074D">
        <w:rPr>
          <w:rFonts w:ascii="Times New Roman" w:hAnsi="Times New Roman"/>
          <w:sz w:val="24"/>
          <w:szCs w:val="24"/>
        </w:rPr>
        <w:t xml:space="preserve"> is the </w:t>
      </w:r>
      <w:r w:rsidR="00915BEF" w:rsidRPr="00E3074D">
        <w:rPr>
          <w:rFonts w:ascii="Times New Roman" w:hAnsi="Times New Roman"/>
          <w:i/>
          <w:sz w:val="24"/>
          <w:szCs w:val="24"/>
        </w:rPr>
        <w:t xml:space="preserve">Carbon </w:t>
      </w:r>
      <w:r w:rsidR="00A96664" w:rsidRPr="00E3074D">
        <w:rPr>
          <w:rFonts w:ascii="Times New Roman" w:hAnsi="Times New Roman"/>
          <w:i/>
          <w:sz w:val="24"/>
          <w:szCs w:val="24"/>
        </w:rPr>
        <w:t xml:space="preserve">Credits </w:t>
      </w:r>
      <w:r w:rsidRPr="00E3074D">
        <w:rPr>
          <w:rFonts w:ascii="Times New Roman" w:hAnsi="Times New Roman"/>
          <w:i/>
          <w:sz w:val="24"/>
          <w:szCs w:val="24"/>
        </w:rPr>
        <w:t xml:space="preserve">(Carbon Farming Initiative) </w:t>
      </w:r>
      <w:r w:rsidR="00915BEF" w:rsidRPr="00E3074D">
        <w:rPr>
          <w:rFonts w:ascii="Times New Roman" w:hAnsi="Times New Roman"/>
          <w:i/>
          <w:sz w:val="24"/>
          <w:szCs w:val="24"/>
        </w:rPr>
        <w:t>(</w:t>
      </w:r>
      <w:r w:rsidR="00E3074D" w:rsidRPr="00E3074D">
        <w:rPr>
          <w:rFonts w:ascii="Times New Roman" w:hAnsi="Times New Roman"/>
          <w:i/>
          <w:sz w:val="24"/>
          <w:szCs w:val="24"/>
        </w:rPr>
        <w:t>Native Forest from Managed Regrowth</w:t>
      </w:r>
      <w:r w:rsidR="00915BEF" w:rsidRPr="00E3074D">
        <w:rPr>
          <w:rFonts w:ascii="Times New Roman" w:hAnsi="Times New Roman"/>
          <w:i/>
          <w:sz w:val="24"/>
          <w:szCs w:val="24"/>
        </w:rPr>
        <w:t>) Methodology Determination 201</w:t>
      </w:r>
      <w:r w:rsidR="006C0D1E" w:rsidRPr="00E3074D">
        <w:rPr>
          <w:rFonts w:ascii="Times New Roman" w:hAnsi="Times New Roman"/>
          <w:i/>
          <w:sz w:val="24"/>
          <w:szCs w:val="24"/>
        </w:rPr>
        <w:t>3</w:t>
      </w:r>
      <w:r w:rsidR="00915BEF" w:rsidRPr="00E3074D">
        <w:rPr>
          <w:rFonts w:ascii="Times New Roman" w:hAnsi="Times New Roman"/>
          <w:sz w:val="24"/>
          <w:szCs w:val="24"/>
        </w:rPr>
        <w:t>.</w:t>
      </w:r>
      <w:proofErr w:type="gramEnd"/>
    </w:p>
    <w:p w:rsidR="00915BEF" w:rsidRPr="00E3074D" w:rsidRDefault="00915BEF" w:rsidP="00986D81">
      <w:pPr>
        <w:spacing w:after="120" w:line="240" w:lineRule="auto"/>
        <w:rPr>
          <w:rFonts w:ascii="Times New Roman" w:hAnsi="Times New Roman"/>
          <w:sz w:val="24"/>
          <w:szCs w:val="24"/>
          <w:u w:val="single"/>
        </w:rPr>
      </w:pPr>
      <w:r w:rsidRPr="00E3074D">
        <w:rPr>
          <w:rFonts w:ascii="Times New Roman" w:hAnsi="Times New Roman"/>
          <w:sz w:val="24"/>
          <w:szCs w:val="24"/>
          <w:u w:val="single"/>
        </w:rPr>
        <w:t>1.2.</w:t>
      </w:r>
      <w:r w:rsidRPr="00E3074D">
        <w:rPr>
          <w:rFonts w:ascii="Times New Roman" w:hAnsi="Times New Roman"/>
          <w:sz w:val="24"/>
          <w:szCs w:val="24"/>
          <w:u w:val="single"/>
        </w:rPr>
        <w:tab/>
      </w:r>
      <w:r w:rsidR="00E3074D">
        <w:rPr>
          <w:rFonts w:ascii="Times New Roman" w:hAnsi="Times New Roman"/>
          <w:sz w:val="24"/>
          <w:szCs w:val="24"/>
          <w:u w:val="single"/>
        </w:rPr>
        <w:t>Duration</w:t>
      </w:r>
    </w:p>
    <w:p w:rsidR="00E3074D" w:rsidRDefault="00456D15" w:rsidP="00986D81">
      <w:pPr>
        <w:spacing w:after="120" w:line="240" w:lineRule="auto"/>
        <w:rPr>
          <w:rFonts w:ascii="Times New Roman" w:hAnsi="Times New Roman"/>
          <w:sz w:val="24"/>
          <w:szCs w:val="24"/>
        </w:rPr>
      </w:pPr>
      <w:proofErr w:type="gramStart"/>
      <w:r w:rsidRPr="00E3074D">
        <w:rPr>
          <w:rFonts w:ascii="Times New Roman" w:hAnsi="Times New Roman"/>
          <w:sz w:val="24"/>
          <w:szCs w:val="24"/>
        </w:rPr>
        <w:t>S</w:t>
      </w:r>
      <w:r w:rsidR="00915BEF" w:rsidRPr="00E3074D">
        <w:rPr>
          <w:rFonts w:ascii="Times New Roman" w:hAnsi="Times New Roman"/>
          <w:sz w:val="24"/>
          <w:szCs w:val="24"/>
        </w:rPr>
        <w:t xml:space="preserve">ection </w:t>
      </w:r>
      <w:r w:rsidRPr="00E3074D">
        <w:rPr>
          <w:rFonts w:ascii="Times New Roman" w:hAnsi="Times New Roman"/>
          <w:sz w:val="24"/>
          <w:szCs w:val="24"/>
        </w:rPr>
        <w:t xml:space="preserve">1.2 </w:t>
      </w:r>
      <w:r w:rsidR="00E3074D">
        <w:rPr>
          <w:rFonts w:ascii="Times New Roman" w:hAnsi="Times New Roman"/>
          <w:sz w:val="24"/>
          <w:szCs w:val="24"/>
        </w:rPr>
        <w:t>sets out when the Determination commences and expires.</w:t>
      </w:r>
      <w:proofErr w:type="gramEnd"/>
    </w:p>
    <w:p w:rsidR="00915BEF" w:rsidRDefault="00A70EE0" w:rsidP="00986D81">
      <w:pPr>
        <w:spacing w:after="120" w:line="240" w:lineRule="auto"/>
        <w:rPr>
          <w:rFonts w:ascii="Times New Roman" w:hAnsi="Times New Roman"/>
          <w:sz w:val="24"/>
          <w:szCs w:val="24"/>
        </w:rPr>
      </w:pPr>
      <w:r w:rsidRPr="00A70EE0">
        <w:rPr>
          <w:rFonts w:ascii="Times New Roman" w:hAnsi="Times New Roman"/>
          <w:sz w:val="24"/>
          <w:szCs w:val="24"/>
        </w:rPr>
        <w:t xml:space="preserve">Paragraph 1.2(a) </w:t>
      </w:r>
      <w:r w:rsidR="00915BEF" w:rsidRPr="00A70EE0">
        <w:rPr>
          <w:rFonts w:ascii="Times New Roman" w:hAnsi="Times New Roman"/>
          <w:sz w:val="24"/>
          <w:szCs w:val="24"/>
        </w:rPr>
        <w:t xml:space="preserve">provides that the Determination commences </w:t>
      </w:r>
      <w:r w:rsidRPr="00A70EE0">
        <w:rPr>
          <w:rFonts w:ascii="Times New Roman" w:hAnsi="Times New Roman"/>
          <w:sz w:val="24"/>
          <w:szCs w:val="24"/>
        </w:rPr>
        <w:t>on the day after it is registered on the Federal Register of Legislative Instruments</w:t>
      </w:r>
      <w:r w:rsidR="004D7A17">
        <w:rPr>
          <w:rFonts w:ascii="Times New Roman" w:hAnsi="Times New Roman"/>
          <w:sz w:val="24"/>
          <w:szCs w:val="24"/>
        </w:rPr>
        <w:t xml:space="preserve"> (FRLI)</w:t>
      </w:r>
      <w:r w:rsidR="00456D15" w:rsidRPr="00A70EE0">
        <w:rPr>
          <w:rFonts w:ascii="Times New Roman" w:hAnsi="Times New Roman"/>
          <w:sz w:val="24"/>
          <w:szCs w:val="24"/>
        </w:rPr>
        <w:t>.</w:t>
      </w:r>
    </w:p>
    <w:p w:rsidR="00BF4D7A" w:rsidRDefault="00A70EE0" w:rsidP="00986D81">
      <w:pPr>
        <w:spacing w:after="120" w:line="240" w:lineRule="auto"/>
        <w:rPr>
          <w:rFonts w:ascii="Times New Roman" w:hAnsi="Times New Roman"/>
          <w:sz w:val="24"/>
          <w:szCs w:val="24"/>
        </w:rPr>
      </w:pPr>
      <w:r>
        <w:rPr>
          <w:rFonts w:ascii="Times New Roman" w:hAnsi="Times New Roman"/>
          <w:sz w:val="24"/>
          <w:szCs w:val="24"/>
        </w:rPr>
        <w:t>Under subparagraph 122(1</w:t>
      </w:r>
      <w:proofErr w:type="gramStart"/>
      <w:r>
        <w:rPr>
          <w:rFonts w:ascii="Times New Roman" w:hAnsi="Times New Roman"/>
          <w:sz w:val="24"/>
          <w:szCs w:val="24"/>
        </w:rPr>
        <w:t>)(</w:t>
      </w:r>
      <w:proofErr w:type="gramEnd"/>
      <w:r>
        <w:rPr>
          <w:rFonts w:ascii="Times New Roman" w:hAnsi="Times New Roman"/>
          <w:sz w:val="24"/>
          <w:szCs w:val="24"/>
        </w:rPr>
        <w:t>b)(</w:t>
      </w:r>
      <w:proofErr w:type="spellStart"/>
      <w:r>
        <w:rPr>
          <w:rFonts w:ascii="Times New Roman" w:hAnsi="Times New Roman"/>
          <w:sz w:val="24"/>
          <w:szCs w:val="24"/>
        </w:rPr>
        <w:t>i</w:t>
      </w:r>
      <w:proofErr w:type="spellEnd"/>
      <w:r>
        <w:rPr>
          <w:rFonts w:ascii="Times New Roman" w:hAnsi="Times New Roman"/>
          <w:sz w:val="24"/>
          <w:szCs w:val="24"/>
        </w:rPr>
        <w:t xml:space="preserve">) of the Act, a methodology determination remains in force for the period specified in the determination.  </w:t>
      </w:r>
    </w:p>
    <w:p w:rsidR="00A70EE0" w:rsidRDefault="00A70EE0" w:rsidP="00986D81">
      <w:pPr>
        <w:spacing w:after="120" w:line="240" w:lineRule="auto"/>
        <w:rPr>
          <w:rFonts w:ascii="Times New Roman" w:hAnsi="Times New Roman"/>
          <w:sz w:val="24"/>
          <w:szCs w:val="24"/>
        </w:rPr>
      </w:pPr>
      <w:r>
        <w:rPr>
          <w:rFonts w:ascii="Times New Roman" w:hAnsi="Times New Roman"/>
          <w:sz w:val="24"/>
          <w:szCs w:val="24"/>
        </w:rPr>
        <w:t xml:space="preserve">Paragraph 1.2(b) of the Determination specifies that the Determination expires the day before it would otherwise be repealed under the </w:t>
      </w:r>
      <w:r w:rsidRPr="00F75447">
        <w:rPr>
          <w:rFonts w:ascii="Times New Roman" w:hAnsi="Times New Roman"/>
          <w:i/>
          <w:sz w:val="24"/>
          <w:szCs w:val="24"/>
        </w:rPr>
        <w:t xml:space="preserve">Legislative Instruments Act </w:t>
      </w:r>
      <w:r w:rsidRPr="00061A30">
        <w:rPr>
          <w:rFonts w:ascii="Times New Roman" w:hAnsi="Times New Roman"/>
          <w:i/>
          <w:sz w:val="24"/>
          <w:szCs w:val="24"/>
        </w:rPr>
        <w:t>2003</w:t>
      </w:r>
      <w:r>
        <w:rPr>
          <w:rFonts w:ascii="Times New Roman" w:hAnsi="Times New Roman"/>
          <w:sz w:val="24"/>
          <w:szCs w:val="24"/>
        </w:rPr>
        <w:t>.</w:t>
      </w:r>
      <w:r w:rsidR="004D7A17">
        <w:rPr>
          <w:rFonts w:ascii="Times New Roman" w:hAnsi="Times New Roman"/>
          <w:sz w:val="24"/>
          <w:szCs w:val="24"/>
        </w:rPr>
        <w:t xml:space="preserve">  </w:t>
      </w:r>
      <w:r w:rsidR="00BF4D7A">
        <w:rPr>
          <w:rFonts w:ascii="Times New Roman" w:hAnsi="Times New Roman"/>
          <w:sz w:val="24"/>
          <w:szCs w:val="24"/>
        </w:rPr>
        <w:t xml:space="preserve">Instruments are repealed under that provision in the first 1 April or 1 October following the tenth anniversary of registration on FRLI.  Paragraph 1.2(b) ensures that the Determination will expire in accordance with the Act, shortly before </w:t>
      </w:r>
      <w:r w:rsidR="00D1011B">
        <w:rPr>
          <w:rFonts w:ascii="Times New Roman" w:hAnsi="Times New Roman"/>
          <w:sz w:val="24"/>
          <w:szCs w:val="24"/>
        </w:rPr>
        <w:t>it would be repealed under</w:t>
      </w:r>
      <w:r w:rsidR="00BF4D7A">
        <w:rPr>
          <w:rFonts w:ascii="Times New Roman" w:hAnsi="Times New Roman"/>
          <w:sz w:val="24"/>
          <w:szCs w:val="24"/>
        </w:rPr>
        <w:t xml:space="preserve"> the </w:t>
      </w:r>
      <w:r w:rsidR="00BF4D7A">
        <w:rPr>
          <w:rFonts w:ascii="Times New Roman" w:hAnsi="Times New Roman"/>
          <w:i/>
          <w:sz w:val="24"/>
          <w:szCs w:val="24"/>
        </w:rPr>
        <w:t>Legislative Instruments Act 2003</w:t>
      </w:r>
      <w:r w:rsidR="00BF4D7A">
        <w:rPr>
          <w:rFonts w:ascii="Times New Roman" w:hAnsi="Times New Roman"/>
          <w:sz w:val="24"/>
          <w:szCs w:val="24"/>
        </w:rPr>
        <w:t>.</w:t>
      </w:r>
    </w:p>
    <w:p w:rsidR="004D7A17" w:rsidRPr="00A70EE0" w:rsidRDefault="004D7A17" w:rsidP="00986D81">
      <w:pPr>
        <w:spacing w:after="120" w:line="240" w:lineRule="auto"/>
        <w:rPr>
          <w:rFonts w:ascii="Times New Roman" w:hAnsi="Times New Roman"/>
          <w:sz w:val="24"/>
          <w:szCs w:val="24"/>
        </w:rPr>
      </w:pPr>
      <w:r>
        <w:rPr>
          <w:rFonts w:ascii="Times New Roman" w:hAnsi="Times New Roman"/>
          <w:sz w:val="24"/>
          <w:szCs w:val="24"/>
        </w:rPr>
        <w:t>If the Determination expires or is revoked during a crediting period for a project to which the Determination applies, the Determination will continue to apply to the project during the remainder of the crediting period under subsection</w:t>
      </w:r>
      <w:r w:rsidR="00553710">
        <w:rPr>
          <w:rFonts w:ascii="Times New Roman" w:hAnsi="Times New Roman"/>
          <w:sz w:val="24"/>
          <w:szCs w:val="24"/>
        </w:rPr>
        <w:t>s</w:t>
      </w:r>
      <w:r>
        <w:rPr>
          <w:rFonts w:ascii="Times New Roman" w:hAnsi="Times New Roman"/>
          <w:sz w:val="24"/>
          <w:szCs w:val="24"/>
        </w:rPr>
        <w:t xml:space="preserve"> 125(2) </w:t>
      </w:r>
      <w:r w:rsidR="00553710">
        <w:rPr>
          <w:rFonts w:ascii="Times New Roman" w:hAnsi="Times New Roman"/>
          <w:sz w:val="24"/>
          <w:szCs w:val="24"/>
        </w:rPr>
        <w:t xml:space="preserve">and 127(2) </w:t>
      </w:r>
      <w:r>
        <w:rPr>
          <w:rFonts w:ascii="Times New Roman" w:hAnsi="Times New Roman"/>
          <w:sz w:val="24"/>
          <w:szCs w:val="24"/>
        </w:rPr>
        <w:t>of the Act.</w:t>
      </w:r>
      <w:r w:rsidR="005D76E6">
        <w:rPr>
          <w:rFonts w:ascii="Times New Roman" w:hAnsi="Times New Roman"/>
          <w:sz w:val="24"/>
          <w:szCs w:val="24"/>
        </w:rPr>
        <w:t xml:space="preserve">  Project proponents may apply to the Regulator during a reporting period to have a different methodology determination apply to their projects from the start of that reporting period (subsection 128(1) of the Act).</w:t>
      </w:r>
    </w:p>
    <w:p w:rsidR="00915BEF" w:rsidRPr="005D76E6" w:rsidRDefault="00915BEF" w:rsidP="00986D81">
      <w:pPr>
        <w:spacing w:after="120" w:line="240" w:lineRule="auto"/>
        <w:rPr>
          <w:rFonts w:ascii="Times New Roman" w:hAnsi="Times New Roman"/>
          <w:sz w:val="24"/>
          <w:szCs w:val="24"/>
          <w:u w:val="single"/>
        </w:rPr>
      </w:pPr>
      <w:r w:rsidRPr="005D76E6">
        <w:rPr>
          <w:rFonts w:ascii="Times New Roman" w:hAnsi="Times New Roman"/>
          <w:sz w:val="24"/>
          <w:szCs w:val="24"/>
          <w:u w:val="single"/>
        </w:rPr>
        <w:t>1.3</w:t>
      </w:r>
      <w:r w:rsidRPr="005D76E6">
        <w:rPr>
          <w:rFonts w:ascii="Times New Roman" w:hAnsi="Times New Roman"/>
          <w:sz w:val="24"/>
          <w:szCs w:val="24"/>
          <w:u w:val="single"/>
        </w:rPr>
        <w:tab/>
        <w:t>Definitions</w:t>
      </w:r>
    </w:p>
    <w:p w:rsidR="00915BEF" w:rsidRPr="005D76E6" w:rsidRDefault="00776DC9" w:rsidP="00986D81">
      <w:pPr>
        <w:spacing w:after="120" w:line="240" w:lineRule="auto"/>
        <w:rPr>
          <w:rFonts w:ascii="Times New Roman" w:hAnsi="Times New Roman"/>
          <w:sz w:val="24"/>
          <w:szCs w:val="24"/>
        </w:rPr>
      </w:pPr>
      <w:r w:rsidRPr="005D76E6">
        <w:rPr>
          <w:rFonts w:ascii="Times New Roman" w:hAnsi="Times New Roman"/>
          <w:sz w:val="24"/>
          <w:szCs w:val="24"/>
        </w:rPr>
        <w:t>Section 1.3</w:t>
      </w:r>
      <w:r w:rsidR="00915BEF" w:rsidRPr="005D76E6">
        <w:rPr>
          <w:rFonts w:ascii="Times New Roman" w:hAnsi="Times New Roman"/>
          <w:sz w:val="24"/>
          <w:szCs w:val="24"/>
        </w:rPr>
        <w:t xml:space="preserve"> defines a number of terms used in the Determination.</w:t>
      </w:r>
    </w:p>
    <w:p w:rsidR="00915BEF" w:rsidRDefault="00915BEF" w:rsidP="00986D81">
      <w:pPr>
        <w:spacing w:after="120" w:line="240" w:lineRule="auto"/>
        <w:rPr>
          <w:rFonts w:ascii="Times New Roman" w:hAnsi="Times New Roman"/>
          <w:sz w:val="24"/>
          <w:szCs w:val="24"/>
        </w:rPr>
      </w:pPr>
      <w:r w:rsidRPr="005D76E6">
        <w:rPr>
          <w:rFonts w:ascii="Times New Roman" w:hAnsi="Times New Roman"/>
          <w:sz w:val="24"/>
          <w:szCs w:val="24"/>
        </w:rPr>
        <w:t xml:space="preserve">Key definitions </w:t>
      </w:r>
      <w:r w:rsidR="005A69E9" w:rsidRPr="005D76E6">
        <w:rPr>
          <w:rFonts w:ascii="Times New Roman" w:hAnsi="Times New Roman"/>
          <w:sz w:val="24"/>
          <w:szCs w:val="24"/>
        </w:rPr>
        <w:t>include</w:t>
      </w:r>
      <w:r w:rsidR="005D76E6">
        <w:rPr>
          <w:rFonts w:ascii="Times New Roman" w:hAnsi="Times New Roman"/>
          <w:sz w:val="24"/>
          <w:szCs w:val="24"/>
        </w:rPr>
        <w:t xml:space="preserve"> those set out below.</w:t>
      </w:r>
    </w:p>
    <w:p w:rsidR="005D76E6"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b</w:t>
      </w:r>
      <w:r w:rsidR="005D76E6" w:rsidRPr="00C37894">
        <w:rPr>
          <w:rFonts w:ascii="Times New Roman" w:hAnsi="Times New Roman"/>
          <w:b/>
          <w:i/>
          <w:sz w:val="24"/>
          <w:szCs w:val="24"/>
        </w:rPr>
        <w:t>aseline</w:t>
      </w:r>
      <w:proofErr w:type="gramEnd"/>
      <w:r w:rsidR="005D76E6" w:rsidRPr="00C37894">
        <w:rPr>
          <w:rFonts w:ascii="Times New Roman" w:hAnsi="Times New Roman"/>
          <w:b/>
          <w:i/>
          <w:sz w:val="24"/>
          <w:szCs w:val="24"/>
        </w:rPr>
        <w:t xml:space="preserve"> forecast period</w:t>
      </w:r>
      <w:r w:rsidR="005D76E6">
        <w:rPr>
          <w:rFonts w:ascii="Times New Roman" w:hAnsi="Times New Roman"/>
          <w:sz w:val="24"/>
          <w:szCs w:val="24"/>
        </w:rPr>
        <w:t xml:space="preserve"> refers to</w:t>
      </w:r>
      <w:r w:rsidR="00113027">
        <w:rPr>
          <w:rFonts w:ascii="Times New Roman" w:hAnsi="Times New Roman"/>
          <w:sz w:val="24"/>
          <w:szCs w:val="24"/>
        </w:rPr>
        <w:t xml:space="preserve"> </w:t>
      </w:r>
      <w:r w:rsidR="00F01A21">
        <w:rPr>
          <w:rFonts w:ascii="Times New Roman" w:hAnsi="Times New Roman"/>
          <w:sz w:val="24"/>
          <w:szCs w:val="24"/>
        </w:rPr>
        <w:t>a period of 100 years</w:t>
      </w:r>
      <w:r w:rsidR="00113027" w:rsidRPr="00113027">
        <w:rPr>
          <w:rFonts w:ascii="Times New Roman" w:hAnsi="Times New Roman"/>
          <w:sz w:val="24"/>
          <w:szCs w:val="24"/>
        </w:rPr>
        <w:t xml:space="preserve"> </w:t>
      </w:r>
      <w:r w:rsidR="00693F95">
        <w:rPr>
          <w:rFonts w:ascii="Times New Roman" w:hAnsi="Times New Roman"/>
          <w:sz w:val="24"/>
          <w:szCs w:val="24"/>
        </w:rPr>
        <w:t>d</w:t>
      </w:r>
      <w:r w:rsidR="00C37894" w:rsidRPr="00C37894">
        <w:rPr>
          <w:rFonts w:ascii="Times New Roman" w:hAnsi="Times New Roman"/>
          <w:sz w:val="24"/>
          <w:szCs w:val="24"/>
        </w:rPr>
        <w:t xml:space="preserve">uring </w:t>
      </w:r>
      <w:r w:rsidR="00693F95">
        <w:rPr>
          <w:rFonts w:ascii="Times New Roman" w:hAnsi="Times New Roman"/>
          <w:sz w:val="24"/>
          <w:szCs w:val="24"/>
        </w:rPr>
        <w:t>which</w:t>
      </w:r>
      <w:r w:rsidR="00C37894" w:rsidRPr="00C37894">
        <w:rPr>
          <w:rFonts w:ascii="Times New Roman" w:hAnsi="Times New Roman"/>
          <w:sz w:val="24"/>
          <w:szCs w:val="24"/>
        </w:rPr>
        <w:t xml:space="preserve"> carbon stocks in the </w:t>
      </w:r>
      <w:r w:rsidR="00693F95">
        <w:rPr>
          <w:rFonts w:ascii="Times New Roman" w:hAnsi="Times New Roman"/>
          <w:sz w:val="24"/>
          <w:szCs w:val="24"/>
        </w:rPr>
        <w:t xml:space="preserve">carbon estimation </w:t>
      </w:r>
      <w:r w:rsidR="00C37894" w:rsidRPr="00C37894">
        <w:rPr>
          <w:rFonts w:ascii="Times New Roman" w:hAnsi="Times New Roman"/>
          <w:sz w:val="24"/>
          <w:szCs w:val="24"/>
        </w:rPr>
        <w:t>area are modelled, or forecast, based on a sequence of certain land management events</w:t>
      </w:r>
      <w:r w:rsidR="00427775">
        <w:rPr>
          <w:rFonts w:ascii="Times New Roman" w:hAnsi="Times New Roman"/>
          <w:sz w:val="24"/>
          <w:szCs w:val="24"/>
        </w:rPr>
        <w:t>, for projects that cannot use a zero baseline</w:t>
      </w:r>
      <w:r w:rsidR="00C37894" w:rsidRPr="00C37894">
        <w:rPr>
          <w:rFonts w:ascii="Times New Roman" w:hAnsi="Times New Roman"/>
          <w:sz w:val="24"/>
          <w:szCs w:val="24"/>
        </w:rPr>
        <w:t xml:space="preserve">.  The sequence of management events depicted by the model may reflect documented past practice </w:t>
      </w:r>
      <w:r w:rsidR="00C37894" w:rsidRPr="00ED04DC">
        <w:rPr>
          <w:rFonts w:ascii="Times New Roman" w:hAnsi="Times New Roman"/>
          <w:sz w:val="24"/>
          <w:szCs w:val="24"/>
        </w:rPr>
        <w:t>or planned</w:t>
      </w:r>
      <w:r w:rsidR="00C37894" w:rsidRPr="00C37894">
        <w:rPr>
          <w:rFonts w:ascii="Times New Roman" w:hAnsi="Times New Roman"/>
          <w:sz w:val="24"/>
          <w:szCs w:val="24"/>
        </w:rPr>
        <w:t xml:space="preserve"> management, or may follow a conservative default description of common management practice</w:t>
      </w:r>
      <w:r w:rsidR="00C37894">
        <w:rPr>
          <w:rFonts w:ascii="Times New Roman" w:hAnsi="Times New Roman"/>
          <w:sz w:val="24"/>
          <w:szCs w:val="24"/>
        </w:rPr>
        <w:t>.</w:t>
      </w:r>
    </w:p>
    <w:p w:rsidR="00112830"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b</w:t>
      </w:r>
      <w:r w:rsidR="00112830" w:rsidRPr="00112830">
        <w:rPr>
          <w:rFonts w:ascii="Times New Roman" w:hAnsi="Times New Roman"/>
          <w:b/>
          <w:i/>
          <w:sz w:val="24"/>
          <w:szCs w:val="24"/>
        </w:rPr>
        <w:t>aseline</w:t>
      </w:r>
      <w:proofErr w:type="gramEnd"/>
      <w:r w:rsidR="00112830" w:rsidRPr="00112830">
        <w:rPr>
          <w:rFonts w:ascii="Times New Roman" w:hAnsi="Times New Roman"/>
          <w:b/>
          <w:i/>
          <w:sz w:val="24"/>
          <w:szCs w:val="24"/>
        </w:rPr>
        <w:t xml:space="preserve"> model</w:t>
      </w:r>
      <w:r w:rsidR="00112830">
        <w:rPr>
          <w:rFonts w:ascii="Times New Roman" w:hAnsi="Times New Roman"/>
          <w:sz w:val="24"/>
          <w:szCs w:val="24"/>
        </w:rPr>
        <w:t xml:space="preserve"> refers to the simulation in FullCAM used to estimate long-term average carbons stocks in the absence of an offsets project.  </w:t>
      </w:r>
      <w:r w:rsidR="00112830" w:rsidRPr="00112830">
        <w:rPr>
          <w:rFonts w:ascii="Times New Roman" w:hAnsi="Times New Roman"/>
          <w:sz w:val="24"/>
          <w:szCs w:val="24"/>
        </w:rPr>
        <w:t>The model is used to estimate the average stock of carbon in above</w:t>
      </w:r>
      <w:r w:rsidR="00112830">
        <w:rPr>
          <w:rFonts w:ascii="Times New Roman" w:hAnsi="Times New Roman"/>
          <w:sz w:val="24"/>
          <w:szCs w:val="24"/>
        </w:rPr>
        <w:t xml:space="preserve"> </w:t>
      </w:r>
      <w:r w:rsidR="00112830" w:rsidRPr="00112830">
        <w:rPr>
          <w:rFonts w:ascii="Times New Roman" w:hAnsi="Times New Roman"/>
          <w:sz w:val="24"/>
          <w:szCs w:val="24"/>
        </w:rPr>
        <w:t>ground and below</w:t>
      </w:r>
      <w:r w:rsidR="00112830">
        <w:rPr>
          <w:rFonts w:ascii="Times New Roman" w:hAnsi="Times New Roman"/>
          <w:sz w:val="24"/>
          <w:szCs w:val="24"/>
        </w:rPr>
        <w:t xml:space="preserve"> </w:t>
      </w:r>
      <w:r w:rsidR="00112830" w:rsidRPr="00112830">
        <w:rPr>
          <w:rFonts w:ascii="Times New Roman" w:hAnsi="Times New Roman"/>
          <w:sz w:val="24"/>
          <w:szCs w:val="24"/>
        </w:rPr>
        <w:t xml:space="preserve">ground tree and debris pools, with a regime of management events scheduled </w:t>
      </w:r>
      <w:r w:rsidR="001346EE">
        <w:rPr>
          <w:rFonts w:ascii="Times New Roman" w:hAnsi="Times New Roman"/>
          <w:sz w:val="24"/>
          <w:szCs w:val="24"/>
        </w:rPr>
        <w:t xml:space="preserve">in FullCAM </w:t>
      </w:r>
      <w:r w:rsidR="00112830" w:rsidRPr="00112830">
        <w:rPr>
          <w:rFonts w:ascii="Times New Roman" w:hAnsi="Times New Roman"/>
          <w:sz w:val="24"/>
          <w:szCs w:val="24"/>
        </w:rPr>
        <w:t>as a default scenario of cyclic re-clearing on a 15</w:t>
      </w:r>
      <w:r w:rsidR="00F01A21">
        <w:rPr>
          <w:rFonts w:ascii="Times New Roman" w:hAnsi="Times New Roman"/>
          <w:sz w:val="24"/>
          <w:szCs w:val="24"/>
        </w:rPr>
        <w:noBreakHyphen/>
      </w:r>
      <w:r w:rsidR="00112830" w:rsidRPr="00112830">
        <w:rPr>
          <w:rFonts w:ascii="Times New Roman" w:hAnsi="Times New Roman"/>
          <w:sz w:val="24"/>
          <w:szCs w:val="24"/>
        </w:rPr>
        <w:t xml:space="preserve">year cycle, or according to documented evidence of past </w:t>
      </w:r>
      <w:r w:rsidR="00ED04DC">
        <w:rPr>
          <w:rFonts w:ascii="Times New Roman" w:hAnsi="Times New Roman"/>
          <w:sz w:val="24"/>
          <w:szCs w:val="24"/>
        </w:rPr>
        <w:t xml:space="preserve">historic </w:t>
      </w:r>
      <w:r w:rsidR="00112830" w:rsidRPr="00112830">
        <w:rPr>
          <w:rFonts w:ascii="Times New Roman" w:hAnsi="Times New Roman"/>
          <w:sz w:val="24"/>
          <w:szCs w:val="24"/>
        </w:rPr>
        <w:t>practice.</w:t>
      </w:r>
      <w:r w:rsidR="001346EE">
        <w:rPr>
          <w:rFonts w:ascii="Times New Roman" w:hAnsi="Times New Roman"/>
          <w:sz w:val="24"/>
          <w:szCs w:val="24"/>
        </w:rPr>
        <w:t xml:space="preserve">  The Determination provides the project proponent with a choice as to which kind of bas</w:t>
      </w:r>
      <w:r w:rsidR="003D2B5F">
        <w:rPr>
          <w:rFonts w:ascii="Times New Roman" w:hAnsi="Times New Roman"/>
          <w:sz w:val="24"/>
          <w:szCs w:val="24"/>
        </w:rPr>
        <w:t>eline to apply (see section 4.12</w:t>
      </w:r>
      <w:r w:rsidR="001346EE">
        <w:rPr>
          <w:rFonts w:ascii="Times New Roman" w:hAnsi="Times New Roman"/>
          <w:sz w:val="24"/>
          <w:szCs w:val="24"/>
        </w:rPr>
        <w:t xml:space="preserve">). </w:t>
      </w:r>
      <w:r w:rsidR="00112830">
        <w:rPr>
          <w:rFonts w:ascii="Times New Roman" w:hAnsi="Times New Roman"/>
          <w:sz w:val="24"/>
          <w:szCs w:val="24"/>
        </w:rPr>
        <w:t xml:space="preserve"> </w:t>
      </w:r>
    </w:p>
    <w:p w:rsidR="00216746" w:rsidRDefault="00216746" w:rsidP="00986D81">
      <w:pPr>
        <w:spacing w:after="120" w:line="240" w:lineRule="auto"/>
        <w:rPr>
          <w:rFonts w:ascii="Times New Roman" w:hAnsi="Times New Roman"/>
          <w:sz w:val="24"/>
          <w:szCs w:val="24"/>
        </w:rPr>
      </w:pPr>
      <w:r w:rsidRPr="00285899">
        <w:rPr>
          <w:rFonts w:ascii="Times New Roman" w:hAnsi="Times New Roman"/>
          <w:b/>
          <w:i/>
          <w:sz w:val="24"/>
          <w:szCs w:val="24"/>
        </w:rPr>
        <w:lastRenderedPageBreak/>
        <w:t>C mass of biomass on-site</w:t>
      </w:r>
      <w:r>
        <w:rPr>
          <w:rFonts w:ascii="Times New Roman" w:hAnsi="Times New Roman"/>
          <w:sz w:val="24"/>
          <w:szCs w:val="24"/>
        </w:rPr>
        <w:t xml:space="preserve"> refers to the sum of C mass of trees and debris, including dead standing trees, in a carbon estimation area.  </w:t>
      </w:r>
    </w:p>
    <w:p w:rsidR="002166C0" w:rsidRDefault="002166C0" w:rsidP="00986D81">
      <w:pPr>
        <w:spacing w:after="120" w:line="240" w:lineRule="auto"/>
        <w:rPr>
          <w:rFonts w:ascii="Times New Roman" w:hAnsi="Times New Roman"/>
          <w:sz w:val="24"/>
          <w:szCs w:val="24"/>
        </w:rPr>
      </w:pPr>
      <w:r w:rsidRPr="002166C0">
        <w:rPr>
          <w:rFonts w:ascii="Times New Roman" w:hAnsi="Times New Roman"/>
          <w:b/>
          <w:i/>
          <w:sz w:val="24"/>
          <w:szCs w:val="24"/>
        </w:rPr>
        <w:t>C mass of trees</w:t>
      </w:r>
      <w:r>
        <w:rPr>
          <w:rFonts w:ascii="Times New Roman" w:hAnsi="Times New Roman"/>
          <w:sz w:val="24"/>
          <w:szCs w:val="24"/>
        </w:rPr>
        <w:t xml:space="preserve"> refers to the sum of carbon in live tree above and below ground biomass.</w:t>
      </w:r>
    </w:p>
    <w:p w:rsidR="00C37894"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c</w:t>
      </w:r>
      <w:r w:rsidR="00C37894" w:rsidRPr="00C37894">
        <w:rPr>
          <w:rFonts w:ascii="Times New Roman" w:hAnsi="Times New Roman"/>
          <w:b/>
          <w:i/>
          <w:sz w:val="24"/>
          <w:szCs w:val="24"/>
        </w:rPr>
        <w:t>arbon</w:t>
      </w:r>
      <w:proofErr w:type="gramEnd"/>
      <w:r w:rsidR="00C37894" w:rsidRPr="00C37894">
        <w:rPr>
          <w:rFonts w:ascii="Times New Roman" w:hAnsi="Times New Roman"/>
          <w:b/>
          <w:i/>
          <w:sz w:val="24"/>
          <w:szCs w:val="24"/>
        </w:rPr>
        <w:t xml:space="preserve"> estimation area</w:t>
      </w:r>
      <w:r w:rsidR="00C37894">
        <w:rPr>
          <w:rFonts w:ascii="Times New Roman" w:hAnsi="Times New Roman"/>
          <w:sz w:val="24"/>
          <w:szCs w:val="24"/>
        </w:rPr>
        <w:t xml:space="preserve"> refers to a </w:t>
      </w:r>
      <w:r w:rsidR="00C37894" w:rsidRPr="00C37894">
        <w:rPr>
          <w:rFonts w:ascii="Times New Roman" w:hAnsi="Times New Roman"/>
          <w:sz w:val="24"/>
          <w:szCs w:val="24"/>
        </w:rPr>
        <w:t xml:space="preserve">stratum of the project area that is land which is deemed </w:t>
      </w:r>
      <w:r w:rsidR="00C37894">
        <w:rPr>
          <w:rFonts w:ascii="Times New Roman" w:hAnsi="Times New Roman"/>
          <w:sz w:val="24"/>
          <w:szCs w:val="24"/>
        </w:rPr>
        <w:t xml:space="preserve">to be </w:t>
      </w:r>
      <w:r w:rsidR="00C37894" w:rsidRPr="00C37894">
        <w:rPr>
          <w:rFonts w:ascii="Times New Roman" w:hAnsi="Times New Roman"/>
          <w:sz w:val="24"/>
          <w:szCs w:val="24"/>
        </w:rPr>
        <w:t>homogenous for the purpose</w:t>
      </w:r>
      <w:r w:rsidR="00C76CB6">
        <w:rPr>
          <w:rFonts w:ascii="Times New Roman" w:hAnsi="Times New Roman"/>
          <w:sz w:val="24"/>
          <w:szCs w:val="24"/>
        </w:rPr>
        <w:t>s</w:t>
      </w:r>
      <w:r w:rsidR="00C37894" w:rsidRPr="00C37894">
        <w:rPr>
          <w:rFonts w:ascii="Times New Roman" w:hAnsi="Times New Roman"/>
          <w:sz w:val="24"/>
          <w:szCs w:val="24"/>
        </w:rPr>
        <w:t xml:space="preserve"> of abatement calculations</w:t>
      </w:r>
      <w:r w:rsidR="00C37894">
        <w:rPr>
          <w:rFonts w:ascii="Times New Roman" w:hAnsi="Times New Roman"/>
          <w:sz w:val="24"/>
          <w:szCs w:val="24"/>
        </w:rPr>
        <w:t>,</w:t>
      </w:r>
      <w:r w:rsidR="00C37894" w:rsidRPr="00C37894">
        <w:rPr>
          <w:rFonts w:ascii="Times New Roman" w:hAnsi="Times New Roman"/>
          <w:sz w:val="24"/>
          <w:szCs w:val="24"/>
        </w:rPr>
        <w:t xml:space="preserve"> </w:t>
      </w:r>
      <w:r w:rsidR="00216746">
        <w:rPr>
          <w:rFonts w:ascii="Times New Roman" w:hAnsi="Times New Roman"/>
          <w:sz w:val="24"/>
          <w:szCs w:val="24"/>
        </w:rPr>
        <w:t xml:space="preserve">and </w:t>
      </w:r>
      <w:r w:rsidR="00C37894" w:rsidRPr="00C37894">
        <w:rPr>
          <w:rFonts w:ascii="Times New Roman" w:hAnsi="Times New Roman"/>
          <w:sz w:val="24"/>
          <w:szCs w:val="24"/>
        </w:rPr>
        <w:t>has broadly consistent physical characteristics</w:t>
      </w:r>
      <w:r w:rsidR="00216746">
        <w:rPr>
          <w:rFonts w:ascii="Times New Roman" w:hAnsi="Times New Roman"/>
          <w:sz w:val="24"/>
          <w:szCs w:val="24"/>
        </w:rPr>
        <w:t xml:space="preserve"> as</w:t>
      </w:r>
      <w:r w:rsidR="001346EE">
        <w:rPr>
          <w:rFonts w:ascii="Times New Roman" w:hAnsi="Times New Roman"/>
          <w:sz w:val="24"/>
          <w:szCs w:val="24"/>
        </w:rPr>
        <w:t xml:space="preserve"> is determined in accordance with section 3.3</w:t>
      </w:r>
      <w:r w:rsidR="00C37894" w:rsidRPr="00C37894">
        <w:rPr>
          <w:rFonts w:ascii="Times New Roman" w:hAnsi="Times New Roman"/>
          <w:sz w:val="24"/>
          <w:szCs w:val="24"/>
        </w:rPr>
        <w:t xml:space="preserve">. </w:t>
      </w:r>
      <w:r w:rsidR="00C37894">
        <w:rPr>
          <w:rFonts w:ascii="Times New Roman" w:hAnsi="Times New Roman"/>
          <w:sz w:val="24"/>
          <w:szCs w:val="24"/>
        </w:rPr>
        <w:t xml:space="preserve"> </w:t>
      </w:r>
    </w:p>
    <w:p w:rsidR="001930A2"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c</w:t>
      </w:r>
      <w:r w:rsidR="001930A2" w:rsidRPr="001930A2">
        <w:rPr>
          <w:rFonts w:ascii="Times New Roman" w:hAnsi="Times New Roman"/>
          <w:b/>
          <w:i/>
          <w:sz w:val="24"/>
          <w:szCs w:val="24"/>
        </w:rPr>
        <w:t>arbon</w:t>
      </w:r>
      <w:proofErr w:type="gramEnd"/>
      <w:r w:rsidR="001930A2" w:rsidRPr="001930A2">
        <w:rPr>
          <w:rFonts w:ascii="Times New Roman" w:hAnsi="Times New Roman"/>
          <w:b/>
          <w:i/>
          <w:sz w:val="24"/>
          <w:szCs w:val="24"/>
        </w:rPr>
        <w:t xml:space="preserve"> pool</w:t>
      </w:r>
      <w:r w:rsidR="001930A2">
        <w:rPr>
          <w:rFonts w:ascii="Times New Roman" w:hAnsi="Times New Roman"/>
          <w:sz w:val="24"/>
          <w:szCs w:val="24"/>
        </w:rPr>
        <w:t xml:space="preserve"> refers to a </w:t>
      </w:r>
      <w:r w:rsidR="001930A2" w:rsidRPr="001930A2">
        <w:rPr>
          <w:rFonts w:ascii="Times New Roman" w:hAnsi="Times New Roman"/>
          <w:sz w:val="24"/>
          <w:szCs w:val="24"/>
        </w:rPr>
        <w:t xml:space="preserve">reservoir which has the capacity to accumulate or release carbon. </w:t>
      </w:r>
      <w:r w:rsidR="001930A2">
        <w:rPr>
          <w:rFonts w:ascii="Times New Roman" w:hAnsi="Times New Roman"/>
          <w:sz w:val="24"/>
          <w:szCs w:val="24"/>
        </w:rPr>
        <w:t xml:space="preserve"> The only carbon pools dealt with by the Determination </w:t>
      </w:r>
      <w:r w:rsidR="00781DC8">
        <w:rPr>
          <w:rFonts w:ascii="Times New Roman" w:hAnsi="Times New Roman"/>
          <w:sz w:val="24"/>
          <w:szCs w:val="24"/>
        </w:rPr>
        <w:t>relate to</w:t>
      </w:r>
      <w:r w:rsidR="001930A2">
        <w:rPr>
          <w:rFonts w:ascii="Times New Roman" w:hAnsi="Times New Roman"/>
          <w:sz w:val="24"/>
          <w:szCs w:val="24"/>
        </w:rPr>
        <w:t xml:space="preserve"> trees</w:t>
      </w:r>
      <w:r w:rsidR="00C76CB6">
        <w:rPr>
          <w:rFonts w:ascii="Times New Roman" w:hAnsi="Times New Roman"/>
          <w:sz w:val="24"/>
          <w:szCs w:val="24"/>
        </w:rPr>
        <w:t>, and consist of</w:t>
      </w:r>
      <w:r w:rsidR="001930A2" w:rsidRPr="001930A2">
        <w:rPr>
          <w:rFonts w:ascii="Times New Roman" w:hAnsi="Times New Roman"/>
          <w:sz w:val="24"/>
          <w:szCs w:val="24"/>
        </w:rPr>
        <w:t xml:space="preserve"> tree above</w:t>
      </w:r>
      <w:r w:rsidR="001930A2">
        <w:rPr>
          <w:rFonts w:ascii="Times New Roman" w:hAnsi="Times New Roman"/>
          <w:sz w:val="24"/>
          <w:szCs w:val="24"/>
        </w:rPr>
        <w:noBreakHyphen/>
      </w:r>
      <w:r w:rsidR="001930A2" w:rsidRPr="001930A2">
        <w:rPr>
          <w:rFonts w:ascii="Times New Roman" w:hAnsi="Times New Roman"/>
          <w:sz w:val="24"/>
          <w:szCs w:val="24"/>
        </w:rPr>
        <w:t>ground biomass, tree below</w:t>
      </w:r>
      <w:r w:rsidR="00781DC8">
        <w:rPr>
          <w:rFonts w:ascii="Times New Roman" w:hAnsi="Times New Roman"/>
          <w:sz w:val="24"/>
          <w:szCs w:val="24"/>
        </w:rPr>
        <w:t>-</w:t>
      </w:r>
      <w:r w:rsidR="001930A2" w:rsidRPr="001930A2">
        <w:rPr>
          <w:rFonts w:ascii="Times New Roman" w:hAnsi="Times New Roman"/>
          <w:sz w:val="24"/>
          <w:szCs w:val="24"/>
        </w:rPr>
        <w:t>ground biomass</w:t>
      </w:r>
      <w:r w:rsidR="00781DC8">
        <w:rPr>
          <w:rFonts w:ascii="Times New Roman" w:hAnsi="Times New Roman"/>
          <w:sz w:val="24"/>
          <w:szCs w:val="24"/>
        </w:rPr>
        <w:t>,</w:t>
      </w:r>
      <w:r w:rsidR="001930A2" w:rsidRPr="001930A2">
        <w:rPr>
          <w:rFonts w:ascii="Times New Roman" w:hAnsi="Times New Roman"/>
          <w:sz w:val="24"/>
          <w:szCs w:val="24"/>
        </w:rPr>
        <w:t xml:space="preserve"> and tree debris</w:t>
      </w:r>
      <w:r w:rsidR="001930A2">
        <w:rPr>
          <w:rFonts w:ascii="Times New Roman" w:hAnsi="Times New Roman"/>
          <w:sz w:val="24"/>
          <w:szCs w:val="24"/>
        </w:rPr>
        <w:t>.</w:t>
      </w:r>
    </w:p>
    <w:p w:rsidR="001346EE" w:rsidRDefault="001346EE" w:rsidP="00986D81">
      <w:pPr>
        <w:spacing w:after="120" w:line="240" w:lineRule="auto"/>
        <w:rPr>
          <w:rFonts w:ascii="Times New Roman" w:hAnsi="Times New Roman"/>
          <w:sz w:val="24"/>
          <w:szCs w:val="24"/>
        </w:rPr>
      </w:pPr>
      <w:r w:rsidRPr="00926450">
        <w:rPr>
          <w:rFonts w:ascii="Times New Roman" w:hAnsi="Times New Roman"/>
          <w:b/>
          <w:i/>
          <w:sz w:val="24"/>
          <w:szCs w:val="24"/>
        </w:rPr>
        <w:t>CFI Mapping Guidelines</w:t>
      </w:r>
      <w:r w:rsidRPr="00926450">
        <w:rPr>
          <w:rFonts w:ascii="Times New Roman" w:hAnsi="Times New Roman"/>
          <w:sz w:val="24"/>
          <w:szCs w:val="24"/>
        </w:rPr>
        <w:t xml:space="preserve"> refers to</w:t>
      </w:r>
      <w:r w:rsidR="00C571CD">
        <w:rPr>
          <w:rFonts w:ascii="Times New Roman" w:hAnsi="Times New Roman"/>
          <w:sz w:val="24"/>
          <w:szCs w:val="24"/>
        </w:rPr>
        <w:t xml:space="preserve"> </w:t>
      </w:r>
      <w:r w:rsidR="00C571CD" w:rsidRPr="00926450">
        <w:rPr>
          <w:rFonts w:ascii="Times New Roman" w:hAnsi="Times New Roman"/>
          <w:sz w:val="24"/>
          <w:szCs w:val="24"/>
        </w:rPr>
        <w:t>the guidelines of the same name</w:t>
      </w:r>
      <w:r w:rsidR="003A5685" w:rsidRPr="00926450">
        <w:rPr>
          <w:rFonts w:ascii="Times New Roman" w:hAnsi="Times New Roman"/>
          <w:sz w:val="24"/>
          <w:szCs w:val="24"/>
        </w:rPr>
        <w:t xml:space="preserve">, as published from time to time on the </w:t>
      </w:r>
      <w:r w:rsidR="00926450">
        <w:rPr>
          <w:rFonts w:ascii="Times New Roman" w:hAnsi="Times New Roman"/>
          <w:sz w:val="24"/>
          <w:szCs w:val="24"/>
        </w:rPr>
        <w:t xml:space="preserve">website of the Department administering the Act.  The guidelines are used </w:t>
      </w:r>
      <w:r w:rsidR="00926450" w:rsidRPr="00926450">
        <w:rPr>
          <w:rFonts w:ascii="Times New Roman" w:hAnsi="Times New Roman"/>
          <w:sz w:val="24"/>
          <w:szCs w:val="24"/>
        </w:rPr>
        <w:t>for mapping project areas and carbon estimation areas</w:t>
      </w:r>
      <w:r w:rsidR="00926450">
        <w:rPr>
          <w:rFonts w:ascii="Times New Roman" w:hAnsi="Times New Roman"/>
          <w:sz w:val="24"/>
          <w:szCs w:val="24"/>
        </w:rPr>
        <w:t>.</w:t>
      </w:r>
    </w:p>
    <w:p w:rsidR="00781DC8"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c</w:t>
      </w:r>
      <w:r w:rsidR="00781DC8" w:rsidRPr="002D23C0">
        <w:rPr>
          <w:rFonts w:ascii="Times New Roman" w:hAnsi="Times New Roman"/>
          <w:b/>
          <w:i/>
          <w:sz w:val="24"/>
          <w:szCs w:val="24"/>
        </w:rPr>
        <w:t>omprehensive</w:t>
      </w:r>
      <w:proofErr w:type="gramEnd"/>
      <w:r w:rsidR="00781DC8" w:rsidRPr="002D23C0">
        <w:rPr>
          <w:rFonts w:ascii="Times New Roman" w:hAnsi="Times New Roman"/>
          <w:b/>
          <w:i/>
          <w:sz w:val="24"/>
          <w:szCs w:val="24"/>
        </w:rPr>
        <w:t xml:space="preserve"> clearing</w:t>
      </w:r>
      <w:r w:rsidR="00781DC8">
        <w:rPr>
          <w:rFonts w:ascii="Times New Roman" w:hAnsi="Times New Roman"/>
          <w:sz w:val="24"/>
          <w:szCs w:val="24"/>
        </w:rPr>
        <w:t xml:space="preserve"> </w:t>
      </w:r>
      <w:r w:rsidR="002D23C0">
        <w:rPr>
          <w:rFonts w:ascii="Times New Roman" w:hAnsi="Times New Roman"/>
          <w:sz w:val="24"/>
          <w:szCs w:val="24"/>
        </w:rPr>
        <w:t xml:space="preserve">refers to the </w:t>
      </w:r>
      <w:r w:rsidR="00A52848">
        <w:rPr>
          <w:rFonts w:ascii="Times New Roman" w:hAnsi="Times New Roman"/>
          <w:sz w:val="24"/>
          <w:szCs w:val="24"/>
        </w:rPr>
        <w:t>complete</w:t>
      </w:r>
      <w:r w:rsidR="002D23C0" w:rsidRPr="002D23C0">
        <w:rPr>
          <w:rFonts w:ascii="Times New Roman" w:hAnsi="Times New Roman"/>
          <w:sz w:val="24"/>
          <w:szCs w:val="24"/>
        </w:rPr>
        <w:t xml:space="preserve"> destruction of vegetation by mechanical or chemical means.</w:t>
      </w:r>
      <w:r w:rsidR="002D23C0">
        <w:rPr>
          <w:rFonts w:ascii="Times New Roman" w:hAnsi="Times New Roman"/>
          <w:sz w:val="24"/>
          <w:szCs w:val="24"/>
        </w:rPr>
        <w:t xml:space="preserve">  Comprehensive clearing </w:t>
      </w:r>
      <w:r w:rsidR="00317E7B">
        <w:rPr>
          <w:rFonts w:ascii="Times New Roman" w:hAnsi="Times New Roman"/>
          <w:sz w:val="24"/>
          <w:szCs w:val="24"/>
        </w:rPr>
        <w:t>leaves</w:t>
      </w:r>
      <w:r w:rsidR="002D23C0">
        <w:rPr>
          <w:rFonts w:ascii="Times New Roman" w:hAnsi="Times New Roman"/>
          <w:sz w:val="24"/>
          <w:szCs w:val="24"/>
        </w:rPr>
        <w:t xml:space="preserve"> the land in a non-forested state for pastoral land use</w:t>
      </w:r>
      <w:r w:rsidR="001346EE">
        <w:rPr>
          <w:rFonts w:ascii="Times New Roman" w:hAnsi="Times New Roman"/>
          <w:sz w:val="24"/>
          <w:szCs w:val="24"/>
        </w:rPr>
        <w:t xml:space="preserve"> only</w:t>
      </w:r>
      <w:r w:rsidR="002D23C0">
        <w:rPr>
          <w:rFonts w:ascii="Times New Roman" w:hAnsi="Times New Roman"/>
          <w:sz w:val="24"/>
          <w:szCs w:val="24"/>
        </w:rPr>
        <w:t>.  C</w:t>
      </w:r>
      <w:r w:rsidR="002D23C0" w:rsidRPr="002D23C0">
        <w:rPr>
          <w:rFonts w:ascii="Times New Roman" w:hAnsi="Times New Roman"/>
          <w:sz w:val="24"/>
          <w:szCs w:val="24"/>
        </w:rPr>
        <w:t>omprehensive clearing may be accompanied by associated practices such as burning or establishment of pastures. For modelling purposes</w:t>
      </w:r>
      <w:r w:rsidR="002D23C0">
        <w:rPr>
          <w:rFonts w:ascii="Times New Roman" w:hAnsi="Times New Roman"/>
          <w:sz w:val="24"/>
          <w:szCs w:val="24"/>
        </w:rPr>
        <w:t>,</w:t>
      </w:r>
      <w:r w:rsidR="002D23C0" w:rsidRPr="002D23C0">
        <w:rPr>
          <w:rFonts w:ascii="Times New Roman" w:hAnsi="Times New Roman"/>
          <w:sz w:val="24"/>
          <w:szCs w:val="24"/>
        </w:rPr>
        <w:t xml:space="preserve"> all live tree biomass is converted to debris by this type of </w:t>
      </w:r>
      <w:r w:rsidR="002D23C0">
        <w:rPr>
          <w:rFonts w:ascii="Times New Roman" w:hAnsi="Times New Roman"/>
          <w:sz w:val="24"/>
          <w:szCs w:val="24"/>
        </w:rPr>
        <w:t>clearing.</w:t>
      </w:r>
    </w:p>
    <w:p w:rsidR="002D23C0"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d</w:t>
      </w:r>
      <w:r w:rsidR="002D23C0" w:rsidRPr="00F96673">
        <w:rPr>
          <w:rFonts w:ascii="Times New Roman" w:hAnsi="Times New Roman"/>
          <w:b/>
          <w:i/>
          <w:sz w:val="24"/>
          <w:szCs w:val="24"/>
        </w:rPr>
        <w:t>isturbance</w:t>
      </w:r>
      <w:proofErr w:type="gramEnd"/>
      <w:r w:rsidR="002D23C0" w:rsidRPr="00F96673">
        <w:rPr>
          <w:rFonts w:ascii="Times New Roman" w:hAnsi="Times New Roman"/>
          <w:b/>
          <w:i/>
          <w:sz w:val="24"/>
          <w:szCs w:val="24"/>
        </w:rPr>
        <w:t xml:space="preserve"> event</w:t>
      </w:r>
      <w:r w:rsidR="002D23C0">
        <w:rPr>
          <w:rFonts w:ascii="Times New Roman" w:hAnsi="Times New Roman"/>
          <w:sz w:val="24"/>
          <w:szCs w:val="24"/>
        </w:rPr>
        <w:t xml:space="preserve"> refers to an event that </w:t>
      </w:r>
      <w:r w:rsidR="002D23C0" w:rsidRPr="002D23C0">
        <w:rPr>
          <w:rFonts w:ascii="Times New Roman" w:hAnsi="Times New Roman"/>
          <w:sz w:val="24"/>
          <w:szCs w:val="24"/>
        </w:rPr>
        <w:t xml:space="preserve">has a negative effect on the survival and/or growth of trees, and includes natural disturbances such as fire, </w:t>
      </w:r>
      <w:r w:rsidR="00F96673">
        <w:rPr>
          <w:rFonts w:ascii="Times New Roman" w:hAnsi="Times New Roman"/>
          <w:sz w:val="24"/>
          <w:szCs w:val="24"/>
        </w:rPr>
        <w:t xml:space="preserve">storms, and </w:t>
      </w:r>
      <w:r w:rsidR="002D23C0" w:rsidRPr="002D23C0">
        <w:rPr>
          <w:rFonts w:ascii="Times New Roman" w:hAnsi="Times New Roman"/>
          <w:sz w:val="24"/>
          <w:szCs w:val="24"/>
        </w:rPr>
        <w:t>pest or disease attack</w:t>
      </w:r>
      <w:r w:rsidR="00F96673">
        <w:rPr>
          <w:rFonts w:ascii="Times New Roman" w:hAnsi="Times New Roman"/>
          <w:sz w:val="24"/>
          <w:szCs w:val="24"/>
        </w:rPr>
        <w:t>s</w:t>
      </w:r>
      <w:r w:rsidR="002D23C0" w:rsidRPr="002D23C0">
        <w:rPr>
          <w:rFonts w:ascii="Times New Roman" w:hAnsi="Times New Roman"/>
          <w:sz w:val="24"/>
          <w:szCs w:val="24"/>
        </w:rPr>
        <w:t>, as well as human interventions.</w:t>
      </w:r>
    </w:p>
    <w:p w:rsidR="00BA504F"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e</w:t>
      </w:r>
      <w:r w:rsidR="00BA504F" w:rsidRPr="00BA504F">
        <w:rPr>
          <w:rFonts w:ascii="Times New Roman" w:hAnsi="Times New Roman"/>
          <w:b/>
          <w:i/>
          <w:sz w:val="24"/>
          <w:szCs w:val="24"/>
        </w:rPr>
        <w:t>vent</w:t>
      </w:r>
      <w:proofErr w:type="gramEnd"/>
      <w:r w:rsidR="00BA504F" w:rsidRPr="00BA504F">
        <w:rPr>
          <w:rFonts w:ascii="Times New Roman" w:hAnsi="Times New Roman"/>
          <w:b/>
          <w:i/>
          <w:sz w:val="24"/>
          <w:szCs w:val="24"/>
        </w:rPr>
        <w:t xml:space="preserve"> queue</w:t>
      </w:r>
      <w:r w:rsidR="00BA504F">
        <w:rPr>
          <w:rFonts w:ascii="Times New Roman" w:hAnsi="Times New Roman"/>
          <w:sz w:val="24"/>
          <w:szCs w:val="24"/>
        </w:rPr>
        <w:t xml:space="preserve"> refers to a series of </w:t>
      </w:r>
      <w:r w:rsidR="00C36BF6">
        <w:rPr>
          <w:rFonts w:ascii="Times New Roman" w:hAnsi="Times New Roman"/>
          <w:sz w:val="24"/>
          <w:szCs w:val="24"/>
        </w:rPr>
        <w:t>management activities</w:t>
      </w:r>
      <w:r w:rsidR="00BA504F">
        <w:rPr>
          <w:rFonts w:ascii="Times New Roman" w:hAnsi="Times New Roman"/>
          <w:sz w:val="24"/>
          <w:szCs w:val="24"/>
        </w:rPr>
        <w:t xml:space="preserve">, and the times at which they occur, as modelled in FullCAM.  </w:t>
      </w:r>
    </w:p>
    <w:p w:rsidR="004C50BB"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e</w:t>
      </w:r>
      <w:r w:rsidR="004C50BB" w:rsidRPr="004C50BB">
        <w:rPr>
          <w:rFonts w:ascii="Times New Roman" w:hAnsi="Times New Roman"/>
          <w:b/>
          <w:i/>
          <w:sz w:val="24"/>
          <w:szCs w:val="24"/>
        </w:rPr>
        <w:t>xclusion</w:t>
      </w:r>
      <w:proofErr w:type="gramEnd"/>
      <w:r w:rsidR="004C50BB" w:rsidRPr="004C50BB">
        <w:rPr>
          <w:rFonts w:ascii="Times New Roman" w:hAnsi="Times New Roman"/>
          <w:b/>
          <w:i/>
          <w:sz w:val="24"/>
          <w:szCs w:val="24"/>
        </w:rPr>
        <w:t xml:space="preserve"> area</w:t>
      </w:r>
      <w:r w:rsidR="004C50BB">
        <w:rPr>
          <w:rFonts w:ascii="Times New Roman" w:hAnsi="Times New Roman"/>
          <w:sz w:val="24"/>
          <w:szCs w:val="24"/>
        </w:rPr>
        <w:t xml:space="preserve"> refers to land that is in the project area but that is excluded from abatement estimates and crediting.</w:t>
      </w:r>
    </w:p>
    <w:p w:rsidR="00C36BF6"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f</w:t>
      </w:r>
      <w:r w:rsidR="00CF60B0" w:rsidRPr="00CF60B0">
        <w:rPr>
          <w:rFonts w:ascii="Times New Roman" w:hAnsi="Times New Roman"/>
          <w:b/>
          <w:i/>
          <w:sz w:val="24"/>
          <w:szCs w:val="24"/>
        </w:rPr>
        <w:t>orest</w:t>
      </w:r>
      <w:proofErr w:type="gramEnd"/>
      <w:r w:rsidR="00CF60B0" w:rsidRPr="00CF60B0">
        <w:rPr>
          <w:rFonts w:ascii="Times New Roman" w:hAnsi="Times New Roman"/>
          <w:b/>
          <w:i/>
          <w:sz w:val="24"/>
          <w:szCs w:val="24"/>
        </w:rPr>
        <w:t xml:space="preserve"> potential</w:t>
      </w:r>
      <w:r w:rsidR="00CF60B0">
        <w:rPr>
          <w:rFonts w:ascii="Times New Roman" w:hAnsi="Times New Roman"/>
          <w:sz w:val="24"/>
          <w:szCs w:val="24"/>
        </w:rPr>
        <w:t xml:space="preserve"> refers to the capacity of vegetation on land to become trees that reach </w:t>
      </w:r>
      <w:r w:rsidR="00CF60B0" w:rsidRPr="00CF60B0">
        <w:rPr>
          <w:rFonts w:ascii="Times New Roman" w:hAnsi="Times New Roman"/>
          <w:sz w:val="24"/>
          <w:szCs w:val="24"/>
        </w:rPr>
        <w:t>2</w:t>
      </w:r>
      <w:r w:rsidR="00D83714">
        <w:rPr>
          <w:rFonts w:ascii="Times New Roman" w:hAnsi="Times New Roman"/>
          <w:sz w:val="24"/>
          <w:szCs w:val="24"/>
        </w:rPr>
        <w:t> </w:t>
      </w:r>
      <w:r w:rsidR="00CF60B0" w:rsidRPr="00CF60B0">
        <w:rPr>
          <w:rFonts w:ascii="Times New Roman" w:hAnsi="Times New Roman"/>
          <w:sz w:val="24"/>
          <w:szCs w:val="24"/>
        </w:rPr>
        <w:t xml:space="preserve">metres or more in height and </w:t>
      </w:r>
      <w:r w:rsidR="00CF60B0">
        <w:rPr>
          <w:rFonts w:ascii="Times New Roman" w:hAnsi="Times New Roman"/>
          <w:sz w:val="24"/>
          <w:szCs w:val="24"/>
        </w:rPr>
        <w:t xml:space="preserve">that </w:t>
      </w:r>
      <w:r w:rsidR="00CF60B0" w:rsidRPr="00CF60B0">
        <w:rPr>
          <w:rFonts w:ascii="Times New Roman" w:hAnsi="Times New Roman"/>
          <w:sz w:val="24"/>
          <w:szCs w:val="24"/>
        </w:rPr>
        <w:t>provide crown cover of at least 20% of the land.</w:t>
      </w:r>
      <w:r w:rsidR="00CF60B0">
        <w:rPr>
          <w:rFonts w:ascii="Times New Roman" w:hAnsi="Times New Roman"/>
          <w:sz w:val="24"/>
          <w:szCs w:val="24"/>
        </w:rPr>
        <w:t xml:space="preserve">  </w:t>
      </w:r>
    </w:p>
    <w:p w:rsidR="00C36BF6" w:rsidRDefault="00C36BF6" w:rsidP="00986D81">
      <w:pPr>
        <w:spacing w:after="120" w:line="240" w:lineRule="auto"/>
        <w:rPr>
          <w:rFonts w:ascii="Times New Roman" w:hAnsi="Times New Roman"/>
          <w:sz w:val="24"/>
          <w:szCs w:val="24"/>
        </w:rPr>
      </w:pPr>
      <w:r>
        <w:rPr>
          <w:rFonts w:ascii="Times New Roman" w:hAnsi="Times New Roman"/>
          <w:sz w:val="24"/>
          <w:szCs w:val="24"/>
        </w:rPr>
        <w:t>In practice, t</w:t>
      </w:r>
      <w:r w:rsidR="00CF60B0" w:rsidRPr="00CF60B0">
        <w:rPr>
          <w:rFonts w:ascii="Times New Roman" w:hAnsi="Times New Roman"/>
          <w:sz w:val="24"/>
          <w:szCs w:val="24"/>
        </w:rPr>
        <w:t xml:space="preserve">he potential of vegetation </w:t>
      </w:r>
      <w:r w:rsidR="00D83714">
        <w:rPr>
          <w:rFonts w:ascii="Times New Roman" w:hAnsi="Times New Roman"/>
          <w:sz w:val="24"/>
          <w:szCs w:val="24"/>
        </w:rPr>
        <w:t>to</w:t>
      </w:r>
      <w:r w:rsidR="00216746">
        <w:rPr>
          <w:rFonts w:ascii="Times New Roman" w:hAnsi="Times New Roman"/>
          <w:sz w:val="24"/>
          <w:szCs w:val="24"/>
        </w:rPr>
        <w:t xml:space="preserve"> achieve forest cover</w:t>
      </w:r>
      <w:r w:rsidR="00CF60B0" w:rsidRPr="00CF60B0">
        <w:rPr>
          <w:rFonts w:ascii="Times New Roman" w:hAnsi="Times New Roman"/>
          <w:sz w:val="24"/>
          <w:szCs w:val="24"/>
        </w:rPr>
        <w:t xml:space="preserve"> is dependent on land management practices.  Land which is managed to suppress regrowth, including periodic re-clearing, </w:t>
      </w:r>
      <w:r w:rsidR="00427775">
        <w:rPr>
          <w:rFonts w:ascii="Times New Roman" w:hAnsi="Times New Roman"/>
          <w:sz w:val="24"/>
          <w:szCs w:val="24"/>
        </w:rPr>
        <w:t>may</w:t>
      </w:r>
      <w:r w:rsidR="00CF60B0" w:rsidRPr="00CF60B0">
        <w:rPr>
          <w:rFonts w:ascii="Times New Roman" w:hAnsi="Times New Roman"/>
          <w:sz w:val="24"/>
          <w:szCs w:val="24"/>
        </w:rPr>
        <w:t xml:space="preserve"> have the potential to </w:t>
      </w:r>
      <w:r w:rsidR="00216746">
        <w:rPr>
          <w:rFonts w:ascii="Times New Roman" w:hAnsi="Times New Roman"/>
          <w:sz w:val="24"/>
          <w:szCs w:val="24"/>
        </w:rPr>
        <w:t>achieve forest cover</w:t>
      </w:r>
      <w:r w:rsidR="00CF60B0" w:rsidRPr="00CF60B0">
        <w:rPr>
          <w:rFonts w:ascii="Times New Roman" w:hAnsi="Times New Roman"/>
          <w:sz w:val="24"/>
          <w:szCs w:val="24"/>
        </w:rPr>
        <w:t xml:space="preserve"> </w:t>
      </w:r>
      <w:r w:rsidR="00427775">
        <w:rPr>
          <w:rFonts w:ascii="Times New Roman" w:hAnsi="Times New Roman"/>
          <w:sz w:val="24"/>
          <w:szCs w:val="24"/>
        </w:rPr>
        <w:t xml:space="preserve">but will not </w:t>
      </w:r>
      <w:r w:rsidR="00216746">
        <w:rPr>
          <w:rFonts w:ascii="Times New Roman" w:hAnsi="Times New Roman"/>
          <w:sz w:val="24"/>
          <w:szCs w:val="24"/>
        </w:rPr>
        <w:t xml:space="preserve">have </w:t>
      </w:r>
      <w:r w:rsidR="00427775">
        <w:rPr>
          <w:rFonts w:ascii="Times New Roman" w:hAnsi="Times New Roman"/>
          <w:sz w:val="24"/>
          <w:szCs w:val="24"/>
        </w:rPr>
        <w:t>forest</w:t>
      </w:r>
      <w:r w:rsidR="00216746">
        <w:rPr>
          <w:rFonts w:ascii="Times New Roman" w:hAnsi="Times New Roman"/>
          <w:sz w:val="24"/>
          <w:szCs w:val="24"/>
        </w:rPr>
        <w:t xml:space="preserve"> cover</w:t>
      </w:r>
      <w:r w:rsidR="00427775">
        <w:rPr>
          <w:rFonts w:ascii="Times New Roman" w:hAnsi="Times New Roman"/>
          <w:sz w:val="24"/>
          <w:szCs w:val="24"/>
        </w:rPr>
        <w:t xml:space="preserve"> </w:t>
      </w:r>
      <w:r w:rsidR="00CF60B0" w:rsidRPr="00CF60B0">
        <w:rPr>
          <w:rFonts w:ascii="Times New Roman" w:hAnsi="Times New Roman"/>
          <w:sz w:val="24"/>
          <w:szCs w:val="24"/>
        </w:rPr>
        <w:t xml:space="preserve">while </w:t>
      </w:r>
      <w:r w:rsidR="00D83714">
        <w:rPr>
          <w:rFonts w:ascii="Times New Roman" w:hAnsi="Times New Roman"/>
          <w:sz w:val="24"/>
          <w:szCs w:val="24"/>
        </w:rPr>
        <w:t>such</w:t>
      </w:r>
      <w:r w:rsidR="00CF60B0" w:rsidRPr="00CF60B0">
        <w:rPr>
          <w:rFonts w:ascii="Times New Roman" w:hAnsi="Times New Roman"/>
          <w:sz w:val="24"/>
          <w:szCs w:val="24"/>
        </w:rPr>
        <w:t xml:space="preserve"> land management practices are in place.  </w:t>
      </w:r>
    </w:p>
    <w:p w:rsidR="00CF60B0" w:rsidRDefault="00CF60B0" w:rsidP="00986D81">
      <w:pPr>
        <w:spacing w:after="120" w:line="240" w:lineRule="auto"/>
        <w:rPr>
          <w:rFonts w:ascii="Times New Roman" w:hAnsi="Times New Roman"/>
          <w:sz w:val="24"/>
          <w:szCs w:val="24"/>
        </w:rPr>
      </w:pPr>
      <w:r w:rsidRPr="00CF60B0">
        <w:rPr>
          <w:rFonts w:ascii="Times New Roman" w:hAnsi="Times New Roman"/>
          <w:sz w:val="24"/>
          <w:szCs w:val="24"/>
        </w:rPr>
        <w:t>Forest potential may be demonstrated by geo-referenced descriptions of vegetation structure and composition (</w:t>
      </w:r>
      <w:r w:rsidR="00D83714">
        <w:rPr>
          <w:rFonts w:ascii="Times New Roman" w:hAnsi="Times New Roman"/>
          <w:sz w:val="24"/>
          <w:szCs w:val="24"/>
        </w:rPr>
        <w:t>such as</w:t>
      </w:r>
      <w:r w:rsidRPr="00CF60B0">
        <w:rPr>
          <w:rFonts w:ascii="Times New Roman" w:hAnsi="Times New Roman"/>
          <w:sz w:val="24"/>
          <w:szCs w:val="24"/>
        </w:rPr>
        <w:t xml:space="preserve"> plots or landscape photographs)</w:t>
      </w:r>
      <w:r w:rsidR="00D83714">
        <w:rPr>
          <w:rFonts w:ascii="Times New Roman" w:hAnsi="Times New Roman"/>
          <w:sz w:val="24"/>
          <w:szCs w:val="24"/>
        </w:rPr>
        <w:t xml:space="preserve"> or </w:t>
      </w:r>
      <w:r w:rsidRPr="00CF60B0">
        <w:rPr>
          <w:rFonts w:ascii="Times New Roman" w:hAnsi="Times New Roman"/>
          <w:sz w:val="24"/>
          <w:szCs w:val="24"/>
        </w:rPr>
        <w:t>reference to remote sensing, such as woody cover mapping.</w:t>
      </w:r>
    </w:p>
    <w:p w:rsidR="007040CE" w:rsidRPr="007040CE"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implementation</w:t>
      </w:r>
      <w:proofErr w:type="gramEnd"/>
      <w:r>
        <w:rPr>
          <w:rFonts w:ascii="Times New Roman" w:hAnsi="Times New Roman"/>
          <w:b/>
          <w:i/>
          <w:sz w:val="24"/>
          <w:szCs w:val="24"/>
        </w:rPr>
        <w:t xml:space="preserve"> date </w:t>
      </w:r>
      <w:r>
        <w:rPr>
          <w:rFonts w:ascii="Times New Roman" w:hAnsi="Times New Roman"/>
          <w:sz w:val="24"/>
          <w:szCs w:val="24"/>
        </w:rPr>
        <w:t>refers to the first time the project mechanism is implemented in a carbon estimation area.</w:t>
      </w:r>
    </w:p>
    <w:p w:rsidR="00F41771"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i</w:t>
      </w:r>
      <w:r w:rsidR="00F41771" w:rsidRPr="004E2252">
        <w:rPr>
          <w:rFonts w:ascii="Times New Roman" w:hAnsi="Times New Roman"/>
          <w:b/>
          <w:i/>
          <w:sz w:val="24"/>
          <w:szCs w:val="24"/>
        </w:rPr>
        <w:t>nitial</w:t>
      </w:r>
      <w:proofErr w:type="gramEnd"/>
      <w:r w:rsidR="00F41771" w:rsidRPr="004E2252">
        <w:rPr>
          <w:rFonts w:ascii="Times New Roman" w:hAnsi="Times New Roman"/>
          <w:b/>
          <w:i/>
          <w:sz w:val="24"/>
          <w:szCs w:val="24"/>
        </w:rPr>
        <w:t xml:space="preserve"> clearing</w:t>
      </w:r>
      <w:r w:rsidR="00F41771">
        <w:rPr>
          <w:rFonts w:ascii="Times New Roman" w:hAnsi="Times New Roman"/>
          <w:sz w:val="24"/>
          <w:szCs w:val="24"/>
        </w:rPr>
        <w:t xml:space="preserve"> refers to the first </w:t>
      </w:r>
      <w:r w:rsidR="00DB49C5">
        <w:rPr>
          <w:rFonts w:ascii="Times New Roman" w:hAnsi="Times New Roman"/>
          <w:sz w:val="24"/>
          <w:szCs w:val="24"/>
        </w:rPr>
        <w:t>time</w:t>
      </w:r>
      <w:r w:rsidR="00F41771">
        <w:rPr>
          <w:rFonts w:ascii="Times New Roman" w:hAnsi="Times New Roman"/>
          <w:sz w:val="24"/>
          <w:szCs w:val="24"/>
        </w:rPr>
        <w:t xml:space="preserve"> the land </w:t>
      </w:r>
      <w:r w:rsidR="00DB49C5">
        <w:rPr>
          <w:rFonts w:ascii="Times New Roman" w:hAnsi="Times New Roman"/>
          <w:sz w:val="24"/>
          <w:szCs w:val="24"/>
        </w:rPr>
        <w:t xml:space="preserve">was converted </w:t>
      </w:r>
      <w:r w:rsidR="00F41771">
        <w:rPr>
          <w:rFonts w:ascii="Times New Roman" w:hAnsi="Times New Roman"/>
          <w:sz w:val="24"/>
          <w:szCs w:val="24"/>
        </w:rPr>
        <w:t xml:space="preserve">from </w:t>
      </w:r>
      <w:r w:rsidR="00DB49C5">
        <w:rPr>
          <w:rFonts w:ascii="Times New Roman" w:hAnsi="Times New Roman"/>
          <w:sz w:val="24"/>
          <w:szCs w:val="24"/>
        </w:rPr>
        <w:t xml:space="preserve">a </w:t>
      </w:r>
      <w:r w:rsidR="00F41771">
        <w:rPr>
          <w:rFonts w:ascii="Times New Roman" w:hAnsi="Times New Roman"/>
          <w:sz w:val="24"/>
          <w:szCs w:val="24"/>
        </w:rPr>
        <w:t>forest</w:t>
      </w:r>
      <w:r w:rsidR="00DB49C5">
        <w:rPr>
          <w:rFonts w:ascii="Times New Roman" w:hAnsi="Times New Roman"/>
          <w:sz w:val="24"/>
          <w:szCs w:val="24"/>
        </w:rPr>
        <w:t>ed state</w:t>
      </w:r>
      <w:r w:rsidR="00F41771">
        <w:rPr>
          <w:rFonts w:ascii="Times New Roman" w:hAnsi="Times New Roman"/>
          <w:sz w:val="24"/>
          <w:szCs w:val="24"/>
        </w:rPr>
        <w:t xml:space="preserve"> to </w:t>
      </w:r>
      <w:r w:rsidR="00DB49C5" w:rsidRPr="00DB49C5">
        <w:rPr>
          <w:rFonts w:ascii="Times New Roman" w:hAnsi="Times New Roman"/>
          <w:sz w:val="24"/>
          <w:szCs w:val="24"/>
        </w:rPr>
        <w:t>a non</w:t>
      </w:r>
      <w:r w:rsidR="00DB49C5" w:rsidRPr="00DB49C5">
        <w:rPr>
          <w:rFonts w:ascii="Times New Roman" w:hAnsi="Times New Roman"/>
          <w:sz w:val="24"/>
          <w:szCs w:val="24"/>
        </w:rPr>
        <w:noBreakHyphen/>
        <w:t>forested state for pastoral land use</w:t>
      </w:r>
      <w:r w:rsidR="00F41771">
        <w:rPr>
          <w:rFonts w:ascii="Times New Roman" w:hAnsi="Times New Roman"/>
          <w:sz w:val="24"/>
          <w:szCs w:val="24"/>
        </w:rPr>
        <w:t>.</w:t>
      </w:r>
    </w:p>
    <w:p w:rsidR="0028495C"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p</w:t>
      </w:r>
      <w:r w:rsidR="0028495C">
        <w:rPr>
          <w:rFonts w:ascii="Times New Roman" w:hAnsi="Times New Roman"/>
          <w:b/>
          <w:i/>
          <w:sz w:val="24"/>
          <w:szCs w:val="24"/>
        </w:rPr>
        <w:t>roject</w:t>
      </w:r>
      <w:proofErr w:type="gramEnd"/>
      <w:r w:rsidR="0028495C" w:rsidRPr="00112830">
        <w:rPr>
          <w:rFonts w:ascii="Times New Roman" w:hAnsi="Times New Roman"/>
          <w:b/>
          <w:i/>
          <w:sz w:val="24"/>
          <w:szCs w:val="24"/>
        </w:rPr>
        <w:t xml:space="preserve"> </w:t>
      </w:r>
      <w:r w:rsidR="0028495C">
        <w:rPr>
          <w:rFonts w:ascii="Times New Roman" w:hAnsi="Times New Roman"/>
          <w:b/>
          <w:i/>
          <w:sz w:val="24"/>
          <w:szCs w:val="24"/>
        </w:rPr>
        <w:t>commencement</w:t>
      </w:r>
      <w:r w:rsidR="0028495C">
        <w:rPr>
          <w:rFonts w:ascii="Times New Roman" w:hAnsi="Times New Roman"/>
          <w:sz w:val="24"/>
          <w:szCs w:val="24"/>
        </w:rPr>
        <w:t xml:space="preserve"> refers to </w:t>
      </w:r>
      <w:r w:rsidR="00DB67A0">
        <w:rPr>
          <w:rFonts w:ascii="Times New Roman" w:hAnsi="Times New Roman"/>
          <w:sz w:val="24"/>
          <w:szCs w:val="24"/>
        </w:rPr>
        <w:t xml:space="preserve">the </w:t>
      </w:r>
      <w:r w:rsidR="00E42531">
        <w:rPr>
          <w:rFonts w:ascii="Times New Roman" w:hAnsi="Times New Roman"/>
          <w:sz w:val="24"/>
          <w:szCs w:val="24"/>
        </w:rPr>
        <w:t xml:space="preserve">first </w:t>
      </w:r>
      <w:r w:rsidR="00DB67A0">
        <w:rPr>
          <w:rFonts w:ascii="Times New Roman" w:hAnsi="Times New Roman"/>
          <w:sz w:val="24"/>
          <w:szCs w:val="24"/>
        </w:rPr>
        <w:t xml:space="preserve">time </w:t>
      </w:r>
      <w:r w:rsidR="0028495C">
        <w:rPr>
          <w:rFonts w:ascii="Times New Roman" w:hAnsi="Times New Roman"/>
          <w:sz w:val="24"/>
          <w:szCs w:val="24"/>
        </w:rPr>
        <w:t xml:space="preserve">when </w:t>
      </w:r>
      <w:r w:rsidR="0028495C" w:rsidRPr="00F96673">
        <w:rPr>
          <w:rFonts w:ascii="Times New Roman" w:hAnsi="Times New Roman"/>
          <w:sz w:val="24"/>
          <w:szCs w:val="24"/>
        </w:rPr>
        <w:t xml:space="preserve">management </w:t>
      </w:r>
      <w:r w:rsidR="003D4A2F">
        <w:rPr>
          <w:rFonts w:ascii="Times New Roman" w:hAnsi="Times New Roman"/>
          <w:sz w:val="24"/>
          <w:szCs w:val="24"/>
        </w:rPr>
        <w:t xml:space="preserve">on land on which the project mechanism will be implemented </w:t>
      </w:r>
      <w:r w:rsidR="0028495C" w:rsidRPr="00F96673">
        <w:rPr>
          <w:rFonts w:ascii="Times New Roman" w:hAnsi="Times New Roman"/>
          <w:sz w:val="24"/>
          <w:szCs w:val="24"/>
        </w:rPr>
        <w:t>changed to allow forest potential to be realised</w:t>
      </w:r>
      <w:r w:rsidR="0028495C">
        <w:rPr>
          <w:rFonts w:ascii="Times New Roman" w:hAnsi="Times New Roman"/>
          <w:sz w:val="24"/>
          <w:szCs w:val="24"/>
        </w:rPr>
        <w:t xml:space="preserve">—that is, </w:t>
      </w:r>
      <w:r w:rsidR="0028495C" w:rsidRPr="00F96673">
        <w:rPr>
          <w:rFonts w:ascii="Times New Roman" w:hAnsi="Times New Roman"/>
          <w:sz w:val="24"/>
          <w:szCs w:val="24"/>
        </w:rPr>
        <w:t xml:space="preserve">to allow </w:t>
      </w:r>
      <w:r w:rsidR="0028495C">
        <w:rPr>
          <w:rFonts w:ascii="Times New Roman" w:hAnsi="Times New Roman"/>
          <w:sz w:val="24"/>
          <w:szCs w:val="24"/>
        </w:rPr>
        <w:t>regrowth</w:t>
      </w:r>
      <w:r w:rsidR="0028495C" w:rsidRPr="00F96673">
        <w:rPr>
          <w:rFonts w:ascii="Times New Roman" w:hAnsi="Times New Roman"/>
          <w:sz w:val="24"/>
          <w:szCs w:val="24"/>
        </w:rPr>
        <w:t xml:space="preserve"> </w:t>
      </w:r>
      <w:r w:rsidR="00FF7D5F">
        <w:rPr>
          <w:rFonts w:ascii="Times New Roman" w:hAnsi="Times New Roman"/>
          <w:sz w:val="24"/>
          <w:szCs w:val="24"/>
        </w:rPr>
        <w:t xml:space="preserve">with forest potential </w:t>
      </w:r>
      <w:r w:rsidR="0028495C" w:rsidRPr="00F96673">
        <w:rPr>
          <w:rFonts w:ascii="Times New Roman" w:hAnsi="Times New Roman"/>
          <w:sz w:val="24"/>
          <w:szCs w:val="24"/>
        </w:rPr>
        <w:t>to develop</w:t>
      </w:r>
      <w:r w:rsidR="00216746">
        <w:rPr>
          <w:rFonts w:ascii="Times New Roman" w:hAnsi="Times New Roman"/>
          <w:sz w:val="24"/>
          <w:szCs w:val="24"/>
        </w:rPr>
        <w:t xml:space="preserve"> forest cover</w:t>
      </w:r>
      <w:r w:rsidR="0028495C" w:rsidRPr="00F96673">
        <w:rPr>
          <w:rFonts w:ascii="Times New Roman" w:hAnsi="Times New Roman"/>
          <w:sz w:val="24"/>
          <w:szCs w:val="24"/>
        </w:rPr>
        <w:t>.</w:t>
      </w:r>
    </w:p>
    <w:p w:rsidR="00112830"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p</w:t>
      </w:r>
      <w:r w:rsidR="00112830">
        <w:rPr>
          <w:rFonts w:ascii="Times New Roman" w:hAnsi="Times New Roman"/>
          <w:b/>
          <w:i/>
          <w:sz w:val="24"/>
          <w:szCs w:val="24"/>
        </w:rPr>
        <w:t>roject</w:t>
      </w:r>
      <w:proofErr w:type="gramEnd"/>
      <w:r w:rsidR="00112830" w:rsidRPr="00112830">
        <w:rPr>
          <w:rFonts w:ascii="Times New Roman" w:hAnsi="Times New Roman"/>
          <w:b/>
          <w:i/>
          <w:sz w:val="24"/>
          <w:szCs w:val="24"/>
        </w:rPr>
        <w:t xml:space="preserve"> model</w:t>
      </w:r>
      <w:r w:rsidR="00112830">
        <w:rPr>
          <w:rFonts w:ascii="Times New Roman" w:hAnsi="Times New Roman"/>
          <w:sz w:val="24"/>
          <w:szCs w:val="24"/>
        </w:rPr>
        <w:t xml:space="preserve"> refers to the simulation in FullCAM used to </w:t>
      </w:r>
      <w:r w:rsidR="00112830" w:rsidRPr="00112830">
        <w:rPr>
          <w:rFonts w:ascii="Times New Roman" w:hAnsi="Times New Roman"/>
          <w:sz w:val="24"/>
          <w:szCs w:val="24"/>
        </w:rPr>
        <w:t xml:space="preserve">estimate </w:t>
      </w:r>
      <w:r w:rsidR="001B1471">
        <w:rPr>
          <w:rFonts w:ascii="Times New Roman" w:hAnsi="Times New Roman"/>
          <w:sz w:val="24"/>
          <w:szCs w:val="24"/>
        </w:rPr>
        <w:t xml:space="preserve">project </w:t>
      </w:r>
      <w:r w:rsidR="00112830" w:rsidRPr="00112830">
        <w:rPr>
          <w:rFonts w:ascii="Times New Roman" w:hAnsi="Times New Roman"/>
          <w:sz w:val="24"/>
          <w:szCs w:val="24"/>
        </w:rPr>
        <w:t xml:space="preserve">carbon stocks that </w:t>
      </w:r>
      <w:r w:rsidR="00112830" w:rsidRPr="00285899">
        <w:rPr>
          <w:rFonts w:ascii="Times New Roman" w:hAnsi="Times New Roman"/>
          <w:sz w:val="24"/>
          <w:szCs w:val="24"/>
        </w:rPr>
        <w:t>reflect</w:t>
      </w:r>
      <w:r w:rsidR="00285899">
        <w:rPr>
          <w:rFonts w:ascii="Times New Roman" w:hAnsi="Times New Roman"/>
          <w:sz w:val="24"/>
          <w:szCs w:val="24"/>
        </w:rPr>
        <w:t>s</w:t>
      </w:r>
      <w:r w:rsidR="00112830" w:rsidRPr="00112830">
        <w:rPr>
          <w:rFonts w:ascii="Times New Roman" w:hAnsi="Times New Roman"/>
          <w:sz w:val="24"/>
          <w:szCs w:val="24"/>
        </w:rPr>
        <w:t xml:space="preserve"> the age of regrowth within the project</w:t>
      </w:r>
      <w:r w:rsidR="00216746">
        <w:rPr>
          <w:rFonts w:ascii="Times New Roman" w:hAnsi="Times New Roman"/>
          <w:sz w:val="24"/>
          <w:szCs w:val="24"/>
        </w:rPr>
        <w:t xml:space="preserve"> area</w:t>
      </w:r>
      <w:r w:rsidR="00112830" w:rsidRPr="00112830">
        <w:rPr>
          <w:rFonts w:ascii="Times New Roman" w:hAnsi="Times New Roman"/>
          <w:sz w:val="24"/>
          <w:szCs w:val="24"/>
        </w:rPr>
        <w:t xml:space="preserve">, observed climate, </w:t>
      </w:r>
      <w:r w:rsidR="000B66BD">
        <w:rPr>
          <w:rFonts w:ascii="Times New Roman" w:hAnsi="Times New Roman"/>
          <w:sz w:val="24"/>
          <w:szCs w:val="24"/>
        </w:rPr>
        <w:t>as well as</w:t>
      </w:r>
      <w:r w:rsidR="00112830" w:rsidRPr="00112830">
        <w:rPr>
          <w:rFonts w:ascii="Times New Roman" w:hAnsi="Times New Roman"/>
          <w:sz w:val="24"/>
          <w:szCs w:val="24"/>
        </w:rPr>
        <w:t xml:space="preserve"> real activities and disturbances subsequent to the establishment of the project such as thinning and fire.  </w:t>
      </w:r>
      <w:r w:rsidR="00112830" w:rsidRPr="00112830">
        <w:rPr>
          <w:rFonts w:ascii="Times New Roman" w:hAnsi="Times New Roman"/>
          <w:sz w:val="24"/>
          <w:szCs w:val="24"/>
        </w:rPr>
        <w:lastRenderedPageBreak/>
        <w:t>The</w:t>
      </w:r>
      <w:r w:rsidR="008350AE">
        <w:rPr>
          <w:rFonts w:ascii="Times New Roman" w:hAnsi="Times New Roman"/>
          <w:sz w:val="24"/>
          <w:szCs w:val="24"/>
        </w:rPr>
        <w:t> </w:t>
      </w:r>
      <w:r w:rsidR="00112830" w:rsidRPr="00112830">
        <w:rPr>
          <w:rFonts w:ascii="Times New Roman" w:hAnsi="Times New Roman"/>
          <w:sz w:val="24"/>
          <w:szCs w:val="24"/>
        </w:rPr>
        <w:t xml:space="preserve">difference between the average baseline and total project models forms the basis of abatement calculations and claims for ACCUs.  </w:t>
      </w:r>
    </w:p>
    <w:p w:rsidR="00D30ABC"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r</w:t>
      </w:r>
      <w:r w:rsidR="00D30ABC" w:rsidRPr="00164E25">
        <w:rPr>
          <w:rFonts w:ascii="Times New Roman" w:hAnsi="Times New Roman"/>
          <w:b/>
          <w:i/>
          <w:sz w:val="24"/>
          <w:szCs w:val="24"/>
        </w:rPr>
        <w:t>egeneration</w:t>
      </w:r>
      <w:proofErr w:type="gramEnd"/>
      <w:r w:rsidR="00D30ABC">
        <w:rPr>
          <w:rFonts w:ascii="Times New Roman" w:hAnsi="Times New Roman"/>
          <w:sz w:val="24"/>
          <w:szCs w:val="24"/>
        </w:rPr>
        <w:t xml:space="preserve"> refers to the </w:t>
      </w:r>
      <w:r w:rsidR="000B66BD">
        <w:rPr>
          <w:rFonts w:ascii="Times New Roman" w:hAnsi="Times New Roman"/>
          <w:sz w:val="24"/>
          <w:szCs w:val="24"/>
        </w:rPr>
        <w:t xml:space="preserve">regrowing of </w:t>
      </w:r>
      <w:r w:rsidR="00D30ABC">
        <w:rPr>
          <w:rFonts w:ascii="Times New Roman" w:hAnsi="Times New Roman"/>
          <w:sz w:val="24"/>
          <w:szCs w:val="24"/>
        </w:rPr>
        <w:t xml:space="preserve">stems (or trees) </w:t>
      </w:r>
      <w:r w:rsidR="00D30ABC" w:rsidRPr="00164E25">
        <w:rPr>
          <w:rFonts w:ascii="Times New Roman" w:hAnsi="Times New Roman"/>
          <w:sz w:val="24"/>
          <w:szCs w:val="24"/>
        </w:rPr>
        <w:t xml:space="preserve">originating from growth of in-situ seed, lignotubers or rootstock sources. </w:t>
      </w:r>
      <w:r w:rsidR="00E42531">
        <w:rPr>
          <w:rFonts w:ascii="Times New Roman" w:hAnsi="Times New Roman"/>
          <w:sz w:val="24"/>
          <w:szCs w:val="24"/>
        </w:rPr>
        <w:t>The</w:t>
      </w:r>
      <w:r w:rsidR="00D30ABC" w:rsidRPr="00164E25">
        <w:rPr>
          <w:rFonts w:ascii="Times New Roman" w:hAnsi="Times New Roman"/>
          <w:sz w:val="24"/>
          <w:szCs w:val="24"/>
        </w:rPr>
        <w:t xml:space="preserve"> stems will be comprised of Australian native plant species that are indigenous to the local area and which can consist of a mix of tree and understory species</w:t>
      </w:r>
      <w:r w:rsidR="00164E25" w:rsidRPr="00164E25">
        <w:rPr>
          <w:rFonts w:ascii="Times New Roman" w:hAnsi="Times New Roman"/>
          <w:sz w:val="24"/>
          <w:szCs w:val="24"/>
        </w:rPr>
        <w:t>,</w:t>
      </w:r>
      <w:r w:rsidR="00D30ABC" w:rsidRPr="00164E25">
        <w:rPr>
          <w:rFonts w:ascii="Times New Roman" w:hAnsi="Times New Roman"/>
          <w:sz w:val="24"/>
          <w:szCs w:val="24"/>
        </w:rPr>
        <w:t xml:space="preserve"> or a single species if monocultures naturally occur in the area. </w:t>
      </w:r>
      <w:r w:rsidR="00164E25">
        <w:rPr>
          <w:rFonts w:ascii="Times New Roman" w:hAnsi="Times New Roman"/>
          <w:sz w:val="24"/>
          <w:szCs w:val="24"/>
        </w:rPr>
        <w:t xml:space="preserve"> In the Determination r</w:t>
      </w:r>
      <w:r w:rsidR="00D30ABC" w:rsidRPr="00164E25">
        <w:rPr>
          <w:rFonts w:ascii="Times New Roman" w:hAnsi="Times New Roman"/>
          <w:sz w:val="24"/>
          <w:szCs w:val="24"/>
        </w:rPr>
        <w:t xml:space="preserve">egeneration is </w:t>
      </w:r>
      <w:r w:rsidR="00164E25">
        <w:rPr>
          <w:rFonts w:ascii="Times New Roman" w:hAnsi="Times New Roman"/>
          <w:sz w:val="24"/>
          <w:szCs w:val="24"/>
        </w:rPr>
        <w:t>taken</w:t>
      </w:r>
      <w:r w:rsidR="00D30ABC" w:rsidRPr="00164E25">
        <w:rPr>
          <w:rFonts w:ascii="Times New Roman" w:hAnsi="Times New Roman"/>
          <w:sz w:val="24"/>
          <w:szCs w:val="24"/>
        </w:rPr>
        <w:t xml:space="preserve"> to occur simultaneously within a single </w:t>
      </w:r>
      <w:r w:rsidR="00164E25" w:rsidRPr="00164E25">
        <w:rPr>
          <w:rFonts w:ascii="Times New Roman" w:hAnsi="Times New Roman"/>
          <w:sz w:val="24"/>
          <w:szCs w:val="24"/>
        </w:rPr>
        <w:t>carbon estimation area</w:t>
      </w:r>
      <w:r w:rsidR="00D30ABC" w:rsidRPr="00164E25">
        <w:rPr>
          <w:rFonts w:ascii="Times New Roman" w:hAnsi="Times New Roman"/>
          <w:sz w:val="24"/>
          <w:szCs w:val="24"/>
        </w:rPr>
        <w:t>.</w:t>
      </w:r>
    </w:p>
    <w:p w:rsidR="00DA0BB1" w:rsidRDefault="007040CE" w:rsidP="00986D81">
      <w:pPr>
        <w:spacing w:after="120" w:line="240" w:lineRule="auto"/>
        <w:rPr>
          <w:rFonts w:ascii="Times New Roman" w:hAnsi="Times New Roman"/>
          <w:sz w:val="24"/>
          <w:szCs w:val="24"/>
        </w:rPr>
      </w:pPr>
      <w:proofErr w:type="gramStart"/>
      <w:r>
        <w:rPr>
          <w:rFonts w:ascii="Times New Roman" w:hAnsi="Times New Roman"/>
          <w:b/>
          <w:i/>
          <w:sz w:val="24"/>
          <w:szCs w:val="24"/>
        </w:rPr>
        <w:t>t</w:t>
      </w:r>
      <w:r w:rsidR="00DA0BB1" w:rsidRPr="00DA0BB1">
        <w:rPr>
          <w:rFonts w:ascii="Times New Roman" w:hAnsi="Times New Roman"/>
          <w:b/>
          <w:i/>
          <w:sz w:val="24"/>
          <w:szCs w:val="24"/>
        </w:rPr>
        <w:t>ree</w:t>
      </w:r>
      <w:proofErr w:type="gramEnd"/>
      <w:r w:rsidR="00DA0BB1">
        <w:rPr>
          <w:rFonts w:ascii="Times New Roman" w:hAnsi="Times New Roman"/>
          <w:sz w:val="24"/>
          <w:szCs w:val="24"/>
        </w:rPr>
        <w:t xml:space="preserve"> refers to a</w:t>
      </w:r>
      <w:r w:rsidR="00DA0BB1" w:rsidRPr="00DA0BB1">
        <w:rPr>
          <w:rFonts w:ascii="Times New Roman" w:hAnsi="Times New Roman"/>
          <w:sz w:val="24"/>
          <w:szCs w:val="24"/>
        </w:rPr>
        <w:t xml:space="preserve"> perennial plant that has primary supporting structures consisting of secondary xylem</w:t>
      </w:r>
      <w:r w:rsidR="00DA0BB1">
        <w:rPr>
          <w:rFonts w:ascii="Times New Roman" w:hAnsi="Times New Roman"/>
          <w:sz w:val="24"/>
          <w:szCs w:val="24"/>
        </w:rPr>
        <w:t xml:space="preserve">, as defined in </w:t>
      </w:r>
      <w:r w:rsidR="00DA0BB1" w:rsidRPr="00DA0BB1">
        <w:rPr>
          <w:rFonts w:ascii="Times New Roman" w:hAnsi="Times New Roman"/>
          <w:sz w:val="24"/>
          <w:szCs w:val="24"/>
        </w:rPr>
        <w:t>the</w:t>
      </w:r>
      <w:r w:rsidR="00DA0BB1" w:rsidRPr="00E42CE5">
        <w:t xml:space="preserve"> </w:t>
      </w:r>
      <w:r w:rsidR="00DA0BB1" w:rsidRPr="00DA0BB1">
        <w:rPr>
          <w:rFonts w:ascii="Times New Roman" w:hAnsi="Times New Roman"/>
          <w:i/>
          <w:sz w:val="24"/>
          <w:szCs w:val="24"/>
        </w:rPr>
        <w:t>Carbon Credits (Carbon Farming Initiative) Regulations 2011</w:t>
      </w:r>
      <w:r w:rsidR="00DA0BB1">
        <w:rPr>
          <w:rFonts w:ascii="Times New Roman" w:hAnsi="Times New Roman"/>
          <w:sz w:val="24"/>
          <w:szCs w:val="24"/>
        </w:rPr>
        <w:t xml:space="preserve"> (the Regulations).</w:t>
      </w:r>
    </w:p>
    <w:p w:rsidR="00340544" w:rsidRPr="00DA0BB1" w:rsidRDefault="00340544" w:rsidP="00986D81">
      <w:pPr>
        <w:spacing w:after="120" w:line="240" w:lineRule="auto"/>
        <w:ind w:left="1134" w:hanging="567"/>
        <w:rPr>
          <w:rFonts w:ascii="Times New Roman" w:hAnsi="Times New Roman"/>
          <w:sz w:val="24"/>
          <w:szCs w:val="24"/>
        </w:rPr>
      </w:pPr>
      <w:r w:rsidRPr="00DA0BB1">
        <w:rPr>
          <w:rFonts w:ascii="Times New Roman" w:hAnsi="Times New Roman"/>
          <w:b/>
          <w:i/>
          <w:sz w:val="24"/>
          <w:szCs w:val="24"/>
        </w:rPr>
        <w:t>Note</w:t>
      </w:r>
      <w:r w:rsidRPr="00DA0BB1">
        <w:rPr>
          <w:rFonts w:ascii="Times New Roman" w:hAnsi="Times New Roman"/>
          <w:sz w:val="24"/>
          <w:szCs w:val="24"/>
        </w:rPr>
        <w:t xml:space="preserve"> </w:t>
      </w:r>
      <w:r w:rsidRPr="00DA0BB1">
        <w:rPr>
          <w:rFonts w:ascii="Times New Roman" w:hAnsi="Times New Roman"/>
          <w:sz w:val="24"/>
          <w:szCs w:val="24"/>
        </w:rPr>
        <w:tab/>
      </w:r>
      <w:r w:rsidR="00674E3B" w:rsidRPr="00DA0BB1">
        <w:rPr>
          <w:rFonts w:ascii="Times New Roman" w:hAnsi="Times New Roman"/>
          <w:sz w:val="24"/>
          <w:szCs w:val="24"/>
        </w:rPr>
        <w:t>In accordance with</w:t>
      </w:r>
      <w:r w:rsidRPr="00DA0BB1">
        <w:rPr>
          <w:rFonts w:ascii="Times New Roman" w:hAnsi="Times New Roman"/>
          <w:sz w:val="24"/>
          <w:szCs w:val="24"/>
        </w:rPr>
        <w:t xml:space="preserve"> section 23 of the </w:t>
      </w:r>
      <w:r w:rsidRPr="00DA0BB1">
        <w:rPr>
          <w:rFonts w:ascii="Times New Roman" w:hAnsi="Times New Roman"/>
          <w:i/>
          <w:sz w:val="24"/>
          <w:szCs w:val="24"/>
        </w:rPr>
        <w:t>Acts Interpretation Act 1901</w:t>
      </w:r>
      <w:r w:rsidRPr="00DA0BB1">
        <w:rPr>
          <w:rFonts w:ascii="Times New Roman" w:hAnsi="Times New Roman"/>
          <w:sz w:val="24"/>
          <w:szCs w:val="24"/>
        </w:rPr>
        <w:t xml:space="preserve">, words in the </w:t>
      </w:r>
      <w:r w:rsidR="00674E3B" w:rsidRPr="00DA0BB1">
        <w:rPr>
          <w:rFonts w:ascii="Times New Roman" w:hAnsi="Times New Roman"/>
          <w:sz w:val="24"/>
          <w:szCs w:val="24"/>
        </w:rPr>
        <w:t>D</w:t>
      </w:r>
      <w:r w:rsidRPr="00DA0BB1">
        <w:rPr>
          <w:rFonts w:ascii="Times New Roman" w:hAnsi="Times New Roman"/>
          <w:sz w:val="24"/>
          <w:szCs w:val="24"/>
        </w:rPr>
        <w:t>etermination in the singular number include the plural and words in the plural number include the singular.</w:t>
      </w:r>
    </w:p>
    <w:p w:rsidR="00915BEF" w:rsidRPr="00DA0BB1" w:rsidRDefault="00915BEF" w:rsidP="00986D81">
      <w:pPr>
        <w:keepNext/>
        <w:spacing w:after="120" w:line="240" w:lineRule="auto"/>
        <w:rPr>
          <w:rFonts w:ascii="Times New Roman" w:hAnsi="Times New Roman"/>
          <w:sz w:val="24"/>
          <w:szCs w:val="24"/>
          <w:u w:val="single"/>
        </w:rPr>
      </w:pPr>
      <w:r w:rsidRPr="00DA0BB1">
        <w:rPr>
          <w:rFonts w:ascii="Times New Roman" w:hAnsi="Times New Roman"/>
          <w:sz w:val="24"/>
          <w:szCs w:val="24"/>
          <w:u w:val="single"/>
        </w:rPr>
        <w:t>1.4</w:t>
      </w:r>
      <w:r w:rsidRPr="00DA0BB1">
        <w:rPr>
          <w:rFonts w:ascii="Times New Roman" w:hAnsi="Times New Roman"/>
          <w:sz w:val="24"/>
          <w:szCs w:val="24"/>
          <w:u w:val="single"/>
        </w:rPr>
        <w:tab/>
        <w:t>Type of project to which this Determination applies</w:t>
      </w:r>
    </w:p>
    <w:p w:rsidR="00A90287" w:rsidRDefault="00915BEF" w:rsidP="00986D81">
      <w:pPr>
        <w:keepNext/>
        <w:spacing w:after="120" w:line="240" w:lineRule="auto"/>
        <w:rPr>
          <w:rFonts w:ascii="Times New Roman" w:hAnsi="Times New Roman"/>
          <w:sz w:val="24"/>
          <w:szCs w:val="24"/>
        </w:rPr>
      </w:pPr>
      <w:r w:rsidRPr="00DA0BB1">
        <w:rPr>
          <w:rFonts w:ascii="Times New Roman" w:hAnsi="Times New Roman"/>
          <w:sz w:val="24"/>
          <w:szCs w:val="24"/>
        </w:rPr>
        <w:t>The effect of</w:t>
      </w:r>
      <w:r w:rsidR="00F17BC1" w:rsidRPr="00DA0BB1">
        <w:rPr>
          <w:rFonts w:ascii="Times New Roman" w:hAnsi="Times New Roman"/>
          <w:sz w:val="24"/>
          <w:szCs w:val="24"/>
        </w:rPr>
        <w:t xml:space="preserve"> paragraph</w:t>
      </w:r>
      <w:r w:rsidR="009C6C4C" w:rsidRPr="00DA0BB1">
        <w:rPr>
          <w:rFonts w:ascii="Times New Roman" w:hAnsi="Times New Roman"/>
          <w:sz w:val="24"/>
          <w:szCs w:val="24"/>
        </w:rPr>
        <w:t>s 27(4</w:t>
      </w:r>
      <w:proofErr w:type="gramStart"/>
      <w:r w:rsidR="009C6C4C" w:rsidRPr="00DA0BB1">
        <w:rPr>
          <w:rFonts w:ascii="Times New Roman" w:hAnsi="Times New Roman"/>
          <w:sz w:val="24"/>
          <w:szCs w:val="24"/>
        </w:rPr>
        <w:t>)(</w:t>
      </w:r>
      <w:proofErr w:type="gramEnd"/>
      <w:r w:rsidR="009C6C4C" w:rsidRPr="00DA0BB1">
        <w:rPr>
          <w:rFonts w:ascii="Times New Roman" w:hAnsi="Times New Roman"/>
          <w:sz w:val="24"/>
          <w:szCs w:val="24"/>
        </w:rPr>
        <w:t>b) and</w:t>
      </w:r>
      <w:r w:rsidR="00F17BC1" w:rsidRPr="00DA0BB1">
        <w:rPr>
          <w:rFonts w:ascii="Times New Roman" w:hAnsi="Times New Roman"/>
          <w:sz w:val="24"/>
          <w:szCs w:val="24"/>
        </w:rPr>
        <w:t xml:space="preserve"> 106(1)</w:t>
      </w:r>
      <w:r w:rsidRPr="00DA0BB1">
        <w:rPr>
          <w:rFonts w:ascii="Times New Roman" w:hAnsi="Times New Roman"/>
          <w:sz w:val="24"/>
          <w:szCs w:val="24"/>
        </w:rPr>
        <w:t xml:space="preserve">(a) of the Act is that a </w:t>
      </w:r>
      <w:r w:rsidR="009C6C4C" w:rsidRPr="00DA0BB1">
        <w:rPr>
          <w:rFonts w:ascii="Times New Roman" w:hAnsi="Times New Roman"/>
          <w:sz w:val="24"/>
          <w:szCs w:val="24"/>
        </w:rPr>
        <w:t xml:space="preserve">project must be covered by a </w:t>
      </w:r>
      <w:r w:rsidRPr="00DA0BB1">
        <w:rPr>
          <w:rFonts w:ascii="Times New Roman" w:hAnsi="Times New Roman"/>
          <w:sz w:val="24"/>
          <w:szCs w:val="24"/>
        </w:rPr>
        <w:t>methodology determination</w:t>
      </w:r>
      <w:r w:rsidR="009C6C4C" w:rsidRPr="00DA0BB1">
        <w:rPr>
          <w:rFonts w:ascii="Times New Roman" w:hAnsi="Times New Roman"/>
          <w:sz w:val="24"/>
          <w:szCs w:val="24"/>
        </w:rPr>
        <w:t xml:space="preserve">, and </w:t>
      </w:r>
      <w:r w:rsidR="00DA0BB1" w:rsidRPr="00DA0BB1">
        <w:rPr>
          <w:rFonts w:ascii="Times New Roman" w:hAnsi="Times New Roman"/>
          <w:sz w:val="24"/>
          <w:szCs w:val="24"/>
        </w:rPr>
        <w:t xml:space="preserve">that </w:t>
      </w:r>
      <w:r w:rsidR="009C6C4C" w:rsidRPr="00DA0BB1">
        <w:rPr>
          <w:rFonts w:ascii="Times New Roman" w:hAnsi="Times New Roman"/>
          <w:sz w:val="24"/>
          <w:szCs w:val="24"/>
        </w:rPr>
        <w:t xml:space="preserve">the </w:t>
      </w:r>
      <w:r w:rsidR="00985C9E" w:rsidRPr="00DA0BB1">
        <w:rPr>
          <w:rFonts w:ascii="Times New Roman" w:hAnsi="Times New Roman"/>
          <w:sz w:val="24"/>
          <w:szCs w:val="24"/>
        </w:rPr>
        <w:t xml:space="preserve">methodology </w:t>
      </w:r>
      <w:r w:rsidR="009C6C4C" w:rsidRPr="00DA0BB1">
        <w:rPr>
          <w:rFonts w:ascii="Times New Roman" w:hAnsi="Times New Roman"/>
          <w:sz w:val="24"/>
          <w:szCs w:val="24"/>
        </w:rPr>
        <w:t>determination</w:t>
      </w:r>
      <w:r w:rsidRPr="00DA0BB1">
        <w:rPr>
          <w:rFonts w:ascii="Times New Roman" w:hAnsi="Times New Roman"/>
          <w:sz w:val="24"/>
          <w:szCs w:val="24"/>
        </w:rPr>
        <w:t xml:space="preserve"> must </w:t>
      </w:r>
      <w:r w:rsidR="00F13046" w:rsidRPr="00DA0BB1">
        <w:rPr>
          <w:rFonts w:ascii="Times New Roman" w:hAnsi="Times New Roman"/>
          <w:sz w:val="24"/>
          <w:szCs w:val="24"/>
        </w:rPr>
        <w:t xml:space="preserve">specify the </w:t>
      </w:r>
      <w:r w:rsidRPr="00DA0BB1">
        <w:rPr>
          <w:rFonts w:ascii="Times New Roman" w:hAnsi="Times New Roman"/>
          <w:sz w:val="24"/>
          <w:szCs w:val="24"/>
        </w:rPr>
        <w:t>kind of offsets project</w:t>
      </w:r>
      <w:r w:rsidR="00F13046" w:rsidRPr="00DA0BB1">
        <w:rPr>
          <w:rFonts w:ascii="Times New Roman" w:hAnsi="Times New Roman"/>
          <w:sz w:val="24"/>
          <w:szCs w:val="24"/>
        </w:rPr>
        <w:t xml:space="preserve"> to which </w:t>
      </w:r>
      <w:r w:rsidR="004E67CA">
        <w:rPr>
          <w:rFonts w:ascii="Times New Roman" w:hAnsi="Times New Roman"/>
          <w:sz w:val="24"/>
          <w:szCs w:val="24"/>
        </w:rPr>
        <w:t>it</w:t>
      </w:r>
      <w:r w:rsidR="00F13046" w:rsidRPr="00DA0BB1">
        <w:rPr>
          <w:rFonts w:ascii="Times New Roman" w:hAnsi="Times New Roman"/>
          <w:sz w:val="24"/>
          <w:szCs w:val="24"/>
        </w:rPr>
        <w:t xml:space="preserve"> applies</w:t>
      </w:r>
      <w:r w:rsidRPr="00DA0BB1">
        <w:rPr>
          <w:rFonts w:ascii="Times New Roman" w:hAnsi="Times New Roman"/>
          <w:sz w:val="24"/>
          <w:szCs w:val="24"/>
        </w:rPr>
        <w:t>.</w:t>
      </w:r>
      <w:r w:rsidR="00CB03A9" w:rsidRPr="00DA0BB1">
        <w:rPr>
          <w:rFonts w:ascii="Times New Roman" w:hAnsi="Times New Roman"/>
          <w:sz w:val="24"/>
          <w:szCs w:val="24"/>
        </w:rPr>
        <w:t xml:space="preserve">  </w:t>
      </w:r>
    </w:p>
    <w:p w:rsidR="004E67CA" w:rsidRDefault="006F7F5B" w:rsidP="00551621">
      <w:pPr>
        <w:spacing w:after="120" w:line="240" w:lineRule="auto"/>
        <w:rPr>
          <w:rFonts w:ascii="Times New Roman" w:hAnsi="Times New Roman"/>
          <w:sz w:val="24"/>
          <w:szCs w:val="24"/>
        </w:rPr>
      </w:pPr>
      <w:r>
        <w:rPr>
          <w:rFonts w:ascii="Times New Roman" w:hAnsi="Times New Roman"/>
          <w:sz w:val="24"/>
          <w:szCs w:val="24"/>
        </w:rPr>
        <w:t xml:space="preserve">The Determination applies to the type of project specified in </w:t>
      </w:r>
      <w:r w:rsidR="00551621">
        <w:rPr>
          <w:rFonts w:ascii="Times New Roman" w:hAnsi="Times New Roman"/>
          <w:sz w:val="24"/>
          <w:szCs w:val="24"/>
        </w:rPr>
        <w:t>subparagraph 3.28(1</w:t>
      </w:r>
      <w:proofErr w:type="gramStart"/>
      <w:r w:rsidR="00551621">
        <w:rPr>
          <w:rFonts w:ascii="Times New Roman" w:hAnsi="Times New Roman"/>
          <w:sz w:val="24"/>
          <w:szCs w:val="24"/>
        </w:rPr>
        <w:t>)(</w:t>
      </w:r>
      <w:proofErr w:type="gramEnd"/>
      <w:r w:rsidR="00551621">
        <w:rPr>
          <w:rFonts w:ascii="Times New Roman" w:hAnsi="Times New Roman"/>
          <w:sz w:val="24"/>
          <w:szCs w:val="24"/>
        </w:rPr>
        <w:t xml:space="preserve">c)(v) </w:t>
      </w:r>
      <w:r>
        <w:rPr>
          <w:rFonts w:ascii="Times New Roman" w:hAnsi="Times New Roman"/>
          <w:sz w:val="24"/>
          <w:szCs w:val="24"/>
        </w:rPr>
        <w:t>of the Regulations.</w:t>
      </w:r>
      <w:r w:rsidR="00551621">
        <w:rPr>
          <w:rFonts w:ascii="Times New Roman" w:hAnsi="Times New Roman"/>
          <w:sz w:val="24"/>
          <w:szCs w:val="24"/>
        </w:rPr>
        <w:t xml:space="preserve">  In particular,</w:t>
      </w:r>
      <w:r w:rsidR="004E67CA" w:rsidRPr="004E67CA">
        <w:rPr>
          <w:rFonts w:ascii="Times New Roman" w:hAnsi="Times New Roman"/>
          <w:sz w:val="24"/>
          <w:szCs w:val="24"/>
        </w:rPr>
        <w:t xml:space="preserve"> </w:t>
      </w:r>
      <w:r w:rsidR="004E67CA">
        <w:rPr>
          <w:rFonts w:ascii="Times New Roman" w:hAnsi="Times New Roman"/>
          <w:sz w:val="24"/>
          <w:szCs w:val="24"/>
        </w:rPr>
        <w:t>the Determination applies to a project that consists of:</w:t>
      </w:r>
    </w:p>
    <w:p w:rsidR="004E67CA" w:rsidRPr="004E67CA" w:rsidRDefault="004E67CA" w:rsidP="00AE7A3E">
      <w:pPr>
        <w:pStyle w:val="tPara"/>
        <w:numPr>
          <w:ilvl w:val="0"/>
          <w:numId w:val="9"/>
        </w:numPr>
        <w:spacing w:after="120" w:line="240" w:lineRule="auto"/>
        <w:rPr>
          <w:rFonts w:ascii="Times New Roman" w:eastAsia="Calibri" w:hAnsi="Times New Roman" w:cs="Times New Roman"/>
          <w:sz w:val="24"/>
          <w:szCs w:val="24"/>
        </w:rPr>
      </w:pPr>
      <w:r w:rsidRPr="004E67CA">
        <w:rPr>
          <w:rFonts w:ascii="Times New Roman" w:eastAsia="Calibri" w:hAnsi="Times New Roman" w:cs="Times New Roman"/>
          <w:sz w:val="24"/>
          <w:szCs w:val="24"/>
        </w:rPr>
        <w:tab/>
        <w:t xml:space="preserve">a change in land management on or after 1 July 2007; and </w:t>
      </w:r>
    </w:p>
    <w:p w:rsidR="004E67CA" w:rsidRPr="004E67CA" w:rsidRDefault="004E67CA" w:rsidP="00AE7A3E">
      <w:pPr>
        <w:pStyle w:val="tPara"/>
        <w:numPr>
          <w:ilvl w:val="0"/>
          <w:numId w:val="9"/>
        </w:numPr>
        <w:spacing w:after="120" w:line="240" w:lineRule="auto"/>
        <w:rPr>
          <w:rFonts w:ascii="Times New Roman" w:eastAsia="Calibri" w:hAnsi="Times New Roman" w:cs="Times New Roman"/>
          <w:sz w:val="24"/>
          <w:szCs w:val="24"/>
        </w:rPr>
      </w:pPr>
      <w:r w:rsidRPr="004E67CA">
        <w:rPr>
          <w:rFonts w:ascii="Times New Roman" w:eastAsia="Calibri" w:hAnsi="Times New Roman" w:cs="Times New Roman"/>
          <w:sz w:val="24"/>
          <w:szCs w:val="24"/>
        </w:rPr>
        <w:tab/>
      </w:r>
      <w:proofErr w:type="gramStart"/>
      <w:r w:rsidR="00985C9E">
        <w:rPr>
          <w:rFonts w:ascii="Times New Roman" w:eastAsia="Calibri" w:hAnsi="Times New Roman" w:cs="Times New Roman"/>
          <w:sz w:val="24"/>
          <w:szCs w:val="24"/>
        </w:rPr>
        <w:t>regrowth</w:t>
      </w:r>
      <w:proofErr w:type="gramEnd"/>
      <w:r w:rsidRPr="004E67CA">
        <w:rPr>
          <w:rFonts w:ascii="Times New Roman" w:eastAsia="Calibri" w:hAnsi="Times New Roman" w:cs="Times New Roman"/>
          <w:sz w:val="24"/>
          <w:szCs w:val="24"/>
        </w:rPr>
        <w:t xml:space="preserve"> that </w:t>
      </w:r>
      <w:r w:rsidR="00FF7D5F">
        <w:rPr>
          <w:rFonts w:ascii="Times New Roman" w:eastAsia="Calibri" w:hAnsi="Times New Roman" w:cs="Times New Roman"/>
          <w:sz w:val="24"/>
          <w:szCs w:val="24"/>
        </w:rPr>
        <w:t xml:space="preserve">will </w:t>
      </w:r>
      <w:r w:rsidR="00216746">
        <w:rPr>
          <w:rFonts w:ascii="Times New Roman" w:eastAsia="Calibri" w:hAnsi="Times New Roman" w:cs="Times New Roman"/>
          <w:sz w:val="24"/>
          <w:szCs w:val="24"/>
        </w:rPr>
        <w:t>achieve</w:t>
      </w:r>
      <w:r w:rsidR="00FF7D5F">
        <w:rPr>
          <w:rFonts w:ascii="Times New Roman" w:eastAsia="Calibri" w:hAnsi="Times New Roman" w:cs="Times New Roman"/>
          <w:sz w:val="24"/>
          <w:szCs w:val="24"/>
        </w:rPr>
        <w:t xml:space="preserve"> forest</w:t>
      </w:r>
      <w:r w:rsidR="00216746">
        <w:rPr>
          <w:rFonts w:ascii="Times New Roman" w:eastAsia="Calibri" w:hAnsi="Times New Roman" w:cs="Times New Roman"/>
          <w:sz w:val="24"/>
          <w:szCs w:val="24"/>
        </w:rPr>
        <w:t xml:space="preserve"> cover</w:t>
      </w:r>
      <w:r w:rsidR="00FF7D5F">
        <w:rPr>
          <w:rFonts w:ascii="Times New Roman" w:eastAsia="Calibri" w:hAnsi="Times New Roman" w:cs="Times New Roman"/>
          <w:sz w:val="24"/>
          <w:szCs w:val="24"/>
        </w:rPr>
        <w:t xml:space="preserve"> as</w:t>
      </w:r>
      <w:r w:rsidRPr="004E67CA">
        <w:rPr>
          <w:rFonts w:ascii="Times New Roman" w:eastAsia="Calibri" w:hAnsi="Times New Roman" w:cs="Times New Roman"/>
          <w:sz w:val="24"/>
          <w:szCs w:val="24"/>
        </w:rPr>
        <w:t xml:space="preserve"> a direct result of the change in land management.</w:t>
      </w:r>
    </w:p>
    <w:p w:rsidR="004E67CA" w:rsidRPr="004E67CA" w:rsidRDefault="004E67CA" w:rsidP="00986D81">
      <w:pPr>
        <w:spacing w:after="120" w:line="240" w:lineRule="auto"/>
        <w:rPr>
          <w:rFonts w:ascii="Times New Roman" w:hAnsi="Times New Roman"/>
          <w:sz w:val="24"/>
          <w:szCs w:val="24"/>
        </w:rPr>
      </w:pPr>
    </w:p>
    <w:p w:rsidR="00AA4B6D" w:rsidRPr="00DD6F62" w:rsidRDefault="00AA4B6D" w:rsidP="00986D81">
      <w:pPr>
        <w:spacing w:after="120" w:line="240" w:lineRule="auto"/>
        <w:rPr>
          <w:rFonts w:ascii="Times New Roman" w:hAnsi="Times New Roman"/>
          <w:b/>
          <w:color w:val="808080" w:themeColor="background1" w:themeShade="80"/>
          <w:sz w:val="24"/>
          <w:szCs w:val="24"/>
        </w:rPr>
      </w:pPr>
      <w:r w:rsidRPr="00DD6F62">
        <w:rPr>
          <w:rFonts w:ascii="Times New Roman" w:hAnsi="Times New Roman"/>
          <w:b/>
          <w:color w:val="808080" w:themeColor="background1" w:themeShade="80"/>
          <w:sz w:val="24"/>
          <w:szCs w:val="24"/>
        </w:rPr>
        <w:br w:type="page"/>
      </w:r>
    </w:p>
    <w:p w:rsidR="00915BEF" w:rsidRPr="006F7F5B" w:rsidRDefault="00915BEF" w:rsidP="00986D81">
      <w:pPr>
        <w:keepNext/>
        <w:spacing w:after="120" w:line="240" w:lineRule="auto"/>
        <w:rPr>
          <w:rFonts w:ascii="Times New Roman" w:hAnsi="Times New Roman"/>
          <w:b/>
          <w:sz w:val="24"/>
          <w:szCs w:val="24"/>
        </w:rPr>
      </w:pPr>
      <w:r w:rsidRPr="006F7F5B">
        <w:rPr>
          <w:rFonts w:ascii="Times New Roman" w:hAnsi="Times New Roman"/>
          <w:b/>
          <w:sz w:val="24"/>
          <w:szCs w:val="24"/>
        </w:rPr>
        <w:lastRenderedPageBreak/>
        <w:t>Part 2</w:t>
      </w:r>
      <w:r w:rsidRPr="006F7F5B">
        <w:rPr>
          <w:rFonts w:ascii="Times New Roman" w:hAnsi="Times New Roman"/>
          <w:b/>
          <w:sz w:val="24"/>
          <w:szCs w:val="24"/>
        </w:rPr>
        <w:tab/>
      </w:r>
      <w:r w:rsidRPr="006F7F5B">
        <w:rPr>
          <w:rFonts w:ascii="Times New Roman" w:hAnsi="Times New Roman"/>
          <w:b/>
          <w:sz w:val="24"/>
          <w:szCs w:val="24"/>
        </w:rPr>
        <w:tab/>
        <w:t>Requirements for declaration as eligible project</w:t>
      </w:r>
    </w:p>
    <w:p w:rsidR="004D0187" w:rsidRPr="00985C9E" w:rsidRDefault="004D0187" w:rsidP="00986D81">
      <w:pPr>
        <w:spacing w:after="120" w:line="240" w:lineRule="auto"/>
        <w:rPr>
          <w:rFonts w:ascii="Times New Roman" w:hAnsi="Times New Roman"/>
          <w:color w:val="000000" w:themeColor="text1"/>
          <w:sz w:val="24"/>
          <w:szCs w:val="24"/>
          <w:u w:val="single"/>
        </w:rPr>
      </w:pPr>
      <w:r w:rsidRPr="00985C9E">
        <w:rPr>
          <w:rFonts w:ascii="Times New Roman" w:hAnsi="Times New Roman"/>
          <w:color w:val="000000" w:themeColor="text1"/>
          <w:sz w:val="24"/>
          <w:szCs w:val="24"/>
          <w:u w:val="single"/>
        </w:rPr>
        <w:t xml:space="preserve">2.1 </w:t>
      </w:r>
      <w:r w:rsidRPr="00985C9E">
        <w:rPr>
          <w:rFonts w:ascii="Times New Roman" w:hAnsi="Times New Roman"/>
          <w:color w:val="000000" w:themeColor="text1"/>
          <w:sz w:val="24"/>
          <w:szCs w:val="24"/>
          <w:u w:val="single"/>
        </w:rPr>
        <w:tab/>
        <w:t>Eligible projects</w:t>
      </w:r>
    </w:p>
    <w:p w:rsidR="004D0187" w:rsidRPr="007B1363" w:rsidRDefault="000D40C6" w:rsidP="00986D81">
      <w:pPr>
        <w:spacing w:after="120" w:line="240" w:lineRule="auto"/>
        <w:rPr>
          <w:rFonts w:ascii="Times New Roman" w:hAnsi="Times New Roman"/>
          <w:sz w:val="24"/>
          <w:szCs w:val="24"/>
        </w:rPr>
      </w:pPr>
      <w:r w:rsidRPr="007B1363">
        <w:rPr>
          <w:rFonts w:ascii="Times New Roman" w:hAnsi="Times New Roman"/>
          <w:sz w:val="24"/>
          <w:szCs w:val="24"/>
        </w:rPr>
        <w:t>The effect of paragraph 106(1</w:t>
      </w:r>
      <w:proofErr w:type="gramStart"/>
      <w:r w:rsidRPr="007B1363">
        <w:rPr>
          <w:rFonts w:ascii="Times New Roman" w:hAnsi="Times New Roman"/>
          <w:sz w:val="24"/>
          <w:szCs w:val="24"/>
        </w:rPr>
        <w:t>)</w:t>
      </w:r>
      <w:r w:rsidR="004D0187" w:rsidRPr="007B1363">
        <w:rPr>
          <w:rFonts w:ascii="Times New Roman" w:hAnsi="Times New Roman"/>
          <w:sz w:val="24"/>
          <w:szCs w:val="24"/>
        </w:rPr>
        <w:t>(</w:t>
      </w:r>
      <w:proofErr w:type="gramEnd"/>
      <w:r w:rsidR="004D0187" w:rsidRPr="007B1363">
        <w:rPr>
          <w:rFonts w:ascii="Times New Roman" w:hAnsi="Times New Roman"/>
          <w:sz w:val="24"/>
          <w:szCs w:val="24"/>
        </w:rPr>
        <w:t xml:space="preserve">b) of the Act is that a methodology determination must set out requirements that must be met for </w:t>
      </w:r>
      <w:r w:rsidR="007B1363">
        <w:rPr>
          <w:rFonts w:ascii="Times New Roman" w:hAnsi="Times New Roman"/>
          <w:sz w:val="24"/>
          <w:szCs w:val="24"/>
        </w:rPr>
        <w:t>a</w:t>
      </w:r>
      <w:r w:rsidR="004D0187" w:rsidRPr="007B1363">
        <w:rPr>
          <w:rFonts w:ascii="Times New Roman" w:hAnsi="Times New Roman"/>
          <w:sz w:val="24"/>
          <w:szCs w:val="24"/>
        </w:rPr>
        <w:t xml:space="preserve"> project to be an eligible offsets project. </w:t>
      </w:r>
      <w:r w:rsidR="009631AF" w:rsidRPr="007B1363">
        <w:rPr>
          <w:rFonts w:ascii="Times New Roman" w:hAnsi="Times New Roman"/>
          <w:sz w:val="24"/>
          <w:szCs w:val="24"/>
        </w:rPr>
        <w:t xml:space="preserve"> Under p</w:t>
      </w:r>
      <w:r w:rsidRPr="007B1363">
        <w:rPr>
          <w:rFonts w:ascii="Times New Roman" w:hAnsi="Times New Roman"/>
          <w:sz w:val="24"/>
          <w:szCs w:val="24"/>
        </w:rPr>
        <w:t>aragraph</w:t>
      </w:r>
      <w:r w:rsidR="007B1363">
        <w:rPr>
          <w:rFonts w:ascii="Times New Roman" w:hAnsi="Times New Roman"/>
          <w:sz w:val="24"/>
          <w:szCs w:val="24"/>
        </w:rPr>
        <w:t> </w:t>
      </w:r>
      <w:r w:rsidRPr="007B1363">
        <w:rPr>
          <w:rFonts w:ascii="Times New Roman" w:hAnsi="Times New Roman"/>
          <w:sz w:val="24"/>
          <w:szCs w:val="24"/>
        </w:rPr>
        <w:t>27(4</w:t>
      </w:r>
      <w:proofErr w:type="gramStart"/>
      <w:r w:rsidRPr="007B1363">
        <w:rPr>
          <w:rFonts w:ascii="Times New Roman" w:hAnsi="Times New Roman"/>
          <w:sz w:val="24"/>
          <w:szCs w:val="24"/>
        </w:rPr>
        <w:t>)</w:t>
      </w:r>
      <w:r w:rsidR="004D0187" w:rsidRPr="007B1363">
        <w:rPr>
          <w:rFonts w:ascii="Times New Roman" w:hAnsi="Times New Roman"/>
          <w:sz w:val="24"/>
          <w:szCs w:val="24"/>
        </w:rPr>
        <w:t>(</w:t>
      </w:r>
      <w:proofErr w:type="gramEnd"/>
      <w:r w:rsidR="004D0187" w:rsidRPr="007B1363">
        <w:rPr>
          <w:rFonts w:ascii="Times New Roman" w:hAnsi="Times New Roman"/>
          <w:sz w:val="24"/>
          <w:szCs w:val="24"/>
        </w:rPr>
        <w:t>c) of the Act</w:t>
      </w:r>
      <w:r w:rsidR="009631AF" w:rsidRPr="007B1363">
        <w:rPr>
          <w:rFonts w:ascii="Times New Roman" w:hAnsi="Times New Roman"/>
          <w:sz w:val="24"/>
          <w:szCs w:val="24"/>
        </w:rPr>
        <w:t>, the Regulator must not declare that an offsets project is an eligible offsets project unless the Regulator is satisfied that the project meets these requirements.</w:t>
      </w:r>
    </w:p>
    <w:p w:rsidR="004D0187" w:rsidRDefault="002012AB" w:rsidP="00986D81">
      <w:pPr>
        <w:spacing w:after="120" w:line="240" w:lineRule="auto"/>
        <w:rPr>
          <w:rFonts w:ascii="Times New Roman" w:hAnsi="Times New Roman"/>
          <w:sz w:val="24"/>
          <w:szCs w:val="24"/>
        </w:rPr>
      </w:pPr>
      <w:r w:rsidRPr="007B1363">
        <w:rPr>
          <w:rFonts w:ascii="Times New Roman" w:hAnsi="Times New Roman"/>
          <w:sz w:val="24"/>
          <w:szCs w:val="24"/>
        </w:rPr>
        <w:t>Part 2</w:t>
      </w:r>
      <w:r w:rsidR="004D0187" w:rsidRPr="007B1363">
        <w:rPr>
          <w:rFonts w:ascii="Times New Roman" w:hAnsi="Times New Roman"/>
          <w:sz w:val="24"/>
          <w:szCs w:val="24"/>
        </w:rPr>
        <w:t xml:space="preserve"> </w:t>
      </w:r>
      <w:r w:rsidR="000751CD" w:rsidRPr="007B1363">
        <w:rPr>
          <w:rFonts w:ascii="Times New Roman" w:hAnsi="Times New Roman"/>
          <w:sz w:val="24"/>
          <w:szCs w:val="24"/>
        </w:rPr>
        <w:t xml:space="preserve">of the Determination </w:t>
      </w:r>
      <w:r w:rsidR="004D0187" w:rsidRPr="007B1363">
        <w:rPr>
          <w:rFonts w:ascii="Times New Roman" w:hAnsi="Times New Roman"/>
          <w:sz w:val="24"/>
          <w:szCs w:val="24"/>
        </w:rPr>
        <w:t>specif</w:t>
      </w:r>
      <w:r w:rsidRPr="007B1363">
        <w:rPr>
          <w:rFonts w:ascii="Times New Roman" w:hAnsi="Times New Roman"/>
          <w:sz w:val="24"/>
          <w:szCs w:val="24"/>
        </w:rPr>
        <w:t>ies</w:t>
      </w:r>
      <w:r w:rsidR="004D0187" w:rsidRPr="007B1363">
        <w:rPr>
          <w:rFonts w:ascii="Times New Roman" w:hAnsi="Times New Roman"/>
          <w:sz w:val="24"/>
          <w:szCs w:val="24"/>
        </w:rPr>
        <w:t xml:space="preserve"> a number of requirements that must be met </w:t>
      </w:r>
      <w:r w:rsidR="00B339D1" w:rsidRPr="007B1363">
        <w:rPr>
          <w:rFonts w:ascii="Times New Roman" w:hAnsi="Times New Roman"/>
          <w:sz w:val="24"/>
          <w:szCs w:val="24"/>
        </w:rPr>
        <w:t xml:space="preserve">in order </w:t>
      </w:r>
      <w:r w:rsidR="004D0187" w:rsidRPr="007B1363">
        <w:rPr>
          <w:rFonts w:ascii="Times New Roman" w:hAnsi="Times New Roman"/>
          <w:sz w:val="24"/>
          <w:szCs w:val="24"/>
        </w:rPr>
        <w:t xml:space="preserve">for a project </w:t>
      </w:r>
      <w:r w:rsidR="007B1363">
        <w:rPr>
          <w:rFonts w:ascii="Times New Roman" w:hAnsi="Times New Roman"/>
          <w:sz w:val="24"/>
          <w:szCs w:val="24"/>
        </w:rPr>
        <w:t xml:space="preserve">to which the Determination applies </w:t>
      </w:r>
      <w:r w:rsidR="00B339D1" w:rsidRPr="007B1363">
        <w:rPr>
          <w:rFonts w:ascii="Times New Roman" w:hAnsi="Times New Roman"/>
          <w:sz w:val="24"/>
          <w:szCs w:val="24"/>
        </w:rPr>
        <w:t xml:space="preserve">to </w:t>
      </w:r>
      <w:r w:rsidR="004D0187" w:rsidRPr="007B1363">
        <w:rPr>
          <w:rFonts w:ascii="Times New Roman" w:hAnsi="Times New Roman"/>
          <w:sz w:val="24"/>
          <w:szCs w:val="24"/>
        </w:rPr>
        <w:t xml:space="preserve">be </w:t>
      </w:r>
      <w:r w:rsidR="0077593B" w:rsidRPr="007B1363">
        <w:rPr>
          <w:rFonts w:ascii="Times New Roman" w:hAnsi="Times New Roman"/>
          <w:sz w:val="24"/>
          <w:szCs w:val="24"/>
        </w:rPr>
        <w:t xml:space="preserve">declared </w:t>
      </w:r>
      <w:r w:rsidR="004D0187" w:rsidRPr="007B1363">
        <w:rPr>
          <w:rFonts w:ascii="Times New Roman" w:hAnsi="Times New Roman"/>
          <w:sz w:val="24"/>
          <w:szCs w:val="24"/>
        </w:rPr>
        <w:t>an eligible offsets project</w:t>
      </w:r>
      <w:r w:rsidR="005869E0" w:rsidRPr="007B1363">
        <w:rPr>
          <w:rFonts w:ascii="Times New Roman" w:hAnsi="Times New Roman"/>
          <w:sz w:val="24"/>
          <w:szCs w:val="24"/>
        </w:rPr>
        <w:t>.</w:t>
      </w:r>
    </w:p>
    <w:p w:rsidR="00AC13A7" w:rsidRPr="007B1363" w:rsidRDefault="006B78B6" w:rsidP="00986D81">
      <w:pPr>
        <w:spacing w:after="120" w:line="240" w:lineRule="auto"/>
        <w:rPr>
          <w:rFonts w:ascii="Times New Roman" w:hAnsi="Times New Roman"/>
          <w:sz w:val="24"/>
          <w:szCs w:val="24"/>
        </w:rPr>
      </w:pPr>
      <w:r>
        <w:rPr>
          <w:rFonts w:ascii="Times New Roman" w:hAnsi="Times New Roman"/>
          <w:sz w:val="24"/>
          <w:szCs w:val="24"/>
        </w:rPr>
        <w:t xml:space="preserve">The note to </w:t>
      </w:r>
      <w:r w:rsidR="00AC13A7">
        <w:rPr>
          <w:rFonts w:ascii="Times New Roman" w:hAnsi="Times New Roman"/>
          <w:sz w:val="24"/>
          <w:szCs w:val="24"/>
        </w:rPr>
        <w:t xml:space="preserve">section 2.1 refers to </w:t>
      </w:r>
      <w:r>
        <w:rPr>
          <w:rFonts w:ascii="Times New Roman" w:hAnsi="Times New Roman"/>
          <w:sz w:val="24"/>
          <w:szCs w:val="24"/>
        </w:rPr>
        <w:t xml:space="preserve">regulatory </w:t>
      </w:r>
      <w:r w:rsidR="00B06A9E">
        <w:rPr>
          <w:rFonts w:ascii="Times New Roman" w:hAnsi="Times New Roman"/>
          <w:sz w:val="24"/>
          <w:szCs w:val="24"/>
        </w:rPr>
        <w:t xml:space="preserve">requirements for applications for declarations.  In particular, the note refers to </w:t>
      </w:r>
      <w:r w:rsidR="00AC13A7">
        <w:rPr>
          <w:rFonts w:ascii="Times New Roman" w:hAnsi="Times New Roman"/>
          <w:sz w:val="24"/>
          <w:szCs w:val="24"/>
        </w:rPr>
        <w:t>regulation 3.36 of the Regulations</w:t>
      </w:r>
      <w:r w:rsidR="00B06A9E">
        <w:rPr>
          <w:rFonts w:ascii="Times New Roman" w:hAnsi="Times New Roman"/>
          <w:sz w:val="24"/>
          <w:szCs w:val="24"/>
        </w:rPr>
        <w:t>.  This regulation</w:t>
      </w:r>
      <w:r w:rsidR="00AC13A7">
        <w:rPr>
          <w:rFonts w:ascii="Times New Roman" w:hAnsi="Times New Roman"/>
          <w:sz w:val="24"/>
          <w:szCs w:val="24"/>
        </w:rPr>
        <w:t xml:space="preserve"> sets out the types of projects that are excluded offsets projects.  Under </w:t>
      </w:r>
      <w:r w:rsidR="00B06A9E">
        <w:rPr>
          <w:rFonts w:ascii="Times New Roman" w:hAnsi="Times New Roman"/>
          <w:sz w:val="24"/>
          <w:szCs w:val="24"/>
        </w:rPr>
        <w:t>paragraph </w:t>
      </w:r>
      <w:r w:rsidR="00AC13A7">
        <w:rPr>
          <w:rFonts w:ascii="Times New Roman" w:hAnsi="Times New Roman"/>
          <w:sz w:val="24"/>
          <w:szCs w:val="24"/>
        </w:rPr>
        <w:t>27(4</w:t>
      </w:r>
      <w:proofErr w:type="gramStart"/>
      <w:r w:rsidR="00AC13A7">
        <w:rPr>
          <w:rFonts w:ascii="Times New Roman" w:hAnsi="Times New Roman"/>
          <w:sz w:val="24"/>
          <w:szCs w:val="24"/>
        </w:rPr>
        <w:t>)(</w:t>
      </w:r>
      <w:proofErr w:type="gramEnd"/>
      <w:r w:rsidR="00AC13A7">
        <w:rPr>
          <w:rFonts w:ascii="Times New Roman" w:hAnsi="Times New Roman"/>
          <w:sz w:val="24"/>
          <w:szCs w:val="24"/>
        </w:rPr>
        <w:t xml:space="preserve">m) of the Act excluded projects cannot be declared as eligible offsets projects. </w:t>
      </w:r>
    </w:p>
    <w:p w:rsidR="00223982" w:rsidRPr="0081535D" w:rsidRDefault="00223982" w:rsidP="00223982">
      <w:pPr>
        <w:keepNext/>
        <w:spacing w:after="120" w:line="240" w:lineRule="auto"/>
        <w:rPr>
          <w:rFonts w:ascii="Times New Roman" w:hAnsi="Times New Roman"/>
          <w:color w:val="000000" w:themeColor="text1"/>
          <w:sz w:val="24"/>
          <w:szCs w:val="24"/>
          <w:u w:val="single"/>
        </w:rPr>
      </w:pPr>
      <w:r w:rsidRPr="0081535D">
        <w:rPr>
          <w:rFonts w:ascii="Times New Roman" w:hAnsi="Times New Roman"/>
          <w:color w:val="000000" w:themeColor="text1"/>
          <w:sz w:val="24"/>
          <w:szCs w:val="24"/>
          <w:u w:val="single"/>
        </w:rPr>
        <w:t>2.</w:t>
      </w:r>
      <w:r>
        <w:rPr>
          <w:rFonts w:ascii="Times New Roman" w:hAnsi="Times New Roman"/>
          <w:color w:val="000000" w:themeColor="text1"/>
          <w:sz w:val="24"/>
          <w:szCs w:val="24"/>
          <w:u w:val="single"/>
        </w:rPr>
        <w:t>2</w:t>
      </w:r>
      <w:r w:rsidRPr="0081535D">
        <w:rPr>
          <w:rFonts w:ascii="Times New Roman" w:hAnsi="Times New Roman"/>
          <w:color w:val="000000" w:themeColor="text1"/>
          <w:sz w:val="24"/>
          <w:szCs w:val="24"/>
          <w:u w:val="single"/>
        </w:rPr>
        <w:t xml:space="preserve"> </w:t>
      </w:r>
      <w:r w:rsidRPr="0081535D">
        <w:rPr>
          <w:rFonts w:ascii="Times New Roman" w:hAnsi="Times New Roman"/>
          <w:color w:val="000000" w:themeColor="text1"/>
          <w:sz w:val="24"/>
          <w:szCs w:val="24"/>
          <w:u w:val="single"/>
        </w:rPr>
        <w:tab/>
        <w:t>Project mechanism</w:t>
      </w:r>
    </w:p>
    <w:p w:rsidR="00223982" w:rsidRPr="00C7115F" w:rsidRDefault="00223982" w:rsidP="00223982">
      <w:pPr>
        <w:spacing w:after="120" w:line="240" w:lineRule="auto"/>
        <w:rPr>
          <w:rFonts w:ascii="Times New Roman" w:hAnsi="Times New Roman"/>
          <w:color w:val="000000" w:themeColor="text1"/>
          <w:sz w:val="24"/>
          <w:szCs w:val="24"/>
        </w:rPr>
      </w:pPr>
      <w:r w:rsidRPr="0081535D">
        <w:rPr>
          <w:rFonts w:ascii="Times New Roman" w:hAnsi="Times New Roman"/>
          <w:color w:val="000000" w:themeColor="text1"/>
          <w:sz w:val="24"/>
          <w:szCs w:val="24"/>
        </w:rPr>
        <w:t>Section 2.</w:t>
      </w:r>
      <w:r>
        <w:rPr>
          <w:rFonts w:ascii="Times New Roman" w:hAnsi="Times New Roman"/>
          <w:color w:val="000000" w:themeColor="text1"/>
          <w:sz w:val="24"/>
          <w:szCs w:val="24"/>
        </w:rPr>
        <w:t>2</w:t>
      </w:r>
      <w:r w:rsidRPr="0081535D">
        <w:rPr>
          <w:rFonts w:ascii="Times New Roman" w:hAnsi="Times New Roman"/>
          <w:color w:val="000000" w:themeColor="text1"/>
          <w:sz w:val="24"/>
          <w:szCs w:val="24"/>
        </w:rPr>
        <w:t xml:space="preserve"> specifies that the project must consist of a change in land management which allows native vegetation to achieve forest cover, thereby realising forest potential. </w:t>
      </w:r>
      <w:r w:rsidRPr="00C7115F">
        <w:rPr>
          <w:rFonts w:ascii="Times New Roman" w:hAnsi="Times New Roman"/>
          <w:color w:val="000000" w:themeColor="text1"/>
          <w:sz w:val="24"/>
          <w:szCs w:val="24"/>
        </w:rPr>
        <w:t xml:space="preserve">The project mechanism, or activity, is the promotion or management of regeneration from sources </w:t>
      </w:r>
      <w:r w:rsidR="005C0D4E">
        <w:rPr>
          <w:rFonts w:ascii="Times New Roman" w:hAnsi="Times New Roman"/>
          <w:color w:val="000000" w:themeColor="text1"/>
          <w:sz w:val="24"/>
          <w:szCs w:val="24"/>
        </w:rPr>
        <w:t>including in-situ seeds and</w:t>
      </w:r>
      <w:r w:rsidRPr="00C7115F">
        <w:rPr>
          <w:rFonts w:ascii="Times New Roman" w:hAnsi="Times New Roman"/>
          <w:color w:val="000000" w:themeColor="text1"/>
          <w:sz w:val="24"/>
          <w:szCs w:val="24"/>
        </w:rPr>
        <w:t xml:space="preserve"> lignotubers.</w:t>
      </w:r>
    </w:p>
    <w:p w:rsidR="00223982" w:rsidRDefault="00223982" w:rsidP="00223982">
      <w:pPr>
        <w:spacing w:after="120" w:line="240" w:lineRule="auto"/>
        <w:rPr>
          <w:rFonts w:ascii="Times New Roman" w:hAnsi="Times New Roman"/>
          <w:color w:val="000000" w:themeColor="text1"/>
          <w:sz w:val="24"/>
          <w:szCs w:val="24"/>
        </w:rPr>
      </w:pPr>
      <w:r w:rsidRPr="00C7115F">
        <w:rPr>
          <w:rFonts w:ascii="Times New Roman" w:hAnsi="Times New Roman"/>
          <w:color w:val="000000" w:themeColor="text1"/>
          <w:sz w:val="24"/>
          <w:szCs w:val="24"/>
        </w:rPr>
        <w:t>The Determination does not apply to projects that involve direct seeding or planting.</w:t>
      </w:r>
    </w:p>
    <w:p w:rsidR="00223982" w:rsidRPr="00223982" w:rsidRDefault="00223982" w:rsidP="00223982">
      <w:pPr>
        <w:spacing w:after="120" w:line="240" w:lineRule="auto"/>
        <w:rPr>
          <w:rFonts w:ascii="Times New Roman" w:hAnsi="Times New Roman"/>
          <w:color w:val="000000" w:themeColor="text1"/>
          <w:sz w:val="24"/>
          <w:szCs w:val="24"/>
          <w:u w:val="single"/>
        </w:rPr>
      </w:pPr>
      <w:r w:rsidRPr="00223982">
        <w:rPr>
          <w:rFonts w:ascii="Times New Roman" w:hAnsi="Times New Roman"/>
          <w:color w:val="000000" w:themeColor="text1"/>
          <w:sz w:val="24"/>
          <w:szCs w:val="24"/>
          <w:u w:val="single"/>
        </w:rPr>
        <w:t>2.3</w:t>
      </w:r>
      <w:r w:rsidRPr="00223982">
        <w:rPr>
          <w:rFonts w:ascii="Times New Roman" w:hAnsi="Times New Roman"/>
          <w:color w:val="000000" w:themeColor="text1"/>
          <w:sz w:val="24"/>
          <w:szCs w:val="24"/>
          <w:u w:val="single"/>
        </w:rPr>
        <w:tab/>
        <w:t>Decision to implement project mechanism</w:t>
      </w:r>
    </w:p>
    <w:p w:rsidR="00223982" w:rsidRDefault="00223982" w:rsidP="00223982">
      <w:pPr>
        <w:spacing w:after="120" w:line="240" w:lineRule="auto"/>
        <w:rPr>
          <w:rFonts w:ascii="Times New Roman" w:hAnsi="Times New Roman"/>
          <w:sz w:val="24"/>
          <w:szCs w:val="24"/>
        </w:rPr>
      </w:pPr>
      <w:r>
        <w:rPr>
          <w:rFonts w:ascii="Times New Roman" w:hAnsi="Times New Roman"/>
          <w:sz w:val="24"/>
          <w:szCs w:val="24"/>
        </w:rPr>
        <w:t xml:space="preserve">The effect of subsection 2.3(1) is that the project proponent must be able to provide evidence of a </w:t>
      </w:r>
      <w:r w:rsidRPr="00FC28A3">
        <w:rPr>
          <w:rFonts w:ascii="Times New Roman" w:hAnsi="Times New Roman"/>
          <w:sz w:val="24"/>
          <w:szCs w:val="24"/>
        </w:rPr>
        <w:t>decision</w:t>
      </w:r>
      <w:r>
        <w:rPr>
          <w:rFonts w:ascii="Times New Roman" w:hAnsi="Times New Roman"/>
          <w:sz w:val="24"/>
          <w:szCs w:val="24"/>
        </w:rPr>
        <w:t xml:space="preserve"> to </w:t>
      </w:r>
      <w:r w:rsidR="006B78B6">
        <w:rPr>
          <w:rFonts w:ascii="Times New Roman" w:hAnsi="Times New Roman"/>
          <w:sz w:val="24"/>
          <w:szCs w:val="24"/>
        </w:rPr>
        <w:t>implement the project mechanism</w:t>
      </w:r>
      <w:r>
        <w:rPr>
          <w:rFonts w:ascii="Times New Roman" w:hAnsi="Times New Roman"/>
          <w:sz w:val="24"/>
          <w:szCs w:val="24"/>
        </w:rPr>
        <w:t>.  The project proponent must decide to move away from pasture maintenance practices that suppress or destroy regeneration, to a new management regime that facilitates native tree regeneration and growth.</w:t>
      </w:r>
    </w:p>
    <w:p w:rsidR="00223982" w:rsidRDefault="00223982" w:rsidP="00223982">
      <w:pPr>
        <w:spacing w:after="120" w:line="240" w:lineRule="auto"/>
        <w:rPr>
          <w:rFonts w:ascii="Times New Roman" w:hAnsi="Times New Roman"/>
          <w:color w:val="000000" w:themeColor="text1"/>
          <w:sz w:val="24"/>
          <w:szCs w:val="24"/>
        </w:rPr>
      </w:pPr>
      <w:r w:rsidRPr="00223982">
        <w:rPr>
          <w:rFonts w:ascii="Times New Roman" w:hAnsi="Times New Roman"/>
          <w:color w:val="000000" w:themeColor="text1"/>
          <w:sz w:val="24"/>
          <w:szCs w:val="24"/>
        </w:rPr>
        <w:t xml:space="preserve">Subsection 2.3(2) </w:t>
      </w:r>
      <w:r>
        <w:rPr>
          <w:rFonts w:ascii="Times New Roman" w:hAnsi="Times New Roman"/>
          <w:color w:val="000000" w:themeColor="text1"/>
          <w:sz w:val="24"/>
          <w:szCs w:val="24"/>
        </w:rPr>
        <w:t>specifies the date when the decision is taken to be made</w:t>
      </w:r>
      <w:r w:rsidR="002219D1">
        <w:rPr>
          <w:rFonts w:ascii="Times New Roman" w:hAnsi="Times New Roman"/>
          <w:color w:val="000000" w:themeColor="text1"/>
          <w:sz w:val="24"/>
          <w:szCs w:val="24"/>
        </w:rPr>
        <w:t>.  This</w:t>
      </w:r>
      <w:r>
        <w:rPr>
          <w:rFonts w:ascii="Times New Roman" w:hAnsi="Times New Roman"/>
          <w:color w:val="000000" w:themeColor="text1"/>
          <w:sz w:val="24"/>
          <w:szCs w:val="24"/>
        </w:rPr>
        <w:t xml:space="preserve"> </w:t>
      </w:r>
      <w:r w:rsidR="002219D1">
        <w:rPr>
          <w:rFonts w:ascii="Times New Roman" w:hAnsi="Times New Roman"/>
          <w:color w:val="000000" w:themeColor="text1"/>
          <w:sz w:val="24"/>
          <w:szCs w:val="24"/>
        </w:rPr>
        <w:t>will be</w:t>
      </w:r>
      <w:r>
        <w:rPr>
          <w:rFonts w:ascii="Times New Roman" w:hAnsi="Times New Roman"/>
          <w:color w:val="000000" w:themeColor="text1"/>
          <w:sz w:val="24"/>
          <w:szCs w:val="24"/>
        </w:rPr>
        <w:t xml:space="preserve"> determined by the type of evidence provided to support the claim that a decision to implement the project mechanism </w:t>
      </w:r>
      <w:r w:rsidR="002219D1">
        <w:rPr>
          <w:rFonts w:ascii="Times New Roman" w:hAnsi="Times New Roman"/>
          <w:color w:val="000000" w:themeColor="text1"/>
          <w:sz w:val="24"/>
          <w:szCs w:val="24"/>
        </w:rPr>
        <w:t>has been made</w:t>
      </w:r>
      <w:r>
        <w:rPr>
          <w:rFonts w:ascii="Times New Roman" w:hAnsi="Times New Roman"/>
          <w:color w:val="000000" w:themeColor="text1"/>
          <w:sz w:val="24"/>
          <w:szCs w:val="24"/>
        </w:rPr>
        <w:t>.</w:t>
      </w:r>
    </w:p>
    <w:p w:rsidR="002219D1" w:rsidRPr="002219D1" w:rsidRDefault="002219D1" w:rsidP="00223982">
      <w:pPr>
        <w:spacing w:after="120" w:line="240" w:lineRule="auto"/>
        <w:rPr>
          <w:rFonts w:ascii="Times New Roman" w:hAnsi="Times New Roman"/>
          <w:color w:val="000000" w:themeColor="text1"/>
          <w:sz w:val="24"/>
          <w:szCs w:val="24"/>
          <w:u w:val="single"/>
        </w:rPr>
      </w:pPr>
      <w:r w:rsidRPr="002219D1">
        <w:rPr>
          <w:rFonts w:ascii="Times New Roman" w:hAnsi="Times New Roman"/>
          <w:color w:val="000000" w:themeColor="text1"/>
          <w:sz w:val="24"/>
          <w:szCs w:val="24"/>
          <w:u w:val="single"/>
        </w:rPr>
        <w:t>2.4</w:t>
      </w:r>
      <w:r w:rsidRPr="002219D1">
        <w:rPr>
          <w:rFonts w:ascii="Times New Roman" w:hAnsi="Times New Roman"/>
          <w:color w:val="000000" w:themeColor="text1"/>
          <w:sz w:val="24"/>
          <w:szCs w:val="24"/>
          <w:u w:val="single"/>
        </w:rPr>
        <w:tab/>
        <w:t>Land on which project mechanism is implemented</w:t>
      </w:r>
    </w:p>
    <w:p w:rsidR="002219D1" w:rsidRDefault="002219D1" w:rsidP="002219D1">
      <w:pPr>
        <w:spacing w:after="120" w:line="240" w:lineRule="auto"/>
        <w:rPr>
          <w:rFonts w:ascii="Times New Roman" w:hAnsi="Times New Roman"/>
          <w:color w:val="808080" w:themeColor="background1" w:themeShade="80"/>
          <w:sz w:val="24"/>
          <w:szCs w:val="24"/>
        </w:rPr>
      </w:pPr>
      <w:r w:rsidRPr="00B43628">
        <w:rPr>
          <w:rFonts w:ascii="Times New Roman" w:hAnsi="Times New Roman"/>
          <w:sz w:val="24"/>
          <w:szCs w:val="24"/>
        </w:rPr>
        <w:t>Section 2.</w:t>
      </w:r>
      <w:r>
        <w:rPr>
          <w:rFonts w:ascii="Times New Roman" w:hAnsi="Times New Roman"/>
          <w:sz w:val="24"/>
          <w:szCs w:val="24"/>
        </w:rPr>
        <w:t>4</w:t>
      </w:r>
      <w:r w:rsidRPr="00B43628">
        <w:rPr>
          <w:rFonts w:ascii="Times New Roman" w:hAnsi="Times New Roman"/>
          <w:sz w:val="24"/>
          <w:szCs w:val="24"/>
        </w:rPr>
        <w:t xml:space="preserve"> sets out the requirements for land where project activities may occur and, as a consequence, </w:t>
      </w:r>
      <w:r w:rsidR="00216746">
        <w:rPr>
          <w:rFonts w:ascii="Times New Roman" w:hAnsi="Times New Roman"/>
          <w:sz w:val="24"/>
          <w:szCs w:val="24"/>
        </w:rPr>
        <w:t xml:space="preserve">where </w:t>
      </w:r>
      <w:r w:rsidRPr="00B43628">
        <w:rPr>
          <w:rFonts w:ascii="Times New Roman" w:hAnsi="Times New Roman"/>
          <w:sz w:val="24"/>
          <w:szCs w:val="24"/>
        </w:rPr>
        <w:t>project abatement</w:t>
      </w:r>
      <w:r w:rsidR="00216746">
        <w:rPr>
          <w:rFonts w:ascii="Times New Roman" w:hAnsi="Times New Roman"/>
          <w:sz w:val="24"/>
          <w:szCs w:val="24"/>
        </w:rPr>
        <w:t xml:space="preserve"> will be</w:t>
      </w:r>
      <w:r w:rsidRPr="00B43628">
        <w:rPr>
          <w:rFonts w:ascii="Times New Roman" w:hAnsi="Times New Roman"/>
          <w:sz w:val="24"/>
          <w:szCs w:val="24"/>
        </w:rPr>
        <w:t xml:space="preserve"> estimated. </w:t>
      </w:r>
    </w:p>
    <w:p w:rsidR="005D117E" w:rsidRDefault="00631165" w:rsidP="00986D81">
      <w:pPr>
        <w:spacing w:after="120" w:line="240" w:lineRule="auto"/>
        <w:rPr>
          <w:rFonts w:ascii="Times New Roman" w:hAnsi="Times New Roman"/>
          <w:sz w:val="24"/>
          <w:szCs w:val="24"/>
        </w:rPr>
      </w:pPr>
      <w:r>
        <w:rPr>
          <w:rFonts w:ascii="Times New Roman" w:hAnsi="Times New Roman"/>
          <w:sz w:val="24"/>
          <w:szCs w:val="24"/>
        </w:rPr>
        <w:t>S</w:t>
      </w:r>
      <w:r w:rsidR="002219D1">
        <w:rPr>
          <w:rFonts w:ascii="Times New Roman" w:hAnsi="Times New Roman"/>
          <w:sz w:val="24"/>
          <w:szCs w:val="24"/>
        </w:rPr>
        <w:t>ubs</w:t>
      </w:r>
      <w:r>
        <w:rPr>
          <w:rFonts w:ascii="Times New Roman" w:hAnsi="Times New Roman"/>
          <w:sz w:val="24"/>
          <w:szCs w:val="24"/>
        </w:rPr>
        <w:t>ection 2.</w:t>
      </w:r>
      <w:r w:rsidR="002219D1">
        <w:rPr>
          <w:rFonts w:ascii="Times New Roman" w:hAnsi="Times New Roman"/>
          <w:sz w:val="24"/>
          <w:szCs w:val="24"/>
        </w:rPr>
        <w:t>4(</w:t>
      </w:r>
      <w:r>
        <w:rPr>
          <w:rFonts w:ascii="Times New Roman" w:hAnsi="Times New Roman"/>
          <w:sz w:val="24"/>
          <w:szCs w:val="24"/>
        </w:rPr>
        <w:t>2</w:t>
      </w:r>
      <w:r w:rsidR="002219D1">
        <w:rPr>
          <w:rFonts w:ascii="Times New Roman" w:hAnsi="Times New Roman"/>
          <w:sz w:val="24"/>
          <w:szCs w:val="24"/>
        </w:rPr>
        <w:t>)</w:t>
      </w:r>
      <w:r>
        <w:rPr>
          <w:rFonts w:ascii="Times New Roman" w:hAnsi="Times New Roman"/>
          <w:sz w:val="24"/>
          <w:szCs w:val="24"/>
        </w:rPr>
        <w:t xml:space="preserve"> specifies </w:t>
      </w:r>
      <w:r w:rsidR="00E533F9">
        <w:rPr>
          <w:rFonts w:ascii="Times New Roman" w:hAnsi="Times New Roman"/>
          <w:sz w:val="24"/>
          <w:szCs w:val="24"/>
        </w:rPr>
        <w:t xml:space="preserve">the area </w:t>
      </w:r>
      <w:r>
        <w:rPr>
          <w:rFonts w:ascii="Times New Roman" w:hAnsi="Times New Roman"/>
          <w:sz w:val="24"/>
          <w:szCs w:val="24"/>
        </w:rPr>
        <w:t xml:space="preserve">where a project to which the Determination applies may be located.  </w:t>
      </w:r>
      <w:r w:rsidR="00E533F9">
        <w:rPr>
          <w:rFonts w:ascii="Times New Roman" w:hAnsi="Times New Roman"/>
          <w:sz w:val="24"/>
          <w:szCs w:val="24"/>
        </w:rPr>
        <w:t xml:space="preserve">This must be an area for which FullCAM data exists.  FullCAM data currently exists for </w:t>
      </w:r>
      <w:r w:rsidR="00293C29">
        <w:rPr>
          <w:rFonts w:ascii="Times New Roman" w:hAnsi="Times New Roman"/>
          <w:sz w:val="24"/>
          <w:szCs w:val="24"/>
        </w:rPr>
        <w:t xml:space="preserve">land </w:t>
      </w:r>
      <w:r w:rsidR="00E533F9">
        <w:rPr>
          <w:rFonts w:ascii="Times New Roman" w:hAnsi="Times New Roman"/>
          <w:sz w:val="24"/>
          <w:szCs w:val="24"/>
        </w:rPr>
        <w:t xml:space="preserve">areas </w:t>
      </w:r>
      <w:r w:rsidRPr="00631165">
        <w:rPr>
          <w:rFonts w:ascii="Times New Roman" w:hAnsi="Times New Roman"/>
          <w:sz w:val="24"/>
          <w:szCs w:val="24"/>
        </w:rPr>
        <w:t xml:space="preserve">within </w:t>
      </w:r>
      <w:proofErr w:type="gramStart"/>
      <w:r w:rsidRPr="00631165">
        <w:rPr>
          <w:rFonts w:ascii="Times New Roman" w:hAnsi="Times New Roman"/>
          <w:sz w:val="24"/>
          <w:szCs w:val="24"/>
        </w:rPr>
        <w:t>a latitude</w:t>
      </w:r>
      <w:proofErr w:type="gramEnd"/>
      <w:r w:rsidRPr="00631165">
        <w:rPr>
          <w:rFonts w:ascii="Times New Roman" w:hAnsi="Times New Roman"/>
          <w:sz w:val="24"/>
          <w:szCs w:val="24"/>
        </w:rPr>
        <w:t xml:space="preserve"> of -9 to -44 degrees and longitude of 112 to 154 degrees.</w:t>
      </w:r>
    </w:p>
    <w:p w:rsidR="002219D1" w:rsidRDefault="002219D1" w:rsidP="002219D1">
      <w:pPr>
        <w:spacing w:after="120" w:line="240" w:lineRule="auto"/>
        <w:rPr>
          <w:rFonts w:ascii="Times New Roman" w:hAnsi="Times New Roman"/>
          <w:sz w:val="24"/>
          <w:szCs w:val="24"/>
        </w:rPr>
      </w:pPr>
      <w:r w:rsidRPr="00B43628">
        <w:rPr>
          <w:rFonts w:ascii="Times New Roman" w:hAnsi="Times New Roman"/>
          <w:sz w:val="24"/>
          <w:szCs w:val="24"/>
        </w:rPr>
        <w:t>Subsection</w:t>
      </w:r>
      <w:r>
        <w:rPr>
          <w:rFonts w:ascii="Times New Roman" w:hAnsi="Times New Roman"/>
          <w:sz w:val="24"/>
          <w:szCs w:val="24"/>
        </w:rPr>
        <w:t>s</w:t>
      </w:r>
      <w:r w:rsidRPr="00B43628">
        <w:rPr>
          <w:rFonts w:ascii="Times New Roman" w:hAnsi="Times New Roman"/>
          <w:sz w:val="24"/>
          <w:szCs w:val="24"/>
        </w:rPr>
        <w:t xml:space="preserve"> 2.</w:t>
      </w:r>
      <w:r>
        <w:rPr>
          <w:rFonts w:ascii="Times New Roman" w:hAnsi="Times New Roman"/>
          <w:sz w:val="24"/>
          <w:szCs w:val="24"/>
        </w:rPr>
        <w:t>4</w:t>
      </w:r>
      <w:r w:rsidRPr="00B43628">
        <w:rPr>
          <w:rFonts w:ascii="Times New Roman" w:hAnsi="Times New Roman"/>
          <w:sz w:val="24"/>
          <w:szCs w:val="24"/>
        </w:rPr>
        <w:t>(</w:t>
      </w:r>
      <w:r>
        <w:rPr>
          <w:rFonts w:ascii="Times New Roman" w:hAnsi="Times New Roman"/>
          <w:sz w:val="24"/>
          <w:szCs w:val="24"/>
        </w:rPr>
        <w:t>3</w:t>
      </w:r>
      <w:r w:rsidRPr="00B43628">
        <w:rPr>
          <w:rFonts w:ascii="Times New Roman" w:hAnsi="Times New Roman"/>
          <w:sz w:val="24"/>
          <w:szCs w:val="24"/>
        </w:rPr>
        <w:t xml:space="preserve">) </w:t>
      </w:r>
      <w:r>
        <w:rPr>
          <w:rFonts w:ascii="Times New Roman" w:hAnsi="Times New Roman"/>
          <w:sz w:val="24"/>
          <w:szCs w:val="24"/>
        </w:rPr>
        <w:t xml:space="preserve">and (4) </w:t>
      </w:r>
      <w:r w:rsidRPr="00B43628">
        <w:rPr>
          <w:rFonts w:ascii="Times New Roman" w:hAnsi="Times New Roman"/>
          <w:sz w:val="24"/>
          <w:szCs w:val="24"/>
        </w:rPr>
        <w:t xml:space="preserve">require that the project area must include land that </w:t>
      </w:r>
      <w:r>
        <w:rPr>
          <w:rFonts w:ascii="Times New Roman" w:hAnsi="Times New Roman"/>
          <w:sz w:val="24"/>
          <w:szCs w:val="24"/>
        </w:rPr>
        <w:t xml:space="preserve">has been </w:t>
      </w:r>
      <w:r w:rsidRPr="00B43628">
        <w:rPr>
          <w:rFonts w:ascii="Times New Roman" w:hAnsi="Times New Roman"/>
          <w:sz w:val="24"/>
          <w:szCs w:val="24"/>
        </w:rPr>
        <w:t xml:space="preserve">converted from forest to pastoral use. </w:t>
      </w:r>
      <w:r>
        <w:rPr>
          <w:rFonts w:ascii="Times New Roman" w:hAnsi="Times New Roman"/>
          <w:sz w:val="24"/>
          <w:szCs w:val="24"/>
        </w:rPr>
        <w:t xml:space="preserve"> </w:t>
      </w:r>
    </w:p>
    <w:p w:rsidR="002219D1" w:rsidRPr="00E72841" w:rsidRDefault="002219D1" w:rsidP="002219D1">
      <w:pPr>
        <w:spacing w:after="120" w:line="240" w:lineRule="auto"/>
        <w:rPr>
          <w:rFonts w:ascii="Times New Roman" w:hAnsi="Times New Roman"/>
          <w:sz w:val="24"/>
          <w:szCs w:val="24"/>
        </w:rPr>
      </w:pPr>
      <w:r>
        <w:rPr>
          <w:rFonts w:ascii="Times New Roman" w:hAnsi="Times New Roman"/>
          <w:sz w:val="24"/>
          <w:szCs w:val="24"/>
        </w:rPr>
        <w:t>Subsection 2.4(5) specifies that at the time of the decision to change land m</w:t>
      </w:r>
      <w:r w:rsidR="00216746">
        <w:rPr>
          <w:rFonts w:ascii="Times New Roman" w:hAnsi="Times New Roman"/>
          <w:sz w:val="24"/>
          <w:szCs w:val="24"/>
        </w:rPr>
        <w:t>anagement, the land must have</w:t>
      </w:r>
      <w:r>
        <w:rPr>
          <w:rFonts w:ascii="Times New Roman" w:hAnsi="Times New Roman"/>
          <w:sz w:val="24"/>
          <w:szCs w:val="24"/>
        </w:rPr>
        <w:t xml:space="preserve"> forest potential and native vegetation, but not forest cover.</w:t>
      </w:r>
    </w:p>
    <w:p w:rsidR="002219D1" w:rsidRPr="000A1221" w:rsidRDefault="002219D1" w:rsidP="002219D1">
      <w:pPr>
        <w:spacing w:after="120" w:line="240" w:lineRule="auto"/>
        <w:rPr>
          <w:rFonts w:ascii="Times New Roman" w:hAnsi="Times New Roman"/>
          <w:sz w:val="24"/>
          <w:szCs w:val="24"/>
        </w:rPr>
      </w:pPr>
      <w:r w:rsidRPr="000A1221">
        <w:rPr>
          <w:rFonts w:ascii="Times New Roman" w:hAnsi="Times New Roman"/>
          <w:sz w:val="24"/>
          <w:szCs w:val="24"/>
        </w:rPr>
        <w:t xml:space="preserve">The Determination uses the term ‘forest cover’ to distinguish </w:t>
      </w:r>
      <w:r>
        <w:rPr>
          <w:rFonts w:ascii="Times New Roman" w:hAnsi="Times New Roman"/>
          <w:sz w:val="24"/>
          <w:szCs w:val="24"/>
        </w:rPr>
        <w:t xml:space="preserve">between </w:t>
      </w:r>
      <w:r w:rsidRPr="000A1221">
        <w:rPr>
          <w:rFonts w:ascii="Times New Roman" w:hAnsi="Times New Roman"/>
          <w:sz w:val="24"/>
          <w:szCs w:val="24"/>
        </w:rPr>
        <w:t xml:space="preserve">trees that have </w:t>
      </w:r>
      <w:r w:rsidRPr="000A1221">
        <w:rPr>
          <w:rFonts w:ascii="Times New Roman" w:hAnsi="Times New Roman"/>
          <w:i/>
          <w:sz w:val="24"/>
          <w:szCs w:val="24"/>
        </w:rPr>
        <w:t>actually</w:t>
      </w:r>
      <w:r w:rsidRPr="000A1221">
        <w:rPr>
          <w:rFonts w:ascii="Times New Roman" w:hAnsi="Times New Roman"/>
          <w:sz w:val="24"/>
          <w:szCs w:val="24"/>
        </w:rPr>
        <w:t xml:space="preserve"> reached a state of forest cover, </w:t>
      </w:r>
      <w:r>
        <w:rPr>
          <w:rFonts w:ascii="Times New Roman" w:hAnsi="Times New Roman"/>
          <w:sz w:val="24"/>
          <w:szCs w:val="24"/>
        </w:rPr>
        <w:t>and</w:t>
      </w:r>
      <w:r w:rsidRPr="000A1221">
        <w:rPr>
          <w:rFonts w:ascii="Times New Roman" w:hAnsi="Times New Roman"/>
          <w:sz w:val="24"/>
          <w:szCs w:val="24"/>
        </w:rPr>
        <w:t xml:space="preserve"> the Kyoto definition of ‘forest’ which includes trees that have the </w:t>
      </w:r>
      <w:r w:rsidRPr="000A1221">
        <w:rPr>
          <w:rFonts w:ascii="Times New Roman" w:hAnsi="Times New Roman"/>
          <w:i/>
          <w:sz w:val="24"/>
          <w:szCs w:val="24"/>
        </w:rPr>
        <w:t>potential</w:t>
      </w:r>
      <w:r w:rsidRPr="000A1221">
        <w:rPr>
          <w:rFonts w:ascii="Times New Roman" w:hAnsi="Times New Roman"/>
          <w:sz w:val="24"/>
          <w:szCs w:val="24"/>
        </w:rPr>
        <w:t xml:space="preserve"> to achieve forest cover.</w:t>
      </w:r>
    </w:p>
    <w:p w:rsidR="002219D1" w:rsidRPr="000A1221" w:rsidRDefault="002219D1" w:rsidP="002219D1">
      <w:pPr>
        <w:spacing w:after="120" w:line="240" w:lineRule="auto"/>
        <w:rPr>
          <w:rFonts w:ascii="Times New Roman" w:hAnsi="Times New Roman"/>
          <w:sz w:val="24"/>
          <w:szCs w:val="24"/>
        </w:rPr>
      </w:pPr>
      <w:r w:rsidRPr="000A1221">
        <w:rPr>
          <w:rFonts w:ascii="Times New Roman" w:hAnsi="Times New Roman"/>
          <w:sz w:val="24"/>
          <w:szCs w:val="24"/>
        </w:rPr>
        <w:t xml:space="preserve">If </w:t>
      </w:r>
      <w:r>
        <w:rPr>
          <w:rFonts w:ascii="Times New Roman" w:hAnsi="Times New Roman"/>
          <w:sz w:val="24"/>
          <w:szCs w:val="24"/>
        </w:rPr>
        <w:t xml:space="preserve">the land contains </w:t>
      </w:r>
      <w:r w:rsidRPr="000A1221">
        <w:rPr>
          <w:rFonts w:ascii="Times New Roman" w:hAnsi="Times New Roman"/>
          <w:sz w:val="24"/>
          <w:szCs w:val="24"/>
        </w:rPr>
        <w:t xml:space="preserve">forest cover </w:t>
      </w:r>
      <w:r w:rsidR="00A0786E">
        <w:rPr>
          <w:rFonts w:ascii="Times New Roman" w:hAnsi="Times New Roman"/>
          <w:sz w:val="24"/>
          <w:szCs w:val="24"/>
        </w:rPr>
        <w:t>at the date</w:t>
      </w:r>
      <w:r w:rsidRPr="000A1221">
        <w:rPr>
          <w:rFonts w:ascii="Times New Roman" w:hAnsi="Times New Roman"/>
          <w:sz w:val="24"/>
          <w:szCs w:val="24"/>
        </w:rPr>
        <w:t xml:space="preserve"> </w:t>
      </w:r>
      <w:r w:rsidR="007B170E" w:rsidRPr="007B170E">
        <w:rPr>
          <w:rFonts w:ascii="Times New Roman" w:hAnsi="Times New Roman"/>
          <w:sz w:val="24"/>
          <w:szCs w:val="24"/>
        </w:rPr>
        <w:t>when the project mechanism was implemented in a carbon estimation area</w:t>
      </w:r>
      <w:r w:rsidR="007B170E">
        <w:rPr>
          <w:rFonts w:ascii="Times New Roman" w:hAnsi="Times New Roman"/>
          <w:sz w:val="24"/>
          <w:szCs w:val="24"/>
        </w:rPr>
        <w:t>,</w:t>
      </w:r>
      <w:r w:rsidR="007B170E" w:rsidRPr="000A1221">
        <w:rPr>
          <w:rFonts w:ascii="Times New Roman" w:hAnsi="Times New Roman"/>
          <w:sz w:val="24"/>
          <w:szCs w:val="24"/>
        </w:rPr>
        <w:t xml:space="preserve"> </w:t>
      </w:r>
      <w:r w:rsidRPr="000A1221">
        <w:rPr>
          <w:rFonts w:ascii="Times New Roman" w:hAnsi="Times New Roman"/>
          <w:sz w:val="24"/>
          <w:szCs w:val="24"/>
        </w:rPr>
        <w:t xml:space="preserve">then </w:t>
      </w:r>
      <w:r w:rsidR="007B170E">
        <w:rPr>
          <w:rFonts w:ascii="Times New Roman" w:hAnsi="Times New Roman"/>
          <w:sz w:val="24"/>
          <w:szCs w:val="24"/>
        </w:rPr>
        <w:t>the regrowth</w:t>
      </w:r>
      <w:r w:rsidRPr="000A1221">
        <w:rPr>
          <w:rFonts w:ascii="Times New Roman" w:hAnsi="Times New Roman"/>
          <w:sz w:val="24"/>
          <w:szCs w:val="24"/>
        </w:rPr>
        <w:t xml:space="preserve"> is taken to have occurred independently of </w:t>
      </w:r>
      <w:r>
        <w:rPr>
          <w:rFonts w:ascii="Times New Roman" w:hAnsi="Times New Roman"/>
          <w:sz w:val="24"/>
          <w:szCs w:val="24"/>
        </w:rPr>
        <w:t xml:space="preserve">a decision to </w:t>
      </w:r>
      <w:r w:rsidRPr="000A1221">
        <w:rPr>
          <w:rFonts w:ascii="Times New Roman" w:hAnsi="Times New Roman"/>
          <w:sz w:val="24"/>
          <w:szCs w:val="24"/>
        </w:rPr>
        <w:t xml:space="preserve">change land management and is not covered by the Determination.  </w:t>
      </w:r>
    </w:p>
    <w:p w:rsidR="00915BEF" w:rsidRPr="007B1363" w:rsidRDefault="00915BEF" w:rsidP="00986D81">
      <w:pPr>
        <w:keepNext/>
        <w:spacing w:after="120" w:line="240" w:lineRule="auto"/>
        <w:rPr>
          <w:rFonts w:ascii="Times New Roman" w:hAnsi="Times New Roman"/>
          <w:sz w:val="24"/>
          <w:szCs w:val="24"/>
          <w:u w:val="single"/>
        </w:rPr>
      </w:pPr>
      <w:r w:rsidRPr="007B1363">
        <w:rPr>
          <w:rFonts w:ascii="Times New Roman" w:hAnsi="Times New Roman"/>
          <w:sz w:val="24"/>
          <w:szCs w:val="24"/>
          <w:u w:val="single"/>
        </w:rPr>
        <w:lastRenderedPageBreak/>
        <w:t>2.</w:t>
      </w:r>
      <w:r w:rsidR="002219D1">
        <w:rPr>
          <w:rFonts w:ascii="Times New Roman" w:hAnsi="Times New Roman"/>
          <w:sz w:val="24"/>
          <w:szCs w:val="24"/>
          <w:u w:val="single"/>
        </w:rPr>
        <w:t>5</w:t>
      </w:r>
      <w:r w:rsidRPr="007B1363">
        <w:rPr>
          <w:rFonts w:ascii="Times New Roman" w:hAnsi="Times New Roman"/>
          <w:sz w:val="24"/>
          <w:szCs w:val="24"/>
          <w:u w:val="single"/>
        </w:rPr>
        <w:t xml:space="preserve"> </w:t>
      </w:r>
      <w:r w:rsidRPr="007B1363">
        <w:rPr>
          <w:rFonts w:ascii="Times New Roman" w:hAnsi="Times New Roman"/>
          <w:sz w:val="24"/>
          <w:szCs w:val="24"/>
          <w:u w:val="single"/>
        </w:rPr>
        <w:tab/>
      </w:r>
      <w:r w:rsidR="002219D1">
        <w:rPr>
          <w:rFonts w:ascii="Times New Roman" w:hAnsi="Times New Roman"/>
          <w:sz w:val="24"/>
          <w:szCs w:val="24"/>
          <w:u w:val="single"/>
        </w:rPr>
        <w:t>Evidentiary requirements</w:t>
      </w:r>
    </w:p>
    <w:p w:rsidR="009B64B6" w:rsidRDefault="00241F1D" w:rsidP="00986D81">
      <w:pPr>
        <w:spacing w:after="120" w:line="240" w:lineRule="auto"/>
        <w:rPr>
          <w:rFonts w:ascii="Times New Roman" w:hAnsi="Times New Roman"/>
          <w:color w:val="808080" w:themeColor="background1" w:themeShade="80"/>
          <w:sz w:val="24"/>
          <w:szCs w:val="24"/>
        </w:rPr>
      </w:pPr>
      <w:r w:rsidRPr="00B43628">
        <w:rPr>
          <w:rFonts w:ascii="Times New Roman" w:hAnsi="Times New Roman"/>
          <w:sz w:val="24"/>
          <w:szCs w:val="24"/>
        </w:rPr>
        <w:t>Section 2.</w:t>
      </w:r>
      <w:r w:rsidR="007D5FC1">
        <w:rPr>
          <w:rFonts w:ascii="Times New Roman" w:hAnsi="Times New Roman"/>
          <w:sz w:val="24"/>
          <w:szCs w:val="24"/>
        </w:rPr>
        <w:t>5</w:t>
      </w:r>
      <w:r w:rsidR="0039635D" w:rsidRPr="00B43628">
        <w:rPr>
          <w:rFonts w:ascii="Times New Roman" w:hAnsi="Times New Roman"/>
          <w:sz w:val="24"/>
          <w:szCs w:val="24"/>
        </w:rPr>
        <w:t xml:space="preserve"> sets out the </w:t>
      </w:r>
      <w:r w:rsidR="007D5FC1">
        <w:rPr>
          <w:rFonts w:ascii="Times New Roman" w:hAnsi="Times New Roman"/>
          <w:sz w:val="24"/>
          <w:szCs w:val="24"/>
        </w:rPr>
        <w:t>types of</w:t>
      </w:r>
      <w:r w:rsidR="0039635D" w:rsidRPr="00B43628">
        <w:rPr>
          <w:rFonts w:ascii="Times New Roman" w:hAnsi="Times New Roman"/>
          <w:sz w:val="24"/>
          <w:szCs w:val="24"/>
        </w:rPr>
        <w:t xml:space="preserve"> </w:t>
      </w:r>
      <w:r w:rsidR="007D5FC1">
        <w:rPr>
          <w:rFonts w:ascii="Times New Roman" w:hAnsi="Times New Roman"/>
          <w:sz w:val="24"/>
          <w:szCs w:val="24"/>
        </w:rPr>
        <w:t>evidence that may be required to demonstrate that the requirements in Part 2 are met</w:t>
      </w:r>
      <w:r w:rsidR="0039635D" w:rsidRPr="00B43628">
        <w:rPr>
          <w:rFonts w:ascii="Times New Roman" w:hAnsi="Times New Roman"/>
          <w:sz w:val="24"/>
          <w:szCs w:val="24"/>
        </w:rPr>
        <w:t xml:space="preserve">. </w:t>
      </w:r>
    </w:p>
    <w:p w:rsidR="006B78B6" w:rsidRDefault="007D5FC1" w:rsidP="007D5FC1">
      <w:pPr>
        <w:spacing w:after="120" w:line="240" w:lineRule="auto"/>
        <w:rPr>
          <w:rFonts w:ascii="Times New Roman" w:hAnsi="Times New Roman"/>
          <w:sz w:val="24"/>
          <w:szCs w:val="24"/>
        </w:rPr>
      </w:pPr>
      <w:r w:rsidRPr="000A1221">
        <w:rPr>
          <w:rFonts w:ascii="Times New Roman" w:hAnsi="Times New Roman"/>
          <w:sz w:val="24"/>
          <w:szCs w:val="24"/>
        </w:rPr>
        <w:t>Subsection 2.</w:t>
      </w:r>
      <w:r>
        <w:rPr>
          <w:rFonts w:ascii="Times New Roman" w:hAnsi="Times New Roman"/>
          <w:sz w:val="24"/>
          <w:szCs w:val="24"/>
        </w:rPr>
        <w:t>5</w:t>
      </w:r>
      <w:r w:rsidRPr="000A1221">
        <w:rPr>
          <w:rFonts w:ascii="Times New Roman" w:hAnsi="Times New Roman"/>
          <w:sz w:val="24"/>
          <w:szCs w:val="24"/>
        </w:rPr>
        <w:t>(</w:t>
      </w:r>
      <w:r>
        <w:rPr>
          <w:rFonts w:ascii="Times New Roman" w:hAnsi="Times New Roman"/>
          <w:sz w:val="24"/>
          <w:szCs w:val="24"/>
        </w:rPr>
        <w:t>1</w:t>
      </w:r>
      <w:r w:rsidR="00C3384E">
        <w:rPr>
          <w:rFonts w:ascii="Times New Roman" w:hAnsi="Times New Roman"/>
          <w:sz w:val="24"/>
          <w:szCs w:val="24"/>
        </w:rPr>
        <w:t xml:space="preserve">) </w:t>
      </w:r>
      <w:proofErr w:type="gramStart"/>
      <w:r w:rsidR="00C3384E">
        <w:rPr>
          <w:rFonts w:ascii="Times New Roman" w:hAnsi="Times New Roman"/>
          <w:sz w:val="24"/>
          <w:szCs w:val="24"/>
        </w:rPr>
        <w:t>sets</w:t>
      </w:r>
      <w:proofErr w:type="gramEnd"/>
      <w:r w:rsidR="00C3384E">
        <w:rPr>
          <w:rFonts w:ascii="Times New Roman" w:hAnsi="Times New Roman"/>
          <w:sz w:val="24"/>
          <w:szCs w:val="24"/>
        </w:rPr>
        <w:t xml:space="preserve"> out</w:t>
      </w:r>
      <w:r>
        <w:rPr>
          <w:rFonts w:ascii="Times New Roman" w:hAnsi="Times New Roman"/>
          <w:sz w:val="24"/>
          <w:szCs w:val="24"/>
        </w:rPr>
        <w:t xml:space="preserve"> </w:t>
      </w:r>
      <w:r w:rsidRPr="000A1221">
        <w:rPr>
          <w:rFonts w:ascii="Times New Roman" w:hAnsi="Times New Roman"/>
          <w:sz w:val="24"/>
          <w:szCs w:val="24"/>
        </w:rPr>
        <w:t xml:space="preserve">evidence </w:t>
      </w:r>
      <w:r w:rsidR="00C3384E">
        <w:rPr>
          <w:rFonts w:ascii="Times New Roman" w:hAnsi="Times New Roman"/>
          <w:sz w:val="24"/>
          <w:szCs w:val="24"/>
        </w:rPr>
        <w:t>that may be provided to demonstrate</w:t>
      </w:r>
      <w:r w:rsidRPr="000A1221">
        <w:rPr>
          <w:rFonts w:ascii="Times New Roman" w:hAnsi="Times New Roman"/>
          <w:sz w:val="24"/>
          <w:szCs w:val="24"/>
        </w:rPr>
        <w:t xml:space="preserve"> </w:t>
      </w:r>
      <w:r>
        <w:rPr>
          <w:rFonts w:ascii="Times New Roman" w:hAnsi="Times New Roman"/>
          <w:sz w:val="24"/>
          <w:szCs w:val="24"/>
        </w:rPr>
        <w:t xml:space="preserve">that there </w:t>
      </w:r>
      <w:r w:rsidRPr="00137968">
        <w:rPr>
          <w:rFonts w:ascii="Times New Roman" w:hAnsi="Times New Roman"/>
          <w:sz w:val="24"/>
          <w:szCs w:val="24"/>
        </w:rPr>
        <w:t xml:space="preserve">has been a decision to </w:t>
      </w:r>
      <w:r>
        <w:rPr>
          <w:rFonts w:ascii="Times New Roman" w:hAnsi="Times New Roman"/>
          <w:sz w:val="24"/>
          <w:szCs w:val="24"/>
        </w:rPr>
        <w:t>implement the project mechanism</w:t>
      </w:r>
      <w:r w:rsidRPr="000A1221">
        <w:rPr>
          <w:rFonts w:ascii="Times New Roman" w:hAnsi="Times New Roman"/>
          <w:sz w:val="24"/>
          <w:szCs w:val="24"/>
        </w:rPr>
        <w:t>.</w:t>
      </w:r>
      <w:r>
        <w:rPr>
          <w:rFonts w:ascii="Times New Roman" w:hAnsi="Times New Roman"/>
          <w:sz w:val="24"/>
          <w:szCs w:val="24"/>
        </w:rPr>
        <w:t xml:space="preserve">  </w:t>
      </w:r>
    </w:p>
    <w:p w:rsidR="007D5FC1" w:rsidRDefault="007D5FC1" w:rsidP="007D5FC1">
      <w:pPr>
        <w:spacing w:after="120" w:line="240" w:lineRule="auto"/>
        <w:rPr>
          <w:rFonts w:ascii="Times New Roman" w:hAnsi="Times New Roman"/>
          <w:sz w:val="24"/>
          <w:szCs w:val="24"/>
        </w:rPr>
      </w:pPr>
      <w:r>
        <w:rPr>
          <w:rFonts w:ascii="Times New Roman" w:hAnsi="Times New Roman"/>
          <w:sz w:val="24"/>
          <w:szCs w:val="24"/>
        </w:rPr>
        <w:t>Subsection</w:t>
      </w:r>
      <w:r w:rsidR="009824CB">
        <w:rPr>
          <w:rFonts w:ascii="Times New Roman" w:hAnsi="Times New Roman"/>
          <w:sz w:val="24"/>
          <w:szCs w:val="24"/>
        </w:rPr>
        <w:t>s</w:t>
      </w:r>
      <w:r>
        <w:rPr>
          <w:rFonts w:ascii="Times New Roman" w:hAnsi="Times New Roman"/>
          <w:sz w:val="24"/>
          <w:szCs w:val="24"/>
        </w:rPr>
        <w:t xml:space="preserve"> 2.</w:t>
      </w:r>
      <w:r w:rsidR="004E2252">
        <w:rPr>
          <w:rFonts w:ascii="Times New Roman" w:hAnsi="Times New Roman"/>
          <w:sz w:val="24"/>
          <w:szCs w:val="24"/>
        </w:rPr>
        <w:t>5</w:t>
      </w:r>
      <w:r>
        <w:rPr>
          <w:rFonts w:ascii="Times New Roman" w:hAnsi="Times New Roman"/>
          <w:sz w:val="24"/>
          <w:szCs w:val="24"/>
        </w:rPr>
        <w:t>(</w:t>
      </w:r>
      <w:r w:rsidR="009824CB">
        <w:rPr>
          <w:rFonts w:ascii="Times New Roman" w:hAnsi="Times New Roman"/>
          <w:sz w:val="24"/>
          <w:szCs w:val="24"/>
        </w:rPr>
        <w:t>2</w:t>
      </w:r>
      <w:r>
        <w:rPr>
          <w:rFonts w:ascii="Times New Roman" w:hAnsi="Times New Roman"/>
          <w:sz w:val="24"/>
          <w:szCs w:val="24"/>
        </w:rPr>
        <w:t>)</w:t>
      </w:r>
      <w:r w:rsidRPr="00741704">
        <w:rPr>
          <w:rFonts w:ascii="Times New Roman" w:hAnsi="Times New Roman"/>
          <w:sz w:val="24"/>
          <w:szCs w:val="24"/>
        </w:rPr>
        <w:t xml:space="preserve"> </w:t>
      </w:r>
      <w:r w:rsidR="009824CB">
        <w:rPr>
          <w:rFonts w:ascii="Times New Roman" w:hAnsi="Times New Roman"/>
          <w:sz w:val="24"/>
          <w:szCs w:val="24"/>
        </w:rPr>
        <w:t xml:space="preserve">and (3) </w:t>
      </w:r>
      <w:r w:rsidRPr="00741704">
        <w:rPr>
          <w:rFonts w:ascii="Times New Roman" w:hAnsi="Times New Roman"/>
          <w:sz w:val="24"/>
          <w:szCs w:val="24"/>
        </w:rPr>
        <w:t xml:space="preserve">set out the evidence that may be provided to the Regulator to demonstrate </w:t>
      </w:r>
      <w:r>
        <w:rPr>
          <w:rFonts w:ascii="Times New Roman" w:hAnsi="Times New Roman"/>
          <w:sz w:val="24"/>
          <w:szCs w:val="24"/>
        </w:rPr>
        <w:t xml:space="preserve">that the land </w:t>
      </w:r>
      <w:r w:rsidRPr="00B43628">
        <w:rPr>
          <w:rFonts w:ascii="Times New Roman" w:hAnsi="Times New Roman"/>
          <w:sz w:val="24"/>
          <w:szCs w:val="24"/>
        </w:rPr>
        <w:t xml:space="preserve">has been subject to </w:t>
      </w:r>
      <w:r>
        <w:rPr>
          <w:rFonts w:ascii="Times New Roman" w:hAnsi="Times New Roman"/>
          <w:sz w:val="24"/>
          <w:szCs w:val="24"/>
        </w:rPr>
        <w:t>initial</w:t>
      </w:r>
      <w:r w:rsidRPr="00B43628">
        <w:rPr>
          <w:rFonts w:ascii="Times New Roman" w:hAnsi="Times New Roman"/>
          <w:sz w:val="24"/>
          <w:szCs w:val="24"/>
        </w:rPr>
        <w:t xml:space="preserve"> clearing </w:t>
      </w:r>
      <w:r>
        <w:rPr>
          <w:rFonts w:ascii="Times New Roman" w:hAnsi="Times New Roman"/>
          <w:sz w:val="24"/>
          <w:szCs w:val="24"/>
        </w:rPr>
        <w:t>and that the clearing was for the purpose of maintaining pasture.</w:t>
      </w:r>
    </w:p>
    <w:p w:rsidR="00AA4B6D" w:rsidRPr="00B06A9E" w:rsidRDefault="009824CB" w:rsidP="00B06A9E">
      <w:pPr>
        <w:spacing w:after="120" w:line="240" w:lineRule="auto"/>
        <w:rPr>
          <w:rFonts w:ascii="Times New Roman" w:hAnsi="Times New Roman"/>
          <w:sz w:val="24"/>
          <w:szCs w:val="24"/>
        </w:rPr>
      </w:pPr>
      <w:r>
        <w:rPr>
          <w:rFonts w:ascii="Times New Roman" w:hAnsi="Times New Roman"/>
          <w:sz w:val="24"/>
          <w:szCs w:val="24"/>
        </w:rPr>
        <w:t>Subsection 2.</w:t>
      </w:r>
      <w:r w:rsidR="004E2252">
        <w:rPr>
          <w:rFonts w:ascii="Times New Roman" w:hAnsi="Times New Roman"/>
          <w:sz w:val="24"/>
          <w:szCs w:val="24"/>
        </w:rPr>
        <w:t>5</w:t>
      </w:r>
      <w:r>
        <w:rPr>
          <w:rFonts w:ascii="Times New Roman" w:hAnsi="Times New Roman"/>
          <w:sz w:val="24"/>
          <w:szCs w:val="24"/>
        </w:rPr>
        <w:t xml:space="preserve">(4) specifies that evidence of forest cover may include the </w:t>
      </w:r>
      <w:r w:rsidR="004E2252">
        <w:rPr>
          <w:rFonts w:ascii="Times New Roman" w:hAnsi="Times New Roman"/>
          <w:sz w:val="24"/>
          <w:szCs w:val="24"/>
        </w:rPr>
        <w:t xml:space="preserve">1990 </w:t>
      </w:r>
      <w:r>
        <w:rPr>
          <w:rFonts w:ascii="Times New Roman" w:hAnsi="Times New Roman"/>
          <w:sz w:val="24"/>
          <w:szCs w:val="24"/>
        </w:rPr>
        <w:t xml:space="preserve">forest extent layer, </w:t>
      </w:r>
      <w:r w:rsidRPr="00AF1F55">
        <w:rPr>
          <w:rFonts w:ascii="Times New Roman" w:hAnsi="Times New Roman"/>
          <w:sz w:val="24"/>
          <w:szCs w:val="24"/>
        </w:rPr>
        <w:t xml:space="preserve">which is </w:t>
      </w:r>
      <w:r w:rsidR="00AF1F55">
        <w:rPr>
          <w:rFonts w:ascii="Times New Roman" w:hAnsi="Times New Roman"/>
          <w:sz w:val="24"/>
          <w:szCs w:val="24"/>
        </w:rPr>
        <w:t>a derived vegetation cover map used in Australia’</w:t>
      </w:r>
      <w:r w:rsidR="000D4835">
        <w:rPr>
          <w:rFonts w:ascii="Times New Roman" w:hAnsi="Times New Roman"/>
          <w:sz w:val="24"/>
          <w:szCs w:val="24"/>
        </w:rPr>
        <w:t xml:space="preserve">s national inventory accounting under the </w:t>
      </w:r>
      <w:r w:rsidR="000D4835" w:rsidRPr="000D4835">
        <w:rPr>
          <w:rFonts w:ascii="Times New Roman" w:hAnsi="Times New Roman"/>
          <w:i/>
          <w:sz w:val="24"/>
          <w:szCs w:val="24"/>
        </w:rPr>
        <w:t>National Greenhouse and Energy Reporting Act 2007</w:t>
      </w:r>
      <w:r w:rsidR="000D4835">
        <w:rPr>
          <w:rFonts w:ascii="Times New Roman" w:hAnsi="Times New Roman"/>
          <w:sz w:val="24"/>
          <w:szCs w:val="24"/>
        </w:rPr>
        <w:t>.</w:t>
      </w:r>
    </w:p>
    <w:p w:rsidR="00B06A9E" w:rsidRDefault="00B06A9E">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D81463" w:rsidRPr="00986D81" w:rsidRDefault="00915BEF" w:rsidP="00986D81">
      <w:pPr>
        <w:keepNext/>
        <w:spacing w:after="120" w:line="240" w:lineRule="auto"/>
        <w:rPr>
          <w:rFonts w:ascii="Times New Roman" w:hAnsi="Times New Roman"/>
          <w:b/>
          <w:color w:val="000000" w:themeColor="text1"/>
          <w:sz w:val="24"/>
          <w:szCs w:val="24"/>
        </w:rPr>
      </w:pPr>
      <w:r w:rsidRPr="009E12D4">
        <w:rPr>
          <w:rFonts w:ascii="Times New Roman" w:hAnsi="Times New Roman"/>
          <w:b/>
          <w:color w:val="000000" w:themeColor="text1"/>
          <w:sz w:val="24"/>
          <w:szCs w:val="24"/>
        </w:rPr>
        <w:lastRenderedPageBreak/>
        <w:t>Part 3</w:t>
      </w:r>
      <w:r w:rsidRPr="009E12D4">
        <w:rPr>
          <w:rFonts w:ascii="Times New Roman" w:hAnsi="Times New Roman"/>
          <w:b/>
          <w:color w:val="000000" w:themeColor="text1"/>
          <w:sz w:val="24"/>
          <w:szCs w:val="24"/>
        </w:rPr>
        <w:tab/>
      </w:r>
      <w:r w:rsidRPr="009E12D4">
        <w:rPr>
          <w:rFonts w:ascii="Times New Roman" w:hAnsi="Times New Roman"/>
          <w:b/>
          <w:color w:val="000000" w:themeColor="text1"/>
          <w:sz w:val="24"/>
          <w:szCs w:val="24"/>
        </w:rPr>
        <w:tab/>
        <w:t>Requirements for</w:t>
      </w:r>
      <w:r w:rsidR="00986D81">
        <w:rPr>
          <w:rFonts w:ascii="Times New Roman" w:hAnsi="Times New Roman"/>
          <w:b/>
          <w:color w:val="000000" w:themeColor="text1"/>
          <w:sz w:val="24"/>
          <w:szCs w:val="24"/>
        </w:rPr>
        <w:t xml:space="preserve"> operation of eligible projects</w:t>
      </w:r>
    </w:p>
    <w:p w:rsidR="0056254D" w:rsidRPr="009E12D4" w:rsidRDefault="0056254D" w:rsidP="00986D81">
      <w:pPr>
        <w:keepNext/>
        <w:spacing w:after="120" w:line="240" w:lineRule="auto"/>
        <w:rPr>
          <w:rFonts w:ascii="Times New Roman" w:hAnsi="Times New Roman"/>
          <w:b/>
          <w:color w:val="000000" w:themeColor="text1"/>
          <w:sz w:val="24"/>
          <w:szCs w:val="24"/>
        </w:rPr>
      </w:pPr>
      <w:r w:rsidRPr="009E12D4">
        <w:rPr>
          <w:rFonts w:ascii="Times New Roman" w:hAnsi="Times New Roman"/>
          <w:b/>
          <w:color w:val="000000" w:themeColor="text1"/>
          <w:sz w:val="24"/>
          <w:szCs w:val="24"/>
        </w:rPr>
        <w:t>Division 3.1</w:t>
      </w:r>
      <w:r w:rsidRPr="009E12D4">
        <w:rPr>
          <w:rFonts w:ascii="Times New Roman" w:hAnsi="Times New Roman"/>
          <w:b/>
          <w:color w:val="000000" w:themeColor="text1"/>
          <w:sz w:val="24"/>
          <w:szCs w:val="24"/>
        </w:rPr>
        <w:tab/>
        <w:t>Operation of eligible projects</w:t>
      </w:r>
    </w:p>
    <w:p w:rsidR="00915BEF" w:rsidRPr="009E12D4" w:rsidRDefault="00915BEF" w:rsidP="00986D81">
      <w:pPr>
        <w:spacing w:after="120" w:line="240" w:lineRule="auto"/>
        <w:rPr>
          <w:rFonts w:ascii="Times New Roman" w:hAnsi="Times New Roman"/>
          <w:color w:val="000000" w:themeColor="text1"/>
          <w:sz w:val="24"/>
          <w:szCs w:val="24"/>
          <w:u w:val="single"/>
        </w:rPr>
      </w:pPr>
      <w:r w:rsidRPr="009E12D4">
        <w:rPr>
          <w:rFonts w:ascii="Times New Roman" w:hAnsi="Times New Roman"/>
          <w:color w:val="000000" w:themeColor="text1"/>
          <w:sz w:val="24"/>
          <w:szCs w:val="24"/>
          <w:u w:val="single"/>
        </w:rPr>
        <w:t xml:space="preserve">3.1 </w:t>
      </w:r>
      <w:r w:rsidRPr="009E12D4">
        <w:rPr>
          <w:rFonts w:ascii="Times New Roman" w:hAnsi="Times New Roman"/>
          <w:color w:val="000000" w:themeColor="text1"/>
          <w:sz w:val="24"/>
          <w:szCs w:val="24"/>
          <w:u w:val="single"/>
        </w:rPr>
        <w:tab/>
        <w:t>Operation of eligible projects</w:t>
      </w:r>
    </w:p>
    <w:p w:rsidR="00915BEF" w:rsidRPr="009E12D4" w:rsidRDefault="0056254D" w:rsidP="00986D81">
      <w:pPr>
        <w:spacing w:after="120" w:line="240" w:lineRule="auto"/>
        <w:rPr>
          <w:rFonts w:ascii="Times New Roman" w:hAnsi="Times New Roman"/>
          <w:color w:val="000000" w:themeColor="text1"/>
          <w:sz w:val="24"/>
          <w:szCs w:val="24"/>
        </w:rPr>
      </w:pPr>
      <w:r w:rsidRPr="009E12D4">
        <w:rPr>
          <w:rFonts w:ascii="Times New Roman" w:hAnsi="Times New Roman"/>
          <w:color w:val="000000" w:themeColor="text1"/>
          <w:sz w:val="24"/>
          <w:szCs w:val="24"/>
        </w:rPr>
        <w:t>S</w:t>
      </w:r>
      <w:r w:rsidR="00DA4A71" w:rsidRPr="009E12D4">
        <w:rPr>
          <w:rFonts w:ascii="Times New Roman" w:hAnsi="Times New Roman"/>
          <w:color w:val="000000" w:themeColor="text1"/>
          <w:sz w:val="24"/>
          <w:szCs w:val="24"/>
        </w:rPr>
        <w:t xml:space="preserve">ection </w:t>
      </w:r>
      <w:r w:rsidRPr="009E12D4">
        <w:rPr>
          <w:rFonts w:ascii="Times New Roman" w:hAnsi="Times New Roman"/>
          <w:color w:val="000000" w:themeColor="text1"/>
          <w:sz w:val="24"/>
          <w:szCs w:val="24"/>
        </w:rPr>
        <w:t xml:space="preserve">3.1 specifies that </w:t>
      </w:r>
      <w:r w:rsidR="00EA70EE" w:rsidRPr="009E12D4">
        <w:rPr>
          <w:rFonts w:ascii="Times New Roman" w:hAnsi="Times New Roman"/>
          <w:color w:val="000000" w:themeColor="text1"/>
          <w:sz w:val="24"/>
          <w:szCs w:val="24"/>
        </w:rPr>
        <w:t xml:space="preserve">the rules for operating a project </w:t>
      </w:r>
      <w:r w:rsidRPr="009E12D4">
        <w:rPr>
          <w:rFonts w:ascii="Times New Roman" w:hAnsi="Times New Roman"/>
          <w:color w:val="000000" w:themeColor="text1"/>
          <w:sz w:val="24"/>
          <w:szCs w:val="24"/>
        </w:rPr>
        <w:t>under the Determination are set out in</w:t>
      </w:r>
      <w:r w:rsidR="00B14742" w:rsidRPr="009E12D4">
        <w:rPr>
          <w:rFonts w:ascii="Times New Roman" w:hAnsi="Times New Roman"/>
          <w:color w:val="000000" w:themeColor="text1"/>
          <w:sz w:val="24"/>
          <w:szCs w:val="24"/>
        </w:rPr>
        <w:t xml:space="preserve"> Part </w:t>
      </w:r>
      <w:r w:rsidR="00A9633F" w:rsidRPr="009E12D4">
        <w:rPr>
          <w:rFonts w:ascii="Times New Roman" w:hAnsi="Times New Roman"/>
          <w:color w:val="000000" w:themeColor="text1"/>
          <w:sz w:val="24"/>
          <w:szCs w:val="24"/>
        </w:rPr>
        <w:t>3</w:t>
      </w:r>
      <w:r w:rsidR="00B14742" w:rsidRPr="009E12D4">
        <w:rPr>
          <w:rFonts w:ascii="Times New Roman" w:hAnsi="Times New Roman"/>
          <w:color w:val="000000" w:themeColor="text1"/>
          <w:sz w:val="24"/>
          <w:szCs w:val="24"/>
        </w:rPr>
        <w:t>.</w:t>
      </w:r>
    </w:p>
    <w:p w:rsidR="00D81463" w:rsidRPr="00DD6F62" w:rsidRDefault="00D81463" w:rsidP="00986D81">
      <w:pPr>
        <w:spacing w:after="120" w:line="240" w:lineRule="auto"/>
        <w:rPr>
          <w:rFonts w:ascii="Times New Roman" w:hAnsi="Times New Roman"/>
          <w:color w:val="808080" w:themeColor="background1" w:themeShade="80"/>
          <w:sz w:val="24"/>
          <w:szCs w:val="24"/>
        </w:rPr>
      </w:pPr>
    </w:p>
    <w:p w:rsidR="00915BEF" w:rsidRPr="009E12D4" w:rsidRDefault="00915BEF" w:rsidP="00986D81">
      <w:pPr>
        <w:keepNext/>
        <w:spacing w:after="120" w:line="240" w:lineRule="auto"/>
        <w:rPr>
          <w:rFonts w:ascii="Times New Roman" w:hAnsi="Times New Roman"/>
          <w:b/>
          <w:color w:val="000000" w:themeColor="text1"/>
          <w:sz w:val="24"/>
          <w:szCs w:val="24"/>
        </w:rPr>
      </w:pPr>
      <w:r w:rsidRPr="009E12D4">
        <w:rPr>
          <w:rFonts w:ascii="Times New Roman" w:hAnsi="Times New Roman"/>
          <w:b/>
          <w:color w:val="000000" w:themeColor="text1"/>
          <w:sz w:val="24"/>
          <w:szCs w:val="24"/>
        </w:rPr>
        <w:t>Division 3.2</w:t>
      </w:r>
      <w:r w:rsidRPr="009E12D4">
        <w:rPr>
          <w:rFonts w:ascii="Times New Roman" w:hAnsi="Times New Roman"/>
          <w:b/>
          <w:color w:val="000000" w:themeColor="text1"/>
          <w:sz w:val="24"/>
          <w:szCs w:val="24"/>
        </w:rPr>
        <w:tab/>
      </w:r>
      <w:r w:rsidR="00B67A69" w:rsidRPr="009E12D4">
        <w:rPr>
          <w:rFonts w:ascii="Times New Roman" w:hAnsi="Times New Roman"/>
          <w:b/>
          <w:color w:val="000000" w:themeColor="text1"/>
          <w:sz w:val="24"/>
          <w:szCs w:val="24"/>
        </w:rPr>
        <w:t>S</w:t>
      </w:r>
      <w:r w:rsidRPr="009E12D4">
        <w:rPr>
          <w:rFonts w:ascii="Times New Roman" w:hAnsi="Times New Roman"/>
          <w:b/>
          <w:color w:val="000000" w:themeColor="text1"/>
          <w:sz w:val="24"/>
          <w:szCs w:val="24"/>
        </w:rPr>
        <w:t>tratification</w:t>
      </w:r>
      <w:r w:rsidR="00B67A69" w:rsidRPr="009E12D4">
        <w:rPr>
          <w:rFonts w:ascii="Times New Roman" w:hAnsi="Times New Roman"/>
          <w:b/>
          <w:color w:val="000000" w:themeColor="text1"/>
          <w:sz w:val="24"/>
          <w:szCs w:val="24"/>
        </w:rPr>
        <w:t xml:space="preserve"> of the project area</w:t>
      </w:r>
    </w:p>
    <w:p w:rsidR="00915BEF" w:rsidRPr="00044D22" w:rsidRDefault="00915BEF" w:rsidP="00986D81">
      <w:pPr>
        <w:keepNext/>
        <w:spacing w:after="120" w:line="240" w:lineRule="auto"/>
        <w:rPr>
          <w:rFonts w:ascii="Times New Roman" w:hAnsi="Times New Roman"/>
          <w:color w:val="000000" w:themeColor="text1"/>
          <w:sz w:val="24"/>
          <w:szCs w:val="24"/>
          <w:u w:val="single"/>
        </w:rPr>
      </w:pPr>
      <w:r w:rsidRPr="00044D22">
        <w:rPr>
          <w:rFonts w:ascii="Times New Roman" w:hAnsi="Times New Roman"/>
          <w:color w:val="000000" w:themeColor="text1"/>
          <w:sz w:val="24"/>
          <w:szCs w:val="24"/>
          <w:u w:val="single"/>
        </w:rPr>
        <w:t xml:space="preserve">3.2 </w:t>
      </w:r>
      <w:r w:rsidRPr="00044D22">
        <w:rPr>
          <w:rFonts w:ascii="Times New Roman" w:hAnsi="Times New Roman"/>
          <w:color w:val="000000" w:themeColor="text1"/>
          <w:sz w:val="24"/>
          <w:szCs w:val="24"/>
          <w:u w:val="single"/>
        </w:rPr>
        <w:tab/>
      </w:r>
      <w:r w:rsidR="00B67A69" w:rsidRPr="00044D22">
        <w:rPr>
          <w:rFonts w:ascii="Times New Roman" w:hAnsi="Times New Roman"/>
          <w:color w:val="000000" w:themeColor="text1"/>
          <w:sz w:val="24"/>
          <w:szCs w:val="24"/>
          <w:u w:val="single"/>
        </w:rPr>
        <w:t xml:space="preserve"> Initial s</w:t>
      </w:r>
      <w:r w:rsidR="00E027EE" w:rsidRPr="00044D22">
        <w:rPr>
          <w:rFonts w:ascii="Times New Roman" w:hAnsi="Times New Roman"/>
          <w:color w:val="000000" w:themeColor="text1"/>
          <w:sz w:val="24"/>
          <w:szCs w:val="24"/>
          <w:u w:val="single"/>
        </w:rPr>
        <w:t>tratification</w:t>
      </w:r>
      <w:r w:rsidR="00AD1F78" w:rsidRPr="00044D22">
        <w:rPr>
          <w:rFonts w:ascii="Times New Roman" w:hAnsi="Times New Roman"/>
          <w:color w:val="000000" w:themeColor="text1"/>
          <w:sz w:val="24"/>
          <w:szCs w:val="24"/>
          <w:u w:val="single"/>
        </w:rPr>
        <w:t xml:space="preserve"> of project </w:t>
      </w:r>
      <w:r w:rsidRPr="00044D22">
        <w:rPr>
          <w:rFonts w:ascii="Times New Roman" w:hAnsi="Times New Roman"/>
          <w:color w:val="000000" w:themeColor="text1"/>
          <w:sz w:val="24"/>
          <w:szCs w:val="24"/>
          <w:u w:val="single"/>
        </w:rPr>
        <w:t xml:space="preserve">area </w:t>
      </w:r>
    </w:p>
    <w:p w:rsidR="00F27C7C" w:rsidRDefault="00F27C7C"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effect of s</w:t>
      </w:r>
      <w:r w:rsidR="00940137" w:rsidRPr="00044D22">
        <w:rPr>
          <w:rFonts w:ascii="Times New Roman" w:hAnsi="Times New Roman"/>
          <w:color w:val="000000" w:themeColor="text1"/>
          <w:sz w:val="24"/>
          <w:szCs w:val="24"/>
        </w:rPr>
        <w:t>ection 3.2</w:t>
      </w:r>
      <w:r w:rsidR="00795B75" w:rsidRPr="00044D22">
        <w:rPr>
          <w:rFonts w:ascii="Times New Roman" w:hAnsi="Times New Roman"/>
          <w:color w:val="000000" w:themeColor="text1"/>
          <w:sz w:val="24"/>
          <w:szCs w:val="24"/>
        </w:rPr>
        <w:t xml:space="preserve"> of the Determination </w:t>
      </w:r>
      <w:r>
        <w:rPr>
          <w:rFonts w:ascii="Times New Roman" w:hAnsi="Times New Roman"/>
          <w:color w:val="000000" w:themeColor="text1"/>
          <w:sz w:val="24"/>
          <w:szCs w:val="24"/>
        </w:rPr>
        <w:t>is</w:t>
      </w:r>
      <w:r w:rsidR="00795B75" w:rsidRPr="00044D22">
        <w:rPr>
          <w:rFonts w:ascii="Times New Roman" w:hAnsi="Times New Roman"/>
          <w:color w:val="000000" w:themeColor="text1"/>
          <w:sz w:val="24"/>
          <w:szCs w:val="24"/>
        </w:rPr>
        <w:t xml:space="preserve"> that a project area must be </w:t>
      </w:r>
      <w:r w:rsidR="00044D22">
        <w:rPr>
          <w:rFonts w:ascii="Times New Roman" w:hAnsi="Times New Roman"/>
          <w:color w:val="000000" w:themeColor="text1"/>
          <w:sz w:val="24"/>
          <w:szCs w:val="24"/>
        </w:rPr>
        <w:t>stratified</w:t>
      </w:r>
      <w:r w:rsidRPr="00F27C7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into </w:t>
      </w:r>
      <w:r w:rsidRPr="00044D22">
        <w:rPr>
          <w:rFonts w:ascii="Times New Roman" w:hAnsi="Times New Roman"/>
          <w:color w:val="000000" w:themeColor="text1"/>
          <w:sz w:val="24"/>
          <w:szCs w:val="24"/>
        </w:rPr>
        <w:t>at least one carbon estimation area</w:t>
      </w:r>
      <w:r w:rsidR="00795B75" w:rsidRPr="00044D22">
        <w:rPr>
          <w:rFonts w:ascii="Times New Roman" w:hAnsi="Times New Roman"/>
          <w:color w:val="000000" w:themeColor="text1"/>
          <w:sz w:val="24"/>
          <w:szCs w:val="24"/>
        </w:rPr>
        <w:t xml:space="preserve"> </w:t>
      </w:r>
      <w:r w:rsidR="00AD1F78" w:rsidRPr="00044D22">
        <w:rPr>
          <w:rFonts w:ascii="Times New Roman" w:hAnsi="Times New Roman"/>
          <w:color w:val="000000" w:themeColor="text1"/>
          <w:sz w:val="24"/>
          <w:szCs w:val="24"/>
        </w:rPr>
        <w:t>in accordance with both the CFI Mapping Guidelines and with Division 3.2</w:t>
      </w:r>
      <w:r>
        <w:rPr>
          <w:rFonts w:ascii="Times New Roman" w:hAnsi="Times New Roman"/>
          <w:color w:val="000000" w:themeColor="text1"/>
          <w:sz w:val="24"/>
          <w:szCs w:val="24"/>
        </w:rPr>
        <w:t xml:space="preserve"> before submitting the first offsets report for the project</w:t>
      </w:r>
      <w:r w:rsidR="00AD1F78" w:rsidRPr="00044D22">
        <w:rPr>
          <w:rFonts w:ascii="Times New Roman" w:hAnsi="Times New Roman"/>
          <w:color w:val="000000" w:themeColor="text1"/>
          <w:sz w:val="24"/>
          <w:szCs w:val="24"/>
        </w:rPr>
        <w:t xml:space="preserve">.  </w:t>
      </w:r>
    </w:p>
    <w:p w:rsidR="00E027EE" w:rsidRPr="00044D22" w:rsidRDefault="00F27C7C"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AD1F78" w:rsidRPr="00044D22">
        <w:rPr>
          <w:rFonts w:ascii="Times New Roman" w:hAnsi="Times New Roman"/>
          <w:color w:val="000000" w:themeColor="text1"/>
          <w:sz w:val="24"/>
          <w:szCs w:val="24"/>
        </w:rPr>
        <w:t xml:space="preserve">he project area </w:t>
      </w:r>
      <w:r>
        <w:rPr>
          <w:rFonts w:ascii="Times New Roman" w:hAnsi="Times New Roman"/>
          <w:color w:val="000000" w:themeColor="text1"/>
          <w:sz w:val="24"/>
          <w:szCs w:val="24"/>
        </w:rPr>
        <w:t>must be</w:t>
      </w:r>
      <w:r w:rsidR="00AD1F78" w:rsidRPr="00044D22">
        <w:rPr>
          <w:rFonts w:ascii="Times New Roman" w:hAnsi="Times New Roman"/>
          <w:color w:val="000000" w:themeColor="text1"/>
          <w:sz w:val="24"/>
          <w:szCs w:val="24"/>
        </w:rPr>
        <w:t xml:space="preserve"> stratified</w:t>
      </w:r>
      <w:r w:rsidR="00AD1F78" w:rsidRPr="00044D22">
        <w:rPr>
          <w:color w:val="000000" w:themeColor="text1"/>
          <w:sz w:val="24"/>
          <w:szCs w:val="24"/>
        </w:rPr>
        <w:t xml:space="preserve"> </w:t>
      </w:r>
      <w:r w:rsidR="00795B75" w:rsidRPr="00044D22">
        <w:rPr>
          <w:rFonts w:ascii="Times New Roman" w:hAnsi="Times New Roman"/>
          <w:color w:val="000000" w:themeColor="text1"/>
          <w:sz w:val="24"/>
          <w:szCs w:val="24"/>
        </w:rPr>
        <w:t xml:space="preserve">according to the site characteristics and management practices that </w:t>
      </w:r>
      <w:r w:rsidR="00B14742" w:rsidRPr="00044D22">
        <w:rPr>
          <w:rFonts w:ascii="Times New Roman" w:hAnsi="Times New Roman"/>
          <w:color w:val="000000" w:themeColor="text1"/>
          <w:sz w:val="24"/>
          <w:szCs w:val="24"/>
        </w:rPr>
        <w:t>a</w:t>
      </w:r>
      <w:r w:rsidR="00795B75" w:rsidRPr="00044D22">
        <w:rPr>
          <w:rFonts w:ascii="Times New Roman" w:hAnsi="Times New Roman"/>
          <w:color w:val="000000" w:themeColor="text1"/>
          <w:sz w:val="24"/>
          <w:szCs w:val="24"/>
        </w:rPr>
        <w:t>ffect</w:t>
      </w:r>
      <w:r w:rsidR="008E293F" w:rsidRPr="00044D22">
        <w:rPr>
          <w:rFonts w:ascii="Times New Roman" w:hAnsi="Times New Roman"/>
          <w:color w:val="000000" w:themeColor="text1"/>
          <w:sz w:val="24"/>
          <w:szCs w:val="24"/>
        </w:rPr>
        <w:t xml:space="preserve"> the </w:t>
      </w:r>
      <w:r w:rsidR="00795B75" w:rsidRPr="00044D22">
        <w:rPr>
          <w:rFonts w:ascii="Times New Roman" w:hAnsi="Times New Roman"/>
          <w:color w:val="000000" w:themeColor="text1"/>
          <w:sz w:val="24"/>
          <w:szCs w:val="24"/>
        </w:rPr>
        <w:t>growth</w:t>
      </w:r>
      <w:r w:rsidR="008E293F" w:rsidRPr="00044D22">
        <w:rPr>
          <w:rFonts w:ascii="Times New Roman" w:hAnsi="Times New Roman"/>
          <w:color w:val="000000" w:themeColor="text1"/>
          <w:sz w:val="24"/>
          <w:szCs w:val="24"/>
        </w:rPr>
        <w:t xml:space="preserve"> rate of trees</w:t>
      </w:r>
      <w:r w:rsidR="00795B75" w:rsidRPr="00044D22">
        <w:rPr>
          <w:rFonts w:ascii="Times New Roman" w:hAnsi="Times New Roman"/>
          <w:color w:val="000000" w:themeColor="text1"/>
          <w:sz w:val="24"/>
          <w:szCs w:val="24"/>
        </w:rPr>
        <w:t xml:space="preserve"> in the area. </w:t>
      </w:r>
    </w:p>
    <w:p w:rsidR="00795B75" w:rsidRPr="00044D22" w:rsidRDefault="00F27C7C"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w:t>
      </w:r>
      <w:r w:rsidR="00795B75" w:rsidRPr="00044D22">
        <w:rPr>
          <w:rFonts w:ascii="Times New Roman" w:hAnsi="Times New Roman"/>
          <w:color w:val="000000" w:themeColor="text1"/>
          <w:sz w:val="24"/>
          <w:szCs w:val="24"/>
        </w:rPr>
        <w:t xml:space="preserve"> project area </w:t>
      </w:r>
      <w:r w:rsidR="00D037AF" w:rsidRPr="00044D22">
        <w:rPr>
          <w:rFonts w:ascii="Times New Roman" w:hAnsi="Times New Roman"/>
          <w:color w:val="000000" w:themeColor="text1"/>
          <w:sz w:val="24"/>
          <w:szCs w:val="24"/>
        </w:rPr>
        <w:t>may include one or more exclusion areas</w:t>
      </w:r>
      <w:r w:rsidR="008E293F" w:rsidRPr="00044D22">
        <w:rPr>
          <w:rFonts w:ascii="Times New Roman" w:hAnsi="Times New Roman"/>
          <w:color w:val="000000" w:themeColor="text1"/>
          <w:sz w:val="24"/>
          <w:szCs w:val="24"/>
        </w:rPr>
        <w:t>.</w:t>
      </w:r>
    </w:p>
    <w:p w:rsidR="008E293F" w:rsidRPr="00044D22" w:rsidRDefault="008E293F" w:rsidP="00986D81">
      <w:pPr>
        <w:spacing w:after="120" w:line="240" w:lineRule="auto"/>
        <w:rPr>
          <w:rFonts w:ascii="Times New Roman" w:hAnsi="Times New Roman"/>
          <w:color w:val="000000" w:themeColor="text1"/>
          <w:sz w:val="24"/>
          <w:szCs w:val="24"/>
        </w:rPr>
      </w:pPr>
      <w:r w:rsidRPr="00044D22">
        <w:rPr>
          <w:rFonts w:ascii="Times New Roman" w:hAnsi="Times New Roman"/>
          <w:color w:val="000000" w:themeColor="text1"/>
          <w:sz w:val="24"/>
          <w:szCs w:val="24"/>
        </w:rPr>
        <w:t>The project area, or part of the project area, may only be re-stratified as provided for in Division 3.2.</w:t>
      </w:r>
    </w:p>
    <w:p w:rsidR="00915BEF" w:rsidRPr="00044D22" w:rsidRDefault="00915BEF" w:rsidP="00986D81">
      <w:pPr>
        <w:spacing w:after="120" w:line="240" w:lineRule="auto"/>
        <w:rPr>
          <w:rFonts w:ascii="Times New Roman" w:hAnsi="Times New Roman"/>
          <w:color w:val="000000" w:themeColor="text1"/>
          <w:sz w:val="24"/>
          <w:szCs w:val="24"/>
          <w:u w:val="single"/>
        </w:rPr>
      </w:pPr>
      <w:r w:rsidRPr="00044D22">
        <w:rPr>
          <w:rFonts w:ascii="Times New Roman" w:hAnsi="Times New Roman"/>
          <w:color w:val="000000" w:themeColor="text1"/>
          <w:sz w:val="24"/>
          <w:szCs w:val="24"/>
          <w:u w:val="single"/>
        </w:rPr>
        <w:t xml:space="preserve">3.3 </w:t>
      </w:r>
      <w:r w:rsidRPr="00044D22">
        <w:rPr>
          <w:rFonts w:ascii="Times New Roman" w:hAnsi="Times New Roman"/>
          <w:color w:val="000000" w:themeColor="text1"/>
          <w:sz w:val="24"/>
          <w:szCs w:val="24"/>
          <w:u w:val="single"/>
        </w:rPr>
        <w:tab/>
        <w:t>Requirements for a carbon estimation area</w:t>
      </w:r>
    </w:p>
    <w:p w:rsidR="00ED5E78" w:rsidRDefault="00940137" w:rsidP="00986D81">
      <w:pPr>
        <w:spacing w:after="120" w:line="240" w:lineRule="auto"/>
        <w:rPr>
          <w:rFonts w:ascii="Times New Roman" w:hAnsi="Times New Roman"/>
          <w:color w:val="000000" w:themeColor="text1"/>
          <w:sz w:val="24"/>
          <w:szCs w:val="24"/>
        </w:rPr>
      </w:pPr>
      <w:r w:rsidRPr="002F7D19">
        <w:rPr>
          <w:rFonts w:ascii="Times New Roman" w:hAnsi="Times New Roman"/>
          <w:color w:val="000000" w:themeColor="text1"/>
          <w:sz w:val="24"/>
          <w:szCs w:val="24"/>
        </w:rPr>
        <w:t xml:space="preserve">Section 3.3 </w:t>
      </w:r>
      <w:r w:rsidR="00324AFA" w:rsidRPr="002F7D19">
        <w:rPr>
          <w:rFonts w:ascii="Times New Roman" w:hAnsi="Times New Roman"/>
          <w:color w:val="000000" w:themeColor="text1"/>
          <w:sz w:val="24"/>
          <w:szCs w:val="24"/>
        </w:rPr>
        <w:t>sets out</w:t>
      </w:r>
      <w:r w:rsidR="00795B75" w:rsidRPr="002F7D19">
        <w:rPr>
          <w:rFonts w:ascii="Times New Roman" w:hAnsi="Times New Roman"/>
          <w:color w:val="000000" w:themeColor="text1"/>
          <w:sz w:val="24"/>
          <w:szCs w:val="24"/>
        </w:rPr>
        <w:t xml:space="preserve"> the</w:t>
      </w:r>
      <w:r w:rsidR="007078E4">
        <w:rPr>
          <w:rFonts w:ascii="Times New Roman" w:hAnsi="Times New Roman"/>
          <w:color w:val="000000" w:themeColor="text1"/>
          <w:sz w:val="24"/>
          <w:szCs w:val="24"/>
        </w:rPr>
        <w:t xml:space="preserve"> required</w:t>
      </w:r>
      <w:r w:rsidR="00795B75" w:rsidRPr="002F7D19">
        <w:rPr>
          <w:rFonts w:ascii="Times New Roman" w:hAnsi="Times New Roman"/>
          <w:color w:val="000000" w:themeColor="text1"/>
          <w:sz w:val="24"/>
          <w:szCs w:val="24"/>
        </w:rPr>
        <w:t xml:space="preserve"> </w:t>
      </w:r>
      <w:r w:rsidR="00F27C7C">
        <w:rPr>
          <w:rFonts w:ascii="Times New Roman" w:hAnsi="Times New Roman"/>
          <w:color w:val="000000" w:themeColor="text1"/>
          <w:sz w:val="24"/>
          <w:szCs w:val="24"/>
        </w:rPr>
        <w:t xml:space="preserve">characteristics </w:t>
      </w:r>
      <w:r w:rsidR="007078E4">
        <w:rPr>
          <w:rFonts w:ascii="Times New Roman" w:hAnsi="Times New Roman"/>
          <w:color w:val="000000" w:themeColor="text1"/>
          <w:sz w:val="24"/>
          <w:szCs w:val="24"/>
        </w:rPr>
        <w:t>for</w:t>
      </w:r>
      <w:r w:rsidR="00795B75" w:rsidRPr="002F7D19">
        <w:rPr>
          <w:rFonts w:ascii="Times New Roman" w:hAnsi="Times New Roman"/>
          <w:color w:val="000000" w:themeColor="text1"/>
          <w:sz w:val="24"/>
          <w:szCs w:val="24"/>
        </w:rPr>
        <w:t xml:space="preserve"> a </w:t>
      </w:r>
      <w:r w:rsidR="00B14742" w:rsidRPr="002F7D19">
        <w:rPr>
          <w:rFonts w:ascii="Times New Roman" w:hAnsi="Times New Roman"/>
          <w:color w:val="000000" w:themeColor="text1"/>
          <w:sz w:val="24"/>
          <w:szCs w:val="24"/>
        </w:rPr>
        <w:t>carbon estimation area</w:t>
      </w:r>
      <w:r w:rsidR="00795B75" w:rsidRPr="002F7D19">
        <w:rPr>
          <w:rFonts w:ascii="Times New Roman" w:hAnsi="Times New Roman"/>
          <w:color w:val="000000" w:themeColor="text1"/>
          <w:sz w:val="24"/>
          <w:szCs w:val="24"/>
        </w:rPr>
        <w:t>.</w:t>
      </w:r>
    </w:p>
    <w:p w:rsidR="00F27C7C" w:rsidRDefault="00F27C7C"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3.3(1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a) provides that a carbon estimation area must consist of land on which the project mechanism, or activities, will be carried out.</w:t>
      </w:r>
    </w:p>
    <w:p w:rsidR="00B11C16" w:rsidRPr="002F7D19" w:rsidRDefault="00ED5E78" w:rsidP="00986D81">
      <w:pPr>
        <w:spacing w:after="120" w:line="240" w:lineRule="auto"/>
        <w:rPr>
          <w:rFonts w:ascii="Times New Roman" w:hAnsi="Times New Roman"/>
          <w:color w:val="000000" w:themeColor="text1"/>
          <w:sz w:val="24"/>
          <w:szCs w:val="24"/>
        </w:rPr>
      </w:pPr>
      <w:r w:rsidRPr="00ED5E78">
        <w:rPr>
          <w:rFonts w:ascii="Times New Roman" w:hAnsi="Times New Roman"/>
          <w:color w:val="000000" w:themeColor="text1"/>
          <w:sz w:val="24"/>
          <w:szCs w:val="24"/>
        </w:rPr>
        <w:t>Under the CFI Mapping Guidelines, a carbon estimation area must be a single area with an unbroken perimeter</w:t>
      </w:r>
      <w:r>
        <w:rPr>
          <w:rFonts w:ascii="Times New Roman" w:hAnsi="Times New Roman"/>
          <w:color w:val="000000" w:themeColor="text1"/>
          <w:sz w:val="24"/>
          <w:szCs w:val="24"/>
        </w:rPr>
        <w:t xml:space="preserve"> (paragraph 3.3(1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b))</w:t>
      </w:r>
      <w:r w:rsidRPr="00ED5E78">
        <w:rPr>
          <w:rFonts w:ascii="Times New Roman" w:hAnsi="Times New Roman"/>
          <w:color w:val="000000" w:themeColor="text1"/>
          <w:sz w:val="24"/>
          <w:szCs w:val="24"/>
        </w:rPr>
        <w:t xml:space="preserve">.  </w:t>
      </w:r>
      <w:r w:rsidR="00795B75" w:rsidRPr="002F7D19">
        <w:rPr>
          <w:rFonts w:ascii="Times New Roman" w:hAnsi="Times New Roman"/>
          <w:color w:val="000000" w:themeColor="text1"/>
          <w:sz w:val="24"/>
          <w:szCs w:val="24"/>
        </w:rPr>
        <w:t xml:space="preserve"> </w:t>
      </w:r>
    </w:p>
    <w:p w:rsidR="00922277" w:rsidRPr="002F4B3F" w:rsidRDefault="00922277" w:rsidP="00986D81">
      <w:pPr>
        <w:spacing w:after="120" w:line="240" w:lineRule="auto"/>
        <w:rPr>
          <w:rFonts w:ascii="Times New Roman" w:hAnsi="Times New Roman"/>
          <w:color w:val="000000" w:themeColor="text1"/>
          <w:sz w:val="24"/>
          <w:szCs w:val="24"/>
        </w:rPr>
      </w:pPr>
      <w:r w:rsidRPr="00CC2DDB">
        <w:rPr>
          <w:rFonts w:ascii="Times New Roman" w:hAnsi="Times New Roman"/>
          <w:color w:val="000000" w:themeColor="text1"/>
          <w:sz w:val="24"/>
          <w:szCs w:val="24"/>
        </w:rPr>
        <w:t>Each carbon estimation area must contain a static ‘model point’ location (latitude and longitude) which must be located at the approximate centre of the carbon estimation area for the purpose of estimation with FullCAM</w:t>
      </w:r>
      <w:r>
        <w:rPr>
          <w:rFonts w:ascii="Times New Roman" w:hAnsi="Times New Roman"/>
          <w:color w:val="000000" w:themeColor="text1"/>
          <w:sz w:val="24"/>
          <w:szCs w:val="24"/>
        </w:rPr>
        <w:t xml:space="preserve"> (paragraph 3.3(1)(</w:t>
      </w:r>
      <w:r w:rsidR="00ED5E78">
        <w:rPr>
          <w:rFonts w:ascii="Times New Roman" w:hAnsi="Times New Roman"/>
          <w:color w:val="000000" w:themeColor="text1"/>
          <w:sz w:val="24"/>
          <w:szCs w:val="24"/>
        </w:rPr>
        <w:t>c</w:t>
      </w:r>
      <w:r>
        <w:rPr>
          <w:rFonts w:ascii="Times New Roman" w:hAnsi="Times New Roman"/>
          <w:color w:val="000000" w:themeColor="text1"/>
          <w:sz w:val="24"/>
          <w:szCs w:val="24"/>
        </w:rPr>
        <w:t>)).  Subsection 3.3(2) specifies that p</w:t>
      </w:r>
      <w:r w:rsidRPr="00CC2DDB">
        <w:rPr>
          <w:rFonts w:ascii="Times New Roman" w:hAnsi="Times New Roman"/>
          <w:color w:val="000000" w:themeColor="text1"/>
          <w:sz w:val="24"/>
          <w:szCs w:val="24"/>
        </w:rPr>
        <w:t>oints may not change over time unless the carbon estimation area is re</w:t>
      </w:r>
      <w:r w:rsidRPr="00CC2DDB">
        <w:rPr>
          <w:rFonts w:ascii="Times New Roman" w:hAnsi="Times New Roman"/>
          <w:color w:val="000000" w:themeColor="text1"/>
          <w:sz w:val="24"/>
          <w:szCs w:val="24"/>
        </w:rPr>
        <w:noBreakHyphen/>
        <w:t>stratified.</w:t>
      </w:r>
    </w:p>
    <w:p w:rsidR="000D4835" w:rsidRDefault="00B1176B" w:rsidP="000D4835">
      <w:pPr>
        <w:pStyle w:val="R2"/>
        <w:keepNext/>
        <w:tabs>
          <w:tab w:val="clear" w:pos="794"/>
        </w:tabs>
        <w:spacing w:before="0" w:after="120" w:line="240" w:lineRule="auto"/>
        <w:ind w:left="0" w:firstLine="0"/>
        <w:jc w:val="left"/>
        <w:rPr>
          <w:color w:val="000000" w:themeColor="text1"/>
        </w:rPr>
      </w:pPr>
      <w:r>
        <w:rPr>
          <w:color w:val="000000" w:themeColor="text1"/>
        </w:rPr>
        <w:lastRenderedPageBreak/>
        <w:t>P</w:t>
      </w:r>
      <w:r w:rsidR="00ED5E78">
        <w:rPr>
          <w:color w:val="000000" w:themeColor="text1"/>
        </w:rPr>
        <w:t>aragraph 3.3(1</w:t>
      </w:r>
      <w:proofErr w:type="gramStart"/>
      <w:r w:rsidR="00ED5E78">
        <w:rPr>
          <w:color w:val="000000" w:themeColor="text1"/>
        </w:rPr>
        <w:t>)(</w:t>
      </w:r>
      <w:proofErr w:type="gramEnd"/>
      <w:r>
        <w:rPr>
          <w:color w:val="000000" w:themeColor="text1"/>
        </w:rPr>
        <w:t>d</w:t>
      </w:r>
      <w:r w:rsidR="00ED5E78">
        <w:rPr>
          <w:color w:val="000000" w:themeColor="text1"/>
        </w:rPr>
        <w:t>)</w:t>
      </w:r>
      <w:r>
        <w:rPr>
          <w:color w:val="000000" w:themeColor="text1"/>
        </w:rPr>
        <w:t xml:space="preserve"> provides that</w:t>
      </w:r>
      <w:r w:rsidR="00ED5E78">
        <w:rPr>
          <w:color w:val="000000" w:themeColor="text1"/>
        </w:rPr>
        <w:t xml:space="preserve"> a carbon estimation area</w:t>
      </w:r>
      <w:r w:rsidR="00523863">
        <w:rPr>
          <w:color w:val="000000" w:themeColor="text1"/>
        </w:rPr>
        <w:t xml:space="preserve"> </w:t>
      </w:r>
      <w:r w:rsidR="00523863" w:rsidRPr="002F7D19">
        <w:rPr>
          <w:color w:val="000000" w:themeColor="text1"/>
        </w:rPr>
        <w:t xml:space="preserve">must </w:t>
      </w:r>
      <w:r w:rsidR="000D4835" w:rsidRPr="000D4835">
        <w:rPr>
          <w:color w:val="000000" w:themeColor="text1"/>
        </w:rPr>
        <w:t>contain regrowth of the same forest type or vegetation community, in terms of likely mature structure and dominant tree species.</w:t>
      </w:r>
    </w:p>
    <w:p w:rsidR="00B1176B" w:rsidRPr="0041358B" w:rsidRDefault="0041358B" w:rsidP="00A95EF4">
      <w:pPr>
        <w:pStyle w:val="R2"/>
        <w:keepNext/>
        <w:tabs>
          <w:tab w:val="clear" w:pos="794"/>
        </w:tabs>
        <w:spacing w:before="0" w:after="120" w:line="240" w:lineRule="auto"/>
        <w:ind w:left="0" w:firstLine="0"/>
        <w:jc w:val="left"/>
        <w:rPr>
          <w:color w:val="000000" w:themeColor="text1"/>
        </w:rPr>
      </w:pPr>
      <w:r>
        <w:rPr>
          <w:color w:val="000000" w:themeColor="text1"/>
        </w:rPr>
        <w:t>The note following paragraph 3.3(1</w:t>
      </w:r>
      <w:proofErr w:type="gramStart"/>
      <w:r>
        <w:rPr>
          <w:color w:val="000000" w:themeColor="text1"/>
        </w:rPr>
        <w:t>)(</w:t>
      </w:r>
      <w:proofErr w:type="gramEnd"/>
      <w:r>
        <w:rPr>
          <w:color w:val="000000" w:themeColor="text1"/>
        </w:rPr>
        <w:t xml:space="preserve">d) indicates that a </w:t>
      </w:r>
      <w:r w:rsidR="00B1176B">
        <w:rPr>
          <w:color w:val="000000" w:themeColor="text1"/>
        </w:rPr>
        <w:t>carbon estimation area</w:t>
      </w:r>
      <w:r w:rsidR="00B1176B" w:rsidRPr="006E4E9B">
        <w:rPr>
          <w:color w:val="000000" w:themeColor="text1"/>
        </w:rPr>
        <w:t xml:space="preserve"> </w:t>
      </w:r>
      <w:r>
        <w:rPr>
          <w:color w:val="000000" w:themeColor="text1"/>
        </w:rPr>
        <w:t>should</w:t>
      </w:r>
      <w:r w:rsidR="00B1176B" w:rsidRPr="006E4E9B">
        <w:rPr>
          <w:color w:val="000000" w:themeColor="text1"/>
        </w:rPr>
        <w:t xml:space="preserve"> be selected according to </w:t>
      </w:r>
      <w:r>
        <w:rPr>
          <w:color w:val="000000" w:themeColor="text1"/>
        </w:rPr>
        <w:t xml:space="preserve">actual and consistent </w:t>
      </w:r>
      <w:r w:rsidR="00B1176B" w:rsidRPr="006E4E9B">
        <w:rPr>
          <w:color w:val="000000" w:themeColor="text1"/>
        </w:rPr>
        <w:t xml:space="preserve">site characteristics. This is because </w:t>
      </w:r>
      <w:r w:rsidR="00B1176B" w:rsidRPr="00891F21">
        <w:rPr>
          <w:color w:val="000000" w:themeColor="text1"/>
        </w:rPr>
        <w:t xml:space="preserve">managed regrowth occurring on sites with different characteristics </w:t>
      </w:r>
      <w:r w:rsidR="00B1176B">
        <w:rPr>
          <w:color w:val="000000" w:themeColor="text1"/>
        </w:rPr>
        <w:t>is</w:t>
      </w:r>
      <w:r w:rsidR="00B1176B" w:rsidRPr="00891F21">
        <w:rPr>
          <w:color w:val="000000" w:themeColor="text1"/>
        </w:rPr>
        <w:t xml:space="preserve"> likely to sequester carbon at different rates and must be modelled separately</w:t>
      </w:r>
      <w:r w:rsidR="00B1176B" w:rsidRPr="006E4E9B">
        <w:rPr>
          <w:color w:val="000000" w:themeColor="text1"/>
        </w:rPr>
        <w:t xml:space="preserve">. </w:t>
      </w:r>
    </w:p>
    <w:p w:rsidR="00166C3A" w:rsidRDefault="00166C3A" w:rsidP="00166C3A">
      <w:pPr>
        <w:pStyle w:val="R2"/>
        <w:keepNext/>
        <w:tabs>
          <w:tab w:val="clear" w:pos="794"/>
        </w:tabs>
        <w:spacing w:before="0" w:after="120" w:line="240" w:lineRule="auto"/>
        <w:ind w:left="0" w:firstLine="0"/>
        <w:jc w:val="left"/>
        <w:rPr>
          <w:color w:val="000000" w:themeColor="text1"/>
        </w:rPr>
      </w:pPr>
      <w:r w:rsidRPr="002F4B3F">
        <w:rPr>
          <w:color w:val="000000" w:themeColor="text1"/>
        </w:rPr>
        <w:t>For the purpose</w:t>
      </w:r>
      <w:r>
        <w:rPr>
          <w:color w:val="000000" w:themeColor="text1"/>
        </w:rPr>
        <w:t>s</w:t>
      </w:r>
      <w:r w:rsidRPr="002F4B3F">
        <w:rPr>
          <w:color w:val="000000" w:themeColor="text1"/>
        </w:rPr>
        <w:t xml:space="preserve"> of </w:t>
      </w:r>
      <w:r>
        <w:rPr>
          <w:color w:val="000000" w:themeColor="text1"/>
        </w:rPr>
        <w:t>modelling carbon stocks</w:t>
      </w:r>
      <w:r w:rsidRPr="002F4B3F">
        <w:rPr>
          <w:color w:val="000000" w:themeColor="text1"/>
        </w:rPr>
        <w:t xml:space="preserve">, </w:t>
      </w:r>
      <w:r w:rsidRPr="00AF1F55">
        <w:rPr>
          <w:color w:val="000000" w:themeColor="text1"/>
        </w:rPr>
        <w:t>regeneration is assumed to occur simultaneously within a carbon estimation area</w:t>
      </w:r>
      <w:r>
        <w:rPr>
          <w:color w:val="000000" w:themeColor="text1"/>
        </w:rPr>
        <w:t xml:space="preserve">. </w:t>
      </w:r>
    </w:p>
    <w:p w:rsidR="00166C3A" w:rsidRDefault="00166C3A" w:rsidP="00A95EF4">
      <w:pPr>
        <w:pStyle w:val="R2"/>
        <w:keepNext/>
        <w:tabs>
          <w:tab w:val="clear" w:pos="794"/>
        </w:tabs>
        <w:spacing w:before="0" w:after="120" w:line="240" w:lineRule="auto"/>
        <w:ind w:left="0" w:firstLine="0"/>
        <w:jc w:val="left"/>
        <w:rPr>
          <w:color w:val="000000" w:themeColor="text1"/>
        </w:rPr>
      </w:pPr>
      <w:r>
        <w:rPr>
          <w:color w:val="000000" w:themeColor="text1"/>
        </w:rPr>
        <w:t>Subsection 3.3(3) provides that a</w:t>
      </w:r>
      <w:r w:rsidR="00CA2D6E" w:rsidRPr="002F4B3F">
        <w:rPr>
          <w:color w:val="000000" w:themeColor="text1"/>
        </w:rPr>
        <w:t xml:space="preserve">ll regeneration that occurs within a carbon estimation area must be </w:t>
      </w:r>
      <w:r w:rsidR="00062BBF">
        <w:rPr>
          <w:color w:val="000000" w:themeColor="text1"/>
        </w:rPr>
        <w:t>subject to</w:t>
      </w:r>
      <w:r w:rsidR="00CA2D6E" w:rsidRPr="002F4B3F">
        <w:rPr>
          <w:color w:val="000000" w:themeColor="text1"/>
        </w:rPr>
        <w:t xml:space="preserve"> the same change in </w:t>
      </w:r>
      <w:r w:rsidR="006E4E9B" w:rsidRPr="002F4B3F">
        <w:rPr>
          <w:color w:val="000000" w:themeColor="text1"/>
        </w:rPr>
        <w:t xml:space="preserve">land </w:t>
      </w:r>
      <w:r w:rsidR="00CA2D6E" w:rsidRPr="002F4B3F">
        <w:rPr>
          <w:color w:val="000000" w:themeColor="text1"/>
        </w:rPr>
        <w:t xml:space="preserve">management, </w:t>
      </w:r>
      <w:r w:rsidR="00CA2D6E" w:rsidRPr="00C13F94">
        <w:rPr>
          <w:color w:val="000000" w:themeColor="text1"/>
        </w:rPr>
        <w:t xml:space="preserve">and </w:t>
      </w:r>
      <w:r w:rsidR="00062BBF">
        <w:rPr>
          <w:color w:val="000000" w:themeColor="text1"/>
        </w:rPr>
        <w:t>have commenced</w:t>
      </w:r>
      <w:r w:rsidR="00CA2D6E" w:rsidRPr="00C13F94">
        <w:rPr>
          <w:color w:val="000000" w:themeColor="text1"/>
        </w:rPr>
        <w:t xml:space="preserve"> </w:t>
      </w:r>
      <w:r w:rsidR="00C13F94" w:rsidRPr="00C13F94">
        <w:rPr>
          <w:color w:val="000000" w:themeColor="text1"/>
        </w:rPr>
        <w:t xml:space="preserve">after the last comprehensive clearing but </w:t>
      </w:r>
      <w:r w:rsidR="00A31463">
        <w:rPr>
          <w:color w:val="000000" w:themeColor="text1"/>
        </w:rPr>
        <w:t>not have attained</w:t>
      </w:r>
      <w:r w:rsidR="00C13F94" w:rsidRPr="00C13F94">
        <w:rPr>
          <w:color w:val="000000" w:themeColor="text1"/>
        </w:rPr>
        <w:t xml:space="preserve"> forest cover </w:t>
      </w:r>
      <w:r w:rsidR="002F7D19">
        <w:rPr>
          <w:color w:val="000000" w:themeColor="text1"/>
        </w:rPr>
        <w:t>(</w:t>
      </w:r>
      <w:r>
        <w:rPr>
          <w:color w:val="000000" w:themeColor="text1"/>
        </w:rPr>
        <w:t>paragraphs</w:t>
      </w:r>
      <w:r w:rsidR="002F7D19" w:rsidRPr="002F4B3F">
        <w:rPr>
          <w:color w:val="000000" w:themeColor="text1"/>
        </w:rPr>
        <w:t xml:space="preserve"> 3.3(</w:t>
      </w:r>
      <w:r w:rsidR="00BB4E18">
        <w:rPr>
          <w:color w:val="000000" w:themeColor="text1"/>
        </w:rPr>
        <w:t>3</w:t>
      </w:r>
      <w:proofErr w:type="gramStart"/>
      <w:r w:rsidR="002F7D19" w:rsidRPr="002F4B3F">
        <w:rPr>
          <w:color w:val="000000" w:themeColor="text1"/>
        </w:rPr>
        <w:t>)</w:t>
      </w:r>
      <w:r>
        <w:rPr>
          <w:color w:val="000000" w:themeColor="text1"/>
        </w:rPr>
        <w:t>(</w:t>
      </w:r>
      <w:proofErr w:type="gramEnd"/>
      <w:r>
        <w:rPr>
          <w:color w:val="000000" w:themeColor="text1"/>
        </w:rPr>
        <w:t>a) and (b)</w:t>
      </w:r>
      <w:r w:rsidR="002F7D19">
        <w:rPr>
          <w:color w:val="000000" w:themeColor="text1"/>
        </w:rPr>
        <w:t>)</w:t>
      </w:r>
      <w:r w:rsidR="00CA2D6E" w:rsidRPr="002F4B3F">
        <w:rPr>
          <w:color w:val="000000" w:themeColor="text1"/>
        </w:rPr>
        <w:t xml:space="preserve">. </w:t>
      </w:r>
      <w:r w:rsidR="00A95EF4">
        <w:rPr>
          <w:color w:val="000000" w:themeColor="text1"/>
        </w:rPr>
        <w:t xml:space="preserve"> </w:t>
      </w:r>
      <w:r w:rsidRPr="00166C3A">
        <w:rPr>
          <w:color w:val="000000" w:themeColor="text1"/>
        </w:rPr>
        <w:t>Regrowth in the carbon estimation area must be subject to the same land management events</w:t>
      </w:r>
      <w:r>
        <w:rPr>
          <w:color w:val="000000" w:themeColor="text1"/>
        </w:rPr>
        <w:t xml:space="preserve"> (paragraph</w:t>
      </w:r>
      <w:r w:rsidRPr="002F4B3F">
        <w:rPr>
          <w:color w:val="000000" w:themeColor="text1"/>
        </w:rPr>
        <w:t xml:space="preserve"> 3.3(</w:t>
      </w:r>
      <w:r>
        <w:rPr>
          <w:color w:val="000000" w:themeColor="text1"/>
        </w:rPr>
        <w:t>3</w:t>
      </w:r>
      <w:proofErr w:type="gramStart"/>
      <w:r w:rsidRPr="002F4B3F">
        <w:rPr>
          <w:color w:val="000000" w:themeColor="text1"/>
        </w:rPr>
        <w:t>)</w:t>
      </w:r>
      <w:r>
        <w:rPr>
          <w:color w:val="000000" w:themeColor="text1"/>
        </w:rPr>
        <w:t>(</w:t>
      </w:r>
      <w:proofErr w:type="gramEnd"/>
      <w:r>
        <w:rPr>
          <w:color w:val="000000" w:themeColor="text1"/>
        </w:rPr>
        <w:t>c))</w:t>
      </w:r>
      <w:r w:rsidRPr="00166C3A">
        <w:rPr>
          <w:color w:val="000000" w:themeColor="text1"/>
        </w:rPr>
        <w:t>.</w:t>
      </w:r>
    </w:p>
    <w:p w:rsidR="00795B75" w:rsidRDefault="007D13FA" w:rsidP="00166C3A">
      <w:pPr>
        <w:pStyle w:val="R2"/>
        <w:keepNext/>
        <w:tabs>
          <w:tab w:val="clear" w:pos="794"/>
        </w:tabs>
        <w:spacing w:before="0" w:after="120" w:line="240" w:lineRule="auto"/>
        <w:ind w:left="0" w:firstLine="0"/>
        <w:jc w:val="left"/>
        <w:rPr>
          <w:color w:val="000000" w:themeColor="text1"/>
        </w:rPr>
      </w:pPr>
      <w:r>
        <w:rPr>
          <w:color w:val="000000" w:themeColor="text1"/>
        </w:rPr>
        <w:t>The effect of section 3.3 is that i</w:t>
      </w:r>
      <w:r w:rsidR="00795B75" w:rsidRPr="002F4B3F">
        <w:rPr>
          <w:color w:val="000000" w:themeColor="text1"/>
        </w:rPr>
        <w:t>f the entire project area is homogenous both in site characteristics and management activities</w:t>
      </w:r>
      <w:r w:rsidR="002F4B3F">
        <w:rPr>
          <w:color w:val="000000" w:themeColor="text1"/>
        </w:rPr>
        <w:t xml:space="preserve">, then </w:t>
      </w:r>
      <w:r w:rsidR="00216746">
        <w:rPr>
          <w:color w:val="000000" w:themeColor="text1"/>
        </w:rPr>
        <w:t>the project area may</w:t>
      </w:r>
      <w:r w:rsidR="002F4B3F" w:rsidRPr="002F4B3F">
        <w:rPr>
          <w:color w:val="000000" w:themeColor="text1"/>
        </w:rPr>
        <w:t xml:space="preserve"> also be a</w:t>
      </w:r>
      <w:r w:rsidR="00216746">
        <w:rPr>
          <w:color w:val="000000" w:themeColor="text1"/>
        </w:rPr>
        <w:t xml:space="preserve"> single</w:t>
      </w:r>
      <w:r w:rsidR="002F4B3F" w:rsidRPr="002F4B3F">
        <w:rPr>
          <w:color w:val="000000" w:themeColor="text1"/>
        </w:rPr>
        <w:t xml:space="preserve"> carbon estimation area. </w:t>
      </w:r>
    </w:p>
    <w:p w:rsidR="00932357" w:rsidRPr="00932357" w:rsidRDefault="00932357" w:rsidP="00986D81">
      <w:pPr>
        <w:spacing w:after="120" w:line="240" w:lineRule="auto"/>
        <w:rPr>
          <w:rFonts w:ascii="Times New Roman" w:hAnsi="Times New Roman"/>
          <w:color w:val="000000" w:themeColor="text1"/>
          <w:sz w:val="24"/>
          <w:szCs w:val="24"/>
          <w:u w:val="single"/>
        </w:rPr>
      </w:pPr>
      <w:r w:rsidRPr="00932357">
        <w:rPr>
          <w:rFonts w:ascii="Times New Roman" w:hAnsi="Times New Roman"/>
          <w:color w:val="000000" w:themeColor="text1"/>
          <w:sz w:val="24"/>
          <w:szCs w:val="24"/>
          <w:u w:val="single"/>
        </w:rPr>
        <w:t>3.</w:t>
      </w:r>
      <w:r>
        <w:rPr>
          <w:rFonts w:ascii="Times New Roman" w:hAnsi="Times New Roman"/>
          <w:color w:val="000000" w:themeColor="text1"/>
          <w:sz w:val="24"/>
          <w:szCs w:val="24"/>
          <w:u w:val="single"/>
        </w:rPr>
        <w:t>4</w:t>
      </w:r>
      <w:r w:rsidRPr="00932357">
        <w:rPr>
          <w:rFonts w:ascii="Times New Roman" w:hAnsi="Times New Roman"/>
          <w:color w:val="000000" w:themeColor="text1"/>
          <w:sz w:val="24"/>
          <w:szCs w:val="24"/>
          <w:u w:val="single"/>
        </w:rPr>
        <w:t xml:space="preserve"> </w:t>
      </w:r>
      <w:r w:rsidRPr="00932357">
        <w:rPr>
          <w:rFonts w:ascii="Times New Roman" w:hAnsi="Times New Roman"/>
          <w:color w:val="000000" w:themeColor="text1"/>
          <w:sz w:val="24"/>
          <w:szCs w:val="24"/>
          <w:u w:val="single"/>
        </w:rPr>
        <w:tab/>
        <w:t>Carbon estimation area boundaries</w:t>
      </w:r>
    </w:p>
    <w:p w:rsidR="00026F47" w:rsidRDefault="00932357" w:rsidP="00986D81">
      <w:pPr>
        <w:spacing w:after="120" w:line="240" w:lineRule="auto"/>
        <w:rPr>
          <w:rFonts w:ascii="Times New Roman" w:hAnsi="Times New Roman"/>
          <w:color w:val="000000" w:themeColor="text1"/>
          <w:sz w:val="24"/>
          <w:szCs w:val="24"/>
        </w:rPr>
      </w:pPr>
      <w:r w:rsidRPr="00932357">
        <w:rPr>
          <w:rFonts w:ascii="Times New Roman" w:hAnsi="Times New Roman"/>
          <w:color w:val="000000" w:themeColor="text1"/>
          <w:sz w:val="24"/>
          <w:szCs w:val="24"/>
        </w:rPr>
        <w:t>The boundaries of a carbon estimat</w:t>
      </w:r>
      <w:r w:rsidR="00C3384E">
        <w:rPr>
          <w:rFonts w:ascii="Times New Roman" w:hAnsi="Times New Roman"/>
          <w:color w:val="000000" w:themeColor="text1"/>
          <w:sz w:val="24"/>
          <w:szCs w:val="24"/>
        </w:rPr>
        <w:t>ion area must be identified before</w:t>
      </w:r>
      <w:r w:rsidRPr="00932357">
        <w:rPr>
          <w:rFonts w:ascii="Times New Roman" w:hAnsi="Times New Roman"/>
          <w:color w:val="000000" w:themeColor="text1"/>
          <w:sz w:val="24"/>
          <w:szCs w:val="24"/>
        </w:rPr>
        <w:t xml:space="preserve"> the first offsets report for the project is submitted to the Regulator</w:t>
      </w:r>
      <w:r w:rsidR="00026F47">
        <w:rPr>
          <w:rFonts w:ascii="Times New Roman" w:hAnsi="Times New Roman"/>
          <w:color w:val="000000" w:themeColor="text1"/>
          <w:sz w:val="24"/>
          <w:szCs w:val="24"/>
        </w:rPr>
        <w:t xml:space="preserve">, and </w:t>
      </w:r>
      <w:r w:rsidR="00026F47" w:rsidRPr="00026F47">
        <w:rPr>
          <w:rFonts w:ascii="Times New Roman" w:hAnsi="Times New Roman"/>
          <w:color w:val="000000" w:themeColor="text1"/>
          <w:sz w:val="24"/>
          <w:szCs w:val="24"/>
        </w:rPr>
        <w:t xml:space="preserve">in accordance with the requirements set out in the CFI Mapping Guidelines. </w:t>
      </w:r>
    </w:p>
    <w:p w:rsidR="00026F47" w:rsidRPr="00C732BD" w:rsidRDefault="00026F47" w:rsidP="00986D81">
      <w:pPr>
        <w:spacing w:after="120" w:line="240" w:lineRule="auto"/>
        <w:rPr>
          <w:rFonts w:ascii="Times New Roman" w:hAnsi="Times New Roman"/>
          <w:color w:val="000000" w:themeColor="text1"/>
          <w:sz w:val="24"/>
          <w:szCs w:val="24"/>
        </w:rPr>
      </w:pPr>
      <w:r w:rsidRPr="00C732BD">
        <w:rPr>
          <w:rFonts w:ascii="Times New Roman" w:hAnsi="Times New Roman"/>
          <w:color w:val="000000" w:themeColor="text1"/>
          <w:sz w:val="24"/>
          <w:szCs w:val="24"/>
        </w:rPr>
        <w:t xml:space="preserve">A project proponent may use a range of approaches to determine the boundaries of a carbon estimation area, but must include at least one of the following: </w:t>
      </w:r>
    </w:p>
    <w:p w:rsidR="00026F47" w:rsidRPr="00026F47" w:rsidRDefault="00026F47" w:rsidP="00AE7A3E">
      <w:pPr>
        <w:pStyle w:val="ListParagraph"/>
        <w:numPr>
          <w:ilvl w:val="0"/>
          <w:numId w:val="3"/>
        </w:numPr>
        <w:spacing w:after="120" w:line="240" w:lineRule="auto"/>
        <w:ind w:left="714" w:hanging="357"/>
        <w:rPr>
          <w:rFonts w:ascii="Times New Roman" w:hAnsi="Times New Roman"/>
          <w:color w:val="000000" w:themeColor="text1"/>
          <w:sz w:val="24"/>
          <w:szCs w:val="24"/>
        </w:rPr>
      </w:pPr>
      <w:r w:rsidRPr="00026F47">
        <w:rPr>
          <w:rFonts w:ascii="Times New Roman" w:hAnsi="Times New Roman"/>
          <w:color w:val="000000" w:themeColor="text1"/>
          <w:sz w:val="24"/>
          <w:szCs w:val="24"/>
        </w:rPr>
        <w:t xml:space="preserve">field surveys; </w:t>
      </w:r>
    </w:p>
    <w:p w:rsidR="00026F47" w:rsidRPr="00026F47" w:rsidRDefault="00026F47" w:rsidP="00AE7A3E">
      <w:pPr>
        <w:pStyle w:val="ListParagraph"/>
        <w:numPr>
          <w:ilvl w:val="0"/>
          <w:numId w:val="3"/>
        </w:numPr>
        <w:spacing w:after="120" w:line="240" w:lineRule="auto"/>
        <w:ind w:left="714" w:hanging="357"/>
        <w:rPr>
          <w:rFonts w:ascii="Times New Roman" w:hAnsi="Times New Roman"/>
          <w:color w:val="000000" w:themeColor="text1"/>
          <w:sz w:val="24"/>
          <w:szCs w:val="24"/>
        </w:rPr>
      </w:pPr>
      <w:r w:rsidRPr="00026F47">
        <w:rPr>
          <w:rFonts w:ascii="Times New Roman" w:hAnsi="Times New Roman"/>
          <w:color w:val="000000" w:themeColor="text1"/>
          <w:sz w:val="24"/>
          <w:szCs w:val="24"/>
        </w:rPr>
        <w:t xml:space="preserve">aerial photographs; </w:t>
      </w:r>
    </w:p>
    <w:p w:rsidR="00026F47" w:rsidRPr="00026F47" w:rsidRDefault="00026F47" w:rsidP="00AE7A3E">
      <w:pPr>
        <w:pStyle w:val="ListParagraph"/>
        <w:numPr>
          <w:ilvl w:val="0"/>
          <w:numId w:val="3"/>
        </w:numPr>
        <w:spacing w:after="120" w:line="240" w:lineRule="auto"/>
        <w:ind w:left="714" w:hanging="357"/>
        <w:rPr>
          <w:rFonts w:ascii="Times New Roman" w:hAnsi="Times New Roman"/>
          <w:color w:val="000000" w:themeColor="text1"/>
          <w:sz w:val="24"/>
          <w:szCs w:val="24"/>
        </w:rPr>
      </w:pPr>
      <w:r w:rsidRPr="00026F47">
        <w:rPr>
          <w:rFonts w:ascii="Times New Roman" w:hAnsi="Times New Roman"/>
          <w:color w:val="000000" w:themeColor="text1"/>
          <w:sz w:val="24"/>
          <w:szCs w:val="24"/>
        </w:rPr>
        <w:t>satellite imagery</w:t>
      </w:r>
      <w:r w:rsidR="00A31463" w:rsidRPr="00A31463">
        <w:rPr>
          <w:rFonts w:ascii="Times New Roman" w:hAnsi="Times New Roman"/>
          <w:color w:val="000000" w:themeColor="text1"/>
          <w:sz w:val="24"/>
          <w:szCs w:val="24"/>
        </w:rPr>
        <w:t xml:space="preserve"> </w:t>
      </w:r>
      <w:r w:rsidR="00A31463" w:rsidRPr="00DF0AED">
        <w:rPr>
          <w:rFonts w:ascii="Times New Roman" w:hAnsi="Times New Roman"/>
          <w:color w:val="000000" w:themeColor="text1"/>
          <w:sz w:val="24"/>
          <w:szCs w:val="24"/>
        </w:rPr>
        <w:t>including derived vegetation cover data</w:t>
      </w:r>
      <w:r w:rsidRPr="00026F47">
        <w:rPr>
          <w:rFonts w:ascii="Times New Roman" w:hAnsi="Times New Roman"/>
          <w:color w:val="000000" w:themeColor="text1"/>
          <w:sz w:val="24"/>
          <w:szCs w:val="24"/>
        </w:rPr>
        <w:t xml:space="preserve">; or </w:t>
      </w:r>
    </w:p>
    <w:p w:rsidR="00026F47" w:rsidRPr="00026F47" w:rsidRDefault="00A31463" w:rsidP="00AE7A3E">
      <w:pPr>
        <w:pStyle w:val="ListParagraph"/>
        <w:numPr>
          <w:ilvl w:val="0"/>
          <w:numId w:val="3"/>
        </w:numPr>
        <w:spacing w:after="120" w:line="240" w:lineRule="auto"/>
        <w:ind w:left="714" w:hanging="357"/>
        <w:rPr>
          <w:rFonts w:ascii="Times New Roman" w:hAnsi="Times New Roman"/>
          <w:color w:val="000000" w:themeColor="text1"/>
          <w:sz w:val="24"/>
          <w:szCs w:val="24"/>
        </w:rPr>
      </w:pPr>
      <w:proofErr w:type="gramStart"/>
      <w:r>
        <w:rPr>
          <w:rFonts w:ascii="Times New Roman" w:hAnsi="Times New Roman"/>
          <w:color w:val="000000" w:themeColor="text1"/>
          <w:sz w:val="24"/>
          <w:szCs w:val="24"/>
        </w:rPr>
        <w:t>soil</w:t>
      </w:r>
      <w:proofErr w:type="gramEnd"/>
      <w:r>
        <w:rPr>
          <w:rFonts w:ascii="Times New Roman" w:hAnsi="Times New Roman"/>
          <w:color w:val="000000" w:themeColor="text1"/>
          <w:sz w:val="24"/>
          <w:szCs w:val="24"/>
        </w:rPr>
        <w:t xml:space="preserve">, vegetation or </w:t>
      </w:r>
      <w:r w:rsidR="00026F47" w:rsidRPr="00026F47">
        <w:rPr>
          <w:rFonts w:ascii="Times New Roman" w:hAnsi="Times New Roman"/>
          <w:color w:val="000000" w:themeColor="text1"/>
          <w:sz w:val="24"/>
          <w:szCs w:val="24"/>
        </w:rPr>
        <w:t xml:space="preserve">landform maps. </w:t>
      </w:r>
    </w:p>
    <w:p w:rsidR="00932357" w:rsidRDefault="00932357" w:rsidP="00986D81">
      <w:pPr>
        <w:spacing w:after="120" w:line="240" w:lineRule="auto"/>
        <w:rPr>
          <w:rFonts w:ascii="Times New Roman" w:hAnsi="Times New Roman"/>
          <w:color w:val="000000" w:themeColor="text1"/>
          <w:sz w:val="24"/>
          <w:szCs w:val="24"/>
        </w:rPr>
      </w:pPr>
      <w:r w:rsidRPr="00932357">
        <w:rPr>
          <w:rFonts w:ascii="Times New Roman" w:hAnsi="Times New Roman"/>
          <w:color w:val="000000" w:themeColor="text1"/>
          <w:sz w:val="24"/>
          <w:szCs w:val="24"/>
        </w:rPr>
        <w:t>If a carbon estimation area is re-stratified, the new boundaries must be identified in the next offsets report submitted to the Regulator after the re-stratification</w:t>
      </w:r>
      <w:r>
        <w:rPr>
          <w:rFonts w:ascii="Times New Roman" w:hAnsi="Times New Roman"/>
          <w:color w:val="000000" w:themeColor="text1"/>
          <w:sz w:val="24"/>
          <w:szCs w:val="24"/>
        </w:rPr>
        <w:t xml:space="preserve"> (subsection 3.6(</w:t>
      </w:r>
      <w:r w:rsidR="00967D56">
        <w:rPr>
          <w:rFonts w:ascii="Times New Roman" w:hAnsi="Times New Roman"/>
          <w:color w:val="000000" w:themeColor="text1"/>
          <w:sz w:val="24"/>
          <w:szCs w:val="24"/>
        </w:rPr>
        <w:t>2</w:t>
      </w:r>
      <w:r>
        <w:rPr>
          <w:rFonts w:ascii="Times New Roman" w:hAnsi="Times New Roman"/>
          <w:color w:val="000000" w:themeColor="text1"/>
          <w:sz w:val="24"/>
          <w:szCs w:val="24"/>
        </w:rPr>
        <w:t>))</w:t>
      </w:r>
      <w:r w:rsidRPr="00932357">
        <w:rPr>
          <w:rFonts w:ascii="Times New Roman" w:hAnsi="Times New Roman"/>
          <w:color w:val="000000" w:themeColor="text1"/>
          <w:sz w:val="24"/>
          <w:szCs w:val="24"/>
        </w:rPr>
        <w:t>.</w:t>
      </w:r>
    </w:p>
    <w:p w:rsidR="005B1C05" w:rsidRPr="005B1C05" w:rsidRDefault="005B1C05" w:rsidP="00986D81">
      <w:pPr>
        <w:spacing w:after="120" w:line="240" w:lineRule="auto"/>
        <w:rPr>
          <w:rFonts w:ascii="Times New Roman" w:hAnsi="Times New Roman"/>
          <w:color w:val="000000" w:themeColor="text1"/>
          <w:sz w:val="24"/>
          <w:szCs w:val="24"/>
          <w:u w:val="single"/>
        </w:rPr>
      </w:pPr>
      <w:r w:rsidRPr="005B1C05">
        <w:rPr>
          <w:rFonts w:ascii="Times New Roman" w:hAnsi="Times New Roman"/>
          <w:color w:val="000000" w:themeColor="text1"/>
          <w:sz w:val="24"/>
          <w:szCs w:val="24"/>
          <w:u w:val="single"/>
        </w:rPr>
        <w:t xml:space="preserve">3.5 </w:t>
      </w:r>
      <w:r w:rsidRPr="005B1C05">
        <w:rPr>
          <w:rFonts w:ascii="Times New Roman" w:hAnsi="Times New Roman"/>
          <w:color w:val="000000" w:themeColor="text1"/>
          <w:sz w:val="24"/>
          <w:szCs w:val="24"/>
          <w:u w:val="single"/>
        </w:rPr>
        <w:tab/>
        <w:t>Requirements for an exclusion area</w:t>
      </w:r>
    </w:p>
    <w:p w:rsidR="005B1C05" w:rsidRPr="005B1C05" w:rsidRDefault="005B1C05" w:rsidP="00986D81">
      <w:pPr>
        <w:spacing w:after="120" w:line="240" w:lineRule="auto"/>
        <w:rPr>
          <w:rFonts w:ascii="Times New Roman" w:hAnsi="Times New Roman"/>
          <w:color w:val="000000" w:themeColor="text1"/>
          <w:sz w:val="24"/>
          <w:szCs w:val="24"/>
        </w:rPr>
      </w:pPr>
      <w:r w:rsidRPr="005B1C05">
        <w:rPr>
          <w:rFonts w:ascii="Times New Roman" w:hAnsi="Times New Roman"/>
          <w:color w:val="000000" w:themeColor="text1"/>
          <w:sz w:val="24"/>
          <w:szCs w:val="24"/>
        </w:rPr>
        <w:t>An area of land must be defined as an exclusion area, in accordance with the CFI Mapping Guidelines, if it is an area of land within the project area which will not be subject to the project mechanism.  An exclusion area may adjoin, or be contained within the boundaries of, a carbon estimation area. If an area is defined as an exclusion area, it is excluded as a source of abatement for the project.</w:t>
      </w:r>
    </w:p>
    <w:p w:rsidR="005B1C05" w:rsidRPr="005B1C05" w:rsidRDefault="007C08E9"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Examples of when land </w:t>
      </w:r>
      <w:r w:rsidR="00A1720B">
        <w:rPr>
          <w:rFonts w:ascii="Times New Roman" w:hAnsi="Times New Roman"/>
          <w:color w:val="000000" w:themeColor="text1"/>
          <w:sz w:val="24"/>
          <w:szCs w:val="24"/>
        </w:rPr>
        <w:t>in the project area</w:t>
      </w:r>
      <w:r w:rsidR="005B1C05" w:rsidRPr="005B1C05">
        <w:rPr>
          <w:rFonts w:ascii="Times New Roman" w:hAnsi="Times New Roman"/>
          <w:color w:val="000000" w:themeColor="text1"/>
          <w:sz w:val="24"/>
          <w:szCs w:val="24"/>
        </w:rPr>
        <w:t xml:space="preserve"> </w:t>
      </w:r>
      <w:r>
        <w:rPr>
          <w:rFonts w:ascii="Times New Roman" w:hAnsi="Times New Roman"/>
          <w:color w:val="000000" w:themeColor="text1"/>
          <w:sz w:val="24"/>
          <w:szCs w:val="24"/>
        </w:rPr>
        <w:t>may</w:t>
      </w:r>
      <w:r w:rsidR="005B1C05" w:rsidRPr="005B1C05">
        <w:rPr>
          <w:rFonts w:ascii="Times New Roman" w:hAnsi="Times New Roman"/>
          <w:color w:val="000000" w:themeColor="text1"/>
          <w:sz w:val="24"/>
          <w:szCs w:val="24"/>
        </w:rPr>
        <w:t xml:space="preserve"> be </w:t>
      </w:r>
      <w:r w:rsidR="00A1720B">
        <w:rPr>
          <w:rFonts w:ascii="Times New Roman" w:hAnsi="Times New Roman"/>
          <w:color w:val="000000" w:themeColor="text1"/>
          <w:sz w:val="24"/>
          <w:szCs w:val="24"/>
        </w:rPr>
        <w:t xml:space="preserve">defined as </w:t>
      </w:r>
      <w:r w:rsidR="005B1C05" w:rsidRPr="005B1C05">
        <w:rPr>
          <w:rFonts w:ascii="Times New Roman" w:hAnsi="Times New Roman"/>
          <w:color w:val="000000" w:themeColor="text1"/>
          <w:sz w:val="24"/>
          <w:szCs w:val="24"/>
        </w:rPr>
        <w:t xml:space="preserve">an exclusion area </w:t>
      </w:r>
      <w:r>
        <w:rPr>
          <w:rFonts w:ascii="Times New Roman" w:hAnsi="Times New Roman"/>
          <w:color w:val="000000" w:themeColor="text1"/>
          <w:sz w:val="24"/>
          <w:szCs w:val="24"/>
        </w:rPr>
        <w:t>include if</w:t>
      </w:r>
      <w:r w:rsidR="005B1C05" w:rsidRPr="005B1C05">
        <w:rPr>
          <w:rFonts w:ascii="Times New Roman" w:hAnsi="Times New Roman"/>
          <w:color w:val="000000" w:themeColor="text1"/>
          <w:sz w:val="24"/>
          <w:szCs w:val="24"/>
        </w:rPr>
        <w:t>:</w:t>
      </w:r>
    </w:p>
    <w:p w:rsidR="00A1720B" w:rsidRDefault="007C08E9" w:rsidP="00AE7A3E">
      <w:pPr>
        <w:pStyle w:val="ListParagraph"/>
        <w:numPr>
          <w:ilvl w:val="0"/>
          <w:numId w:val="7"/>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land</w:t>
      </w:r>
      <w:r w:rsidR="00A1720B">
        <w:rPr>
          <w:rFonts w:ascii="Times New Roman" w:hAnsi="Times New Roman"/>
          <w:color w:val="000000" w:themeColor="text1"/>
          <w:sz w:val="24"/>
          <w:szCs w:val="24"/>
        </w:rPr>
        <w:t xml:space="preserve"> has forest</w:t>
      </w:r>
      <w:r w:rsidR="00A0786E">
        <w:rPr>
          <w:rFonts w:ascii="Times New Roman" w:hAnsi="Times New Roman"/>
          <w:color w:val="000000" w:themeColor="text1"/>
          <w:sz w:val="24"/>
          <w:szCs w:val="24"/>
        </w:rPr>
        <w:t xml:space="preserve"> cover immediately before the implementation date</w:t>
      </w:r>
      <w:r w:rsidR="00A1720B">
        <w:rPr>
          <w:rFonts w:ascii="Times New Roman" w:hAnsi="Times New Roman"/>
          <w:color w:val="000000" w:themeColor="text1"/>
          <w:sz w:val="24"/>
          <w:szCs w:val="24"/>
        </w:rPr>
        <w:t>;</w:t>
      </w:r>
    </w:p>
    <w:p w:rsidR="000E1CEF" w:rsidRDefault="000E1CEF" w:rsidP="00AE7A3E">
      <w:pPr>
        <w:pStyle w:val="ListParagraph"/>
        <w:numPr>
          <w:ilvl w:val="0"/>
          <w:numId w:val="7"/>
        </w:numPr>
        <w:spacing w:after="120" w:line="240" w:lineRule="auto"/>
        <w:rPr>
          <w:rFonts w:ascii="Times New Roman" w:hAnsi="Times New Roman"/>
          <w:color w:val="000000" w:themeColor="text1"/>
          <w:sz w:val="24"/>
          <w:szCs w:val="24"/>
        </w:rPr>
      </w:pPr>
      <w:r w:rsidRPr="005B1C05">
        <w:rPr>
          <w:rFonts w:ascii="Times New Roman" w:hAnsi="Times New Roman"/>
          <w:color w:val="000000" w:themeColor="text1"/>
          <w:sz w:val="24"/>
          <w:szCs w:val="24"/>
        </w:rPr>
        <w:t xml:space="preserve">the project </w:t>
      </w:r>
      <w:r>
        <w:rPr>
          <w:rFonts w:ascii="Times New Roman" w:hAnsi="Times New Roman"/>
          <w:color w:val="000000" w:themeColor="text1"/>
          <w:sz w:val="24"/>
          <w:szCs w:val="24"/>
        </w:rPr>
        <w:t>mechanism</w:t>
      </w:r>
      <w:r w:rsidRPr="005B1C05">
        <w:rPr>
          <w:rFonts w:ascii="Times New Roman" w:hAnsi="Times New Roman"/>
          <w:color w:val="000000" w:themeColor="text1"/>
          <w:sz w:val="24"/>
          <w:szCs w:val="24"/>
        </w:rPr>
        <w:t xml:space="preserve"> cannot occur </w:t>
      </w:r>
      <w:r>
        <w:rPr>
          <w:rFonts w:ascii="Times New Roman" w:hAnsi="Times New Roman"/>
          <w:color w:val="000000" w:themeColor="text1"/>
          <w:sz w:val="24"/>
          <w:szCs w:val="24"/>
        </w:rPr>
        <w:t>on the land, such as where</w:t>
      </w:r>
      <w:r w:rsidRPr="005B1C05">
        <w:rPr>
          <w:rFonts w:ascii="Times New Roman" w:hAnsi="Times New Roman"/>
          <w:color w:val="000000" w:themeColor="text1"/>
          <w:sz w:val="24"/>
          <w:szCs w:val="24"/>
        </w:rPr>
        <w:t xml:space="preserve"> the area is a road, water course or large rock outcrop which materially affec</w:t>
      </w:r>
      <w:r>
        <w:rPr>
          <w:rFonts w:ascii="Times New Roman" w:hAnsi="Times New Roman"/>
          <w:color w:val="000000" w:themeColor="text1"/>
          <w:sz w:val="24"/>
          <w:szCs w:val="24"/>
        </w:rPr>
        <w:t>ts the abatement calculation; or</w:t>
      </w:r>
    </w:p>
    <w:p w:rsidR="005B1C05" w:rsidRPr="000E1CEF" w:rsidRDefault="000E1CEF" w:rsidP="00AE7A3E">
      <w:pPr>
        <w:pStyle w:val="ListParagraph"/>
        <w:numPr>
          <w:ilvl w:val="0"/>
          <w:numId w:val="7"/>
        </w:numPr>
        <w:spacing w:after="120" w:line="240" w:lineRule="auto"/>
        <w:rPr>
          <w:rFonts w:ascii="Times New Roman" w:hAnsi="Times New Roman"/>
          <w:color w:val="000000" w:themeColor="text1"/>
          <w:sz w:val="24"/>
          <w:szCs w:val="24"/>
        </w:rPr>
      </w:pPr>
      <w:proofErr w:type="gramStart"/>
      <w:r w:rsidRPr="005B1C05">
        <w:rPr>
          <w:rFonts w:ascii="Times New Roman" w:hAnsi="Times New Roman"/>
          <w:color w:val="000000" w:themeColor="text1"/>
          <w:sz w:val="24"/>
          <w:szCs w:val="24"/>
        </w:rPr>
        <w:t>the</w:t>
      </w:r>
      <w:proofErr w:type="gramEnd"/>
      <w:r w:rsidRPr="005B1C05">
        <w:rPr>
          <w:rFonts w:ascii="Times New Roman" w:hAnsi="Times New Roman"/>
          <w:color w:val="000000" w:themeColor="text1"/>
          <w:sz w:val="24"/>
          <w:szCs w:val="24"/>
        </w:rPr>
        <w:t xml:space="preserve"> </w:t>
      </w:r>
      <w:r>
        <w:rPr>
          <w:rFonts w:ascii="Times New Roman" w:hAnsi="Times New Roman"/>
          <w:color w:val="000000" w:themeColor="text1"/>
          <w:sz w:val="24"/>
          <w:szCs w:val="24"/>
        </w:rPr>
        <w:t>land</w:t>
      </w:r>
      <w:r w:rsidRPr="005B1C05">
        <w:rPr>
          <w:rFonts w:ascii="Times New Roman" w:hAnsi="Times New Roman"/>
          <w:color w:val="000000" w:themeColor="text1"/>
          <w:sz w:val="24"/>
          <w:szCs w:val="24"/>
        </w:rPr>
        <w:t xml:space="preserve"> fails to </w:t>
      </w:r>
      <w:r w:rsidRPr="000E1CEF">
        <w:rPr>
          <w:rFonts w:ascii="Times New Roman" w:hAnsi="Times New Roman"/>
          <w:color w:val="000000" w:themeColor="text1"/>
          <w:sz w:val="24"/>
          <w:szCs w:val="24"/>
        </w:rPr>
        <w:t xml:space="preserve">maintain or realise forest potential </w:t>
      </w:r>
      <w:r w:rsidRPr="005B1C05">
        <w:rPr>
          <w:rFonts w:ascii="Times New Roman" w:hAnsi="Times New Roman"/>
          <w:color w:val="000000" w:themeColor="text1"/>
          <w:sz w:val="24"/>
          <w:szCs w:val="24"/>
        </w:rPr>
        <w:t>after undertaking the project mechanism</w:t>
      </w:r>
      <w:r w:rsidR="005B1C05" w:rsidRPr="000E1CEF">
        <w:rPr>
          <w:rFonts w:ascii="Times New Roman" w:hAnsi="Times New Roman"/>
          <w:color w:val="000000" w:themeColor="text1"/>
          <w:sz w:val="24"/>
          <w:szCs w:val="24"/>
        </w:rPr>
        <w:t xml:space="preserve">. </w:t>
      </w:r>
    </w:p>
    <w:p w:rsidR="00915BEF" w:rsidRPr="00CC2DDB" w:rsidRDefault="00915BEF" w:rsidP="00986D81">
      <w:pPr>
        <w:keepNext/>
        <w:spacing w:after="120" w:line="240" w:lineRule="auto"/>
        <w:rPr>
          <w:rFonts w:ascii="Times New Roman" w:hAnsi="Times New Roman"/>
          <w:color w:val="000000" w:themeColor="text1"/>
          <w:sz w:val="24"/>
          <w:szCs w:val="24"/>
          <w:u w:val="single"/>
        </w:rPr>
      </w:pPr>
      <w:r w:rsidRPr="00CC2DDB">
        <w:rPr>
          <w:rFonts w:ascii="Times New Roman" w:hAnsi="Times New Roman"/>
          <w:color w:val="000000" w:themeColor="text1"/>
          <w:sz w:val="24"/>
          <w:szCs w:val="24"/>
          <w:u w:val="single"/>
        </w:rPr>
        <w:lastRenderedPageBreak/>
        <w:t>3.</w:t>
      </w:r>
      <w:r w:rsidR="00CC2DDB">
        <w:rPr>
          <w:rFonts w:ascii="Times New Roman" w:hAnsi="Times New Roman"/>
          <w:color w:val="000000" w:themeColor="text1"/>
          <w:sz w:val="24"/>
          <w:szCs w:val="24"/>
          <w:u w:val="single"/>
        </w:rPr>
        <w:t>6</w:t>
      </w:r>
      <w:r w:rsidRPr="00CC2DDB">
        <w:rPr>
          <w:rFonts w:ascii="Times New Roman" w:hAnsi="Times New Roman"/>
          <w:color w:val="000000" w:themeColor="text1"/>
          <w:sz w:val="24"/>
          <w:szCs w:val="24"/>
          <w:u w:val="single"/>
        </w:rPr>
        <w:t xml:space="preserve"> </w:t>
      </w:r>
      <w:r w:rsidRPr="00CC2DDB">
        <w:rPr>
          <w:rFonts w:ascii="Times New Roman" w:hAnsi="Times New Roman"/>
          <w:color w:val="000000" w:themeColor="text1"/>
          <w:sz w:val="24"/>
          <w:szCs w:val="24"/>
          <w:u w:val="single"/>
        </w:rPr>
        <w:tab/>
        <w:t xml:space="preserve">Re-stratification </w:t>
      </w:r>
      <w:r w:rsidR="00CC2DDB">
        <w:rPr>
          <w:rFonts w:ascii="Times New Roman" w:hAnsi="Times New Roman"/>
          <w:color w:val="000000" w:themeColor="text1"/>
          <w:sz w:val="24"/>
          <w:szCs w:val="24"/>
          <w:u w:val="single"/>
        </w:rPr>
        <w:t>of project area</w:t>
      </w:r>
    </w:p>
    <w:p w:rsidR="002C7B68" w:rsidRDefault="002C7B68"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A carbon estimation area may only be re-stratified as provided for in Division 3.2 of the Determination.</w:t>
      </w:r>
    </w:p>
    <w:p w:rsidR="00C2457C" w:rsidRPr="00CC2DDB" w:rsidRDefault="002C7B68"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An example of when a carbon estimation area may need to be re-stratified is if </w:t>
      </w:r>
      <w:r w:rsidR="00C2457C" w:rsidRPr="00CC2DDB">
        <w:rPr>
          <w:rFonts w:ascii="Times New Roman" w:hAnsi="Times New Roman"/>
          <w:color w:val="000000" w:themeColor="text1"/>
          <w:sz w:val="24"/>
          <w:szCs w:val="24"/>
        </w:rPr>
        <w:t xml:space="preserve">the occurrence of regrowth is </w:t>
      </w:r>
      <w:r w:rsidR="00D50083" w:rsidRPr="00CC2DDB">
        <w:rPr>
          <w:rFonts w:ascii="Times New Roman" w:hAnsi="Times New Roman"/>
          <w:color w:val="000000" w:themeColor="text1"/>
          <w:sz w:val="24"/>
          <w:szCs w:val="24"/>
        </w:rPr>
        <w:t xml:space="preserve">determined to be </w:t>
      </w:r>
      <w:r w:rsidR="00C2457C" w:rsidRPr="00CC2DDB">
        <w:rPr>
          <w:rFonts w:ascii="Times New Roman" w:hAnsi="Times New Roman"/>
          <w:color w:val="000000" w:themeColor="text1"/>
          <w:sz w:val="24"/>
          <w:szCs w:val="24"/>
        </w:rPr>
        <w:t xml:space="preserve">patchy, inconsistent, </w:t>
      </w:r>
      <w:proofErr w:type="gramStart"/>
      <w:r w:rsidR="00C2457C" w:rsidRPr="00CC2DDB">
        <w:rPr>
          <w:rFonts w:ascii="Times New Roman" w:hAnsi="Times New Roman"/>
          <w:color w:val="000000" w:themeColor="text1"/>
          <w:sz w:val="24"/>
          <w:szCs w:val="24"/>
        </w:rPr>
        <w:t>irregular</w:t>
      </w:r>
      <w:proofErr w:type="gramEnd"/>
      <w:r w:rsidR="00C2457C" w:rsidRPr="00CC2DDB">
        <w:rPr>
          <w:rFonts w:ascii="Times New Roman" w:hAnsi="Times New Roman"/>
          <w:color w:val="000000" w:themeColor="text1"/>
          <w:sz w:val="24"/>
          <w:szCs w:val="24"/>
        </w:rPr>
        <w:t xml:space="preserve"> or absent</w:t>
      </w:r>
      <w:r w:rsidR="008C0C37" w:rsidRPr="00CC2DDB">
        <w:rPr>
          <w:rFonts w:ascii="Times New Roman" w:hAnsi="Times New Roman"/>
          <w:color w:val="000000" w:themeColor="text1"/>
          <w:sz w:val="24"/>
          <w:szCs w:val="24"/>
        </w:rPr>
        <w:t xml:space="preserve">.  This can be determined </w:t>
      </w:r>
      <w:r w:rsidR="00080CE0">
        <w:rPr>
          <w:rFonts w:ascii="Times New Roman" w:hAnsi="Times New Roman"/>
          <w:color w:val="000000" w:themeColor="text1"/>
          <w:sz w:val="24"/>
          <w:szCs w:val="24"/>
        </w:rPr>
        <w:t>on a case</w:t>
      </w:r>
      <w:r w:rsidR="00080CE0">
        <w:rPr>
          <w:rFonts w:ascii="Times New Roman" w:hAnsi="Times New Roman"/>
          <w:color w:val="000000" w:themeColor="text1"/>
          <w:sz w:val="24"/>
          <w:szCs w:val="24"/>
        </w:rPr>
        <w:noBreakHyphen/>
        <w:t xml:space="preserve">by-case basis </w:t>
      </w:r>
      <w:r w:rsidR="008C0C37" w:rsidRPr="00CC2DDB">
        <w:rPr>
          <w:rFonts w:ascii="Times New Roman" w:hAnsi="Times New Roman"/>
          <w:color w:val="000000" w:themeColor="text1"/>
          <w:sz w:val="24"/>
          <w:szCs w:val="24"/>
        </w:rPr>
        <w:t>by visual confirmation</w:t>
      </w:r>
      <w:r w:rsidR="006E0B4F">
        <w:rPr>
          <w:rFonts w:ascii="Times New Roman" w:hAnsi="Times New Roman"/>
          <w:color w:val="000000" w:themeColor="text1"/>
          <w:sz w:val="24"/>
          <w:szCs w:val="24"/>
        </w:rPr>
        <w:t xml:space="preserve">, including </w:t>
      </w:r>
      <w:r w:rsidR="00D063D1">
        <w:rPr>
          <w:rFonts w:ascii="Times New Roman" w:hAnsi="Times New Roman"/>
          <w:color w:val="000000" w:themeColor="text1"/>
          <w:sz w:val="24"/>
          <w:szCs w:val="24"/>
        </w:rPr>
        <w:t xml:space="preserve">from </w:t>
      </w:r>
      <w:r w:rsidR="003F7461" w:rsidRPr="00CC2DDB">
        <w:rPr>
          <w:rFonts w:ascii="Times New Roman" w:hAnsi="Times New Roman"/>
          <w:color w:val="000000" w:themeColor="text1"/>
          <w:sz w:val="24"/>
          <w:szCs w:val="24"/>
        </w:rPr>
        <w:t>aerial map</w:t>
      </w:r>
      <w:r w:rsidR="008C0C37" w:rsidRPr="00CC2DDB">
        <w:rPr>
          <w:rFonts w:ascii="Times New Roman" w:hAnsi="Times New Roman"/>
          <w:color w:val="000000" w:themeColor="text1"/>
          <w:sz w:val="24"/>
          <w:szCs w:val="24"/>
        </w:rPr>
        <w:t>s</w:t>
      </w:r>
      <w:r w:rsidR="003F7461" w:rsidRPr="00CC2DDB">
        <w:rPr>
          <w:rFonts w:ascii="Times New Roman" w:hAnsi="Times New Roman"/>
          <w:color w:val="000000" w:themeColor="text1"/>
          <w:sz w:val="24"/>
          <w:szCs w:val="24"/>
        </w:rPr>
        <w:t xml:space="preserve"> or spatial image</w:t>
      </w:r>
      <w:r w:rsidR="008C0C37" w:rsidRPr="00CC2DDB">
        <w:rPr>
          <w:rFonts w:ascii="Times New Roman" w:hAnsi="Times New Roman"/>
          <w:color w:val="000000" w:themeColor="text1"/>
          <w:sz w:val="24"/>
          <w:szCs w:val="24"/>
        </w:rPr>
        <w:t>s</w:t>
      </w:r>
      <w:r w:rsidR="003F7461" w:rsidRPr="00CC2DDB">
        <w:rPr>
          <w:rFonts w:ascii="Times New Roman" w:hAnsi="Times New Roman"/>
          <w:color w:val="000000" w:themeColor="text1"/>
          <w:sz w:val="24"/>
          <w:szCs w:val="24"/>
        </w:rPr>
        <w:t>.</w:t>
      </w:r>
    </w:p>
    <w:p w:rsidR="00CC2DDB" w:rsidRPr="00CC2DDB" w:rsidRDefault="00C2457C" w:rsidP="00986D81">
      <w:pPr>
        <w:spacing w:after="120" w:line="240" w:lineRule="auto"/>
        <w:rPr>
          <w:rFonts w:ascii="Times New Roman" w:hAnsi="Times New Roman"/>
          <w:color w:val="000000" w:themeColor="text1"/>
          <w:sz w:val="24"/>
          <w:szCs w:val="24"/>
        </w:rPr>
      </w:pPr>
      <w:r w:rsidRPr="00CC2DDB">
        <w:rPr>
          <w:rFonts w:ascii="Times New Roman" w:hAnsi="Times New Roman"/>
          <w:color w:val="000000" w:themeColor="text1"/>
          <w:sz w:val="24"/>
          <w:szCs w:val="24"/>
        </w:rPr>
        <w:t xml:space="preserve">A carbon estimation area </w:t>
      </w:r>
      <w:r w:rsidR="00080CE0">
        <w:rPr>
          <w:rFonts w:ascii="Times New Roman" w:hAnsi="Times New Roman"/>
          <w:color w:val="000000" w:themeColor="text1"/>
          <w:sz w:val="24"/>
          <w:szCs w:val="24"/>
        </w:rPr>
        <w:t>may</w:t>
      </w:r>
      <w:r w:rsidRPr="00CC2DDB">
        <w:rPr>
          <w:rFonts w:ascii="Times New Roman" w:hAnsi="Times New Roman"/>
          <w:color w:val="000000" w:themeColor="text1"/>
          <w:sz w:val="24"/>
          <w:szCs w:val="24"/>
        </w:rPr>
        <w:t xml:space="preserve"> also </w:t>
      </w:r>
      <w:r w:rsidR="00080CE0">
        <w:rPr>
          <w:rFonts w:ascii="Times New Roman" w:hAnsi="Times New Roman"/>
          <w:color w:val="000000" w:themeColor="text1"/>
          <w:sz w:val="24"/>
          <w:szCs w:val="24"/>
        </w:rPr>
        <w:t xml:space="preserve">need to </w:t>
      </w:r>
      <w:r w:rsidRPr="00CC2DDB">
        <w:rPr>
          <w:rFonts w:ascii="Times New Roman" w:hAnsi="Times New Roman"/>
          <w:color w:val="000000" w:themeColor="text1"/>
          <w:sz w:val="24"/>
          <w:szCs w:val="24"/>
        </w:rPr>
        <w:t xml:space="preserve">be re-stratified </w:t>
      </w:r>
      <w:r w:rsidR="00D101C7" w:rsidRPr="00CC2DDB">
        <w:rPr>
          <w:rFonts w:ascii="Times New Roman" w:hAnsi="Times New Roman"/>
          <w:color w:val="000000" w:themeColor="text1"/>
          <w:sz w:val="24"/>
          <w:szCs w:val="24"/>
        </w:rPr>
        <w:t xml:space="preserve">to isolate areas that are subject to changed </w:t>
      </w:r>
      <w:r w:rsidR="00B27041" w:rsidRPr="00CC2DDB">
        <w:rPr>
          <w:rFonts w:ascii="Times New Roman" w:hAnsi="Times New Roman"/>
          <w:color w:val="000000" w:themeColor="text1"/>
          <w:sz w:val="24"/>
          <w:szCs w:val="24"/>
        </w:rPr>
        <w:t xml:space="preserve">land </w:t>
      </w:r>
      <w:r w:rsidR="00D101C7" w:rsidRPr="00CC2DDB">
        <w:rPr>
          <w:rFonts w:ascii="Times New Roman" w:hAnsi="Times New Roman"/>
          <w:color w:val="000000" w:themeColor="text1"/>
          <w:sz w:val="24"/>
          <w:szCs w:val="24"/>
        </w:rPr>
        <w:t>management pr</w:t>
      </w:r>
      <w:r w:rsidRPr="00CC2DDB">
        <w:rPr>
          <w:rFonts w:ascii="Times New Roman" w:hAnsi="Times New Roman"/>
          <w:color w:val="000000" w:themeColor="text1"/>
          <w:sz w:val="24"/>
          <w:szCs w:val="24"/>
        </w:rPr>
        <w:t>actices</w:t>
      </w:r>
      <w:r w:rsidR="00CC2DDB" w:rsidRPr="00CC2DDB">
        <w:rPr>
          <w:rFonts w:ascii="Times New Roman" w:hAnsi="Times New Roman"/>
          <w:color w:val="000000" w:themeColor="text1"/>
          <w:sz w:val="24"/>
          <w:szCs w:val="24"/>
        </w:rPr>
        <w:t xml:space="preserve">, and if it is found that site characteristics are not uniform.  This may occur if, for example, there is a large salinity-affected part of the project area which was not obvious when the project area was stratified. </w:t>
      </w:r>
    </w:p>
    <w:p w:rsidR="00D101C7" w:rsidRDefault="00CC2DDB" w:rsidP="00986D81">
      <w:pPr>
        <w:spacing w:after="120" w:line="240" w:lineRule="auto"/>
        <w:rPr>
          <w:rFonts w:ascii="Times New Roman" w:hAnsi="Times New Roman"/>
          <w:color w:val="000000" w:themeColor="text1"/>
          <w:sz w:val="24"/>
          <w:szCs w:val="24"/>
        </w:rPr>
      </w:pPr>
      <w:r w:rsidRPr="0053349D">
        <w:rPr>
          <w:rFonts w:ascii="Times New Roman" w:hAnsi="Times New Roman"/>
          <w:color w:val="000000" w:themeColor="text1"/>
          <w:sz w:val="24"/>
          <w:szCs w:val="24"/>
        </w:rPr>
        <w:t xml:space="preserve">A carbon estimation area does not have to be re-stratified </w:t>
      </w:r>
      <w:r w:rsidR="00D063D1" w:rsidRPr="0053349D">
        <w:rPr>
          <w:rFonts w:ascii="Times New Roman" w:hAnsi="Times New Roman"/>
          <w:color w:val="000000" w:themeColor="text1"/>
          <w:sz w:val="24"/>
          <w:szCs w:val="24"/>
        </w:rPr>
        <w:t xml:space="preserve">to account </w:t>
      </w:r>
      <w:r w:rsidR="00D101C7" w:rsidRPr="0053349D">
        <w:rPr>
          <w:rFonts w:ascii="Times New Roman" w:hAnsi="Times New Roman"/>
          <w:color w:val="000000" w:themeColor="text1"/>
          <w:sz w:val="24"/>
          <w:szCs w:val="24"/>
        </w:rPr>
        <w:t xml:space="preserve">for natural disturbance as this can be modelled by </w:t>
      </w:r>
      <w:r w:rsidRPr="0053349D">
        <w:rPr>
          <w:rFonts w:ascii="Times New Roman" w:hAnsi="Times New Roman"/>
          <w:color w:val="000000" w:themeColor="text1"/>
          <w:sz w:val="24"/>
          <w:szCs w:val="24"/>
        </w:rPr>
        <w:t>FullCAM</w:t>
      </w:r>
      <w:r w:rsidR="00D101C7" w:rsidRPr="0053349D">
        <w:rPr>
          <w:rFonts w:ascii="Times New Roman" w:hAnsi="Times New Roman"/>
          <w:color w:val="000000" w:themeColor="text1"/>
          <w:sz w:val="24"/>
          <w:szCs w:val="24"/>
        </w:rPr>
        <w:t xml:space="preserve"> as a proportion of the carbon estimation area </w:t>
      </w:r>
      <w:r w:rsidR="00CA2D6E" w:rsidRPr="0053349D">
        <w:rPr>
          <w:rFonts w:ascii="Times New Roman" w:hAnsi="Times New Roman"/>
          <w:color w:val="000000" w:themeColor="text1"/>
          <w:sz w:val="24"/>
          <w:szCs w:val="24"/>
        </w:rPr>
        <w:t>affected</w:t>
      </w:r>
      <w:r w:rsidR="0053349D">
        <w:rPr>
          <w:rFonts w:ascii="Times New Roman" w:hAnsi="Times New Roman"/>
          <w:color w:val="000000" w:themeColor="text1"/>
          <w:sz w:val="24"/>
          <w:szCs w:val="24"/>
        </w:rPr>
        <w:t xml:space="preserve">.  </w:t>
      </w:r>
      <w:r w:rsidR="00D101C7" w:rsidRPr="0053349D">
        <w:rPr>
          <w:rFonts w:ascii="Times New Roman" w:hAnsi="Times New Roman"/>
          <w:color w:val="000000" w:themeColor="text1"/>
          <w:sz w:val="24"/>
          <w:szCs w:val="24"/>
        </w:rPr>
        <w:t>The</w:t>
      </w:r>
      <w:r w:rsidR="00BD2AC6" w:rsidRPr="0053349D">
        <w:rPr>
          <w:rFonts w:ascii="Times New Roman" w:hAnsi="Times New Roman"/>
          <w:color w:val="000000" w:themeColor="text1"/>
          <w:sz w:val="24"/>
          <w:szCs w:val="24"/>
        </w:rPr>
        <w:t> </w:t>
      </w:r>
      <w:r w:rsidR="00D101C7" w:rsidRPr="0053349D">
        <w:rPr>
          <w:rFonts w:ascii="Times New Roman" w:hAnsi="Times New Roman"/>
          <w:color w:val="000000" w:themeColor="text1"/>
          <w:sz w:val="24"/>
          <w:szCs w:val="24"/>
        </w:rPr>
        <w:t xml:space="preserve">exception to this </w:t>
      </w:r>
      <w:r w:rsidR="007C08E9" w:rsidRPr="0053349D">
        <w:rPr>
          <w:rFonts w:ascii="Times New Roman" w:hAnsi="Times New Roman"/>
          <w:color w:val="000000" w:themeColor="text1"/>
          <w:sz w:val="24"/>
          <w:szCs w:val="24"/>
        </w:rPr>
        <w:t>is</w:t>
      </w:r>
      <w:r w:rsidR="00D101C7" w:rsidRPr="0053349D">
        <w:rPr>
          <w:rFonts w:ascii="Times New Roman" w:hAnsi="Times New Roman"/>
          <w:color w:val="000000" w:themeColor="text1"/>
          <w:sz w:val="24"/>
          <w:szCs w:val="24"/>
        </w:rPr>
        <w:t xml:space="preserve"> a </w:t>
      </w:r>
      <w:r w:rsidR="007C08E9" w:rsidRPr="0053349D">
        <w:rPr>
          <w:rFonts w:ascii="Times New Roman" w:hAnsi="Times New Roman"/>
          <w:color w:val="000000" w:themeColor="text1"/>
          <w:sz w:val="24"/>
          <w:szCs w:val="24"/>
        </w:rPr>
        <w:t>disturbance event</w:t>
      </w:r>
      <w:r w:rsidR="000D4835">
        <w:rPr>
          <w:rFonts w:ascii="Times New Roman" w:hAnsi="Times New Roman"/>
          <w:color w:val="000000" w:themeColor="text1"/>
          <w:sz w:val="24"/>
          <w:szCs w:val="24"/>
        </w:rPr>
        <w:t xml:space="preserve"> causing more than 5% of the trees in a carbon estimation area to die</w:t>
      </w:r>
      <w:r w:rsidR="00D101C7" w:rsidRPr="0053349D">
        <w:rPr>
          <w:rFonts w:ascii="Times New Roman" w:hAnsi="Times New Roman"/>
          <w:color w:val="000000" w:themeColor="text1"/>
          <w:sz w:val="24"/>
          <w:szCs w:val="24"/>
        </w:rPr>
        <w:t xml:space="preserve">. </w:t>
      </w:r>
      <w:r w:rsidR="007C08E9" w:rsidRPr="0053349D">
        <w:rPr>
          <w:rFonts w:ascii="Times New Roman" w:hAnsi="Times New Roman"/>
          <w:color w:val="000000" w:themeColor="text1"/>
          <w:sz w:val="24"/>
          <w:szCs w:val="24"/>
        </w:rPr>
        <w:t>R</w:t>
      </w:r>
      <w:r w:rsidR="00D101C7" w:rsidRPr="0053349D">
        <w:rPr>
          <w:rFonts w:ascii="Times New Roman" w:hAnsi="Times New Roman"/>
          <w:color w:val="000000" w:themeColor="text1"/>
          <w:sz w:val="24"/>
          <w:szCs w:val="24"/>
        </w:rPr>
        <w:t>e</w:t>
      </w:r>
      <w:r w:rsidR="00136F33" w:rsidRPr="0053349D">
        <w:rPr>
          <w:rFonts w:ascii="Times New Roman" w:hAnsi="Times New Roman"/>
          <w:color w:val="000000" w:themeColor="text1"/>
          <w:sz w:val="24"/>
          <w:szCs w:val="24"/>
        </w:rPr>
        <w:noBreakHyphen/>
      </w:r>
      <w:r w:rsidR="00D101C7" w:rsidRPr="0053349D">
        <w:rPr>
          <w:rFonts w:ascii="Times New Roman" w:hAnsi="Times New Roman"/>
          <w:color w:val="000000" w:themeColor="text1"/>
          <w:sz w:val="24"/>
          <w:szCs w:val="24"/>
        </w:rPr>
        <w:t xml:space="preserve">stratification after </w:t>
      </w:r>
      <w:r w:rsidR="007C08E9" w:rsidRPr="0053349D">
        <w:rPr>
          <w:rFonts w:ascii="Times New Roman" w:hAnsi="Times New Roman"/>
          <w:color w:val="000000" w:themeColor="text1"/>
          <w:sz w:val="24"/>
          <w:szCs w:val="24"/>
        </w:rPr>
        <w:t>such an</w:t>
      </w:r>
      <w:r w:rsidRPr="0053349D">
        <w:rPr>
          <w:rFonts w:ascii="Times New Roman" w:hAnsi="Times New Roman"/>
          <w:color w:val="000000" w:themeColor="text1"/>
          <w:sz w:val="24"/>
          <w:szCs w:val="24"/>
        </w:rPr>
        <w:t xml:space="preserve"> event </w:t>
      </w:r>
      <w:r w:rsidR="007C08E9" w:rsidRPr="0053349D">
        <w:rPr>
          <w:rFonts w:ascii="Times New Roman" w:hAnsi="Times New Roman"/>
          <w:color w:val="000000" w:themeColor="text1"/>
          <w:sz w:val="24"/>
          <w:szCs w:val="24"/>
        </w:rPr>
        <w:t>may be</w:t>
      </w:r>
      <w:r w:rsidR="00D101C7" w:rsidRPr="0053349D">
        <w:rPr>
          <w:rFonts w:ascii="Times New Roman" w:hAnsi="Times New Roman"/>
          <w:color w:val="000000" w:themeColor="text1"/>
          <w:sz w:val="24"/>
          <w:szCs w:val="24"/>
        </w:rPr>
        <w:t xml:space="preserve"> required.</w:t>
      </w:r>
    </w:p>
    <w:p w:rsidR="00CC2DDB" w:rsidRDefault="00CC2DDB"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If </w:t>
      </w:r>
      <w:r w:rsidR="001678BF">
        <w:rPr>
          <w:rFonts w:ascii="Times New Roman" w:hAnsi="Times New Roman"/>
          <w:color w:val="000000" w:themeColor="text1"/>
          <w:sz w:val="24"/>
          <w:szCs w:val="24"/>
        </w:rPr>
        <w:t xml:space="preserve">the project mechanism causes regeneration to </w:t>
      </w:r>
      <w:r w:rsidR="00AC7DBD">
        <w:rPr>
          <w:rFonts w:ascii="Times New Roman" w:hAnsi="Times New Roman"/>
          <w:color w:val="000000" w:themeColor="text1"/>
          <w:sz w:val="24"/>
          <w:szCs w:val="24"/>
        </w:rPr>
        <w:t>occur</w:t>
      </w:r>
      <w:r w:rsidR="001678BF">
        <w:rPr>
          <w:rFonts w:ascii="Times New Roman" w:hAnsi="Times New Roman"/>
          <w:color w:val="000000" w:themeColor="text1"/>
          <w:sz w:val="24"/>
          <w:szCs w:val="24"/>
        </w:rPr>
        <w:t xml:space="preserve"> in an exclusion area, </w:t>
      </w:r>
      <w:r w:rsidR="00AC7DBD">
        <w:rPr>
          <w:rFonts w:ascii="Times New Roman" w:hAnsi="Times New Roman"/>
          <w:color w:val="000000" w:themeColor="text1"/>
          <w:sz w:val="24"/>
          <w:szCs w:val="24"/>
        </w:rPr>
        <w:t>the area</w:t>
      </w:r>
      <w:r w:rsidR="001678BF">
        <w:rPr>
          <w:rFonts w:ascii="Times New Roman" w:hAnsi="Times New Roman"/>
          <w:color w:val="000000" w:themeColor="text1"/>
          <w:sz w:val="24"/>
          <w:szCs w:val="24"/>
        </w:rPr>
        <w:t xml:space="preserve"> </w:t>
      </w:r>
      <w:r w:rsidR="00080CE0">
        <w:rPr>
          <w:rFonts w:ascii="Times New Roman" w:hAnsi="Times New Roman"/>
          <w:color w:val="000000" w:themeColor="text1"/>
          <w:sz w:val="24"/>
          <w:szCs w:val="24"/>
        </w:rPr>
        <w:t>may</w:t>
      </w:r>
      <w:r w:rsidR="001678BF">
        <w:rPr>
          <w:rFonts w:ascii="Times New Roman" w:hAnsi="Times New Roman"/>
          <w:color w:val="000000" w:themeColor="text1"/>
          <w:sz w:val="24"/>
          <w:szCs w:val="24"/>
        </w:rPr>
        <w:t xml:space="preserve"> be re</w:t>
      </w:r>
      <w:r w:rsidR="00080CE0">
        <w:rPr>
          <w:rFonts w:ascii="Times New Roman" w:hAnsi="Times New Roman"/>
          <w:color w:val="000000" w:themeColor="text1"/>
          <w:sz w:val="24"/>
          <w:szCs w:val="24"/>
        </w:rPr>
        <w:noBreakHyphen/>
      </w:r>
      <w:r w:rsidR="001678BF">
        <w:rPr>
          <w:rFonts w:ascii="Times New Roman" w:hAnsi="Times New Roman"/>
          <w:color w:val="000000" w:themeColor="text1"/>
          <w:sz w:val="24"/>
          <w:szCs w:val="24"/>
        </w:rPr>
        <w:t>stratified as a carbon estimation area in accordance with Division 3.2.</w:t>
      </w:r>
    </w:p>
    <w:p w:rsidR="00E352EC" w:rsidRPr="00285899" w:rsidRDefault="00E352EC" w:rsidP="00986D81">
      <w:pPr>
        <w:spacing w:after="120" w:line="240" w:lineRule="auto"/>
        <w:rPr>
          <w:rFonts w:ascii="Times New Roman" w:hAnsi="Times New Roman"/>
          <w:i/>
          <w:color w:val="000000" w:themeColor="text1"/>
          <w:sz w:val="24"/>
          <w:szCs w:val="24"/>
        </w:rPr>
      </w:pPr>
      <w:r w:rsidRPr="00285899">
        <w:rPr>
          <w:rFonts w:ascii="Times New Roman" w:hAnsi="Times New Roman"/>
          <w:i/>
          <w:color w:val="000000" w:themeColor="text1"/>
          <w:sz w:val="24"/>
          <w:szCs w:val="24"/>
        </w:rPr>
        <w:t>Mandatory re-stratification</w:t>
      </w:r>
    </w:p>
    <w:p w:rsidR="00E352EC" w:rsidRPr="00CC2DDB" w:rsidRDefault="00E352EC" w:rsidP="00986D81">
      <w:pPr>
        <w:spacing w:after="120" w:line="240" w:lineRule="auto"/>
        <w:rPr>
          <w:rFonts w:ascii="Times New Roman" w:hAnsi="Times New Roman"/>
          <w:color w:val="000000" w:themeColor="text1"/>
          <w:sz w:val="24"/>
          <w:szCs w:val="24"/>
        </w:rPr>
      </w:pPr>
      <w:r w:rsidRPr="00285899">
        <w:rPr>
          <w:rFonts w:ascii="Times New Roman" w:hAnsi="Times New Roman"/>
          <w:color w:val="000000" w:themeColor="text1"/>
          <w:sz w:val="24"/>
          <w:szCs w:val="24"/>
        </w:rPr>
        <w:t>An area of land on which the project mechanism is implemented must be re-stratified if it loses forest potential or</w:t>
      </w:r>
      <w:r w:rsidR="00216746">
        <w:rPr>
          <w:rFonts w:ascii="Times New Roman" w:hAnsi="Times New Roman"/>
          <w:color w:val="000000" w:themeColor="text1"/>
          <w:sz w:val="24"/>
          <w:szCs w:val="24"/>
        </w:rPr>
        <w:t xml:space="preserve"> if</w:t>
      </w:r>
      <w:r w:rsidRPr="00285899">
        <w:rPr>
          <w:rFonts w:ascii="Times New Roman" w:hAnsi="Times New Roman"/>
          <w:color w:val="000000" w:themeColor="text1"/>
          <w:sz w:val="24"/>
          <w:szCs w:val="24"/>
        </w:rPr>
        <w:t xml:space="preserve"> regeneration fails to occur in a reporting period in any area greater than 0.2 of a hectare. This requirement ensures that </w:t>
      </w:r>
      <w:proofErr w:type="spellStart"/>
      <w:r w:rsidRPr="00285899">
        <w:rPr>
          <w:rFonts w:ascii="Times New Roman" w:hAnsi="Times New Roman"/>
          <w:color w:val="000000" w:themeColor="text1"/>
          <w:sz w:val="24"/>
          <w:szCs w:val="24"/>
        </w:rPr>
        <w:t>FullCAM</w:t>
      </w:r>
      <w:proofErr w:type="spellEnd"/>
      <w:r w:rsidRPr="00285899">
        <w:rPr>
          <w:rFonts w:ascii="Times New Roman" w:hAnsi="Times New Roman"/>
          <w:color w:val="000000" w:themeColor="text1"/>
          <w:sz w:val="24"/>
          <w:szCs w:val="24"/>
        </w:rPr>
        <w:t xml:space="preserve"> is not used to model regeneration that is not actually occurring.</w:t>
      </w:r>
    </w:p>
    <w:p w:rsidR="00EA009E" w:rsidRPr="00DD6F62" w:rsidRDefault="00EA009E" w:rsidP="00986D81">
      <w:pPr>
        <w:spacing w:after="120" w:line="240" w:lineRule="auto"/>
        <w:rPr>
          <w:rFonts w:ascii="Times New Roman" w:hAnsi="Times New Roman"/>
          <w:color w:val="808080" w:themeColor="background1" w:themeShade="80"/>
          <w:sz w:val="24"/>
          <w:szCs w:val="24"/>
        </w:rPr>
      </w:pPr>
    </w:p>
    <w:p w:rsidR="00F60CEF" w:rsidRPr="0035776C" w:rsidRDefault="00F60CEF" w:rsidP="00986D81">
      <w:pPr>
        <w:keepNext/>
        <w:spacing w:after="120" w:line="240" w:lineRule="auto"/>
        <w:rPr>
          <w:rFonts w:ascii="Times New Roman" w:hAnsi="Times New Roman"/>
          <w:b/>
          <w:color w:val="000000" w:themeColor="text1"/>
          <w:sz w:val="24"/>
          <w:szCs w:val="24"/>
        </w:rPr>
      </w:pPr>
      <w:r w:rsidRPr="0035776C">
        <w:rPr>
          <w:rFonts w:ascii="Times New Roman" w:hAnsi="Times New Roman"/>
          <w:b/>
          <w:color w:val="000000" w:themeColor="text1"/>
          <w:sz w:val="24"/>
          <w:szCs w:val="24"/>
        </w:rPr>
        <w:t>Division 3.3</w:t>
      </w:r>
      <w:r w:rsidRPr="0035776C">
        <w:rPr>
          <w:rFonts w:ascii="Times New Roman" w:hAnsi="Times New Roman"/>
          <w:b/>
          <w:color w:val="000000" w:themeColor="text1"/>
          <w:sz w:val="24"/>
          <w:szCs w:val="24"/>
        </w:rPr>
        <w:tab/>
      </w:r>
      <w:r w:rsidR="0035776C">
        <w:rPr>
          <w:rFonts w:ascii="Times New Roman" w:hAnsi="Times New Roman"/>
          <w:b/>
          <w:color w:val="000000" w:themeColor="text1"/>
          <w:sz w:val="24"/>
          <w:szCs w:val="24"/>
        </w:rPr>
        <w:t>Restricted activities</w:t>
      </w:r>
    </w:p>
    <w:p w:rsidR="00EA486D" w:rsidRPr="0035776C" w:rsidRDefault="00EA486D" w:rsidP="00986D81">
      <w:pPr>
        <w:spacing w:after="120" w:line="240" w:lineRule="auto"/>
        <w:rPr>
          <w:rFonts w:ascii="Times New Roman" w:hAnsi="Times New Roman"/>
          <w:color w:val="000000" w:themeColor="text1"/>
          <w:sz w:val="24"/>
          <w:szCs w:val="24"/>
        </w:rPr>
      </w:pPr>
      <w:r w:rsidRPr="0035776C">
        <w:rPr>
          <w:rFonts w:ascii="Times New Roman" w:hAnsi="Times New Roman"/>
          <w:color w:val="000000" w:themeColor="text1"/>
          <w:sz w:val="24"/>
          <w:szCs w:val="24"/>
        </w:rPr>
        <w:t xml:space="preserve">Division </w:t>
      </w:r>
      <w:r w:rsidR="00A230D7" w:rsidRPr="0035776C">
        <w:rPr>
          <w:rFonts w:ascii="Times New Roman" w:hAnsi="Times New Roman"/>
          <w:color w:val="000000" w:themeColor="text1"/>
          <w:sz w:val="24"/>
          <w:szCs w:val="24"/>
        </w:rPr>
        <w:t xml:space="preserve">3.3 </w:t>
      </w:r>
      <w:r w:rsidR="0035776C" w:rsidRPr="0035776C">
        <w:rPr>
          <w:rFonts w:ascii="Times New Roman" w:hAnsi="Times New Roman"/>
          <w:color w:val="000000" w:themeColor="text1"/>
          <w:sz w:val="24"/>
          <w:szCs w:val="24"/>
        </w:rPr>
        <w:t>restricts</w:t>
      </w:r>
      <w:r w:rsidRPr="0035776C">
        <w:rPr>
          <w:rFonts w:ascii="Times New Roman" w:hAnsi="Times New Roman"/>
          <w:color w:val="000000" w:themeColor="text1"/>
          <w:sz w:val="24"/>
          <w:szCs w:val="24"/>
        </w:rPr>
        <w:t xml:space="preserve"> certain activities </w:t>
      </w:r>
      <w:r w:rsidR="000C42F0" w:rsidRPr="0035776C">
        <w:rPr>
          <w:rFonts w:ascii="Times New Roman" w:hAnsi="Times New Roman"/>
          <w:color w:val="000000" w:themeColor="text1"/>
          <w:sz w:val="24"/>
          <w:szCs w:val="24"/>
        </w:rPr>
        <w:t xml:space="preserve">which may have an impact on carbon stocks </w:t>
      </w:r>
      <w:r w:rsidRPr="0035776C">
        <w:rPr>
          <w:rFonts w:ascii="Times New Roman" w:hAnsi="Times New Roman"/>
          <w:color w:val="000000" w:themeColor="text1"/>
          <w:sz w:val="24"/>
          <w:szCs w:val="24"/>
        </w:rPr>
        <w:t>in the project area.</w:t>
      </w:r>
    </w:p>
    <w:p w:rsidR="0010160B" w:rsidRPr="0035776C" w:rsidRDefault="0010160B" w:rsidP="00986D81">
      <w:pPr>
        <w:spacing w:after="120" w:line="240" w:lineRule="auto"/>
        <w:rPr>
          <w:rFonts w:ascii="Times New Roman" w:hAnsi="Times New Roman"/>
          <w:color w:val="000000" w:themeColor="text1"/>
          <w:sz w:val="24"/>
          <w:szCs w:val="24"/>
          <w:u w:val="single"/>
        </w:rPr>
      </w:pPr>
      <w:r w:rsidRPr="0035776C">
        <w:rPr>
          <w:rFonts w:ascii="Times New Roman" w:hAnsi="Times New Roman"/>
          <w:color w:val="000000" w:themeColor="text1"/>
          <w:sz w:val="24"/>
          <w:szCs w:val="24"/>
          <w:u w:val="single"/>
        </w:rPr>
        <w:t xml:space="preserve">3.7 </w:t>
      </w:r>
      <w:r w:rsidRPr="0035776C">
        <w:rPr>
          <w:rFonts w:ascii="Times New Roman" w:hAnsi="Times New Roman"/>
          <w:color w:val="000000" w:themeColor="text1"/>
          <w:sz w:val="24"/>
          <w:szCs w:val="24"/>
          <w:u w:val="single"/>
        </w:rPr>
        <w:tab/>
      </w:r>
      <w:r w:rsidR="00C22816">
        <w:rPr>
          <w:rFonts w:ascii="Times New Roman" w:hAnsi="Times New Roman"/>
          <w:color w:val="000000" w:themeColor="text1"/>
          <w:sz w:val="24"/>
          <w:szCs w:val="24"/>
          <w:u w:val="single"/>
        </w:rPr>
        <w:t>H</w:t>
      </w:r>
      <w:r w:rsidRPr="0035776C">
        <w:rPr>
          <w:rFonts w:ascii="Times New Roman" w:hAnsi="Times New Roman"/>
          <w:color w:val="000000" w:themeColor="text1"/>
          <w:sz w:val="24"/>
          <w:szCs w:val="24"/>
          <w:u w:val="single"/>
        </w:rPr>
        <w:t>arvesting</w:t>
      </w:r>
      <w:r w:rsidR="008C07AA" w:rsidRPr="0035776C">
        <w:rPr>
          <w:rFonts w:ascii="Times New Roman" w:hAnsi="Times New Roman"/>
          <w:color w:val="000000" w:themeColor="text1"/>
          <w:sz w:val="24"/>
          <w:szCs w:val="24"/>
          <w:u w:val="single"/>
        </w:rPr>
        <w:t xml:space="preserve"> </w:t>
      </w:r>
    </w:p>
    <w:p w:rsidR="008C07AA" w:rsidRPr="0035776C" w:rsidRDefault="00C04B8E" w:rsidP="00986D81">
      <w:pPr>
        <w:spacing w:after="120" w:line="240" w:lineRule="auto"/>
        <w:rPr>
          <w:rFonts w:ascii="Times New Roman" w:hAnsi="Times New Roman"/>
          <w:color w:val="000000" w:themeColor="text1"/>
          <w:sz w:val="24"/>
          <w:szCs w:val="24"/>
        </w:rPr>
      </w:pPr>
      <w:r w:rsidRPr="0035776C">
        <w:rPr>
          <w:rFonts w:ascii="Times New Roman" w:hAnsi="Times New Roman"/>
          <w:color w:val="000000" w:themeColor="text1"/>
          <w:sz w:val="24"/>
          <w:szCs w:val="24"/>
        </w:rPr>
        <w:t xml:space="preserve">Section 3.7 specifies that </w:t>
      </w:r>
      <w:r w:rsidR="00B060C2" w:rsidRPr="0035776C">
        <w:rPr>
          <w:rFonts w:ascii="Times New Roman" w:hAnsi="Times New Roman"/>
          <w:color w:val="000000" w:themeColor="text1"/>
          <w:sz w:val="24"/>
          <w:szCs w:val="24"/>
        </w:rPr>
        <w:t>no more than</w:t>
      </w:r>
      <w:r w:rsidRPr="0035776C">
        <w:rPr>
          <w:rFonts w:ascii="Times New Roman" w:hAnsi="Times New Roman"/>
          <w:color w:val="000000" w:themeColor="text1"/>
          <w:sz w:val="24"/>
          <w:szCs w:val="24"/>
        </w:rPr>
        <w:t xml:space="preserve"> </w:t>
      </w:r>
      <w:r w:rsidR="00B060C2" w:rsidRPr="0035776C">
        <w:rPr>
          <w:rFonts w:ascii="Times New Roman" w:hAnsi="Times New Roman"/>
          <w:color w:val="000000" w:themeColor="text1"/>
          <w:sz w:val="24"/>
          <w:szCs w:val="24"/>
        </w:rPr>
        <w:t xml:space="preserve">10% of </w:t>
      </w:r>
      <w:r w:rsidRPr="0035776C">
        <w:rPr>
          <w:rFonts w:ascii="Times New Roman" w:hAnsi="Times New Roman"/>
          <w:color w:val="000000" w:themeColor="text1"/>
          <w:sz w:val="24"/>
          <w:szCs w:val="24"/>
        </w:rPr>
        <w:t xml:space="preserve">fallen timber </w:t>
      </w:r>
      <w:r w:rsidR="00F11B62">
        <w:rPr>
          <w:rFonts w:ascii="Times New Roman" w:hAnsi="Times New Roman"/>
          <w:color w:val="000000" w:themeColor="text1"/>
          <w:sz w:val="24"/>
          <w:szCs w:val="24"/>
        </w:rPr>
        <w:t xml:space="preserve">from a carbon estimation area </w:t>
      </w:r>
      <w:r w:rsidRPr="0035776C">
        <w:rPr>
          <w:rFonts w:ascii="Times New Roman" w:hAnsi="Times New Roman"/>
          <w:color w:val="000000" w:themeColor="text1"/>
          <w:sz w:val="24"/>
          <w:szCs w:val="24"/>
        </w:rPr>
        <w:t xml:space="preserve">may be removed </w:t>
      </w:r>
      <w:r w:rsidR="003343E6" w:rsidRPr="0035776C">
        <w:rPr>
          <w:rFonts w:ascii="Times New Roman" w:hAnsi="Times New Roman"/>
          <w:color w:val="000000" w:themeColor="text1"/>
          <w:sz w:val="24"/>
          <w:szCs w:val="24"/>
        </w:rPr>
        <w:t xml:space="preserve">for </w:t>
      </w:r>
      <w:r w:rsidR="003343E6" w:rsidRPr="00AC7DBD">
        <w:rPr>
          <w:rFonts w:ascii="Times New Roman" w:hAnsi="Times New Roman"/>
          <w:color w:val="000000" w:themeColor="text1"/>
          <w:sz w:val="24"/>
          <w:szCs w:val="24"/>
        </w:rPr>
        <w:t>personal use</w:t>
      </w:r>
      <w:r w:rsidR="003343E6" w:rsidRPr="0035776C">
        <w:rPr>
          <w:rFonts w:ascii="Times New Roman" w:hAnsi="Times New Roman"/>
          <w:color w:val="000000" w:themeColor="text1"/>
          <w:sz w:val="24"/>
          <w:szCs w:val="24"/>
        </w:rPr>
        <w:t xml:space="preserve"> </w:t>
      </w:r>
      <w:r w:rsidRPr="0035776C">
        <w:rPr>
          <w:rFonts w:ascii="Times New Roman" w:hAnsi="Times New Roman"/>
          <w:color w:val="000000" w:themeColor="text1"/>
          <w:sz w:val="24"/>
          <w:szCs w:val="24"/>
        </w:rPr>
        <w:t xml:space="preserve">each </w:t>
      </w:r>
      <w:r w:rsidR="00B060C2" w:rsidRPr="0035776C">
        <w:rPr>
          <w:rFonts w:ascii="Times New Roman" w:hAnsi="Times New Roman"/>
          <w:color w:val="000000" w:themeColor="text1"/>
          <w:sz w:val="24"/>
          <w:szCs w:val="24"/>
        </w:rPr>
        <w:t xml:space="preserve">calendar </w:t>
      </w:r>
      <w:r w:rsidRPr="0035776C">
        <w:rPr>
          <w:rFonts w:ascii="Times New Roman" w:hAnsi="Times New Roman"/>
          <w:color w:val="000000" w:themeColor="text1"/>
          <w:sz w:val="24"/>
          <w:szCs w:val="24"/>
        </w:rPr>
        <w:t>year</w:t>
      </w:r>
      <w:r w:rsidR="003343E6" w:rsidRPr="0035776C">
        <w:rPr>
          <w:rFonts w:ascii="Times New Roman" w:hAnsi="Times New Roman"/>
          <w:color w:val="000000" w:themeColor="text1"/>
          <w:sz w:val="24"/>
          <w:szCs w:val="24"/>
        </w:rPr>
        <w:t xml:space="preserve">. No other removal of </w:t>
      </w:r>
      <w:r w:rsidR="0035776C" w:rsidRPr="0035776C">
        <w:rPr>
          <w:rFonts w:ascii="Times New Roman" w:hAnsi="Times New Roman"/>
          <w:color w:val="000000" w:themeColor="text1"/>
          <w:sz w:val="24"/>
          <w:szCs w:val="24"/>
        </w:rPr>
        <w:t>biomass</w:t>
      </w:r>
      <w:r w:rsidR="003343E6" w:rsidRPr="0035776C">
        <w:rPr>
          <w:rFonts w:ascii="Times New Roman" w:hAnsi="Times New Roman"/>
          <w:color w:val="000000" w:themeColor="text1"/>
          <w:sz w:val="24"/>
          <w:szCs w:val="24"/>
        </w:rPr>
        <w:t xml:space="preserve"> is permitted.</w:t>
      </w:r>
    </w:p>
    <w:p w:rsidR="008C07AA" w:rsidRDefault="008C07AA" w:rsidP="00986D81">
      <w:pPr>
        <w:spacing w:after="120" w:line="240" w:lineRule="auto"/>
        <w:rPr>
          <w:rFonts w:ascii="Times New Roman" w:hAnsi="Times New Roman"/>
          <w:color w:val="000000" w:themeColor="text1"/>
          <w:sz w:val="24"/>
          <w:szCs w:val="24"/>
        </w:rPr>
      </w:pPr>
      <w:r w:rsidRPr="0035776C">
        <w:rPr>
          <w:rFonts w:ascii="Times New Roman" w:hAnsi="Times New Roman"/>
          <w:color w:val="000000" w:themeColor="text1"/>
          <w:sz w:val="24"/>
          <w:szCs w:val="24"/>
        </w:rPr>
        <w:t>The effect of section 3.7 is that commercial harvesting is not permitted under the Determination.</w:t>
      </w:r>
    </w:p>
    <w:p w:rsidR="009217B2" w:rsidRPr="0035776C" w:rsidRDefault="009217B2" w:rsidP="00986D81">
      <w:pPr>
        <w:spacing w:after="120" w:line="240" w:lineRule="auto"/>
        <w:rPr>
          <w:rFonts w:ascii="Times New Roman" w:hAnsi="Times New Roman"/>
          <w:color w:val="000000" w:themeColor="text1"/>
          <w:sz w:val="24"/>
          <w:szCs w:val="24"/>
        </w:rPr>
      </w:pPr>
      <w:r w:rsidRPr="00D82D52">
        <w:rPr>
          <w:rFonts w:ascii="Times New Roman" w:hAnsi="Times New Roman"/>
          <w:color w:val="000000" w:themeColor="text1"/>
          <w:sz w:val="24"/>
          <w:szCs w:val="24"/>
        </w:rPr>
        <w:t>Any emissions associated with</w:t>
      </w:r>
      <w:r w:rsidR="00D82D52" w:rsidRPr="00D82D52">
        <w:rPr>
          <w:rFonts w:ascii="Times New Roman" w:hAnsi="Times New Roman"/>
          <w:color w:val="000000" w:themeColor="text1"/>
          <w:sz w:val="24"/>
          <w:szCs w:val="24"/>
        </w:rPr>
        <w:t xml:space="preserve"> the</w:t>
      </w:r>
      <w:r w:rsidRPr="00D82D52">
        <w:rPr>
          <w:rFonts w:ascii="Times New Roman" w:hAnsi="Times New Roman"/>
          <w:color w:val="000000" w:themeColor="text1"/>
          <w:sz w:val="24"/>
          <w:szCs w:val="24"/>
        </w:rPr>
        <w:t xml:space="preserve"> removal of biomass in accordance with section </w:t>
      </w:r>
      <w:r w:rsidR="00D82D52" w:rsidRPr="00D82D52">
        <w:rPr>
          <w:rFonts w:ascii="Times New Roman" w:hAnsi="Times New Roman"/>
          <w:color w:val="000000" w:themeColor="text1"/>
          <w:sz w:val="24"/>
          <w:szCs w:val="24"/>
        </w:rPr>
        <w:t xml:space="preserve">3.7 </w:t>
      </w:r>
      <w:r w:rsidRPr="00D82D52">
        <w:rPr>
          <w:rFonts w:ascii="Times New Roman" w:hAnsi="Times New Roman"/>
          <w:color w:val="000000" w:themeColor="text1"/>
          <w:sz w:val="24"/>
          <w:szCs w:val="24"/>
        </w:rPr>
        <w:t>are considered immaterial to project abatement.</w:t>
      </w:r>
      <w:r w:rsidR="001C3DFF">
        <w:rPr>
          <w:rFonts w:ascii="Times New Roman" w:hAnsi="Times New Roman"/>
          <w:color w:val="000000" w:themeColor="text1"/>
          <w:sz w:val="24"/>
          <w:szCs w:val="24"/>
        </w:rPr>
        <w:t xml:space="preserve">  The removal of the biomass therefore does not need to be modelled in FullCAM.</w:t>
      </w:r>
    </w:p>
    <w:p w:rsidR="0010160B" w:rsidRPr="0035776C" w:rsidRDefault="0010160B" w:rsidP="00986D81">
      <w:pPr>
        <w:spacing w:after="120" w:line="240" w:lineRule="auto"/>
        <w:rPr>
          <w:rFonts w:ascii="Times New Roman" w:hAnsi="Times New Roman"/>
          <w:color w:val="000000" w:themeColor="text1"/>
          <w:sz w:val="24"/>
          <w:szCs w:val="24"/>
        </w:rPr>
      </w:pPr>
      <w:r w:rsidRPr="0035776C">
        <w:rPr>
          <w:rFonts w:ascii="Times New Roman" w:hAnsi="Times New Roman"/>
          <w:color w:val="000000" w:themeColor="text1"/>
          <w:sz w:val="24"/>
          <w:szCs w:val="24"/>
          <w:u w:val="single"/>
        </w:rPr>
        <w:t xml:space="preserve">3.8 </w:t>
      </w:r>
      <w:r w:rsidRPr="0035776C">
        <w:rPr>
          <w:rFonts w:ascii="Times New Roman" w:hAnsi="Times New Roman"/>
          <w:color w:val="000000" w:themeColor="text1"/>
          <w:sz w:val="24"/>
          <w:szCs w:val="24"/>
          <w:u w:val="single"/>
        </w:rPr>
        <w:tab/>
      </w:r>
      <w:r w:rsidR="0035776C">
        <w:rPr>
          <w:rFonts w:ascii="Times New Roman" w:hAnsi="Times New Roman"/>
          <w:color w:val="000000" w:themeColor="text1"/>
          <w:sz w:val="24"/>
          <w:szCs w:val="24"/>
          <w:u w:val="single"/>
        </w:rPr>
        <w:t>Grazing</w:t>
      </w:r>
      <w:r w:rsidR="005A345C" w:rsidRPr="0035776C">
        <w:rPr>
          <w:rFonts w:ascii="Times New Roman" w:hAnsi="Times New Roman"/>
          <w:color w:val="000000" w:themeColor="text1"/>
          <w:sz w:val="24"/>
          <w:szCs w:val="24"/>
          <w:u w:val="single"/>
        </w:rPr>
        <w:t xml:space="preserve"> </w:t>
      </w:r>
    </w:p>
    <w:p w:rsidR="00427043" w:rsidRDefault="00216746"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6F6D69" w:rsidRPr="00427043">
        <w:rPr>
          <w:rFonts w:ascii="Times New Roman" w:hAnsi="Times New Roman"/>
          <w:color w:val="000000" w:themeColor="text1"/>
          <w:sz w:val="24"/>
          <w:szCs w:val="24"/>
        </w:rPr>
        <w:t xml:space="preserve">ection 3.8 </w:t>
      </w:r>
      <w:r w:rsidR="00F1159E">
        <w:rPr>
          <w:rFonts w:ascii="Times New Roman" w:hAnsi="Times New Roman"/>
          <w:color w:val="000000" w:themeColor="text1"/>
          <w:sz w:val="24"/>
          <w:szCs w:val="24"/>
        </w:rPr>
        <w:t>provides that</w:t>
      </w:r>
      <w:r w:rsidRPr="00216746">
        <w:rPr>
          <w:rFonts w:ascii="Times New Roman" w:hAnsi="Times New Roman"/>
          <w:color w:val="000000" w:themeColor="text1"/>
          <w:sz w:val="24"/>
          <w:szCs w:val="24"/>
        </w:rPr>
        <w:t xml:space="preserve"> </w:t>
      </w:r>
      <w:r>
        <w:rPr>
          <w:rFonts w:ascii="Times New Roman" w:hAnsi="Times New Roman"/>
          <w:color w:val="000000" w:themeColor="text1"/>
          <w:sz w:val="24"/>
          <w:szCs w:val="24"/>
        </w:rPr>
        <w:t>if livestock graze in a carbon estimation area,</w:t>
      </w:r>
      <w:r w:rsidR="00A168C1">
        <w:rPr>
          <w:rFonts w:ascii="Times New Roman" w:hAnsi="Times New Roman"/>
          <w:color w:val="000000" w:themeColor="text1"/>
          <w:sz w:val="24"/>
          <w:szCs w:val="24"/>
        </w:rPr>
        <w:t xml:space="preserve"> the Regulator </w:t>
      </w:r>
      <w:r w:rsidR="00F1159E">
        <w:rPr>
          <w:rFonts w:ascii="Times New Roman" w:hAnsi="Times New Roman"/>
          <w:color w:val="000000" w:themeColor="text1"/>
          <w:sz w:val="24"/>
          <w:szCs w:val="24"/>
        </w:rPr>
        <w:t>may</w:t>
      </w:r>
      <w:r w:rsidR="00A168C1">
        <w:rPr>
          <w:rFonts w:ascii="Times New Roman" w:hAnsi="Times New Roman"/>
          <w:color w:val="000000" w:themeColor="text1"/>
          <w:sz w:val="24"/>
          <w:szCs w:val="24"/>
        </w:rPr>
        <w:t xml:space="preserve"> request</w:t>
      </w:r>
      <w:r w:rsidR="006F6D69" w:rsidRPr="00427043">
        <w:rPr>
          <w:rFonts w:ascii="Times New Roman" w:hAnsi="Times New Roman"/>
          <w:color w:val="000000" w:themeColor="text1"/>
          <w:sz w:val="24"/>
          <w:szCs w:val="24"/>
        </w:rPr>
        <w:t xml:space="preserve"> evidence that </w:t>
      </w:r>
      <w:r w:rsidR="00AC7DBD">
        <w:rPr>
          <w:rFonts w:ascii="Times New Roman" w:hAnsi="Times New Roman"/>
          <w:color w:val="000000" w:themeColor="text1"/>
          <w:sz w:val="24"/>
          <w:szCs w:val="24"/>
        </w:rPr>
        <w:t>the</w:t>
      </w:r>
      <w:r w:rsidR="006F6D69" w:rsidRPr="00427043">
        <w:rPr>
          <w:rFonts w:ascii="Times New Roman" w:hAnsi="Times New Roman"/>
          <w:color w:val="000000" w:themeColor="text1"/>
          <w:sz w:val="24"/>
          <w:szCs w:val="24"/>
        </w:rPr>
        <w:t xml:space="preserve"> grazi</w:t>
      </w:r>
      <w:r>
        <w:rPr>
          <w:rFonts w:ascii="Times New Roman" w:hAnsi="Times New Roman"/>
          <w:color w:val="000000" w:themeColor="text1"/>
          <w:sz w:val="24"/>
          <w:szCs w:val="24"/>
        </w:rPr>
        <w:t>ng has not prevented the growth of native forest</w:t>
      </w:r>
      <w:r w:rsidR="006F6D69" w:rsidRPr="00427043">
        <w:rPr>
          <w:rFonts w:ascii="Times New Roman" w:hAnsi="Times New Roman"/>
          <w:color w:val="000000" w:themeColor="text1"/>
          <w:sz w:val="24"/>
          <w:szCs w:val="24"/>
        </w:rPr>
        <w:t xml:space="preserve">. This requirement is designed to ensure that grazing of livestock does not prevent </w:t>
      </w:r>
      <w:r w:rsidR="00A70520">
        <w:rPr>
          <w:rFonts w:ascii="Times New Roman" w:hAnsi="Times New Roman"/>
          <w:color w:val="000000" w:themeColor="text1"/>
          <w:sz w:val="24"/>
          <w:szCs w:val="24"/>
        </w:rPr>
        <w:t>regrowth</w:t>
      </w:r>
      <w:r w:rsidR="006F6D69" w:rsidRPr="00427043">
        <w:rPr>
          <w:rFonts w:ascii="Times New Roman" w:hAnsi="Times New Roman"/>
          <w:color w:val="000000" w:themeColor="text1"/>
          <w:sz w:val="24"/>
          <w:szCs w:val="24"/>
        </w:rPr>
        <w:t xml:space="preserve"> from achieving forest cover. </w:t>
      </w:r>
    </w:p>
    <w:p w:rsidR="00427043" w:rsidRDefault="00427043"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note to </w:t>
      </w:r>
      <w:r w:rsidRPr="00427043">
        <w:rPr>
          <w:rFonts w:ascii="Times New Roman" w:hAnsi="Times New Roman"/>
          <w:color w:val="000000" w:themeColor="text1"/>
          <w:sz w:val="24"/>
          <w:szCs w:val="24"/>
        </w:rPr>
        <w:t xml:space="preserve">the section provides an example of the type of evidence </w:t>
      </w:r>
      <w:r w:rsidRPr="00A168C1">
        <w:rPr>
          <w:rFonts w:ascii="Times New Roman" w:hAnsi="Times New Roman"/>
          <w:color w:val="000000" w:themeColor="text1"/>
          <w:sz w:val="24"/>
          <w:szCs w:val="24"/>
        </w:rPr>
        <w:t>that may be provided</w:t>
      </w:r>
      <w:r w:rsidRPr="00427043">
        <w:rPr>
          <w:rFonts w:ascii="Times New Roman" w:hAnsi="Times New Roman"/>
          <w:color w:val="000000" w:themeColor="text1"/>
          <w:sz w:val="24"/>
          <w:szCs w:val="24"/>
        </w:rPr>
        <w:t xml:space="preserve"> to demonstrate that forest cover has not been affected by grazing.  </w:t>
      </w:r>
      <w:r w:rsidR="006F6D69" w:rsidRPr="00427043">
        <w:rPr>
          <w:rFonts w:ascii="Times New Roman" w:hAnsi="Times New Roman"/>
          <w:color w:val="000000" w:themeColor="text1"/>
          <w:sz w:val="24"/>
          <w:szCs w:val="24"/>
        </w:rPr>
        <w:t xml:space="preserve">Imagery that shows that the </w:t>
      </w:r>
      <w:r w:rsidR="00F1159E">
        <w:rPr>
          <w:rFonts w:ascii="Times New Roman" w:hAnsi="Times New Roman"/>
          <w:color w:val="000000" w:themeColor="text1"/>
          <w:sz w:val="24"/>
          <w:szCs w:val="24"/>
        </w:rPr>
        <w:lastRenderedPageBreak/>
        <w:t>regrowth</w:t>
      </w:r>
      <w:r w:rsidR="006F6D69" w:rsidRPr="00427043">
        <w:rPr>
          <w:rFonts w:ascii="Times New Roman" w:hAnsi="Times New Roman"/>
          <w:color w:val="000000" w:themeColor="text1"/>
          <w:sz w:val="24"/>
          <w:szCs w:val="24"/>
        </w:rPr>
        <w:t xml:space="preserve"> has achieved forest cover will provide sufficient evidence that the presence of livestock has not had a materi</w:t>
      </w:r>
      <w:r w:rsidR="000B4376" w:rsidRPr="00427043">
        <w:rPr>
          <w:rFonts w:ascii="Times New Roman" w:hAnsi="Times New Roman"/>
          <w:color w:val="000000" w:themeColor="text1"/>
          <w:sz w:val="24"/>
          <w:szCs w:val="24"/>
        </w:rPr>
        <w:t xml:space="preserve">al impact on the regeneration. </w:t>
      </w:r>
    </w:p>
    <w:p w:rsidR="006F6D69" w:rsidRPr="00427043" w:rsidRDefault="000B03F4"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553EF0">
        <w:rPr>
          <w:rFonts w:ascii="Times New Roman" w:hAnsi="Times New Roman"/>
          <w:color w:val="000000" w:themeColor="text1"/>
          <w:sz w:val="24"/>
          <w:szCs w:val="24"/>
        </w:rPr>
        <w:t xml:space="preserve">effect of the </w:t>
      </w:r>
      <w:r>
        <w:rPr>
          <w:rFonts w:ascii="Times New Roman" w:hAnsi="Times New Roman"/>
          <w:color w:val="000000" w:themeColor="text1"/>
          <w:sz w:val="24"/>
          <w:szCs w:val="24"/>
        </w:rPr>
        <w:t>restriction in s</w:t>
      </w:r>
      <w:r w:rsidR="006F6D69" w:rsidRPr="00427043">
        <w:rPr>
          <w:rFonts w:ascii="Times New Roman" w:hAnsi="Times New Roman"/>
          <w:color w:val="000000" w:themeColor="text1"/>
          <w:sz w:val="24"/>
          <w:szCs w:val="24"/>
        </w:rPr>
        <w:t xml:space="preserve">ection 3.8 </w:t>
      </w:r>
      <w:r w:rsidR="00553EF0">
        <w:rPr>
          <w:rFonts w:ascii="Times New Roman" w:hAnsi="Times New Roman"/>
          <w:color w:val="000000" w:themeColor="text1"/>
          <w:sz w:val="24"/>
          <w:szCs w:val="24"/>
        </w:rPr>
        <w:t>is that</w:t>
      </w:r>
      <w:r w:rsidR="006F6D69" w:rsidRPr="00427043">
        <w:rPr>
          <w:rFonts w:ascii="Times New Roman" w:hAnsi="Times New Roman"/>
          <w:color w:val="000000" w:themeColor="text1"/>
          <w:sz w:val="24"/>
          <w:szCs w:val="24"/>
        </w:rPr>
        <w:t xml:space="preserve"> livestock</w:t>
      </w:r>
      <w:r w:rsidR="00553EF0">
        <w:rPr>
          <w:rFonts w:ascii="Times New Roman" w:hAnsi="Times New Roman"/>
          <w:color w:val="000000" w:themeColor="text1"/>
          <w:sz w:val="24"/>
          <w:szCs w:val="24"/>
        </w:rPr>
        <w:t xml:space="preserve"> may graze in a carbon estimation area provided the grazing has only a </w:t>
      </w:r>
      <w:r w:rsidR="006F6D69" w:rsidRPr="00427043">
        <w:rPr>
          <w:rFonts w:ascii="Times New Roman" w:hAnsi="Times New Roman"/>
          <w:color w:val="000000" w:themeColor="text1"/>
          <w:sz w:val="24"/>
          <w:szCs w:val="24"/>
        </w:rPr>
        <w:t>minor or</w:t>
      </w:r>
      <w:r w:rsidR="00553EF0">
        <w:rPr>
          <w:rFonts w:ascii="Times New Roman" w:hAnsi="Times New Roman"/>
          <w:color w:val="000000" w:themeColor="text1"/>
          <w:sz w:val="24"/>
          <w:szCs w:val="24"/>
        </w:rPr>
        <w:t xml:space="preserve"> insignificant impact</w:t>
      </w:r>
      <w:r w:rsidR="006F6D69" w:rsidRPr="00427043">
        <w:rPr>
          <w:rFonts w:ascii="Times New Roman" w:hAnsi="Times New Roman"/>
          <w:color w:val="000000" w:themeColor="text1"/>
          <w:sz w:val="24"/>
          <w:szCs w:val="24"/>
        </w:rPr>
        <w:t xml:space="preserve"> on </w:t>
      </w:r>
      <w:r>
        <w:rPr>
          <w:rFonts w:ascii="Times New Roman" w:hAnsi="Times New Roman"/>
          <w:color w:val="000000" w:themeColor="text1"/>
          <w:sz w:val="24"/>
          <w:szCs w:val="24"/>
        </w:rPr>
        <w:t>regrowth</w:t>
      </w:r>
      <w:r w:rsidR="006F6D69" w:rsidRPr="00427043">
        <w:rPr>
          <w:rFonts w:ascii="Times New Roman" w:hAnsi="Times New Roman"/>
          <w:color w:val="000000" w:themeColor="text1"/>
          <w:sz w:val="24"/>
          <w:szCs w:val="24"/>
        </w:rPr>
        <w:t xml:space="preserve"> in </w:t>
      </w:r>
      <w:r w:rsidR="00553EF0">
        <w:rPr>
          <w:rFonts w:ascii="Times New Roman" w:hAnsi="Times New Roman"/>
          <w:color w:val="000000" w:themeColor="text1"/>
          <w:sz w:val="24"/>
          <w:szCs w:val="24"/>
        </w:rPr>
        <w:t>the area</w:t>
      </w:r>
      <w:r w:rsidR="006F6D69" w:rsidRPr="00427043">
        <w:rPr>
          <w:rFonts w:ascii="Times New Roman" w:hAnsi="Times New Roman"/>
          <w:color w:val="000000" w:themeColor="text1"/>
          <w:sz w:val="24"/>
          <w:szCs w:val="24"/>
        </w:rPr>
        <w:t xml:space="preserve">.  </w:t>
      </w:r>
    </w:p>
    <w:p w:rsidR="0010160B" w:rsidRPr="00281084" w:rsidRDefault="0010160B" w:rsidP="00986D81">
      <w:pPr>
        <w:spacing w:after="120" w:line="240" w:lineRule="auto"/>
        <w:rPr>
          <w:rFonts w:ascii="Times New Roman" w:hAnsi="Times New Roman"/>
          <w:color w:val="000000" w:themeColor="text1"/>
          <w:sz w:val="24"/>
          <w:szCs w:val="24"/>
        </w:rPr>
      </w:pPr>
      <w:r w:rsidRPr="00281084">
        <w:rPr>
          <w:rFonts w:ascii="Times New Roman" w:hAnsi="Times New Roman"/>
          <w:color w:val="000000" w:themeColor="text1"/>
          <w:sz w:val="24"/>
          <w:szCs w:val="24"/>
          <w:u w:val="single"/>
        </w:rPr>
        <w:t xml:space="preserve">3.9 </w:t>
      </w:r>
      <w:r w:rsidRPr="00281084">
        <w:rPr>
          <w:rFonts w:ascii="Times New Roman" w:hAnsi="Times New Roman"/>
          <w:color w:val="000000" w:themeColor="text1"/>
          <w:sz w:val="24"/>
          <w:szCs w:val="24"/>
          <w:u w:val="single"/>
        </w:rPr>
        <w:tab/>
      </w:r>
      <w:r w:rsidR="00F807A6" w:rsidRPr="00281084">
        <w:rPr>
          <w:rFonts w:ascii="Times New Roman" w:hAnsi="Times New Roman"/>
          <w:color w:val="000000" w:themeColor="text1"/>
          <w:sz w:val="24"/>
          <w:szCs w:val="24"/>
          <w:u w:val="single"/>
        </w:rPr>
        <w:t>T</w:t>
      </w:r>
      <w:r w:rsidRPr="00281084">
        <w:rPr>
          <w:rFonts w:ascii="Times New Roman" w:hAnsi="Times New Roman"/>
          <w:color w:val="000000" w:themeColor="text1"/>
          <w:sz w:val="24"/>
          <w:szCs w:val="24"/>
          <w:u w:val="single"/>
        </w:rPr>
        <w:t>hinning</w:t>
      </w:r>
      <w:r w:rsidR="00F807A6" w:rsidRPr="00281084">
        <w:rPr>
          <w:rFonts w:ascii="Times New Roman" w:hAnsi="Times New Roman"/>
          <w:color w:val="000000" w:themeColor="text1"/>
          <w:sz w:val="24"/>
          <w:szCs w:val="24"/>
          <w:u w:val="single"/>
        </w:rPr>
        <w:t xml:space="preserve"> </w:t>
      </w:r>
    </w:p>
    <w:p w:rsidR="00694970" w:rsidRPr="00281084" w:rsidRDefault="0010160B" w:rsidP="00986D81">
      <w:pPr>
        <w:spacing w:after="120" w:line="240" w:lineRule="auto"/>
        <w:rPr>
          <w:rFonts w:ascii="Times New Roman" w:hAnsi="Times New Roman"/>
          <w:color w:val="000000" w:themeColor="text1"/>
          <w:sz w:val="24"/>
          <w:szCs w:val="24"/>
        </w:rPr>
      </w:pPr>
      <w:r w:rsidRPr="00281084">
        <w:rPr>
          <w:rFonts w:ascii="Times New Roman" w:hAnsi="Times New Roman"/>
          <w:color w:val="000000" w:themeColor="text1"/>
          <w:sz w:val="24"/>
          <w:szCs w:val="24"/>
        </w:rPr>
        <w:t>Under</w:t>
      </w:r>
      <w:r w:rsidR="00C04B8E" w:rsidRPr="00281084">
        <w:rPr>
          <w:rFonts w:ascii="Times New Roman" w:hAnsi="Times New Roman"/>
          <w:color w:val="000000" w:themeColor="text1"/>
          <w:sz w:val="24"/>
          <w:szCs w:val="24"/>
        </w:rPr>
        <w:t xml:space="preserve"> section 3.9,</w:t>
      </w:r>
      <w:r w:rsidRPr="00281084">
        <w:rPr>
          <w:rFonts w:ascii="Times New Roman" w:hAnsi="Times New Roman"/>
          <w:color w:val="000000" w:themeColor="text1"/>
          <w:sz w:val="24"/>
          <w:szCs w:val="24"/>
        </w:rPr>
        <w:t xml:space="preserve"> </w:t>
      </w:r>
      <w:r w:rsidR="00B966B5" w:rsidRPr="00281084">
        <w:rPr>
          <w:rFonts w:ascii="Times New Roman" w:hAnsi="Times New Roman"/>
          <w:color w:val="000000" w:themeColor="text1"/>
          <w:sz w:val="24"/>
          <w:szCs w:val="24"/>
        </w:rPr>
        <w:t>t</w:t>
      </w:r>
      <w:r w:rsidR="006A46E5" w:rsidRPr="00281084">
        <w:rPr>
          <w:rFonts w:ascii="Times New Roman" w:hAnsi="Times New Roman"/>
          <w:color w:val="000000" w:themeColor="text1"/>
          <w:sz w:val="24"/>
          <w:szCs w:val="24"/>
        </w:rPr>
        <w:t>rees in a carbon estimation area may be thinned for ecological purposes, provided that the biomass resulting from thinning remains in the carbon estimation area</w:t>
      </w:r>
      <w:r w:rsidR="00C04B8E" w:rsidRPr="00281084">
        <w:rPr>
          <w:rFonts w:ascii="Times New Roman" w:hAnsi="Times New Roman"/>
          <w:color w:val="000000" w:themeColor="text1"/>
          <w:sz w:val="24"/>
          <w:szCs w:val="24"/>
        </w:rPr>
        <w:t>.</w:t>
      </w:r>
    </w:p>
    <w:p w:rsidR="00F807A6" w:rsidRPr="00281084" w:rsidRDefault="00F807A6" w:rsidP="00986D81">
      <w:pPr>
        <w:spacing w:after="120" w:line="240" w:lineRule="auto"/>
        <w:rPr>
          <w:rFonts w:ascii="Times New Roman" w:hAnsi="Times New Roman"/>
          <w:color w:val="000000" w:themeColor="text1"/>
          <w:sz w:val="24"/>
          <w:szCs w:val="24"/>
        </w:rPr>
      </w:pPr>
      <w:r w:rsidRPr="00281084">
        <w:rPr>
          <w:rFonts w:ascii="Times New Roman" w:hAnsi="Times New Roman"/>
          <w:color w:val="000000" w:themeColor="text1"/>
          <w:sz w:val="24"/>
          <w:szCs w:val="24"/>
          <w:u w:val="single"/>
        </w:rPr>
        <w:t xml:space="preserve">3.10 </w:t>
      </w:r>
      <w:r w:rsidRPr="00281084">
        <w:rPr>
          <w:rFonts w:ascii="Times New Roman" w:hAnsi="Times New Roman"/>
          <w:color w:val="000000" w:themeColor="text1"/>
          <w:sz w:val="24"/>
          <w:szCs w:val="24"/>
          <w:u w:val="single"/>
        </w:rPr>
        <w:tab/>
        <w:t>Use of lime or fertiliser</w:t>
      </w:r>
    </w:p>
    <w:p w:rsidR="002E0C01" w:rsidRPr="00AC7DBD" w:rsidRDefault="008E49AB" w:rsidP="00AC7DBD">
      <w:pPr>
        <w:pStyle w:val="R2"/>
        <w:spacing w:before="0" w:after="120" w:line="240" w:lineRule="auto"/>
        <w:ind w:left="0" w:firstLine="0"/>
        <w:rPr>
          <w:color w:val="000000" w:themeColor="text1"/>
        </w:rPr>
      </w:pPr>
      <w:r w:rsidRPr="00281084">
        <w:rPr>
          <w:color w:val="000000" w:themeColor="text1"/>
        </w:rPr>
        <w:t xml:space="preserve">Section 3.10 provides that lime or fertiliser must not be used </w:t>
      </w:r>
      <w:r w:rsidR="00E45119">
        <w:rPr>
          <w:color w:val="000000" w:themeColor="text1"/>
        </w:rPr>
        <w:t>in a carbon estimation area</w:t>
      </w:r>
      <w:r w:rsidRPr="00281084">
        <w:rPr>
          <w:color w:val="000000" w:themeColor="text1"/>
        </w:rPr>
        <w:t>.</w:t>
      </w:r>
      <w:r w:rsidR="002E0C01" w:rsidRPr="00281084">
        <w:rPr>
          <w:b/>
          <w:color w:val="000000" w:themeColor="text1"/>
        </w:rPr>
        <w:br w:type="page"/>
      </w:r>
    </w:p>
    <w:p w:rsidR="00E96CDD" w:rsidRPr="00986D81" w:rsidRDefault="00915BEF" w:rsidP="00986D81">
      <w:pPr>
        <w:keepNext/>
        <w:spacing w:after="120" w:line="240" w:lineRule="auto"/>
        <w:ind w:left="1418" w:hanging="1418"/>
        <w:rPr>
          <w:rFonts w:ascii="Times New Roman" w:hAnsi="Times New Roman"/>
          <w:b/>
          <w:color w:val="000000" w:themeColor="text1"/>
          <w:sz w:val="24"/>
          <w:szCs w:val="24"/>
        </w:rPr>
      </w:pPr>
      <w:r w:rsidRPr="008F2A04">
        <w:rPr>
          <w:rFonts w:ascii="Times New Roman" w:hAnsi="Times New Roman"/>
          <w:b/>
          <w:color w:val="000000" w:themeColor="text1"/>
          <w:sz w:val="24"/>
          <w:szCs w:val="24"/>
        </w:rPr>
        <w:lastRenderedPageBreak/>
        <w:t>Part 4</w:t>
      </w:r>
      <w:r w:rsidRPr="008F2A04">
        <w:rPr>
          <w:rFonts w:ascii="Times New Roman" w:hAnsi="Times New Roman"/>
          <w:b/>
          <w:color w:val="000000" w:themeColor="text1"/>
          <w:sz w:val="24"/>
          <w:szCs w:val="24"/>
        </w:rPr>
        <w:tab/>
        <w:t>The net abatement amount</w:t>
      </w:r>
    </w:p>
    <w:p w:rsidR="00915BEF" w:rsidRPr="008F2A04" w:rsidRDefault="00915BEF" w:rsidP="00986D81">
      <w:pPr>
        <w:keepNext/>
        <w:spacing w:after="120" w:line="240" w:lineRule="auto"/>
        <w:rPr>
          <w:rFonts w:ascii="Times New Roman" w:hAnsi="Times New Roman"/>
          <w:b/>
          <w:color w:val="000000" w:themeColor="text1"/>
          <w:sz w:val="24"/>
          <w:szCs w:val="24"/>
        </w:rPr>
      </w:pPr>
      <w:r w:rsidRPr="008F2A04">
        <w:rPr>
          <w:rFonts w:ascii="Times New Roman" w:hAnsi="Times New Roman"/>
          <w:b/>
          <w:color w:val="000000" w:themeColor="text1"/>
          <w:sz w:val="24"/>
          <w:szCs w:val="24"/>
        </w:rPr>
        <w:t xml:space="preserve">Division 4.1 </w:t>
      </w:r>
      <w:r w:rsidRPr="008F2A04">
        <w:rPr>
          <w:rFonts w:ascii="Times New Roman" w:hAnsi="Times New Roman"/>
          <w:b/>
          <w:color w:val="000000" w:themeColor="text1"/>
          <w:sz w:val="24"/>
          <w:szCs w:val="24"/>
        </w:rPr>
        <w:tab/>
      </w:r>
      <w:r w:rsidRPr="008F2A04">
        <w:rPr>
          <w:rFonts w:ascii="Times New Roman" w:hAnsi="Times New Roman"/>
          <w:b/>
          <w:color w:val="000000" w:themeColor="text1"/>
          <w:sz w:val="24"/>
          <w:szCs w:val="24"/>
        </w:rPr>
        <w:tab/>
        <w:t>The net abatement amount</w:t>
      </w:r>
    </w:p>
    <w:p w:rsidR="00915BEF" w:rsidRPr="001D3C5D" w:rsidRDefault="00915BEF" w:rsidP="00986D81">
      <w:pPr>
        <w:keepNext/>
        <w:spacing w:after="120" w:line="240" w:lineRule="auto"/>
        <w:rPr>
          <w:rFonts w:ascii="Times New Roman" w:hAnsi="Times New Roman"/>
          <w:color w:val="000000" w:themeColor="text1"/>
          <w:sz w:val="24"/>
          <w:szCs w:val="24"/>
          <w:u w:val="single"/>
        </w:rPr>
      </w:pPr>
      <w:r w:rsidRPr="001D3C5D">
        <w:rPr>
          <w:rFonts w:ascii="Times New Roman" w:hAnsi="Times New Roman"/>
          <w:color w:val="000000" w:themeColor="text1"/>
          <w:sz w:val="24"/>
          <w:szCs w:val="24"/>
          <w:u w:val="single"/>
        </w:rPr>
        <w:t>4.1</w:t>
      </w:r>
      <w:r w:rsidRPr="001D3C5D">
        <w:rPr>
          <w:rFonts w:ascii="Times New Roman" w:hAnsi="Times New Roman"/>
          <w:color w:val="000000" w:themeColor="text1"/>
          <w:sz w:val="24"/>
          <w:szCs w:val="24"/>
          <w:u w:val="single"/>
        </w:rPr>
        <w:tab/>
        <w:t>The net abatement amount</w:t>
      </w:r>
    </w:p>
    <w:p w:rsidR="00F60CEF" w:rsidRDefault="00915BEF" w:rsidP="00986D81">
      <w:pPr>
        <w:autoSpaceDE w:val="0"/>
        <w:autoSpaceDN w:val="0"/>
        <w:adjustRightInd w:val="0"/>
        <w:spacing w:after="120" w:line="240" w:lineRule="auto"/>
        <w:rPr>
          <w:rFonts w:ascii="Times New Roman" w:hAnsi="Times New Roman"/>
          <w:color w:val="000000" w:themeColor="text1"/>
          <w:sz w:val="24"/>
          <w:szCs w:val="24"/>
        </w:rPr>
      </w:pPr>
      <w:r w:rsidRPr="001D3C5D">
        <w:rPr>
          <w:rFonts w:ascii="Times New Roman" w:hAnsi="Times New Roman"/>
          <w:color w:val="000000" w:themeColor="text1"/>
          <w:sz w:val="24"/>
          <w:szCs w:val="24"/>
        </w:rPr>
        <w:t xml:space="preserve">Under the Determination, </w:t>
      </w:r>
      <w:r w:rsidR="000B03F4">
        <w:rPr>
          <w:rFonts w:ascii="Times New Roman" w:hAnsi="Times New Roman"/>
          <w:color w:val="000000" w:themeColor="text1"/>
          <w:sz w:val="24"/>
          <w:szCs w:val="24"/>
        </w:rPr>
        <w:t>the carbon dioxide equivalent net abatement amount</w:t>
      </w:r>
      <w:r w:rsidR="000B03F4" w:rsidRPr="001D3C5D">
        <w:rPr>
          <w:rFonts w:ascii="Times New Roman" w:hAnsi="Times New Roman"/>
          <w:color w:val="000000" w:themeColor="text1"/>
          <w:sz w:val="24"/>
          <w:szCs w:val="24"/>
        </w:rPr>
        <w:t xml:space="preserve"> </w:t>
      </w:r>
      <w:r w:rsidRPr="001D3C5D">
        <w:rPr>
          <w:rFonts w:ascii="Times New Roman" w:hAnsi="Times New Roman"/>
          <w:color w:val="000000" w:themeColor="text1"/>
          <w:sz w:val="24"/>
          <w:szCs w:val="24"/>
        </w:rPr>
        <w:t xml:space="preserve">is calculated as the change in the amount of carbon stored in </w:t>
      </w:r>
      <w:r w:rsidR="00545B4D">
        <w:rPr>
          <w:rFonts w:ascii="Times New Roman" w:hAnsi="Times New Roman"/>
          <w:color w:val="000000" w:themeColor="text1"/>
          <w:sz w:val="24"/>
          <w:szCs w:val="24"/>
        </w:rPr>
        <w:t>carbon estimation</w:t>
      </w:r>
      <w:r w:rsidRPr="001D3C5D">
        <w:rPr>
          <w:rFonts w:ascii="Times New Roman" w:hAnsi="Times New Roman"/>
          <w:color w:val="000000" w:themeColor="text1"/>
          <w:sz w:val="24"/>
          <w:szCs w:val="24"/>
        </w:rPr>
        <w:t xml:space="preserve"> area</w:t>
      </w:r>
      <w:r w:rsidR="00545B4D">
        <w:rPr>
          <w:rFonts w:ascii="Times New Roman" w:hAnsi="Times New Roman"/>
          <w:color w:val="000000" w:themeColor="text1"/>
          <w:sz w:val="24"/>
          <w:szCs w:val="24"/>
        </w:rPr>
        <w:t>s</w:t>
      </w:r>
      <w:r w:rsidRPr="001D3C5D">
        <w:rPr>
          <w:rFonts w:ascii="Times New Roman" w:hAnsi="Times New Roman"/>
          <w:color w:val="000000" w:themeColor="text1"/>
          <w:sz w:val="24"/>
          <w:szCs w:val="24"/>
        </w:rPr>
        <w:t xml:space="preserve"> (through</w:t>
      </w:r>
      <w:r w:rsidR="00B70381" w:rsidRPr="001D3C5D">
        <w:rPr>
          <w:rFonts w:ascii="Times New Roman" w:hAnsi="Times New Roman"/>
          <w:color w:val="000000" w:themeColor="text1"/>
          <w:sz w:val="24"/>
          <w:szCs w:val="24"/>
        </w:rPr>
        <w:t xml:space="preserve"> the combined effect of tree</w:t>
      </w:r>
      <w:r w:rsidRPr="001D3C5D">
        <w:rPr>
          <w:rFonts w:ascii="Times New Roman" w:hAnsi="Times New Roman"/>
          <w:color w:val="000000" w:themeColor="text1"/>
          <w:sz w:val="24"/>
          <w:szCs w:val="24"/>
        </w:rPr>
        <w:t xml:space="preserve"> growth, natural decay and disturbance events such as fire, pest, disease and storm), minus emissions resulting from fire and from fuel used to establish and maintain the project. </w:t>
      </w:r>
    </w:p>
    <w:p w:rsidR="00A44300" w:rsidRPr="000716AB" w:rsidRDefault="00A44300" w:rsidP="00986D81">
      <w:pPr>
        <w:pStyle w:val="h5Section"/>
        <w:spacing w:before="0" w:after="120"/>
        <w:ind w:left="0" w:firstLine="0"/>
        <w:rPr>
          <w:rFonts w:ascii="Times New Roman" w:eastAsia="Calibri" w:hAnsi="Times New Roman"/>
          <w:b w:val="0"/>
          <w:bCs w:val="0"/>
          <w:iCs w:val="0"/>
          <w:color w:val="000000" w:themeColor="text1"/>
          <w:szCs w:val="24"/>
          <w:lang w:eastAsia="en-US"/>
        </w:rPr>
      </w:pPr>
      <w:r w:rsidRPr="000716AB">
        <w:rPr>
          <w:rFonts w:ascii="Times New Roman" w:eastAsia="Calibri" w:hAnsi="Times New Roman"/>
          <w:b w:val="0"/>
          <w:bCs w:val="0"/>
          <w:iCs w:val="0"/>
          <w:color w:val="000000" w:themeColor="text1"/>
          <w:szCs w:val="24"/>
          <w:lang w:eastAsia="en-US"/>
        </w:rPr>
        <w:t xml:space="preserve">To calculate </w:t>
      </w:r>
      <w:r w:rsidR="00CA631D">
        <w:rPr>
          <w:rFonts w:ascii="Times New Roman" w:eastAsia="Calibri" w:hAnsi="Times New Roman"/>
          <w:b w:val="0"/>
          <w:bCs w:val="0"/>
          <w:iCs w:val="0"/>
          <w:color w:val="000000" w:themeColor="text1"/>
          <w:szCs w:val="24"/>
          <w:lang w:eastAsia="en-US"/>
        </w:rPr>
        <w:t>this amount</w:t>
      </w:r>
      <w:r w:rsidR="000D313B">
        <w:rPr>
          <w:rFonts w:ascii="Times New Roman" w:eastAsia="Calibri" w:hAnsi="Times New Roman"/>
          <w:b w:val="0"/>
          <w:bCs w:val="0"/>
          <w:iCs w:val="0"/>
          <w:color w:val="000000" w:themeColor="text1"/>
          <w:szCs w:val="24"/>
          <w:lang w:eastAsia="en-US"/>
        </w:rPr>
        <w:t xml:space="preserve"> under the Determination</w:t>
      </w:r>
      <w:r w:rsidRPr="000716AB">
        <w:rPr>
          <w:rFonts w:ascii="Times New Roman" w:eastAsia="Calibri" w:hAnsi="Times New Roman"/>
          <w:b w:val="0"/>
          <w:bCs w:val="0"/>
          <w:iCs w:val="0"/>
          <w:color w:val="000000" w:themeColor="text1"/>
          <w:szCs w:val="24"/>
          <w:lang w:eastAsia="en-US"/>
        </w:rPr>
        <w:t xml:space="preserve">, project proponents </w:t>
      </w:r>
      <w:r>
        <w:rPr>
          <w:rFonts w:ascii="Times New Roman" w:eastAsia="Calibri" w:hAnsi="Times New Roman"/>
          <w:b w:val="0"/>
          <w:bCs w:val="0"/>
          <w:iCs w:val="0"/>
          <w:color w:val="000000" w:themeColor="text1"/>
          <w:szCs w:val="24"/>
          <w:lang w:eastAsia="en-US"/>
        </w:rPr>
        <w:t>must</w:t>
      </w:r>
      <w:r w:rsidRPr="000716AB">
        <w:rPr>
          <w:rFonts w:ascii="Times New Roman" w:eastAsia="Calibri" w:hAnsi="Times New Roman"/>
          <w:b w:val="0"/>
          <w:bCs w:val="0"/>
          <w:iCs w:val="0"/>
          <w:color w:val="000000" w:themeColor="text1"/>
          <w:szCs w:val="24"/>
          <w:lang w:eastAsia="en-US"/>
        </w:rPr>
        <w:t xml:space="preserve"> undertake the </w:t>
      </w:r>
      <w:r w:rsidR="000D313B">
        <w:rPr>
          <w:rFonts w:ascii="Times New Roman" w:eastAsia="Calibri" w:hAnsi="Times New Roman"/>
          <w:b w:val="0"/>
          <w:bCs w:val="0"/>
          <w:iCs w:val="0"/>
          <w:color w:val="000000" w:themeColor="text1"/>
          <w:szCs w:val="24"/>
          <w:lang w:eastAsia="en-US"/>
        </w:rPr>
        <w:t xml:space="preserve">general </w:t>
      </w:r>
      <w:r w:rsidRPr="000716AB">
        <w:rPr>
          <w:rFonts w:ascii="Times New Roman" w:eastAsia="Calibri" w:hAnsi="Times New Roman"/>
          <w:b w:val="0"/>
          <w:bCs w:val="0"/>
          <w:iCs w:val="0"/>
          <w:color w:val="000000" w:themeColor="text1"/>
          <w:szCs w:val="24"/>
          <w:lang w:eastAsia="en-US"/>
        </w:rPr>
        <w:t xml:space="preserve">steps </w:t>
      </w:r>
      <w:r>
        <w:rPr>
          <w:rFonts w:ascii="Times New Roman" w:eastAsia="Calibri" w:hAnsi="Times New Roman"/>
          <w:b w:val="0"/>
          <w:bCs w:val="0"/>
          <w:iCs w:val="0"/>
          <w:color w:val="000000" w:themeColor="text1"/>
          <w:szCs w:val="24"/>
          <w:lang w:eastAsia="en-US"/>
        </w:rPr>
        <w:t xml:space="preserve">outlined below </w:t>
      </w:r>
      <w:r w:rsidRPr="000716AB">
        <w:rPr>
          <w:rFonts w:ascii="Times New Roman" w:eastAsia="Calibri" w:hAnsi="Times New Roman"/>
          <w:b w:val="0"/>
          <w:bCs w:val="0"/>
          <w:iCs w:val="0"/>
          <w:color w:val="000000" w:themeColor="text1"/>
          <w:szCs w:val="24"/>
          <w:lang w:eastAsia="en-US"/>
        </w:rPr>
        <w:t>for each carbon estimation area</w:t>
      </w:r>
      <w:r>
        <w:rPr>
          <w:rFonts w:ascii="Times New Roman" w:eastAsia="Calibri" w:hAnsi="Times New Roman"/>
          <w:b w:val="0"/>
          <w:bCs w:val="0"/>
          <w:iCs w:val="0"/>
          <w:color w:val="000000" w:themeColor="text1"/>
          <w:szCs w:val="24"/>
          <w:lang w:eastAsia="en-US"/>
        </w:rPr>
        <w:t>.</w:t>
      </w:r>
    </w:p>
    <w:p w:rsidR="00A44300" w:rsidRDefault="00A44300" w:rsidP="00986D81">
      <w:pPr>
        <w:pStyle w:val="tMain"/>
        <w:spacing w:before="0" w:after="120" w:line="240" w:lineRule="auto"/>
        <w:ind w:left="0" w:firstLine="0"/>
      </w:pPr>
      <w:r>
        <w:tab/>
        <w:t>Step 1—</w:t>
      </w:r>
      <w:r w:rsidR="000D313B">
        <w:t>the baseline for the area must be determined in accordance with Division 4.3.  I</w:t>
      </w:r>
      <w:r>
        <w:t>f a non-zero baseline is applied to the area, FullCAM must be used to determine the average baseline carbon stoc</w:t>
      </w:r>
      <w:r w:rsidR="00860F81">
        <w:t>k in accordance with Equation 4</w:t>
      </w:r>
      <w:r w:rsidR="000D313B">
        <w:t xml:space="preserve"> in section 4.2</w:t>
      </w:r>
      <w:r w:rsidR="00545B4D">
        <w:t>4</w:t>
      </w:r>
      <w:r>
        <w:t>.</w:t>
      </w:r>
    </w:p>
    <w:p w:rsidR="00A44300" w:rsidRDefault="00A44300" w:rsidP="00986D81">
      <w:pPr>
        <w:pStyle w:val="tMain"/>
        <w:spacing w:before="0" w:after="120" w:line="240" w:lineRule="auto"/>
        <w:ind w:left="0" w:firstLine="0"/>
      </w:pPr>
      <w:r w:rsidRPr="006749AD">
        <w:tab/>
      </w:r>
      <w:r>
        <w:t>Step 2—</w:t>
      </w:r>
      <w:r w:rsidRPr="00CA03FF">
        <w:t xml:space="preserve">FullCAM must be used to determine the C mass </w:t>
      </w:r>
      <w:r w:rsidR="003D5D70">
        <w:t xml:space="preserve">of biomass </w:t>
      </w:r>
      <w:r w:rsidRPr="00CA03FF">
        <w:t>on-site</w:t>
      </w:r>
      <w:r>
        <w:t xml:space="preserve"> for the month ending the current reporting period, in accordance with </w:t>
      </w:r>
      <w:r w:rsidR="00860F81">
        <w:t xml:space="preserve">Equation </w:t>
      </w:r>
      <w:r w:rsidR="003D2B5F">
        <w:t>3</w:t>
      </w:r>
      <w:r w:rsidR="000D313B">
        <w:t xml:space="preserve"> in section 4.2</w:t>
      </w:r>
      <w:r w:rsidR="00164CA5">
        <w:t>3</w:t>
      </w:r>
      <w:r>
        <w:t>.</w:t>
      </w:r>
    </w:p>
    <w:p w:rsidR="00A44300" w:rsidRPr="00CA03FF" w:rsidRDefault="00A44300" w:rsidP="00986D81">
      <w:pPr>
        <w:pStyle w:val="tMain"/>
        <w:spacing w:before="0" w:after="120" w:line="240" w:lineRule="auto"/>
        <w:ind w:left="0" w:firstLine="0"/>
      </w:pPr>
      <w:r>
        <w:tab/>
        <w:t>Step 3—</w:t>
      </w:r>
      <w:r w:rsidRPr="00CA03FF">
        <w:t xml:space="preserve">FullCAM must be used in accordance with </w:t>
      </w:r>
      <w:r w:rsidR="00860F81">
        <w:t>Equation 5</w:t>
      </w:r>
      <w:r w:rsidR="000D313B" w:rsidRPr="00164CA5">
        <w:t xml:space="preserve"> in section 4.2</w:t>
      </w:r>
      <w:r w:rsidR="00164CA5" w:rsidRPr="00164CA5">
        <w:t>5</w:t>
      </w:r>
      <w:r w:rsidRPr="00CA03FF">
        <w:t xml:space="preserve"> to determine the change in C mass </w:t>
      </w:r>
      <w:r w:rsidR="003D5D70">
        <w:t xml:space="preserve">of biomass </w:t>
      </w:r>
      <w:r w:rsidRPr="00CA03FF">
        <w:t>on-site since:</w:t>
      </w:r>
    </w:p>
    <w:p w:rsidR="00A44300" w:rsidRPr="00CA03FF" w:rsidRDefault="00A44300" w:rsidP="00AE7A3E">
      <w:pPr>
        <w:pStyle w:val="tPara"/>
        <w:numPr>
          <w:ilvl w:val="0"/>
          <w:numId w:val="10"/>
        </w:numPr>
        <w:spacing w:after="120" w:line="240" w:lineRule="auto"/>
        <w:rPr>
          <w:rFonts w:ascii="Times New Roman" w:eastAsia="Times New Roman" w:hAnsi="Times New Roman" w:cs="Times New Roman"/>
          <w:sz w:val="24"/>
          <w:szCs w:val="24"/>
          <w:lang w:eastAsia="en-AU"/>
        </w:rPr>
      </w:pPr>
      <w:r w:rsidRPr="00CA03FF">
        <w:rPr>
          <w:rFonts w:ascii="Times New Roman" w:eastAsia="Times New Roman" w:hAnsi="Times New Roman" w:cs="Times New Roman"/>
          <w:sz w:val="24"/>
          <w:szCs w:val="24"/>
          <w:lang w:eastAsia="en-AU"/>
        </w:rPr>
        <w:tab/>
        <w:t>for the first reporting period—the start of the project; or</w:t>
      </w:r>
    </w:p>
    <w:p w:rsidR="00A44300" w:rsidRPr="00146DCD" w:rsidRDefault="00A44300" w:rsidP="00AE7A3E">
      <w:pPr>
        <w:pStyle w:val="tPara"/>
        <w:numPr>
          <w:ilvl w:val="0"/>
          <w:numId w:val="10"/>
        </w:numPr>
        <w:spacing w:after="120" w:line="240" w:lineRule="auto"/>
        <w:rPr>
          <w:rFonts w:ascii="Times New Roman" w:eastAsia="Times New Roman" w:hAnsi="Times New Roman" w:cs="Times New Roman"/>
          <w:sz w:val="24"/>
          <w:szCs w:val="24"/>
          <w:lang w:eastAsia="en-AU"/>
        </w:rPr>
      </w:pPr>
      <w:r w:rsidRPr="00CA03FF">
        <w:rPr>
          <w:rFonts w:ascii="Times New Roman" w:eastAsia="Times New Roman" w:hAnsi="Times New Roman" w:cs="Times New Roman"/>
          <w:sz w:val="24"/>
          <w:szCs w:val="24"/>
          <w:lang w:eastAsia="en-AU"/>
        </w:rPr>
        <w:tab/>
      </w:r>
      <w:proofErr w:type="gramStart"/>
      <w:r w:rsidRPr="00CA03FF">
        <w:rPr>
          <w:rFonts w:ascii="Times New Roman" w:eastAsia="Times New Roman" w:hAnsi="Times New Roman" w:cs="Times New Roman"/>
          <w:sz w:val="24"/>
          <w:szCs w:val="24"/>
          <w:lang w:eastAsia="en-AU"/>
        </w:rPr>
        <w:t>at</w:t>
      </w:r>
      <w:proofErr w:type="gramEnd"/>
      <w:r w:rsidRPr="00CA03FF">
        <w:rPr>
          <w:rFonts w:ascii="Times New Roman" w:eastAsia="Times New Roman" w:hAnsi="Times New Roman" w:cs="Times New Roman"/>
          <w:sz w:val="24"/>
          <w:szCs w:val="24"/>
          <w:lang w:eastAsia="en-AU"/>
        </w:rPr>
        <w:t xml:space="preserve"> all other times</w:t>
      </w:r>
      <w:r w:rsidRPr="00146DCD">
        <w:rPr>
          <w:rFonts w:ascii="Times New Roman" w:eastAsia="Times New Roman" w:hAnsi="Times New Roman" w:cs="Times New Roman"/>
          <w:sz w:val="24"/>
          <w:szCs w:val="24"/>
          <w:lang w:eastAsia="en-AU"/>
        </w:rPr>
        <w:t>—the previous offsets report.</w:t>
      </w:r>
    </w:p>
    <w:p w:rsidR="00A44300" w:rsidRDefault="00A44300" w:rsidP="00986D81">
      <w:pPr>
        <w:pStyle w:val="tMain"/>
        <w:spacing w:before="0" w:after="120" w:line="240" w:lineRule="auto"/>
        <w:ind w:left="0" w:firstLine="0"/>
      </w:pPr>
      <w:r>
        <w:tab/>
        <w:t xml:space="preserve">Step 4—FullCAM must be used to determine the total emissions from trees and debris due to fire, in accordance with </w:t>
      </w:r>
      <w:r w:rsidR="00860F81">
        <w:t xml:space="preserve">Equation </w:t>
      </w:r>
      <w:r w:rsidR="00642EC6">
        <w:t>9</w:t>
      </w:r>
      <w:r w:rsidR="00164CA5">
        <w:t xml:space="preserve"> in sub</w:t>
      </w:r>
      <w:r w:rsidR="00860F81">
        <w:t>section 4.2</w:t>
      </w:r>
      <w:r w:rsidR="00642EC6">
        <w:t>7</w:t>
      </w:r>
      <w:r w:rsidR="00164CA5">
        <w:t>(3)</w:t>
      </w:r>
      <w:r>
        <w:t>.</w:t>
      </w:r>
    </w:p>
    <w:p w:rsidR="00A44300" w:rsidRDefault="00A44300" w:rsidP="00986D81">
      <w:pPr>
        <w:pStyle w:val="tMain"/>
        <w:spacing w:before="0" w:after="120" w:line="240" w:lineRule="auto"/>
        <w:ind w:left="0" w:firstLine="0"/>
      </w:pPr>
      <w:r>
        <w:tab/>
        <w:t xml:space="preserve">Step 5—total emissions from fuel use must be calculated </w:t>
      </w:r>
      <w:r w:rsidR="00860F81">
        <w:t>in accordance with Equation 1</w:t>
      </w:r>
      <w:r w:rsidR="00642EC6">
        <w:t>1</w:t>
      </w:r>
      <w:r w:rsidR="00DF7946">
        <w:t xml:space="preserve"> </w:t>
      </w:r>
      <w:r w:rsidR="00164CA5">
        <w:t>in subsection 4.2</w:t>
      </w:r>
      <w:r w:rsidR="00642EC6">
        <w:t>8</w:t>
      </w:r>
      <w:r w:rsidR="00164CA5">
        <w:t xml:space="preserve">(3) </w:t>
      </w:r>
      <w:r w:rsidR="00DF7946">
        <w:t xml:space="preserve">and </w:t>
      </w:r>
      <w:r>
        <w:t>based on data collected</w:t>
      </w:r>
      <w:r w:rsidR="00860F81">
        <w:t xml:space="preserve"> in accordance with Division 4.8</w:t>
      </w:r>
      <w:r>
        <w:t>.</w:t>
      </w:r>
    </w:p>
    <w:p w:rsidR="00F60CEF" w:rsidRDefault="00A44300" w:rsidP="00986D81">
      <w:pPr>
        <w:spacing w:after="120" w:line="240" w:lineRule="auto"/>
        <w:rPr>
          <w:rFonts w:ascii="Times New Roman" w:eastAsia="Times New Roman" w:hAnsi="Times New Roman"/>
          <w:sz w:val="24"/>
          <w:szCs w:val="24"/>
          <w:lang w:eastAsia="en-AU"/>
        </w:rPr>
      </w:pPr>
      <w:r w:rsidRPr="00146DCD">
        <w:rPr>
          <w:rFonts w:ascii="Times New Roman" w:eastAsia="Times New Roman" w:hAnsi="Times New Roman"/>
          <w:sz w:val="24"/>
          <w:szCs w:val="24"/>
          <w:lang w:eastAsia="en-AU"/>
        </w:rPr>
        <w:t>After th</w:t>
      </w:r>
      <w:r w:rsidR="00DF7946">
        <w:rPr>
          <w:rFonts w:ascii="Times New Roman" w:eastAsia="Times New Roman" w:hAnsi="Times New Roman"/>
          <w:sz w:val="24"/>
          <w:szCs w:val="24"/>
          <w:lang w:eastAsia="en-AU"/>
        </w:rPr>
        <w:t>e</w:t>
      </w:r>
      <w:r w:rsidRPr="00146DCD">
        <w:rPr>
          <w:rFonts w:ascii="Times New Roman" w:eastAsia="Times New Roman" w:hAnsi="Times New Roman"/>
          <w:sz w:val="24"/>
          <w:szCs w:val="24"/>
          <w:lang w:eastAsia="en-AU"/>
        </w:rPr>
        <w:t>se steps the total net abatement for a project</w:t>
      </w:r>
      <w:r w:rsidR="00B165B6">
        <w:rPr>
          <w:rFonts w:ascii="Times New Roman" w:eastAsia="Times New Roman" w:hAnsi="Times New Roman"/>
          <w:sz w:val="24"/>
          <w:szCs w:val="24"/>
          <w:lang w:eastAsia="en-AU"/>
        </w:rPr>
        <w:t xml:space="preserve"> must be calculated</w:t>
      </w:r>
      <w:r w:rsidRPr="00146DC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 accordance with</w:t>
      </w:r>
      <w:r w:rsidR="00860F81">
        <w:rPr>
          <w:rFonts w:ascii="Times New Roman" w:eastAsia="Times New Roman" w:hAnsi="Times New Roman"/>
          <w:sz w:val="24"/>
          <w:szCs w:val="24"/>
          <w:lang w:eastAsia="en-AU"/>
        </w:rPr>
        <w:t xml:space="preserve"> Equation 1</w:t>
      </w:r>
      <w:r w:rsidR="00A063DE">
        <w:rPr>
          <w:rFonts w:ascii="Times New Roman" w:eastAsia="Times New Roman" w:hAnsi="Times New Roman"/>
          <w:sz w:val="24"/>
          <w:szCs w:val="24"/>
          <w:lang w:eastAsia="en-AU"/>
        </w:rPr>
        <w:t>2</w:t>
      </w:r>
      <w:r w:rsidR="00860F81">
        <w:rPr>
          <w:rFonts w:ascii="Times New Roman" w:eastAsia="Times New Roman" w:hAnsi="Times New Roman"/>
          <w:sz w:val="24"/>
          <w:szCs w:val="24"/>
          <w:lang w:eastAsia="en-AU"/>
        </w:rPr>
        <w:t xml:space="preserve"> in section 4.</w:t>
      </w:r>
      <w:r w:rsidR="00A063DE">
        <w:rPr>
          <w:rFonts w:ascii="Times New Roman" w:eastAsia="Times New Roman" w:hAnsi="Times New Roman"/>
          <w:sz w:val="24"/>
          <w:szCs w:val="24"/>
          <w:lang w:eastAsia="en-AU"/>
        </w:rPr>
        <w:t>29</w:t>
      </w:r>
      <w:r>
        <w:rPr>
          <w:rFonts w:ascii="Times New Roman" w:eastAsia="Times New Roman" w:hAnsi="Times New Roman"/>
          <w:sz w:val="24"/>
          <w:szCs w:val="24"/>
          <w:lang w:eastAsia="en-AU"/>
        </w:rPr>
        <w:t>.</w:t>
      </w:r>
    </w:p>
    <w:p w:rsidR="00986D81" w:rsidRPr="00DF7946" w:rsidRDefault="00986D81" w:rsidP="00986D81">
      <w:pPr>
        <w:spacing w:after="120" w:line="240" w:lineRule="auto"/>
        <w:rPr>
          <w:rFonts w:ascii="Times New Roman" w:eastAsia="Times New Roman" w:hAnsi="Times New Roman"/>
          <w:sz w:val="24"/>
          <w:szCs w:val="24"/>
          <w:lang w:eastAsia="en-AU"/>
        </w:rPr>
      </w:pPr>
    </w:p>
    <w:p w:rsidR="006C0D1E" w:rsidRDefault="006C0D1E" w:rsidP="00986D81">
      <w:pPr>
        <w:keepNext/>
        <w:spacing w:after="120" w:line="240" w:lineRule="auto"/>
        <w:rPr>
          <w:rFonts w:ascii="Times New Roman" w:hAnsi="Times New Roman"/>
          <w:b/>
          <w:color w:val="000000" w:themeColor="text1"/>
          <w:sz w:val="24"/>
          <w:szCs w:val="24"/>
        </w:rPr>
      </w:pPr>
      <w:r w:rsidRPr="001D3C5D">
        <w:rPr>
          <w:rFonts w:ascii="Times New Roman" w:hAnsi="Times New Roman"/>
          <w:b/>
          <w:color w:val="000000" w:themeColor="text1"/>
          <w:sz w:val="24"/>
          <w:szCs w:val="24"/>
        </w:rPr>
        <w:t xml:space="preserve">Division 4.2 </w:t>
      </w:r>
      <w:r w:rsidRPr="001D3C5D">
        <w:rPr>
          <w:rFonts w:ascii="Times New Roman" w:hAnsi="Times New Roman"/>
          <w:b/>
          <w:color w:val="000000" w:themeColor="text1"/>
          <w:sz w:val="24"/>
          <w:szCs w:val="24"/>
        </w:rPr>
        <w:tab/>
      </w:r>
      <w:r w:rsidRPr="001D3C5D">
        <w:rPr>
          <w:rFonts w:ascii="Times New Roman" w:hAnsi="Times New Roman"/>
          <w:b/>
          <w:color w:val="000000" w:themeColor="text1"/>
          <w:sz w:val="24"/>
          <w:szCs w:val="24"/>
        </w:rPr>
        <w:tab/>
        <w:t>Calculations</w:t>
      </w:r>
      <w:r w:rsidR="00B85752" w:rsidRPr="001D3C5D">
        <w:rPr>
          <w:rFonts w:ascii="Times New Roman" w:hAnsi="Times New Roman"/>
          <w:b/>
          <w:color w:val="000000" w:themeColor="text1"/>
          <w:sz w:val="24"/>
          <w:szCs w:val="24"/>
        </w:rPr>
        <w:t>—</w:t>
      </w:r>
      <w:r w:rsidR="00762D57" w:rsidRPr="001D3C5D">
        <w:rPr>
          <w:rFonts w:ascii="Times New Roman" w:hAnsi="Times New Roman"/>
          <w:b/>
          <w:color w:val="000000" w:themeColor="text1"/>
          <w:sz w:val="24"/>
          <w:szCs w:val="24"/>
        </w:rPr>
        <w:t>Preliminary</w:t>
      </w:r>
    </w:p>
    <w:p w:rsidR="001D3C5D" w:rsidRPr="001D3C5D" w:rsidRDefault="001D3C5D" w:rsidP="00986D81">
      <w:pPr>
        <w:keepNext/>
        <w:spacing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Subdivision 4.2.1</w:t>
      </w:r>
      <w:r>
        <w:rPr>
          <w:rFonts w:ascii="Times New Roman" w:hAnsi="Times New Roman"/>
          <w:b/>
          <w:color w:val="000000" w:themeColor="text1"/>
          <w:sz w:val="24"/>
          <w:szCs w:val="24"/>
        </w:rPr>
        <w:tab/>
        <w:t>General</w:t>
      </w:r>
    </w:p>
    <w:p w:rsidR="006C0D1E" w:rsidRPr="001D3C5D" w:rsidRDefault="006C0D1E" w:rsidP="00986D81">
      <w:pPr>
        <w:keepNext/>
        <w:spacing w:after="120" w:line="240" w:lineRule="auto"/>
        <w:rPr>
          <w:rFonts w:ascii="Times New Roman" w:hAnsi="Times New Roman"/>
          <w:color w:val="000000" w:themeColor="text1"/>
          <w:sz w:val="24"/>
          <w:szCs w:val="24"/>
          <w:u w:val="single"/>
        </w:rPr>
      </w:pPr>
      <w:bookmarkStart w:id="1" w:name="_Toc290029054"/>
      <w:bookmarkStart w:id="2" w:name="_Toc294604171"/>
      <w:r w:rsidRPr="001D3C5D">
        <w:rPr>
          <w:rFonts w:ascii="Times New Roman" w:hAnsi="Times New Roman"/>
          <w:color w:val="000000" w:themeColor="text1"/>
          <w:sz w:val="24"/>
          <w:szCs w:val="24"/>
          <w:u w:val="single"/>
        </w:rPr>
        <w:t>4.2</w:t>
      </w:r>
      <w:r w:rsidRPr="001D3C5D">
        <w:rPr>
          <w:rFonts w:ascii="Times New Roman" w:hAnsi="Times New Roman"/>
          <w:color w:val="000000" w:themeColor="text1"/>
          <w:sz w:val="24"/>
          <w:szCs w:val="24"/>
          <w:u w:val="single"/>
        </w:rPr>
        <w:tab/>
      </w:r>
      <w:r w:rsidR="009459F7" w:rsidRPr="001D3C5D">
        <w:rPr>
          <w:rFonts w:ascii="Times New Roman" w:hAnsi="Times New Roman"/>
          <w:color w:val="000000" w:themeColor="text1"/>
          <w:sz w:val="24"/>
          <w:szCs w:val="24"/>
          <w:u w:val="single"/>
        </w:rPr>
        <w:t>General</w:t>
      </w:r>
    </w:p>
    <w:p w:rsidR="00164CA5" w:rsidRDefault="00164CA5"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4.2</w:t>
      </w:r>
      <w:r w:rsidR="00622B44" w:rsidRPr="005F08B4">
        <w:rPr>
          <w:rFonts w:ascii="Times New Roman" w:hAnsi="Times New Roman"/>
          <w:color w:val="000000" w:themeColor="text1"/>
          <w:sz w:val="24"/>
          <w:szCs w:val="24"/>
        </w:rPr>
        <w:t xml:space="preserve"> </w:t>
      </w:r>
      <w:r w:rsidR="005F08B4">
        <w:rPr>
          <w:rFonts w:ascii="Times New Roman" w:hAnsi="Times New Roman"/>
          <w:color w:val="000000" w:themeColor="text1"/>
          <w:sz w:val="24"/>
          <w:szCs w:val="24"/>
        </w:rPr>
        <w:t>refers to</w:t>
      </w:r>
      <w:r w:rsidR="00622B44" w:rsidRPr="005F08B4">
        <w:rPr>
          <w:rFonts w:ascii="Times New Roman" w:hAnsi="Times New Roman"/>
          <w:color w:val="000000" w:themeColor="text1"/>
          <w:sz w:val="24"/>
          <w:szCs w:val="24"/>
        </w:rPr>
        <w:t xml:space="preserve"> factor</w:t>
      </w:r>
      <w:r w:rsidR="005F08B4">
        <w:rPr>
          <w:rFonts w:ascii="Times New Roman" w:hAnsi="Times New Roman"/>
          <w:color w:val="000000" w:themeColor="text1"/>
          <w:sz w:val="24"/>
          <w:szCs w:val="24"/>
        </w:rPr>
        <w:t>s</w:t>
      </w:r>
      <w:r w:rsidR="00622B44" w:rsidRPr="005F08B4">
        <w:rPr>
          <w:rFonts w:ascii="Times New Roman" w:hAnsi="Times New Roman"/>
          <w:color w:val="000000" w:themeColor="text1"/>
          <w:sz w:val="24"/>
          <w:szCs w:val="24"/>
        </w:rPr>
        <w:t xml:space="preserve"> or parameter</w:t>
      </w:r>
      <w:r w:rsidR="005F08B4">
        <w:rPr>
          <w:rFonts w:ascii="Times New Roman" w:hAnsi="Times New Roman"/>
          <w:color w:val="000000" w:themeColor="text1"/>
          <w:sz w:val="24"/>
          <w:szCs w:val="24"/>
        </w:rPr>
        <w:t>s that are used in a calculation</w:t>
      </w:r>
      <w:r w:rsidR="00622B44" w:rsidRPr="005F08B4">
        <w:rPr>
          <w:rFonts w:ascii="Times New Roman" w:hAnsi="Times New Roman"/>
          <w:color w:val="000000" w:themeColor="text1"/>
          <w:sz w:val="24"/>
          <w:szCs w:val="24"/>
        </w:rPr>
        <w:t xml:space="preserve"> </w:t>
      </w:r>
      <w:r w:rsidR="005F08B4">
        <w:rPr>
          <w:rFonts w:ascii="Times New Roman" w:hAnsi="Times New Roman"/>
          <w:color w:val="000000" w:themeColor="text1"/>
          <w:sz w:val="24"/>
          <w:szCs w:val="24"/>
        </w:rPr>
        <w:t>and</w:t>
      </w:r>
      <w:r w:rsidR="00622B44" w:rsidRPr="005F08B4">
        <w:rPr>
          <w:rFonts w:ascii="Times New Roman" w:hAnsi="Times New Roman"/>
          <w:color w:val="000000" w:themeColor="text1"/>
          <w:sz w:val="24"/>
          <w:szCs w:val="24"/>
        </w:rPr>
        <w:t xml:space="preserve"> derived from </w:t>
      </w:r>
      <w:r w:rsidR="005F08B4">
        <w:rPr>
          <w:rFonts w:ascii="Times New Roman" w:hAnsi="Times New Roman"/>
          <w:color w:val="000000" w:themeColor="text1"/>
          <w:sz w:val="24"/>
          <w:szCs w:val="24"/>
        </w:rPr>
        <w:t xml:space="preserve">either </w:t>
      </w:r>
      <w:r w:rsidRPr="005F08B4">
        <w:rPr>
          <w:rFonts w:ascii="Times New Roman" w:hAnsi="Times New Roman"/>
          <w:color w:val="000000" w:themeColor="text1"/>
          <w:sz w:val="24"/>
          <w:szCs w:val="24"/>
        </w:rPr>
        <w:t>the</w:t>
      </w:r>
      <w:r w:rsidRPr="005F08B4">
        <w:rPr>
          <w:rFonts w:ascii="Times New Roman" w:hAnsi="Times New Roman"/>
          <w:i/>
          <w:iCs/>
          <w:color w:val="000000" w:themeColor="text1"/>
          <w:sz w:val="24"/>
          <w:szCs w:val="24"/>
        </w:rPr>
        <w:t xml:space="preserve"> National Greenhouse and Energy Reporting Regulations 2008 </w:t>
      </w:r>
      <w:r w:rsidRPr="005F08B4">
        <w:rPr>
          <w:rFonts w:ascii="Times New Roman" w:hAnsi="Times New Roman"/>
          <w:color w:val="000000" w:themeColor="text1"/>
          <w:sz w:val="24"/>
          <w:szCs w:val="24"/>
        </w:rPr>
        <w:t>(the NGER Regulations)</w:t>
      </w:r>
      <w:r>
        <w:rPr>
          <w:rFonts w:ascii="Times New Roman" w:hAnsi="Times New Roman"/>
          <w:color w:val="000000" w:themeColor="text1"/>
          <w:sz w:val="24"/>
          <w:szCs w:val="24"/>
        </w:rPr>
        <w:t xml:space="preserve"> or </w:t>
      </w:r>
      <w:r w:rsidR="00622B44" w:rsidRPr="005F08B4">
        <w:rPr>
          <w:rFonts w:ascii="Times New Roman" w:hAnsi="Times New Roman"/>
          <w:color w:val="000000" w:themeColor="text1"/>
          <w:sz w:val="24"/>
          <w:szCs w:val="24"/>
        </w:rPr>
        <w:t xml:space="preserve">the </w:t>
      </w:r>
      <w:r w:rsidR="001D3C5D" w:rsidRPr="005F08B4">
        <w:rPr>
          <w:rFonts w:ascii="Times New Roman" w:hAnsi="Times New Roman"/>
          <w:color w:val="000000" w:themeColor="text1"/>
          <w:sz w:val="24"/>
          <w:szCs w:val="24"/>
        </w:rPr>
        <w:t>d</w:t>
      </w:r>
      <w:r w:rsidR="00622B44" w:rsidRPr="005F08B4">
        <w:rPr>
          <w:rFonts w:ascii="Times New Roman" w:hAnsi="Times New Roman"/>
          <w:color w:val="000000" w:themeColor="text1"/>
          <w:sz w:val="24"/>
          <w:szCs w:val="24"/>
        </w:rPr>
        <w:t xml:space="preserve">etermination made under subsection 10(3) of the </w:t>
      </w:r>
      <w:r w:rsidR="00622B44" w:rsidRPr="005F08B4">
        <w:rPr>
          <w:rFonts w:ascii="Times New Roman" w:hAnsi="Times New Roman"/>
          <w:i/>
          <w:color w:val="000000" w:themeColor="text1"/>
          <w:sz w:val="24"/>
          <w:szCs w:val="24"/>
        </w:rPr>
        <w:t>National Greenhouse and Energy Reporting Act</w:t>
      </w:r>
      <w:r w:rsidR="00C90A24" w:rsidRPr="005F08B4">
        <w:rPr>
          <w:rFonts w:ascii="Times New Roman" w:hAnsi="Times New Roman"/>
          <w:i/>
          <w:color w:val="000000" w:themeColor="text1"/>
          <w:sz w:val="24"/>
          <w:szCs w:val="24"/>
        </w:rPr>
        <w:t xml:space="preserve"> 2007</w:t>
      </w:r>
      <w:r w:rsidR="00622B44" w:rsidRPr="005F08B4">
        <w:rPr>
          <w:rFonts w:ascii="Times New Roman" w:hAnsi="Times New Roman"/>
          <w:i/>
          <w:color w:val="000000" w:themeColor="text1"/>
          <w:sz w:val="24"/>
          <w:szCs w:val="24"/>
        </w:rPr>
        <w:t xml:space="preserve"> </w:t>
      </w:r>
      <w:r w:rsidR="00622B44" w:rsidRPr="005F08B4">
        <w:rPr>
          <w:rFonts w:ascii="Times New Roman" w:hAnsi="Times New Roman"/>
          <w:color w:val="000000" w:themeColor="text1"/>
          <w:sz w:val="24"/>
          <w:szCs w:val="24"/>
        </w:rPr>
        <w:t xml:space="preserve">(the NGER </w:t>
      </w:r>
      <w:r w:rsidR="00C90A24" w:rsidRPr="005F08B4">
        <w:rPr>
          <w:rFonts w:ascii="Times New Roman" w:hAnsi="Times New Roman"/>
          <w:color w:val="000000" w:themeColor="text1"/>
          <w:sz w:val="24"/>
          <w:szCs w:val="24"/>
        </w:rPr>
        <w:t xml:space="preserve">Measurement </w:t>
      </w:r>
      <w:r w:rsidR="00622B44" w:rsidRPr="005F08B4">
        <w:rPr>
          <w:rFonts w:ascii="Times New Roman" w:hAnsi="Times New Roman"/>
          <w:color w:val="000000" w:themeColor="text1"/>
          <w:sz w:val="24"/>
          <w:szCs w:val="24"/>
        </w:rPr>
        <w:t>Determination)</w:t>
      </w:r>
      <w:r w:rsidR="005F08B4">
        <w:rPr>
          <w:rFonts w:ascii="Times New Roman" w:hAnsi="Times New Roman"/>
          <w:color w:val="000000" w:themeColor="text1"/>
          <w:sz w:val="24"/>
          <w:szCs w:val="24"/>
        </w:rPr>
        <w:t xml:space="preserve">.  </w:t>
      </w:r>
    </w:p>
    <w:p w:rsidR="005F08B4" w:rsidRDefault="00CA631D"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The effect of s</w:t>
      </w:r>
      <w:r w:rsidR="00164CA5">
        <w:rPr>
          <w:rFonts w:ascii="Times New Roman" w:hAnsi="Times New Roman"/>
          <w:color w:val="000000" w:themeColor="text1"/>
          <w:sz w:val="24"/>
          <w:szCs w:val="24"/>
        </w:rPr>
        <w:t>ection</w:t>
      </w:r>
      <w:r w:rsidR="00AB3C3E">
        <w:rPr>
          <w:rFonts w:ascii="Times New Roman" w:hAnsi="Times New Roman"/>
          <w:color w:val="000000" w:themeColor="text1"/>
          <w:sz w:val="24"/>
          <w:szCs w:val="24"/>
        </w:rPr>
        <w:t> </w:t>
      </w:r>
      <w:r w:rsidR="00164CA5">
        <w:rPr>
          <w:rFonts w:ascii="Times New Roman" w:hAnsi="Times New Roman"/>
          <w:color w:val="000000" w:themeColor="text1"/>
          <w:sz w:val="24"/>
          <w:szCs w:val="24"/>
        </w:rPr>
        <w:t>4.2</w:t>
      </w:r>
      <w:r w:rsidR="005F08B4" w:rsidRPr="005F08B4">
        <w:rPr>
          <w:rFonts w:ascii="Times New Roman" w:hAnsi="Times New Roman"/>
          <w:color w:val="000000" w:themeColor="text1"/>
          <w:sz w:val="24"/>
          <w:szCs w:val="24"/>
        </w:rPr>
        <w:t xml:space="preserve"> </w:t>
      </w:r>
      <w:r>
        <w:rPr>
          <w:rFonts w:ascii="Times New Roman" w:hAnsi="Times New Roman"/>
          <w:color w:val="000000" w:themeColor="text1"/>
          <w:sz w:val="24"/>
          <w:szCs w:val="24"/>
        </w:rPr>
        <w:t>is</w:t>
      </w:r>
      <w:r w:rsidR="005F08B4">
        <w:rPr>
          <w:rFonts w:ascii="Times New Roman" w:hAnsi="Times New Roman"/>
          <w:color w:val="000000" w:themeColor="text1"/>
          <w:sz w:val="24"/>
          <w:szCs w:val="24"/>
        </w:rPr>
        <w:t xml:space="preserve"> that </w:t>
      </w:r>
      <w:r w:rsidR="00622B44" w:rsidRPr="005F08B4">
        <w:rPr>
          <w:rFonts w:ascii="Times New Roman" w:hAnsi="Times New Roman"/>
          <w:color w:val="000000" w:themeColor="text1"/>
          <w:sz w:val="24"/>
          <w:szCs w:val="24"/>
        </w:rPr>
        <w:t xml:space="preserve">if those </w:t>
      </w:r>
      <w:r w:rsidR="005F08B4">
        <w:rPr>
          <w:rFonts w:ascii="Times New Roman" w:hAnsi="Times New Roman"/>
          <w:color w:val="000000" w:themeColor="text1"/>
          <w:sz w:val="24"/>
          <w:szCs w:val="24"/>
        </w:rPr>
        <w:t xml:space="preserve">legislative </w:t>
      </w:r>
      <w:r w:rsidR="00622B44" w:rsidRPr="005F08B4">
        <w:rPr>
          <w:rFonts w:ascii="Times New Roman" w:hAnsi="Times New Roman"/>
          <w:color w:val="000000" w:themeColor="text1"/>
          <w:sz w:val="24"/>
          <w:szCs w:val="24"/>
        </w:rPr>
        <w:t xml:space="preserve">instruments are amended during a </w:t>
      </w:r>
      <w:r w:rsidR="005F08B4">
        <w:rPr>
          <w:rFonts w:ascii="Times New Roman" w:hAnsi="Times New Roman"/>
          <w:color w:val="000000" w:themeColor="text1"/>
          <w:sz w:val="24"/>
          <w:szCs w:val="24"/>
        </w:rPr>
        <w:t xml:space="preserve">project’s </w:t>
      </w:r>
      <w:r w:rsidR="00622B44" w:rsidRPr="005F08B4">
        <w:rPr>
          <w:rFonts w:ascii="Times New Roman" w:hAnsi="Times New Roman"/>
          <w:color w:val="000000" w:themeColor="text1"/>
          <w:sz w:val="24"/>
          <w:szCs w:val="24"/>
        </w:rPr>
        <w:t xml:space="preserve">reporting period, then </w:t>
      </w:r>
      <w:r w:rsidR="005F08B4">
        <w:rPr>
          <w:rFonts w:ascii="Times New Roman" w:hAnsi="Times New Roman"/>
          <w:color w:val="000000" w:themeColor="text1"/>
          <w:sz w:val="24"/>
          <w:szCs w:val="24"/>
        </w:rPr>
        <w:t>the</w:t>
      </w:r>
      <w:r w:rsidR="00622B44" w:rsidRPr="005F08B4">
        <w:rPr>
          <w:rFonts w:ascii="Times New Roman" w:hAnsi="Times New Roman"/>
          <w:color w:val="000000" w:themeColor="text1"/>
          <w:sz w:val="24"/>
          <w:szCs w:val="24"/>
        </w:rPr>
        <w:t xml:space="preserve"> project proponent is required to use the factor or parameter prescribed in the </w:t>
      </w:r>
      <w:r w:rsidR="005F08B4">
        <w:rPr>
          <w:rFonts w:ascii="Times New Roman" w:hAnsi="Times New Roman"/>
          <w:color w:val="000000" w:themeColor="text1"/>
          <w:sz w:val="24"/>
          <w:szCs w:val="24"/>
        </w:rPr>
        <w:t>instrument</w:t>
      </w:r>
      <w:r w:rsidR="00622B44" w:rsidRPr="005F08B4">
        <w:rPr>
          <w:rFonts w:ascii="Times New Roman" w:hAnsi="Times New Roman"/>
          <w:color w:val="000000" w:themeColor="text1"/>
          <w:sz w:val="24"/>
          <w:szCs w:val="24"/>
        </w:rPr>
        <w:t xml:space="preserve"> that is in force at the time the report is submitted</w:t>
      </w:r>
      <w:r w:rsidR="00A4487C" w:rsidRPr="005F08B4">
        <w:rPr>
          <w:rFonts w:ascii="Times New Roman" w:hAnsi="Times New Roman"/>
          <w:color w:val="000000" w:themeColor="text1"/>
          <w:sz w:val="24"/>
          <w:szCs w:val="24"/>
        </w:rPr>
        <w:t>,</w:t>
      </w:r>
      <w:r w:rsidR="00622B44" w:rsidRPr="005F08B4">
        <w:rPr>
          <w:rFonts w:ascii="Times New Roman" w:hAnsi="Times New Roman"/>
          <w:color w:val="000000" w:themeColor="text1"/>
          <w:sz w:val="24"/>
          <w:szCs w:val="24"/>
        </w:rPr>
        <w:t xml:space="preserve"> or required</w:t>
      </w:r>
      <w:r w:rsidR="00C90A24" w:rsidRPr="005F08B4">
        <w:rPr>
          <w:rFonts w:ascii="Times New Roman" w:hAnsi="Times New Roman"/>
          <w:color w:val="000000" w:themeColor="text1"/>
          <w:sz w:val="24"/>
          <w:szCs w:val="24"/>
        </w:rPr>
        <w:t xml:space="preserve"> to be submitted</w:t>
      </w:r>
      <w:r w:rsidR="00622B44" w:rsidRPr="005F08B4">
        <w:rPr>
          <w:rFonts w:ascii="Times New Roman" w:hAnsi="Times New Roman"/>
          <w:color w:val="000000" w:themeColor="text1"/>
          <w:sz w:val="24"/>
          <w:szCs w:val="24"/>
        </w:rPr>
        <w:t xml:space="preserve">, whichever is earlier. </w:t>
      </w:r>
    </w:p>
    <w:p w:rsidR="00622B44" w:rsidRPr="005F08B4" w:rsidRDefault="00622B44" w:rsidP="00986D81">
      <w:pPr>
        <w:spacing w:after="120" w:line="240" w:lineRule="auto"/>
        <w:rPr>
          <w:rFonts w:ascii="Times New Roman" w:hAnsi="Times New Roman"/>
          <w:color w:val="000000" w:themeColor="text1"/>
          <w:sz w:val="24"/>
          <w:szCs w:val="24"/>
        </w:rPr>
      </w:pPr>
      <w:r w:rsidRPr="005F08B4">
        <w:rPr>
          <w:rFonts w:ascii="Times New Roman" w:hAnsi="Times New Roman"/>
          <w:color w:val="000000" w:themeColor="text1"/>
          <w:sz w:val="24"/>
          <w:szCs w:val="24"/>
        </w:rPr>
        <w:t>The table below sets out the factors or parameters</w:t>
      </w:r>
      <w:r w:rsidR="0080190E" w:rsidRPr="005F08B4">
        <w:rPr>
          <w:rFonts w:ascii="Times New Roman" w:hAnsi="Times New Roman"/>
          <w:color w:val="000000" w:themeColor="text1"/>
          <w:sz w:val="24"/>
          <w:szCs w:val="24"/>
        </w:rPr>
        <w:t xml:space="preserve"> that are current at 1 Janua</w:t>
      </w:r>
      <w:r w:rsidR="00A63C01">
        <w:rPr>
          <w:rFonts w:ascii="Times New Roman" w:hAnsi="Times New Roman"/>
          <w:color w:val="000000" w:themeColor="text1"/>
          <w:sz w:val="24"/>
          <w:szCs w:val="24"/>
        </w:rPr>
        <w:t xml:space="preserve">ry 2013.  </w:t>
      </w:r>
      <w:r w:rsidRPr="005F08B4">
        <w:rPr>
          <w:rFonts w:ascii="Times New Roman" w:hAnsi="Times New Roman"/>
          <w:color w:val="000000" w:themeColor="text1"/>
          <w:sz w:val="24"/>
          <w:szCs w:val="24"/>
        </w:rPr>
        <w:t xml:space="preserve">  </w:t>
      </w:r>
    </w:p>
    <w:p w:rsidR="00BE4926" w:rsidRDefault="00BE4926" w:rsidP="00986D81">
      <w:pPr>
        <w:spacing w:after="120" w:line="240" w:lineRule="auto"/>
        <w:rPr>
          <w:rFonts w:ascii="Times New Roman" w:hAnsi="Times New Roman"/>
          <w:i/>
          <w:color w:val="000000" w:themeColor="text1"/>
          <w:sz w:val="24"/>
          <w:szCs w:val="24"/>
        </w:rPr>
      </w:pPr>
    </w:p>
    <w:p w:rsidR="00BE4926" w:rsidRDefault="00BE4926" w:rsidP="00986D81">
      <w:pPr>
        <w:spacing w:after="120" w:line="240" w:lineRule="auto"/>
        <w:rPr>
          <w:rFonts w:ascii="Times New Roman" w:hAnsi="Times New Roman"/>
          <w:i/>
          <w:color w:val="000000" w:themeColor="text1"/>
          <w:sz w:val="24"/>
          <w:szCs w:val="24"/>
        </w:rPr>
      </w:pPr>
    </w:p>
    <w:p w:rsidR="00622B44" w:rsidRPr="005F08B4" w:rsidRDefault="00C3384E" w:rsidP="00986D81">
      <w:pPr>
        <w:spacing w:after="120" w:line="240" w:lineRule="auto"/>
        <w:rPr>
          <w:rFonts w:ascii="Times New Roman" w:hAnsi="Times New Roman"/>
          <w:color w:val="000000" w:themeColor="text1"/>
          <w:sz w:val="24"/>
          <w:szCs w:val="24"/>
        </w:rPr>
      </w:pPr>
      <w:r>
        <w:rPr>
          <w:rFonts w:ascii="Times New Roman" w:hAnsi="Times New Roman"/>
          <w:i/>
          <w:color w:val="000000" w:themeColor="text1"/>
          <w:sz w:val="24"/>
          <w:szCs w:val="24"/>
        </w:rPr>
        <w:lastRenderedPageBreak/>
        <w:t>Table 1—</w:t>
      </w:r>
      <w:r w:rsidR="00622B44" w:rsidRPr="005F08B4">
        <w:rPr>
          <w:rFonts w:ascii="Times New Roman" w:hAnsi="Times New Roman"/>
          <w:i/>
          <w:color w:val="000000" w:themeColor="text1"/>
          <w:sz w:val="24"/>
          <w:szCs w:val="24"/>
        </w:rPr>
        <w:t>Factors or Parameters found in the NGER Regulations to be used in the calculation of abatement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9"/>
        <w:gridCol w:w="4262"/>
        <w:gridCol w:w="3018"/>
      </w:tblGrid>
      <w:tr w:rsidR="00DD6F62" w:rsidRPr="005F08B4" w:rsidTr="00C90A24">
        <w:tc>
          <w:tcPr>
            <w:tcW w:w="1309" w:type="dxa"/>
          </w:tcPr>
          <w:p w:rsidR="00622B44" w:rsidRPr="005F08B4" w:rsidRDefault="00622B44" w:rsidP="00986D81">
            <w:pPr>
              <w:spacing w:after="120" w:line="240" w:lineRule="auto"/>
              <w:rPr>
                <w:rFonts w:ascii="Times New Roman" w:hAnsi="Times New Roman"/>
                <w:b/>
                <w:color w:val="000000" w:themeColor="text1"/>
                <w:sz w:val="24"/>
                <w:szCs w:val="24"/>
                <w:lang w:eastAsia="en-AU"/>
              </w:rPr>
            </w:pPr>
            <w:r w:rsidRPr="005F08B4">
              <w:rPr>
                <w:rFonts w:ascii="Times New Roman" w:hAnsi="Times New Roman"/>
                <w:b/>
                <w:color w:val="000000" w:themeColor="text1"/>
                <w:sz w:val="24"/>
                <w:szCs w:val="24"/>
                <w:lang w:eastAsia="en-AU"/>
              </w:rPr>
              <w:t>Factor or Parameter</w:t>
            </w:r>
          </w:p>
        </w:tc>
        <w:tc>
          <w:tcPr>
            <w:tcW w:w="4262" w:type="dxa"/>
          </w:tcPr>
          <w:p w:rsidR="00622B44" w:rsidRPr="005F08B4" w:rsidRDefault="00622B44" w:rsidP="00986D81">
            <w:pPr>
              <w:spacing w:after="120" w:line="240" w:lineRule="auto"/>
              <w:rPr>
                <w:rFonts w:ascii="Times New Roman" w:hAnsi="Times New Roman"/>
                <w:b/>
                <w:color w:val="000000" w:themeColor="text1"/>
                <w:sz w:val="24"/>
                <w:szCs w:val="24"/>
                <w:lang w:eastAsia="en-AU"/>
              </w:rPr>
            </w:pPr>
            <w:r w:rsidRPr="005F08B4">
              <w:rPr>
                <w:rFonts w:ascii="Times New Roman" w:hAnsi="Times New Roman"/>
                <w:b/>
                <w:color w:val="000000" w:themeColor="text1"/>
                <w:sz w:val="24"/>
                <w:szCs w:val="24"/>
                <w:lang w:eastAsia="en-AU"/>
              </w:rPr>
              <w:t>Reference</w:t>
            </w:r>
          </w:p>
        </w:tc>
        <w:tc>
          <w:tcPr>
            <w:tcW w:w="3018" w:type="dxa"/>
          </w:tcPr>
          <w:p w:rsidR="00622B44" w:rsidRPr="005F08B4" w:rsidRDefault="00622B44" w:rsidP="00986D81">
            <w:pPr>
              <w:spacing w:after="120" w:line="240" w:lineRule="auto"/>
              <w:rPr>
                <w:rFonts w:ascii="Times New Roman" w:hAnsi="Times New Roman"/>
                <w:b/>
                <w:color w:val="000000" w:themeColor="text1"/>
                <w:sz w:val="24"/>
                <w:szCs w:val="24"/>
                <w:lang w:eastAsia="en-AU"/>
              </w:rPr>
            </w:pPr>
            <w:r w:rsidRPr="005F08B4">
              <w:rPr>
                <w:rFonts w:ascii="Times New Roman" w:hAnsi="Times New Roman"/>
                <w:b/>
                <w:color w:val="000000" w:themeColor="text1"/>
                <w:sz w:val="24"/>
                <w:szCs w:val="24"/>
                <w:lang w:eastAsia="en-AU"/>
              </w:rPr>
              <w:t>Value of Facto</w:t>
            </w:r>
            <w:r w:rsidR="000D3815" w:rsidRPr="005F08B4">
              <w:rPr>
                <w:rFonts w:ascii="Times New Roman" w:hAnsi="Times New Roman"/>
                <w:b/>
                <w:color w:val="000000" w:themeColor="text1"/>
                <w:sz w:val="24"/>
                <w:szCs w:val="24"/>
                <w:lang w:eastAsia="en-AU"/>
              </w:rPr>
              <w:t>r or Parameter at 1 January 201</w:t>
            </w:r>
            <w:r w:rsidR="00092852" w:rsidRPr="005F08B4">
              <w:rPr>
                <w:rFonts w:ascii="Times New Roman" w:hAnsi="Times New Roman"/>
                <w:b/>
                <w:color w:val="000000" w:themeColor="text1"/>
                <w:sz w:val="24"/>
                <w:szCs w:val="24"/>
                <w:lang w:eastAsia="en-AU"/>
              </w:rPr>
              <w:t>3</w:t>
            </w:r>
          </w:p>
        </w:tc>
      </w:tr>
      <w:tr w:rsidR="00DD6F62" w:rsidRPr="005F08B4" w:rsidTr="00A06CD8">
        <w:tc>
          <w:tcPr>
            <w:tcW w:w="1309" w:type="dxa"/>
          </w:tcPr>
          <w:p w:rsidR="00F50ED9" w:rsidRPr="005F08B4" w:rsidRDefault="0037033B" w:rsidP="00986D81">
            <w:pPr>
              <w:spacing w:after="120" w:line="240" w:lineRule="auto"/>
              <w:rPr>
                <w:rFonts w:ascii="Times New Roman" w:hAnsi="Times New Roman"/>
                <w:color w:val="000000" w:themeColor="text1"/>
                <w:sz w:val="24"/>
                <w:szCs w:val="24"/>
                <w:lang w:eastAsia="en-AU"/>
              </w:rPr>
            </w:pPr>
            <m:oMathPara>
              <m:oMath>
                <m:sSub>
                  <m:sSubPr>
                    <m:ctrlPr>
                      <w:rPr>
                        <w:rFonts w:ascii="Cambria Math" w:hAnsi="Cambria Math"/>
                        <w:b/>
                        <w:color w:val="000000" w:themeColor="text1"/>
                        <w:sz w:val="24"/>
                        <w:szCs w:val="24"/>
                        <w:lang w:eastAsia="en-AU"/>
                      </w:rPr>
                    </m:ctrlPr>
                  </m:sSubPr>
                  <m:e>
                    <m:r>
                      <m:rPr>
                        <m:sty m:val="b"/>
                      </m:rPr>
                      <w:rPr>
                        <w:rFonts w:ascii="Cambria Math" w:hAnsi="Cambria Math"/>
                        <w:color w:val="000000" w:themeColor="text1"/>
                        <w:sz w:val="24"/>
                        <w:szCs w:val="24"/>
                      </w:rPr>
                      <m:t>GWP</m:t>
                    </m:r>
                    <m:ctrlPr>
                      <w:rPr>
                        <w:rFonts w:ascii="Cambria Math" w:hAnsi="Cambria Math"/>
                        <w:b/>
                        <w:color w:val="000000" w:themeColor="text1"/>
                        <w:sz w:val="24"/>
                        <w:szCs w:val="24"/>
                      </w:rPr>
                    </m:ctrlPr>
                  </m:e>
                  <m:sub>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CO</m:t>
                        </m:r>
                      </m:e>
                      <m:sub>
                        <m:r>
                          <m:rPr>
                            <m:sty m:val="b"/>
                          </m:rPr>
                          <w:rPr>
                            <w:rFonts w:ascii="Cambria Math" w:hAnsi="Cambria Math"/>
                            <w:color w:val="000000" w:themeColor="text1"/>
                            <w:sz w:val="24"/>
                            <w:szCs w:val="24"/>
                          </w:rPr>
                          <m:t>2</m:t>
                        </m:r>
                      </m:sub>
                    </m:sSub>
                    <m:ctrlPr>
                      <w:rPr>
                        <w:rFonts w:ascii="Cambria Math" w:hAnsi="Cambria Math"/>
                        <w:b/>
                        <w:color w:val="000000" w:themeColor="text1"/>
                        <w:sz w:val="24"/>
                        <w:szCs w:val="24"/>
                      </w:rPr>
                    </m:ctrlPr>
                  </m:sub>
                </m:sSub>
              </m:oMath>
            </m:oMathPara>
          </w:p>
        </w:tc>
        <w:tc>
          <w:tcPr>
            <w:tcW w:w="4262" w:type="dxa"/>
          </w:tcPr>
          <w:p w:rsidR="00F50ED9" w:rsidRPr="005F08B4" w:rsidRDefault="00F50ED9" w:rsidP="00986D81">
            <w:pPr>
              <w:spacing w:after="120" w:line="240" w:lineRule="auto"/>
              <w:rPr>
                <w:rFonts w:ascii="Times New Roman" w:hAnsi="Times New Roman"/>
                <w:color w:val="000000" w:themeColor="text1"/>
                <w:sz w:val="24"/>
                <w:szCs w:val="24"/>
                <w:lang w:eastAsia="en-AU"/>
              </w:rPr>
            </w:pPr>
            <w:r w:rsidRPr="005F08B4">
              <w:rPr>
                <w:rFonts w:ascii="Times New Roman" w:hAnsi="Times New Roman"/>
                <w:color w:val="000000" w:themeColor="text1"/>
                <w:sz w:val="24"/>
                <w:szCs w:val="24"/>
                <w:lang w:eastAsia="en-AU"/>
              </w:rPr>
              <w:t>The global warming potential of carbon dioxide as specified in regulation 2.02 of the NGER Regulations</w:t>
            </w:r>
            <w:r w:rsidRPr="005F08B4">
              <w:rPr>
                <w:rFonts w:ascii="Times New Roman" w:hAnsi="Times New Roman"/>
                <w:i/>
                <w:color w:val="000000" w:themeColor="text1"/>
                <w:sz w:val="24"/>
                <w:szCs w:val="24"/>
                <w:lang w:eastAsia="en-AU"/>
              </w:rPr>
              <w:t xml:space="preserve"> </w:t>
            </w:r>
          </w:p>
        </w:tc>
        <w:tc>
          <w:tcPr>
            <w:tcW w:w="3018" w:type="dxa"/>
          </w:tcPr>
          <w:p w:rsidR="00F50ED9" w:rsidRPr="005F08B4" w:rsidRDefault="00F50ED9" w:rsidP="00986D81">
            <w:pPr>
              <w:spacing w:after="120" w:line="240" w:lineRule="auto"/>
              <w:jc w:val="center"/>
              <w:rPr>
                <w:rFonts w:ascii="Times New Roman" w:hAnsi="Times New Roman"/>
                <w:color w:val="000000" w:themeColor="text1"/>
                <w:sz w:val="24"/>
                <w:szCs w:val="24"/>
                <w:lang w:eastAsia="en-AU"/>
              </w:rPr>
            </w:pPr>
          </w:p>
          <w:p w:rsidR="00F50ED9" w:rsidRPr="005F08B4" w:rsidRDefault="00F50ED9" w:rsidP="00986D81">
            <w:pPr>
              <w:spacing w:after="120" w:line="240" w:lineRule="auto"/>
              <w:jc w:val="center"/>
              <w:rPr>
                <w:rFonts w:ascii="Times New Roman" w:hAnsi="Times New Roman"/>
                <w:color w:val="000000" w:themeColor="text1"/>
                <w:sz w:val="24"/>
                <w:szCs w:val="24"/>
                <w:lang w:eastAsia="en-AU"/>
              </w:rPr>
            </w:pPr>
            <w:r w:rsidRPr="005F08B4">
              <w:rPr>
                <w:rFonts w:ascii="Times New Roman" w:hAnsi="Times New Roman"/>
                <w:color w:val="000000" w:themeColor="text1"/>
                <w:sz w:val="24"/>
                <w:szCs w:val="24"/>
                <w:lang w:eastAsia="en-AU"/>
              </w:rPr>
              <w:t>1</w:t>
            </w:r>
          </w:p>
        </w:tc>
      </w:tr>
      <w:tr w:rsidR="00DD6F62" w:rsidRPr="005F08B4" w:rsidTr="00C90A24">
        <w:tc>
          <w:tcPr>
            <w:tcW w:w="1309" w:type="dxa"/>
          </w:tcPr>
          <w:p w:rsidR="00C90A24" w:rsidRPr="005F08B4" w:rsidRDefault="0037033B" w:rsidP="00986D81">
            <w:pPr>
              <w:spacing w:after="120" w:line="240" w:lineRule="auto"/>
              <w:rPr>
                <w:rFonts w:ascii="Times New Roman" w:hAnsi="Times New Roman"/>
                <w:color w:val="000000" w:themeColor="text1"/>
                <w:sz w:val="24"/>
                <w:szCs w:val="24"/>
                <w:lang w:eastAsia="en-AU"/>
              </w:rPr>
            </w:pPr>
            <m:oMathPara>
              <m:oMath>
                <m:sSub>
                  <m:sSubPr>
                    <m:ctrlPr>
                      <w:rPr>
                        <w:rFonts w:ascii="Cambria Math" w:hAnsi="Cambria Math"/>
                        <w:b/>
                        <w:color w:val="000000" w:themeColor="text1"/>
                        <w:sz w:val="24"/>
                        <w:szCs w:val="24"/>
                        <w:lang w:eastAsia="en-AU"/>
                      </w:rPr>
                    </m:ctrlPr>
                  </m:sSubPr>
                  <m:e>
                    <m:r>
                      <m:rPr>
                        <m:sty m:val="b"/>
                      </m:rPr>
                      <w:rPr>
                        <w:rFonts w:ascii="Cambria Math" w:hAnsi="Cambria Math"/>
                        <w:color w:val="000000" w:themeColor="text1"/>
                        <w:sz w:val="24"/>
                        <w:szCs w:val="24"/>
                      </w:rPr>
                      <m:t>GWP</m:t>
                    </m:r>
                    <m:ctrlPr>
                      <w:rPr>
                        <w:rFonts w:ascii="Cambria Math" w:hAnsi="Cambria Math"/>
                        <w:b/>
                        <w:color w:val="000000" w:themeColor="text1"/>
                        <w:sz w:val="24"/>
                        <w:szCs w:val="24"/>
                      </w:rPr>
                    </m:ctrlPr>
                  </m:e>
                  <m:sub>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CH</m:t>
                        </m:r>
                      </m:e>
                      <m:sub>
                        <m:r>
                          <m:rPr>
                            <m:sty m:val="b"/>
                          </m:rPr>
                          <w:rPr>
                            <w:rFonts w:ascii="Cambria Math" w:hAnsi="Cambria Math"/>
                            <w:color w:val="000000" w:themeColor="text1"/>
                            <w:sz w:val="24"/>
                            <w:szCs w:val="24"/>
                          </w:rPr>
                          <m:t>4</m:t>
                        </m:r>
                      </m:sub>
                    </m:sSub>
                    <m:ctrlPr>
                      <w:rPr>
                        <w:rFonts w:ascii="Cambria Math" w:hAnsi="Cambria Math"/>
                        <w:b/>
                        <w:color w:val="000000" w:themeColor="text1"/>
                        <w:sz w:val="24"/>
                        <w:szCs w:val="24"/>
                      </w:rPr>
                    </m:ctrlPr>
                  </m:sub>
                </m:sSub>
              </m:oMath>
            </m:oMathPara>
          </w:p>
        </w:tc>
        <w:tc>
          <w:tcPr>
            <w:tcW w:w="4262" w:type="dxa"/>
          </w:tcPr>
          <w:p w:rsidR="00F1670F" w:rsidRPr="005F08B4" w:rsidRDefault="00C90A24" w:rsidP="00986D81">
            <w:pPr>
              <w:spacing w:after="120" w:line="240" w:lineRule="auto"/>
              <w:rPr>
                <w:rFonts w:ascii="Times New Roman" w:hAnsi="Times New Roman"/>
                <w:i/>
                <w:color w:val="000000" w:themeColor="text1"/>
                <w:sz w:val="24"/>
                <w:szCs w:val="24"/>
                <w:lang w:eastAsia="en-AU"/>
              </w:rPr>
            </w:pPr>
            <w:r w:rsidRPr="005F08B4">
              <w:rPr>
                <w:rFonts w:ascii="Times New Roman" w:hAnsi="Times New Roman"/>
                <w:color w:val="000000" w:themeColor="text1"/>
                <w:sz w:val="24"/>
                <w:szCs w:val="24"/>
                <w:lang w:eastAsia="en-AU"/>
              </w:rPr>
              <w:t xml:space="preserve">The global warming potential of methane as specified in </w:t>
            </w:r>
            <w:r w:rsidR="00F1670F" w:rsidRPr="005F08B4">
              <w:rPr>
                <w:rFonts w:ascii="Times New Roman" w:hAnsi="Times New Roman"/>
                <w:color w:val="000000" w:themeColor="text1"/>
                <w:sz w:val="24"/>
                <w:szCs w:val="24"/>
                <w:lang w:eastAsia="en-AU"/>
              </w:rPr>
              <w:t xml:space="preserve">regulation 2.02 of </w:t>
            </w:r>
            <w:r w:rsidRPr="005F08B4">
              <w:rPr>
                <w:rFonts w:ascii="Times New Roman" w:hAnsi="Times New Roman"/>
                <w:color w:val="000000" w:themeColor="text1"/>
                <w:sz w:val="24"/>
                <w:szCs w:val="24"/>
                <w:lang w:eastAsia="en-AU"/>
              </w:rPr>
              <w:t>the NGER Regulations</w:t>
            </w:r>
            <w:r w:rsidRPr="005F08B4">
              <w:rPr>
                <w:rFonts w:ascii="Times New Roman" w:hAnsi="Times New Roman"/>
                <w:i/>
                <w:color w:val="000000" w:themeColor="text1"/>
                <w:sz w:val="24"/>
                <w:szCs w:val="24"/>
                <w:lang w:eastAsia="en-AU"/>
              </w:rPr>
              <w:t xml:space="preserve"> </w:t>
            </w:r>
          </w:p>
        </w:tc>
        <w:tc>
          <w:tcPr>
            <w:tcW w:w="3018" w:type="dxa"/>
          </w:tcPr>
          <w:p w:rsidR="00F1670F" w:rsidRPr="005F08B4" w:rsidRDefault="00F1670F" w:rsidP="00986D81">
            <w:pPr>
              <w:spacing w:after="120" w:line="240" w:lineRule="auto"/>
              <w:jc w:val="center"/>
              <w:rPr>
                <w:rFonts w:ascii="Times New Roman" w:hAnsi="Times New Roman"/>
                <w:color w:val="000000" w:themeColor="text1"/>
                <w:sz w:val="24"/>
                <w:szCs w:val="24"/>
                <w:lang w:eastAsia="en-AU"/>
              </w:rPr>
            </w:pPr>
          </w:p>
          <w:p w:rsidR="00C90A24" w:rsidRPr="005F08B4" w:rsidRDefault="000D3815" w:rsidP="00986D81">
            <w:pPr>
              <w:spacing w:after="120" w:line="240" w:lineRule="auto"/>
              <w:jc w:val="center"/>
              <w:rPr>
                <w:rFonts w:ascii="Times New Roman" w:hAnsi="Times New Roman"/>
                <w:color w:val="000000" w:themeColor="text1"/>
                <w:sz w:val="24"/>
                <w:szCs w:val="24"/>
                <w:lang w:eastAsia="en-AU"/>
              </w:rPr>
            </w:pPr>
            <w:r w:rsidRPr="005F08B4">
              <w:rPr>
                <w:rFonts w:ascii="Times New Roman" w:hAnsi="Times New Roman"/>
                <w:color w:val="000000" w:themeColor="text1"/>
                <w:sz w:val="24"/>
                <w:szCs w:val="24"/>
                <w:lang w:eastAsia="en-AU"/>
              </w:rPr>
              <w:t>21</w:t>
            </w:r>
          </w:p>
        </w:tc>
      </w:tr>
      <w:tr w:rsidR="00DD6F62" w:rsidRPr="005F08B4" w:rsidTr="000D3815">
        <w:tc>
          <w:tcPr>
            <w:tcW w:w="1309" w:type="dxa"/>
          </w:tcPr>
          <w:p w:rsidR="000D3815" w:rsidRPr="005F08B4" w:rsidRDefault="0037033B" w:rsidP="00986D81">
            <w:pPr>
              <w:spacing w:after="120" w:line="240" w:lineRule="auto"/>
              <w:rPr>
                <w:rFonts w:ascii="Times New Roman" w:hAnsi="Times New Roman"/>
                <w:color w:val="000000" w:themeColor="text1"/>
                <w:sz w:val="24"/>
                <w:szCs w:val="24"/>
                <w:lang w:eastAsia="en-AU"/>
              </w:rPr>
            </w:pPr>
            <m:oMathPara>
              <m:oMath>
                <m:sSub>
                  <m:sSubPr>
                    <m:ctrlPr>
                      <w:rPr>
                        <w:rFonts w:ascii="Cambria Math" w:hAnsi="Cambria Math"/>
                        <w:b/>
                        <w:color w:val="000000" w:themeColor="text1"/>
                        <w:sz w:val="24"/>
                        <w:szCs w:val="24"/>
                        <w:lang w:eastAsia="en-AU"/>
                      </w:rPr>
                    </m:ctrlPr>
                  </m:sSubPr>
                  <m:e>
                    <m:r>
                      <m:rPr>
                        <m:sty m:val="b"/>
                      </m:rPr>
                      <w:rPr>
                        <w:rFonts w:ascii="Cambria Math" w:hAnsi="Cambria Math"/>
                        <w:color w:val="000000" w:themeColor="text1"/>
                        <w:sz w:val="24"/>
                        <w:szCs w:val="24"/>
                      </w:rPr>
                      <m:t>GWP</m:t>
                    </m:r>
                    <m:ctrlPr>
                      <w:rPr>
                        <w:rFonts w:ascii="Cambria Math" w:hAnsi="Cambria Math"/>
                        <w:b/>
                        <w:color w:val="000000" w:themeColor="text1"/>
                        <w:sz w:val="24"/>
                        <w:szCs w:val="24"/>
                      </w:rPr>
                    </m:ctrlPr>
                  </m:e>
                  <m:sub>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N</m:t>
                        </m:r>
                      </m:e>
                      <m:sub>
                        <m:r>
                          <m:rPr>
                            <m:sty m:val="b"/>
                          </m:rPr>
                          <w:rPr>
                            <w:rFonts w:ascii="Cambria Math" w:hAnsi="Cambria Math"/>
                            <w:color w:val="000000" w:themeColor="text1"/>
                            <w:sz w:val="24"/>
                            <w:szCs w:val="24"/>
                          </w:rPr>
                          <m:t>2</m:t>
                        </m:r>
                      </m:sub>
                    </m:sSub>
                    <m:r>
                      <m:rPr>
                        <m:sty m:val="b"/>
                      </m:rPr>
                      <w:rPr>
                        <w:rFonts w:ascii="Cambria Math" w:hAnsi="Cambria Math"/>
                        <w:color w:val="000000" w:themeColor="text1"/>
                        <w:sz w:val="24"/>
                        <w:szCs w:val="24"/>
                      </w:rPr>
                      <m:t>O</m:t>
                    </m:r>
                    <m:ctrlPr>
                      <w:rPr>
                        <w:rFonts w:ascii="Cambria Math" w:hAnsi="Cambria Math"/>
                        <w:b/>
                        <w:color w:val="000000" w:themeColor="text1"/>
                        <w:sz w:val="24"/>
                        <w:szCs w:val="24"/>
                      </w:rPr>
                    </m:ctrlPr>
                  </m:sub>
                </m:sSub>
              </m:oMath>
            </m:oMathPara>
          </w:p>
        </w:tc>
        <w:tc>
          <w:tcPr>
            <w:tcW w:w="4262" w:type="dxa"/>
          </w:tcPr>
          <w:p w:rsidR="000D3815" w:rsidRPr="005F08B4" w:rsidRDefault="000D3815" w:rsidP="00986D81">
            <w:pPr>
              <w:spacing w:after="120" w:line="240" w:lineRule="auto"/>
              <w:rPr>
                <w:rFonts w:ascii="Times New Roman" w:hAnsi="Times New Roman"/>
                <w:color w:val="000000" w:themeColor="text1"/>
                <w:sz w:val="24"/>
                <w:szCs w:val="24"/>
                <w:lang w:eastAsia="en-AU"/>
              </w:rPr>
            </w:pPr>
            <w:r w:rsidRPr="005F08B4">
              <w:rPr>
                <w:rFonts w:ascii="Times New Roman" w:hAnsi="Times New Roman"/>
                <w:color w:val="000000" w:themeColor="text1"/>
                <w:sz w:val="24"/>
                <w:szCs w:val="24"/>
                <w:lang w:eastAsia="en-AU"/>
              </w:rPr>
              <w:t xml:space="preserve">The global warming potential of nitrous oxide as specified </w:t>
            </w:r>
            <w:r w:rsidR="00F1670F" w:rsidRPr="005F08B4">
              <w:rPr>
                <w:rFonts w:ascii="Times New Roman" w:hAnsi="Times New Roman"/>
                <w:color w:val="000000" w:themeColor="text1"/>
                <w:sz w:val="24"/>
                <w:szCs w:val="24"/>
                <w:lang w:eastAsia="en-AU"/>
              </w:rPr>
              <w:t xml:space="preserve">in regulation 2.02 of </w:t>
            </w:r>
            <w:r w:rsidRPr="005F08B4">
              <w:rPr>
                <w:rFonts w:ascii="Times New Roman" w:hAnsi="Times New Roman"/>
                <w:color w:val="000000" w:themeColor="text1"/>
                <w:sz w:val="24"/>
                <w:szCs w:val="24"/>
                <w:lang w:eastAsia="en-AU"/>
              </w:rPr>
              <w:t>the NGER Regulations</w:t>
            </w:r>
            <w:r w:rsidRPr="005F08B4">
              <w:rPr>
                <w:rFonts w:ascii="Times New Roman" w:hAnsi="Times New Roman"/>
                <w:i/>
                <w:color w:val="000000" w:themeColor="text1"/>
                <w:sz w:val="24"/>
                <w:szCs w:val="24"/>
                <w:lang w:eastAsia="en-AU"/>
              </w:rPr>
              <w:t xml:space="preserve"> </w:t>
            </w:r>
          </w:p>
        </w:tc>
        <w:tc>
          <w:tcPr>
            <w:tcW w:w="3018" w:type="dxa"/>
          </w:tcPr>
          <w:p w:rsidR="000D3815" w:rsidRPr="005F08B4" w:rsidRDefault="000D3815" w:rsidP="00986D81">
            <w:pPr>
              <w:spacing w:after="120" w:line="240" w:lineRule="auto"/>
              <w:jc w:val="center"/>
              <w:rPr>
                <w:rFonts w:ascii="Times New Roman" w:hAnsi="Times New Roman"/>
                <w:color w:val="000000" w:themeColor="text1"/>
                <w:sz w:val="24"/>
                <w:szCs w:val="24"/>
                <w:lang w:eastAsia="en-AU"/>
              </w:rPr>
            </w:pPr>
          </w:p>
          <w:p w:rsidR="00F1670F" w:rsidRPr="005F08B4" w:rsidRDefault="00F1670F" w:rsidP="00986D81">
            <w:pPr>
              <w:spacing w:after="120" w:line="240" w:lineRule="auto"/>
              <w:jc w:val="center"/>
              <w:rPr>
                <w:rFonts w:ascii="Times New Roman" w:hAnsi="Times New Roman"/>
                <w:color w:val="000000" w:themeColor="text1"/>
                <w:sz w:val="24"/>
                <w:szCs w:val="24"/>
                <w:lang w:eastAsia="en-AU"/>
              </w:rPr>
            </w:pPr>
            <w:r w:rsidRPr="005F08B4">
              <w:rPr>
                <w:rFonts w:ascii="Times New Roman" w:hAnsi="Times New Roman"/>
                <w:color w:val="000000" w:themeColor="text1"/>
                <w:sz w:val="24"/>
                <w:szCs w:val="24"/>
                <w:lang w:eastAsia="en-AU"/>
              </w:rPr>
              <w:t>310</w:t>
            </w:r>
          </w:p>
        </w:tc>
      </w:tr>
    </w:tbl>
    <w:p w:rsidR="00622B44" w:rsidRPr="005F08B4" w:rsidRDefault="00622B44" w:rsidP="00986D81">
      <w:pPr>
        <w:spacing w:after="120" w:line="240" w:lineRule="auto"/>
        <w:rPr>
          <w:rFonts w:ascii="Times New Roman" w:hAnsi="Times New Roman"/>
          <w:color w:val="000000" w:themeColor="text1"/>
          <w:sz w:val="24"/>
          <w:szCs w:val="24"/>
        </w:rPr>
      </w:pPr>
    </w:p>
    <w:p w:rsidR="006C0D1E" w:rsidRPr="00BA15B4" w:rsidRDefault="006C0D1E" w:rsidP="00986D81">
      <w:pPr>
        <w:spacing w:after="120" w:line="240" w:lineRule="auto"/>
        <w:rPr>
          <w:rFonts w:ascii="Times New Roman" w:hAnsi="Times New Roman"/>
          <w:color w:val="000000" w:themeColor="text1"/>
          <w:sz w:val="24"/>
          <w:szCs w:val="24"/>
          <w:u w:val="single"/>
        </w:rPr>
      </w:pPr>
      <w:r w:rsidRPr="00BA15B4">
        <w:rPr>
          <w:rFonts w:ascii="Times New Roman" w:hAnsi="Times New Roman"/>
          <w:color w:val="000000" w:themeColor="text1"/>
          <w:sz w:val="24"/>
          <w:szCs w:val="24"/>
          <w:u w:val="single"/>
        </w:rPr>
        <w:t>4.3</w:t>
      </w:r>
      <w:r w:rsidRPr="00BA15B4">
        <w:rPr>
          <w:rFonts w:ascii="Times New Roman" w:hAnsi="Times New Roman"/>
          <w:color w:val="000000" w:themeColor="text1"/>
          <w:sz w:val="24"/>
          <w:szCs w:val="24"/>
          <w:u w:val="single"/>
        </w:rPr>
        <w:tab/>
        <w:t>Greenhouse gas assessment boundary</w:t>
      </w:r>
    </w:p>
    <w:p w:rsidR="006C0D1E" w:rsidRPr="00BA15B4" w:rsidRDefault="00F1670F" w:rsidP="00986D81">
      <w:pPr>
        <w:spacing w:after="120" w:line="240" w:lineRule="auto"/>
        <w:rPr>
          <w:rFonts w:ascii="Times New Roman" w:hAnsi="Times New Roman"/>
          <w:color w:val="000000" w:themeColor="text1"/>
          <w:sz w:val="24"/>
          <w:szCs w:val="24"/>
        </w:rPr>
      </w:pPr>
      <w:r w:rsidRPr="00BA15B4">
        <w:rPr>
          <w:rFonts w:ascii="Times New Roman" w:hAnsi="Times New Roman"/>
          <w:color w:val="000000" w:themeColor="text1"/>
          <w:sz w:val="24"/>
          <w:szCs w:val="24"/>
        </w:rPr>
        <w:t>S</w:t>
      </w:r>
      <w:r w:rsidR="006C0D1E" w:rsidRPr="00BA15B4">
        <w:rPr>
          <w:rFonts w:ascii="Times New Roman" w:hAnsi="Times New Roman"/>
          <w:color w:val="000000" w:themeColor="text1"/>
          <w:sz w:val="24"/>
          <w:szCs w:val="24"/>
        </w:rPr>
        <w:t>ection</w:t>
      </w:r>
      <w:r w:rsidRPr="00BA15B4">
        <w:rPr>
          <w:rFonts w:ascii="Times New Roman" w:hAnsi="Times New Roman"/>
          <w:color w:val="000000" w:themeColor="text1"/>
          <w:sz w:val="24"/>
          <w:szCs w:val="24"/>
        </w:rPr>
        <w:t xml:space="preserve"> 4.3</w:t>
      </w:r>
      <w:r w:rsidR="006C0D1E" w:rsidRPr="00BA15B4">
        <w:rPr>
          <w:rFonts w:ascii="Times New Roman" w:hAnsi="Times New Roman"/>
          <w:color w:val="000000" w:themeColor="text1"/>
          <w:sz w:val="24"/>
          <w:szCs w:val="24"/>
        </w:rPr>
        <w:t xml:space="preserve"> describes the greenhouse gas sources and relevant carbon pools that need to be assessed in order to determine the amount of carbon dioxide removed from the atmosphere when undertaking the project activity. The greenhouse gas assessment boundary includes the tree and debris carbon pools within the project area and the emission of greenhouse gases from establishing and managing the project. </w:t>
      </w:r>
    </w:p>
    <w:p w:rsidR="00915BEF" w:rsidRDefault="006C0D1E" w:rsidP="00986D81">
      <w:pPr>
        <w:spacing w:after="120" w:line="240" w:lineRule="auto"/>
        <w:rPr>
          <w:rFonts w:ascii="Times New Roman" w:hAnsi="Times New Roman"/>
          <w:color w:val="000000" w:themeColor="text1"/>
          <w:sz w:val="24"/>
          <w:szCs w:val="24"/>
        </w:rPr>
      </w:pPr>
      <w:r w:rsidRPr="00BA15B4">
        <w:rPr>
          <w:rFonts w:ascii="Times New Roman" w:hAnsi="Times New Roman"/>
          <w:color w:val="000000" w:themeColor="text1"/>
          <w:sz w:val="24"/>
          <w:szCs w:val="24"/>
        </w:rPr>
        <w:t>The carbon pools and emission sources which need to be taken into account when calculating abatement for the project are set out in the following table.</w:t>
      </w:r>
      <w:bookmarkEnd w:id="1"/>
      <w:bookmarkEnd w:id="2"/>
    </w:p>
    <w:p w:rsidR="00C3384E" w:rsidRPr="00C3384E" w:rsidRDefault="00C3384E" w:rsidP="00986D81">
      <w:pPr>
        <w:spacing w:after="12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Table 2—Greenhouse gas assessment boundary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757FBB" w:rsidRPr="00BA15B4" w:rsidTr="00761AD5">
        <w:trPr>
          <w:trHeight w:val="495"/>
        </w:trPr>
        <w:tc>
          <w:tcPr>
            <w:tcW w:w="8931" w:type="dxa"/>
            <w:vAlign w:val="center"/>
          </w:tcPr>
          <w:p w:rsidR="00915BEF" w:rsidRPr="00BA15B4" w:rsidRDefault="00915BEF" w:rsidP="00986D81">
            <w:pPr>
              <w:spacing w:after="120" w:line="240" w:lineRule="auto"/>
              <w:rPr>
                <w:rFonts w:ascii="Times New Roman" w:hAnsi="Times New Roman"/>
                <w:b/>
                <w:color w:val="000000" w:themeColor="text1"/>
                <w:sz w:val="24"/>
                <w:szCs w:val="24"/>
                <w:lang w:eastAsia="en-AU"/>
              </w:rPr>
            </w:pPr>
            <w:r w:rsidRPr="00BA15B4">
              <w:rPr>
                <w:rFonts w:ascii="Times New Roman" w:hAnsi="Times New Roman"/>
                <w:b/>
                <w:color w:val="000000" w:themeColor="text1"/>
                <w:sz w:val="24"/>
                <w:szCs w:val="24"/>
                <w:lang w:eastAsia="en-AU"/>
              </w:rPr>
              <w:t>Emissions from and removals to the above and below ground tree and debris pools</w:t>
            </w:r>
          </w:p>
        </w:tc>
      </w:tr>
      <w:tr w:rsidR="00757FBB" w:rsidRPr="00BA15B4" w:rsidTr="00761AD5">
        <w:trPr>
          <w:trHeight w:val="1129"/>
        </w:trPr>
        <w:tc>
          <w:tcPr>
            <w:tcW w:w="8931" w:type="dxa"/>
            <w:vAlign w:val="center"/>
          </w:tcPr>
          <w:p w:rsidR="00462237" w:rsidRPr="00BA15B4" w:rsidRDefault="00462237" w:rsidP="00AE7A3E">
            <w:pPr>
              <w:pStyle w:val="ListParagraph"/>
              <w:numPr>
                <w:ilvl w:val="0"/>
                <w:numId w:val="4"/>
              </w:numPr>
              <w:spacing w:after="120" w:line="240" w:lineRule="auto"/>
              <w:rPr>
                <w:rFonts w:ascii="Times New Roman" w:hAnsi="Times New Roman"/>
                <w:color w:val="000000" w:themeColor="text1"/>
                <w:sz w:val="24"/>
                <w:szCs w:val="24"/>
                <w:lang w:eastAsia="en-AU"/>
              </w:rPr>
            </w:pPr>
            <w:r w:rsidRPr="00BA15B4">
              <w:rPr>
                <w:rFonts w:ascii="Times New Roman" w:hAnsi="Times New Roman"/>
                <w:color w:val="000000" w:themeColor="text1"/>
                <w:sz w:val="24"/>
                <w:szCs w:val="24"/>
                <w:lang w:eastAsia="en-AU"/>
              </w:rPr>
              <w:t xml:space="preserve">Increases in carbon stocks relating to tree growth </w:t>
            </w:r>
          </w:p>
          <w:p w:rsidR="00462237" w:rsidRPr="00BA15B4" w:rsidRDefault="00462237" w:rsidP="00AE7A3E">
            <w:pPr>
              <w:pStyle w:val="ListParagraph"/>
              <w:numPr>
                <w:ilvl w:val="0"/>
                <w:numId w:val="4"/>
              </w:numPr>
              <w:spacing w:after="120" w:line="240" w:lineRule="auto"/>
              <w:rPr>
                <w:rFonts w:ascii="Times New Roman" w:hAnsi="Times New Roman"/>
                <w:color w:val="000000" w:themeColor="text1"/>
                <w:sz w:val="24"/>
                <w:szCs w:val="24"/>
                <w:lang w:eastAsia="en-AU"/>
              </w:rPr>
            </w:pPr>
            <w:r w:rsidRPr="00BA15B4">
              <w:rPr>
                <w:rFonts w:ascii="Times New Roman" w:hAnsi="Times New Roman"/>
                <w:color w:val="000000" w:themeColor="text1"/>
                <w:sz w:val="24"/>
                <w:szCs w:val="24"/>
                <w:lang w:eastAsia="en-AU"/>
              </w:rPr>
              <w:t>Reductions in carbon stocks relating to biomass decay</w:t>
            </w:r>
            <w:r w:rsidRPr="00BA15B4" w:rsidDel="00230DEA">
              <w:rPr>
                <w:rFonts w:ascii="Times New Roman" w:hAnsi="Times New Roman"/>
                <w:color w:val="000000" w:themeColor="text1"/>
                <w:sz w:val="24"/>
                <w:szCs w:val="24"/>
                <w:lang w:eastAsia="en-AU"/>
              </w:rPr>
              <w:t xml:space="preserve"> </w:t>
            </w:r>
          </w:p>
          <w:p w:rsidR="00462237" w:rsidRPr="00BA15B4" w:rsidRDefault="00462237" w:rsidP="00AE7A3E">
            <w:pPr>
              <w:pStyle w:val="ListParagraph"/>
              <w:numPr>
                <w:ilvl w:val="0"/>
                <w:numId w:val="4"/>
              </w:numPr>
              <w:spacing w:after="120" w:line="240" w:lineRule="auto"/>
              <w:rPr>
                <w:rFonts w:ascii="Times New Roman" w:hAnsi="Times New Roman"/>
                <w:color w:val="000000" w:themeColor="text1"/>
                <w:sz w:val="24"/>
                <w:szCs w:val="24"/>
                <w:lang w:eastAsia="en-AU"/>
              </w:rPr>
            </w:pPr>
            <w:r w:rsidRPr="00BA15B4">
              <w:rPr>
                <w:rFonts w:ascii="Times New Roman" w:hAnsi="Times New Roman"/>
                <w:color w:val="000000" w:themeColor="text1"/>
                <w:sz w:val="24"/>
                <w:szCs w:val="24"/>
                <w:lang w:eastAsia="en-AU"/>
              </w:rPr>
              <w:t>Reductions in carbon stocks relating to disturbance—fire or management events</w:t>
            </w:r>
          </w:p>
        </w:tc>
      </w:tr>
      <w:tr w:rsidR="00DD6F62" w:rsidRPr="00DD6F62" w:rsidTr="00761AD5">
        <w:trPr>
          <w:trHeight w:val="583"/>
        </w:trPr>
        <w:tc>
          <w:tcPr>
            <w:tcW w:w="8931" w:type="dxa"/>
            <w:vAlign w:val="center"/>
          </w:tcPr>
          <w:p w:rsidR="00915BEF" w:rsidRPr="00757FBB" w:rsidRDefault="00915BEF" w:rsidP="00986D81">
            <w:pPr>
              <w:spacing w:after="120" w:line="240" w:lineRule="auto"/>
              <w:rPr>
                <w:rFonts w:ascii="Times New Roman" w:hAnsi="Times New Roman"/>
                <w:i/>
                <w:color w:val="000000" w:themeColor="text1"/>
                <w:sz w:val="24"/>
                <w:szCs w:val="24"/>
                <w:lang w:eastAsia="en-AU"/>
              </w:rPr>
            </w:pPr>
            <w:r w:rsidRPr="00757FBB">
              <w:rPr>
                <w:rFonts w:ascii="Times New Roman" w:hAnsi="Times New Roman"/>
                <w:b/>
                <w:color w:val="000000" w:themeColor="text1"/>
                <w:sz w:val="24"/>
                <w:szCs w:val="24"/>
                <w:lang w:eastAsia="en-AU"/>
              </w:rPr>
              <w:t xml:space="preserve">Emissions from fire </w:t>
            </w:r>
          </w:p>
        </w:tc>
      </w:tr>
      <w:tr w:rsidR="00DD6F62" w:rsidRPr="00DD6F62" w:rsidTr="00761AD5">
        <w:trPr>
          <w:trHeight w:val="818"/>
        </w:trPr>
        <w:tc>
          <w:tcPr>
            <w:tcW w:w="8931" w:type="dxa"/>
            <w:vAlign w:val="center"/>
          </w:tcPr>
          <w:p w:rsidR="00462237" w:rsidRPr="00757FBB" w:rsidRDefault="00462237" w:rsidP="00AE7A3E">
            <w:pPr>
              <w:pStyle w:val="ListParagraph"/>
              <w:numPr>
                <w:ilvl w:val="0"/>
                <w:numId w:val="5"/>
              </w:numPr>
              <w:spacing w:after="120" w:line="240" w:lineRule="auto"/>
              <w:rPr>
                <w:rFonts w:ascii="Times New Roman" w:hAnsi="Times New Roman"/>
                <w:color w:val="000000" w:themeColor="text1"/>
                <w:sz w:val="24"/>
                <w:szCs w:val="24"/>
                <w:lang w:eastAsia="en-AU"/>
              </w:rPr>
            </w:pPr>
            <w:r w:rsidRPr="00757FBB">
              <w:rPr>
                <w:rFonts w:ascii="Times New Roman" w:hAnsi="Times New Roman"/>
                <w:color w:val="000000" w:themeColor="text1"/>
                <w:sz w:val="24"/>
                <w:szCs w:val="24"/>
                <w:lang w:eastAsia="en-AU"/>
              </w:rPr>
              <w:t>Methane emissions from fire—</w:t>
            </w:r>
            <w:r w:rsidR="00791757">
              <w:rPr>
                <w:rFonts w:ascii="Times New Roman" w:hAnsi="Times New Roman"/>
                <w:color w:val="000000" w:themeColor="text1"/>
                <w:sz w:val="24"/>
                <w:szCs w:val="24"/>
                <w:lang w:eastAsia="en-AU"/>
              </w:rPr>
              <w:t>p</w:t>
            </w:r>
            <w:r w:rsidR="00A70A50">
              <w:rPr>
                <w:rFonts w:ascii="Times New Roman" w:hAnsi="Times New Roman"/>
                <w:color w:val="000000" w:themeColor="text1"/>
                <w:sz w:val="24"/>
                <w:szCs w:val="24"/>
                <w:lang w:eastAsia="en-AU"/>
              </w:rPr>
              <w:t>lanned</w:t>
            </w:r>
            <w:r w:rsidRPr="00757FBB">
              <w:rPr>
                <w:rFonts w:ascii="Times New Roman" w:hAnsi="Times New Roman"/>
                <w:color w:val="000000" w:themeColor="text1"/>
                <w:sz w:val="24"/>
                <w:szCs w:val="24"/>
                <w:lang w:eastAsia="en-AU"/>
              </w:rPr>
              <w:t xml:space="preserve"> and </w:t>
            </w:r>
            <w:r w:rsidR="00A70A50">
              <w:rPr>
                <w:rFonts w:ascii="Times New Roman" w:hAnsi="Times New Roman"/>
                <w:color w:val="000000" w:themeColor="text1"/>
                <w:sz w:val="24"/>
                <w:szCs w:val="24"/>
                <w:lang w:eastAsia="en-AU"/>
              </w:rPr>
              <w:t>unplanned</w:t>
            </w:r>
          </w:p>
          <w:p w:rsidR="004B4171" w:rsidRDefault="00462237" w:rsidP="004B4171">
            <w:pPr>
              <w:pStyle w:val="ListParagraph"/>
              <w:numPr>
                <w:ilvl w:val="0"/>
                <w:numId w:val="5"/>
              </w:numPr>
              <w:spacing w:after="120" w:line="240" w:lineRule="auto"/>
              <w:rPr>
                <w:rFonts w:ascii="Times New Roman" w:hAnsi="Times New Roman"/>
                <w:color w:val="000000" w:themeColor="text1"/>
                <w:sz w:val="24"/>
                <w:szCs w:val="24"/>
                <w:lang w:eastAsia="en-AU"/>
              </w:rPr>
            </w:pPr>
            <w:r w:rsidRPr="00757FBB">
              <w:rPr>
                <w:rFonts w:ascii="Times New Roman" w:hAnsi="Times New Roman"/>
                <w:color w:val="000000" w:themeColor="text1"/>
                <w:sz w:val="24"/>
                <w:szCs w:val="24"/>
                <w:lang w:eastAsia="en-AU"/>
              </w:rPr>
              <w:t>Nitrous oxide emissions from fire—</w:t>
            </w:r>
            <w:r w:rsidR="00791757">
              <w:rPr>
                <w:rFonts w:ascii="Times New Roman" w:hAnsi="Times New Roman"/>
                <w:color w:val="000000" w:themeColor="text1"/>
                <w:sz w:val="24"/>
                <w:szCs w:val="24"/>
                <w:lang w:eastAsia="en-AU"/>
              </w:rPr>
              <w:t>p</w:t>
            </w:r>
            <w:r w:rsidR="00A70A50">
              <w:rPr>
                <w:rFonts w:ascii="Times New Roman" w:hAnsi="Times New Roman"/>
                <w:color w:val="000000" w:themeColor="text1"/>
                <w:sz w:val="24"/>
                <w:szCs w:val="24"/>
                <w:lang w:eastAsia="en-AU"/>
              </w:rPr>
              <w:t>lanned</w:t>
            </w:r>
            <w:r w:rsidR="00791757" w:rsidRPr="00757FBB">
              <w:rPr>
                <w:rFonts w:ascii="Times New Roman" w:hAnsi="Times New Roman"/>
                <w:color w:val="000000" w:themeColor="text1"/>
                <w:sz w:val="24"/>
                <w:szCs w:val="24"/>
                <w:lang w:eastAsia="en-AU"/>
              </w:rPr>
              <w:t xml:space="preserve"> and </w:t>
            </w:r>
            <w:r w:rsidR="00A70A50">
              <w:rPr>
                <w:rFonts w:ascii="Times New Roman" w:hAnsi="Times New Roman"/>
                <w:color w:val="000000" w:themeColor="text1"/>
                <w:sz w:val="24"/>
                <w:szCs w:val="24"/>
                <w:lang w:eastAsia="en-AU"/>
              </w:rPr>
              <w:t>unplanned</w:t>
            </w:r>
          </w:p>
          <w:p w:rsidR="0053349D" w:rsidRPr="0053349D" w:rsidRDefault="0053349D" w:rsidP="004B4171">
            <w:pPr>
              <w:pStyle w:val="ListParagraph"/>
              <w:numPr>
                <w:ilvl w:val="0"/>
                <w:numId w:val="5"/>
              </w:numPr>
              <w:spacing w:after="120" w:line="240" w:lineRule="auto"/>
              <w:rPr>
                <w:rFonts w:ascii="Times New Roman" w:hAnsi="Times New Roman"/>
                <w:color w:val="000000" w:themeColor="text1"/>
                <w:sz w:val="24"/>
                <w:szCs w:val="24"/>
                <w:lang w:eastAsia="en-AU"/>
              </w:rPr>
            </w:pPr>
            <w:r>
              <w:rPr>
                <w:rFonts w:ascii="Times New Roman" w:hAnsi="Times New Roman"/>
                <w:color w:val="000000" w:themeColor="text1"/>
                <w:sz w:val="24"/>
                <w:szCs w:val="24"/>
                <w:lang w:eastAsia="en-AU"/>
              </w:rPr>
              <w:t>Carbon dioxide emissions from fire—</w:t>
            </w:r>
            <w:r w:rsidR="00A70A50">
              <w:rPr>
                <w:rFonts w:ascii="Times New Roman" w:hAnsi="Times New Roman"/>
                <w:color w:val="000000" w:themeColor="text1"/>
                <w:sz w:val="24"/>
                <w:szCs w:val="24"/>
                <w:lang w:eastAsia="en-AU"/>
              </w:rPr>
              <w:t>planned</w:t>
            </w:r>
            <w:r w:rsidR="00791757" w:rsidRPr="00757FBB">
              <w:rPr>
                <w:rFonts w:ascii="Times New Roman" w:hAnsi="Times New Roman"/>
                <w:color w:val="000000" w:themeColor="text1"/>
                <w:sz w:val="24"/>
                <w:szCs w:val="24"/>
                <w:lang w:eastAsia="en-AU"/>
              </w:rPr>
              <w:t xml:space="preserve"> and </w:t>
            </w:r>
            <w:r w:rsidR="00A70A50">
              <w:rPr>
                <w:rFonts w:ascii="Times New Roman" w:hAnsi="Times New Roman"/>
                <w:color w:val="000000" w:themeColor="text1"/>
                <w:sz w:val="24"/>
                <w:szCs w:val="24"/>
                <w:lang w:eastAsia="en-AU"/>
              </w:rPr>
              <w:t>unplanned</w:t>
            </w:r>
          </w:p>
        </w:tc>
      </w:tr>
      <w:tr w:rsidR="00DD6F62" w:rsidRPr="00DD6F62" w:rsidTr="00761AD5">
        <w:trPr>
          <w:trHeight w:val="565"/>
        </w:trPr>
        <w:tc>
          <w:tcPr>
            <w:tcW w:w="8931" w:type="dxa"/>
            <w:vAlign w:val="center"/>
          </w:tcPr>
          <w:p w:rsidR="00915BEF" w:rsidRPr="00757FBB" w:rsidRDefault="00915BEF" w:rsidP="00BE4926">
            <w:pPr>
              <w:keepNext/>
              <w:keepLines/>
              <w:spacing w:after="120" w:line="240" w:lineRule="auto"/>
              <w:rPr>
                <w:rFonts w:ascii="Times New Roman" w:hAnsi="Times New Roman"/>
                <w:i/>
                <w:color w:val="000000" w:themeColor="text1"/>
                <w:sz w:val="24"/>
                <w:szCs w:val="24"/>
                <w:lang w:eastAsia="en-AU"/>
              </w:rPr>
            </w:pPr>
            <w:r w:rsidRPr="00757FBB">
              <w:rPr>
                <w:rFonts w:ascii="Times New Roman" w:hAnsi="Times New Roman"/>
                <w:b/>
                <w:color w:val="000000" w:themeColor="text1"/>
                <w:sz w:val="24"/>
                <w:szCs w:val="24"/>
                <w:lang w:eastAsia="en-AU"/>
              </w:rPr>
              <w:lastRenderedPageBreak/>
              <w:t xml:space="preserve">Emissions from project activities </w:t>
            </w:r>
          </w:p>
        </w:tc>
      </w:tr>
      <w:tr w:rsidR="00DD6F62" w:rsidRPr="00DD6F62" w:rsidTr="00761AD5">
        <w:trPr>
          <w:trHeight w:val="2402"/>
        </w:trPr>
        <w:tc>
          <w:tcPr>
            <w:tcW w:w="8931" w:type="dxa"/>
            <w:vAlign w:val="center"/>
          </w:tcPr>
          <w:p w:rsidR="00462237" w:rsidRPr="00757FBB" w:rsidRDefault="00462237" w:rsidP="00BE4926">
            <w:pPr>
              <w:pStyle w:val="ListParagraph"/>
              <w:keepNext/>
              <w:keepLines/>
              <w:numPr>
                <w:ilvl w:val="0"/>
                <w:numId w:val="6"/>
              </w:numPr>
              <w:spacing w:after="120" w:line="240" w:lineRule="auto"/>
              <w:rPr>
                <w:rFonts w:ascii="Times New Roman" w:hAnsi="Times New Roman"/>
                <w:color w:val="000000" w:themeColor="text1"/>
                <w:sz w:val="24"/>
                <w:szCs w:val="24"/>
              </w:rPr>
            </w:pPr>
            <w:r w:rsidRPr="00757FBB">
              <w:rPr>
                <w:rFonts w:ascii="Times New Roman" w:hAnsi="Times New Roman"/>
                <w:color w:val="000000" w:themeColor="text1"/>
                <w:sz w:val="24"/>
                <w:szCs w:val="24"/>
              </w:rPr>
              <w:t>Emissions from use of fuel to power vehicles and machinery for planning and site selection</w:t>
            </w:r>
          </w:p>
          <w:p w:rsidR="00462237" w:rsidRPr="00757FBB" w:rsidRDefault="00462237" w:rsidP="00BE4926">
            <w:pPr>
              <w:pStyle w:val="ListParagraph"/>
              <w:keepNext/>
              <w:keepLines/>
              <w:numPr>
                <w:ilvl w:val="0"/>
                <w:numId w:val="6"/>
              </w:numPr>
              <w:spacing w:after="120" w:line="240" w:lineRule="auto"/>
              <w:rPr>
                <w:rFonts w:ascii="Times New Roman" w:hAnsi="Times New Roman"/>
                <w:color w:val="000000" w:themeColor="text1"/>
                <w:sz w:val="24"/>
                <w:szCs w:val="24"/>
              </w:rPr>
            </w:pPr>
            <w:r w:rsidRPr="00757FBB">
              <w:rPr>
                <w:rFonts w:ascii="Times New Roman" w:hAnsi="Times New Roman"/>
                <w:color w:val="000000" w:themeColor="text1"/>
                <w:sz w:val="24"/>
                <w:szCs w:val="24"/>
              </w:rPr>
              <w:t>Emissions from use of fuel to power vehicles and machinery for management operations, including thinning of trees and fire control (</w:t>
            </w:r>
            <w:r w:rsidR="00791757">
              <w:rPr>
                <w:rFonts w:ascii="Times New Roman" w:hAnsi="Times New Roman"/>
                <w:color w:val="000000" w:themeColor="text1"/>
                <w:sz w:val="24"/>
                <w:szCs w:val="24"/>
                <w:lang w:eastAsia="en-AU"/>
              </w:rPr>
              <w:t>p</w:t>
            </w:r>
            <w:r w:rsidR="00A70A50">
              <w:rPr>
                <w:rFonts w:ascii="Times New Roman" w:hAnsi="Times New Roman"/>
                <w:color w:val="000000" w:themeColor="text1"/>
                <w:sz w:val="24"/>
                <w:szCs w:val="24"/>
                <w:lang w:eastAsia="en-AU"/>
              </w:rPr>
              <w:t>lanned</w:t>
            </w:r>
            <w:r w:rsidR="00791757" w:rsidRPr="00757FBB">
              <w:rPr>
                <w:rFonts w:ascii="Times New Roman" w:hAnsi="Times New Roman"/>
                <w:color w:val="000000" w:themeColor="text1"/>
                <w:sz w:val="24"/>
                <w:szCs w:val="24"/>
                <w:lang w:eastAsia="en-AU"/>
              </w:rPr>
              <w:t xml:space="preserve"> and </w:t>
            </w:r>
            <w:r w:rsidR="00A70A50">
              <w:rPr>
                <w:rFonts w:ascii="Times New Roman" w:hAnsi="Times New Roman"/>
                <w:color w:val="000000" w:themeColor="text1"/>
                <w:sz w:val="24"/>
                <w:szCs w:val="24"/>
                <w:lang w:eastAsia="en-AU"/>
              </w:rPr>
              <w:t>unplanned</w:t>
            </w:r>
            <w:r w:rsidRPr="00757FBB">
              <w:rPr>
                <w:rFonts w:ascii="Times New Roman" w:hAnsi="Times New Roman"/>
                <w:color w:val="000000" w:themeColor="text1"/>
                <w:sz w:val="24"/>
                <w:szCs w:val="24"/>
              </w:rPr>
              <w:t>)</w:t>
            </w:r>
          </w:p>
          <w:p w:rsidR="004B4171" w:rsidRPr="0053349D" w:rsidRDefault="00462237" w:rsidP="00BE4926">
            <w:pPr>
              <w:pStyle w:val="ListParagraph"/>
              <w:keepNext/>
              <w:keepLines/>
              <w:numPr>
                <w:ilvl w:val="0"/>
                <w:numId w:val="6"/>
              </w:numPr>
              <w:spacing w:after="120" w:line="240" w:lineRule="auto"/>
              <w:rPr>
                <w:rFonts w:ascii="Times New Roman" w:hAnsi="Times New Roman"/>
                <w:color w:val="000000" w:themeColor="text1"/>
                <w:sz w:val="24"/>
                <w:szCs w:val="24"/>
                <w:lang w:eastAsia="en-AU"/>
              </w:rPr>
            </w:pPr>
            <w:r w:rsidRPr="00757FBB">
              <w:rPr>
                <w:rFonts w:ascii="Times New Roman" w:hAnsi="Times New Roman"/>
                <w:color w:val="000000" w:themeColor="text1"/>
                <w:sz w:val="24"/>
                <w:szCs w:val="24"/>
              </w:rPr>
              <w:t xml:space="preserve">Emissions from use of fuel to power vehicles and machinery for transportation and travel (of people or supplies) </w:t>
            </w:r>
          </w:p>
        </w:tc>
      </w:tr>
    </w:tbl>
    <w:p w:rsidR="00915BEF" w:rsidRPr="00C11D99" w:rsidRDefault="00915BEF" w:rsidP="00986D81">
      <w:pPr>
        <w:keepNext/>
        <w:spacing w:after="120" w:line="240" w:lineRule="auto"/>
        <w:rPr>
          <w:rFonts w:ascii="Times New Roman" w:hAnsi="Times New Roman"/>
          <w:color w:val="000000" w:themeColor="text1"/>
          <w:sz w:val="24"/>
          <w:szCs w:val="24"/>
        </w:rPr>
      </w:pPr>
      <w:r w:rsidRPr="00C11D99">
        <w:rPr>
          <w:rFonts w:ascii="Times New Roman" w:hAnsi="Times New Roman"/>
          <w:color w:val="000000" w:themeColor="text1"/>
          <w:sz w:val="24"/>
          <w:szCs w:val="24"/>
        </w:rPr>
        <w:t>A number of emission sources are excluded from the abatement calculations for the following reasons:</w:t>
      </w:r>
    </w:p>
    <w:p w:rsidR="00915BEF" w:rsidRDefault="00915BEF" w:rsidP="00AE7A3E">
      <w:pPr>
        <w:pStyle w:val="ListParagraph"/>
        <w:widowControl w:val="0"/>
        <w:numPr>
          <w:ilvl w:val="0"/>
          <w:numId w:val="3"/>
        </w:numPr>
        <w:spacing w:after="120" w:line="240" w:lineRule="auto"/>
        <w:ind w:left="714" w:hanging="357"/>
        <w:rPr>
          <w:rFonts w:ascii="Times New Roman" w:hAnsi="Times New Roman"/>
          <w:color w:val="000000" w:themeColor="text1"/>
          <w:sz w:val="24"/>
          <w:szCs w:val="24"/>
        </w:rPr>
      </w:pPr>
      <w:r w:rsidRPr="00C11D99">
        <w:rPr>
          <w:rFonts w:ascii="Times New Roman" w:hAnsi="Times New Roman"/>
          <w:color w:val="000000" w:themeColor="text1"/>
          <w:sz w:val="24"/>
          <w:szCs w:val="24"/>
        </w:rPr>
        <w:t xml:space="preserve">emissions from soils are excluded </w:t>
      </w:r>
      <w:r w:rsidRPr="0053349D">
        <w:rPr>
          <w:rFonts w:ascii="Times New Roman" w:hAnsi="Times New Roman"/>
          <w:color w:val="000000" w:themeColor="text1"/>
          <w:sz w:val="24"/>
          <w:szCs w:val="24"/>
        </w:rPr>
        <w:t>as these are not a net source of emissions over the life of the project</w:t>
      </w:r>
      <w:r w:rsidRPr="00C11D99">
        <w:rPr>
          <w:rFonts w:ascii="Times New Roman" w:hAnsi="Times New Roman"/>
          <w:color w:val="000000" w:themeColor="text1"/>
          <w:sz w:val="24"/>
          <w:szCs w:val="24"/>
        </w:rPr>
        <w:t xml:space="preserve">; </w:t>
      </w:r>
    </w:p>
    <w:p w:rsidR="00164C12" w:rsidRPr="00C11D99" w:rsidRDefault="00164C12" w:rsidP="00AE7A3E">
      <w:pPr>
        <w:pStyle w:val="ListParagraph"/>
        <w:widowControl w:val="0"/>
        <w:numPr>
          <w:ilvl w:val="0"/>
          <w:numId w:val="3"/>
        </w:numPr>
        <w:spacing w:after="12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emissions from site preparation are excluded as the preparation of the site will involve little to no disturbance</w:t>
      </w:r>
      <w:r w:rsidR="00AB3C3E">
        <w:rPr>
          <w:rFonts w:ascii="Times New Roman" w:hAnsi="Times New Roman"/>
          <w:color w:val="000000" w:themeColor="text1"/>
          <w:sz w:val="24"/>
          <w:szCs w:val="24"/>
        </w:rPr>
        <w:t>;</w:t>
      </w:r>
    </w:p>
    <w:p w:rsidR="00915BEF" w:rsidRDefault="00F22A1A" w:rsidP="00AE7A3E">
      <w:pPr>
        <w:pStyle w:val="ListParagraph"/>
        <w:widowControl w:val="0"/>
        <w:numPr>
          <w:ilvl w:val="0"/>
          <w:numId w:val="3"/>
        </w:numPr>
        <w:spacing w:after="120" w:line="240" w:lineRule="auto"/>
        <w:ind w:left="714" w:hanging="357"/>
        <w:rPr>
          <w:rFonts w:ascii="Times New Roman" w:hAnsi="Times New Roman"/>
          <w:color w:val="000000" w:themeColor="text1"/>
          <w:sz w:val="24"/>
          <w:szCs w:val="24"/>
        </w:rPr>
      </w:pPr>
      <w:r w:rsidRPr="00F22A1A">
        <w:rPr>
          <w:rFonts w:ascii="Times New Roman" w:hAnsi="Times New Roman"/>
          <w:color w:val="000000" w:themeColor="text1"/>
          <w:sz w:val="24"/>
          <w:szCs w:val="24"/>
        </w:rPr>
        <w:t xml:space="preserve">ongoing </w:t>
      </w:r>
      <w:r w:rsidR="00915BEF" w:rsidRPr="00F22A1A">
        <w:rPr>
          <w:rFonts w:ascii="Times New Roman" w:hAnsi="Times New Roman"/>
          <w:color w:val="000000" w:themeColor="text1"/>
          <w:sz w:val="24"/>
          <w:szCs w:val="24"/>
        </w:rPr>
        <w:t xml:space="preserve">emissions from </w:t>
      </w:r>
      <w:r w:rsidRPr="004E2252">
        <w:rPr>
          <w:rFonts w:ascii="Times New Roman" w:hAnsi="Times New Roman"/>
          <w:color w:val="000000" w:themeColor="text1"/>
          <w:sz w:val="24"/>
          <w:szCs w:val="24"/>
        </w:rPr>
        <w:t xml:space="preserve">dead plant material </w:t>
      </w:r>
      <w:r w:rsidRPr="00F22A1A">
        <w:rPr>
          <w:rFonts w:ascii="Times New Roman" w:hAnsi="Times New Roman"/>
          <w:color w:val="000000" w:themeColor="text1"/>
          <w:sz w:val="24"/>
          <w:szCs w:val="24"/>
        </w:rPr>
        <w:t xml:space="preserve">remaining after past clearing </w:t>
      </w:r>
      <w:r>
        <w:rPr>
          <w:rFonts w:ascii="Times New Roman" w:hAnsi="Times New Roman"/>
          <w:color w:val="000000" w:themeColor="text1"/>
          <w:sz w:val="24"/>
          <w:szCs w:val="24"/>
        </w:rPr>
        <w:t xml:space="preserve">are excluded as they </w:t>
      </w:r>
      <w:r w:rsidRPr="00F22A1A">
        <w:rPr>
          <w:rFonts w:ascii="Times New Roman" w:hAnsi="Times New Roman"/>
          <w:color w:val="000000" w:themeColor="text1"/>
          <w:sz w:val="24"/>
          <w:szCs w:val="24"/>
        </w:rPr>
        <w:t>will not be materially affected by the project</w:t>
      </w:r>
      <w:r w:rsidR="00915BEF" w:rsidRPr="00F22A1A">
        <w:rPr>
          <w:rFonts w:ascii="Times New Roman" w:hAnsi="Times New Roman"/>
          <w:color w:val="000000" w:themeColor="text1"/>
          <w:sz w:val="24"/>
          <w:szCs w:val="24"/>
        </w:rPr>
        <w:t>;</w:t>
      </w:r>
    </w:p>
    <w:p w:rsidR="00915BEF" w:rsidRPr="00164C12" w:rsidRDefault="00915BEF" w:rsidP="00AE7A3E">
      <w:pPr>
        <w:pStyle w:val="ListParagraph"/>
        <w:widowControl w:val="0"/>
        <w:numPr>
          <w:ilvl w:val="0"/>
          <w:numId w:val="3"/>
        </w:numPr>
        <w:spacing w:after="120" w:line="240" w:lineRule="auto"/>
        <w:ind w:left="714" w:hanging="357"/>
        <w:rPr>
          <w:rFonts w:ascii="Times New Roman" w:hAnsi="Times New Roman"/>
          <w:color w:val="000000" w:themeColor="text1"/>
          <w:sz w:val="24"/>
          <w:szCs w:val="24"/>
        </w:rPr>
      </w:pPr>
      <w:r w:rsidRPr="00164C12">
        <w:rPr>
          <w:rFonts w:ascii="Times New Roman" w:hAnsi="Times New Roman"/>
          <w:color w:val="000000" w:themeColor="text1"/>
          <w:sz w:val="24"/>
          <w:szCs w:val="24"/>
        </w:rPr>
        <w:t xml:space="preserve">emissions from </w:t>
      </w:r>
      <w:r w:rsidR="00C96814" w:rsidRPr="00164C12">
        <w:rPr>
          <w:rFonts w:ascii="Times New Roman" w:hAnsi="Times New Roman"/>
          <w:color w:val="000000" w:themeColor="text1"/>
          <w:sz w:val="24"/>
          <w:szCs w:val="24"/>
        </w:rPr>
        <w:t>domestic</w:t>
      </w:r>
      <w:r w:rsidRPr="00164C12">
        <w:rPr>
          <w:rFonts w:ascii="Times New Roman" w:hAnsi="Times New Roman"/>
          <w:color w:val="000000" w:themeColor="text1"/>
          <w:sz w:val="24"/>
          <w:szCs w:val="24"/>
        </w:rPr>
        <w:t xml:space="preserve"> fires </w:t>
      </w:r>
      <w:r w:rsidR="00B514BC">
        <w:rPr>
          <w:rFonts w:ascii="Times New Roman" w:hAnsi="Times New Roman"/>
          <w:color w:val="000000" w:themeColor="text1"/>
          <w:sz w:val="24"/>
          <w:szCs w:val="24"/>
        </w:rPr>
        <w:t>that may occur using</w:t>
      </w:r>
      <w:r w:rsidRPr="00164C12">
        <w:rPr>
          <w:rFonts w:ascii="Times New Roman" w:hAnsi="Times New Roman"/>
          <w:color w:val="000000" w:themeColor="text1"/>
          <w:sz w:val="24"/>
          <w:szCs w:val="24"/>
        </w:rPr>
        <w:t xml:space="preserve"> </w:t>
      </w:r>
      <w:r w:rsidR="00164C12" w:rsidRPr="00164C12">
        <w:rPr>
          <w:rFonts w:ascii="Times New Roman" w:hAnsi="Times New Roman"/>
          <w:color w:val="000000" w:themeColor="text1"/>
          <w:sz w:val="24"/>
          <w:szCs w:val="24"/>
        </w:rPr>
        <w:t xml:space="preserve">the 10% of </w:t>
      </w:r>
      <w:r w:rsidRPr="00164C12">
        <w:rPr>
          <w:rFonts w:ascii="Times New Roman" w:hAnsi="Times New Roman"/>
          <w:color w:val="000000" w:themeColor="text1"/>
          <w:sz w:val="24"/>
          <w:szCs w:val="24"/>
        </w:rPr>
        <w:t xml:space="preserve">fallen timber </w:t>
      </w:r>
      <w:r w:rsidR="00AB3C3E">
        <w:rPr>
          <w:rFonts w:ascii="Times New Roman" w:hAnsi="Times New Roman"/>
          <w:color w:val="000000" w:themeColor="text1"/>
          <w:sz w:val="24"/>
          <w:szCs w:val="24"/>
        </w:rPr>
        <w:t xml:space="preserve">that </w:t>
      </w:r>
      <w:r w:rsidR="00B514BC">
        <w:rPr>
          <w:rFonts w:ascii="Times New Roman" w:hAnsi="Times New Roman"/>
          <w:color w:val="000000" w:themeColor="text1"/>
          <w:sz w:val="24"/>
          <w:szCs w:val="24"/>
        </w:rPr>
        <w:t>can</w:t>
      </w:r>
      <w:r w:rsidR="00164C12" w:rsidRPr="00164C12">
        <w:rPr>
          <w:rFonts w:ascii="Times New Roman" w:hAnsi="Times New Roman"/>
          <w:color w:val="000000" w:themeColor="text1"/>
          <w:sz w:val="24"/>
          <w:szCs w:val="24"/>
        </w:rPr>
        <w:t xml:space="preserve"> be taken for personal use </w:t>
      </w:r>
      <w:r w:rsidRPr="00164C12">
        <w:rPr>
          <w:rFonts w:ascii="Times New Roman" w:hAnsi="Times New Roman"/>
          <w:color w:val="000000" w:themeColor="text1"/>
          <w:sz w:val="24"/>
          <w:szCs w:val="24"/>
        </w:rPr>
        <w:t>are excluded as the</w:t>
      </w:r>
      <w:r w:rsidR="00B514BC">
        <w:rPr>
          <w:rFonts w:ascii="Times New Roman" w:hAnsi="Times New Roman"/>
          <w:color w:val="000000" w:themeColor="text1"/>
          <w:sz w:val="24"/>
          <w:szCs w:val="24"/>
        </w:rPr>
        <w:t xml:space="preserve"> emissions</w:t>
      </w:r>
      <w:r w:rsidR="00216746">
        <w:rPr>
          <w:rFonts w:ascii="Times New Roman" w:hAnsi="Times New Roman"/>
          <w:color w:val="000000" w:themeColor="text1"/>
          <w:sz w:val="24"/>
          <w:szCs w:val="24"/>
        </w:rPr>
        <w:t xml:space="preserve"> are considered to be negligible</w:t>
      </w:r>
      <w:r w:rsidRPr="00164C12">
        <w:rPr>
          <w:rFonts w:ascii="Times New Roman" w:hAnsi="Times New Roman"/>
          <w:color w:val="000000" w:themeColor="text1"/>
          <w:sz w:val="24"/>
          <w:szCs w:val="24"/>
        </w:rPr>
        <w:t xml:space="preserve">; </w:t>
      </w:r>
    </w:p>
    <w:p w:rsidR="00915BEF" w:rsidRPr="00164C12" w:rsidRDefault="00915BEF" w:rsidP="00AE7A3E">
      <w:pPr>
        <w:pStyle w:val="ListParagraph"/>
        <w:numPr>
          <w:ilvl w:val="0"/>
          <w:numId w:val="3"/>
        </w:numPr>
        <w:spacing w:after="120" w:line="240" w:lineRule="auto"/>
        <w:ind w:left="714" w:hanging="357"/>
        <w:rPr>
          <w:rFonts w:ascii="Times New Roman" w:hAnsi="Times New Roman"/>
          <w:color w:val="000000" w:themeColor="text1"/>
          <w:sz w:val="24"/>
          <w:szCs w:val="24"/>
        </w:rPr>
      </w:pPr>
      <w:r w:rsidRPr="00164C12">
        <w:rPr>
          <w:rFonts w:ascii="Times New Roman" w:hAnsi="Times New Roman"/>
          <w:color w:val="000000" w:themeColor="text1"/>
          <w:sz w:val="24"/>
          <w:szCs w:val="24"/>
        </w:rPr>
        <w:t>emissions from fertiliser use or lime application are e</w:t>
      </w:r>
      <w:r w:rsidR="00C96814" w:rsidRPr="00164C12">
        <w:rPr>
          <w:rFonts w:ascii="Times New Roman" w:hAnsi="Times New Roman"/>
          <w:color w:val="000000" w:themeColor="text1"/>
          <w:sz w:val="24"/>
          <w:szCs w:val="24"/>
        </w:rPr>
        <w:t>xcluded on the grounds that the application of fertiliser is proh</w:t>
      </w:r>
      <w:r w:rsidR="008D269E" w:rsidRPr="00164C12">
        <w:rPr>
          <w:rFonts w:ascii="Times New Roman" w:hAnsi="Times New Roman"/>
          <w:color w:val="000000" w:themeColor="text1"/>
          <w:sz w:val="24"/>
          <w:szCs w:val="24"/>
        </w:rPr>
        <w:t>ibit</w:t>
      </w:r>
      <w:r w:rsidR="00C96814" w:rsidRPr="00164C12">
        <w:rPr>
          <w:rFonts w:ascii="Times New Roman" w:hAnsi="Times New Roman"/>
          <w:color w:val="000000" w:themeColor="text1"/>
          <w:sz w:val="24"/>
          <w:szCs w:val="24"/>
        </w:rPr>
        <w:t>ed under the Determination</w:t>
      </w:r>
      <w:r w:rsidRPr="00164C12">
        <w:rPr>
          <w:rFonts w:ascii="Times New Roman" w:hAnsi="Times New Roman"/>
          <w:color w:val="000000" w:themeColor="text1"/>
          <w:sz w:val="24"/>
          <w:szCs w:val="24"/>
        </w:rPr>
        <w:t>;</w:t>
      </w:r>
    </w:p>
    <w:p w:rsidR="00141AE1" w:rsidRPr="00164C12" w:rsidRDefault="00915BEF" w:rsidP="00AE7A3E">
      <w:pPr>
        <w:pStyle w:val="ListParagraph"/>
        <w:numPr>
          <w:ilvl w:val="0"/>
          <w:numId w:val="3"/>
        </w:numPr>
        <w:spacing w:after="120" w:line="240" w:lineRule="auto"/>
        <w:ind w:left="714" w:hanging="357"/>
        <w:rPr>
          <w:rFonts w:ascii="Times New Roman" w:hAnsi="Times New Roman"/>
          <w:color w:val="000000" w:themeColor="text1"/>
          <w:sz w:val="24"/>
          <w:szCs w:val="24"/>
        </w:rPr>
      </w:pPr>
      <w:proofErr w:type="gramStart"/>
      <w:r w:rsidRPr="00164C12">
        <w:rPr>
          <w:rFonts w:ascii="Times New Roman" w:hAnsi="Times New Roman"/>
          <w:color w:val="000000" w:themeColor="text1"/>
          <w:sz w:val="24"/>
          <w:szCs w:val="24"/>
        </w:rPr>
        <w:t>emissions</w:t>
      </w:r>
      <w:proofErr w:type="gramEnd"/>
      <w:r w:rsidRPr="00164C12">
        <w:rPr>
          <w:rFonts w:ascii="Times New Roman" w:hAnsi="Times New Roman"/>
          <w:color w:val="000000" w:themeColor="text1"/>
          <w:sz w:val="24"/>
          <w:szCs w:val="24"/>
        </w:rPr>
        <w:t xml:space="preserve"> from grazing of livestock in the project area are excluded as grazing must not prevent </w:t>
      </w:r>
      <w:r w:rsidR="008D269E" w:rsidRPr="00164C12">
        <w:rPr>
          <w:rFonts w:ascii="Times New Roman" w:hAnsi="Times New Roman"/>
          <w:color w:val="000000" w:themeColor="text1"/>
          <w:sz w:val="24"/>
          <w:szCs w:val="24"/>
        </w:rPr>
        <w:t xml:space="preserve">or inhibit </w:t>
      </w:r>
      <w:r w:rsidRPr="00164C12">
        <w:rPr>
          <w:rFonts w:ascii="Times New Roman" w:hAnsi="Times New Roman"/>
          <w:color w:val="000000" w:themeColor="text1"/>
          <w:sz w:val="24"/>
          <w:szCs w:val="24"/>
        </w:rPr>
        <w:t>tree regeneration</w:t>
      </w:r>
      <w:r w:rsidR="008D269E" w:rsidRPr="00164C12">
        <w:rPr>
          <w:rFonts w:ascii="Times New Roman" w:hAnsi="Times New Roman"/>
          <w:color w:val="000000" w:themeColor="text1"/>
          <w:sz w:val="24"/>
          <w:szCs w:val="24"/>
        </w:rPr>
        <w:t xml:space="preserve"> or growth</w:t>
      </w:r>
      <w:r w:rsidRPr="00164C12">
        <w:rPr>
          <w:rFonts w:ascii="Times New Roman" w:hAnsi="Times New Roman"/>
          <w:color w:val="000000" w:themeColor="text1"/>
          <w:sz w:val="24"/>
          <w:szCs w:val="24"/>
        </w:rPr>
        <w:t xml:space="preserve"> in the project area. It is therefore unlikely that the project would result in</w:t>
      </w:r>
      <w:r w:rsidR="008D269E" w:rsidRPr="00164C12">
        <w:rPr>
          <w:rFonts w:ascii="Times New Roman" w:hAnsi="Times New Roman"/>
          <w:color w:val="000000" w:themeColor="text1"/>
          <w:sz w:val="24"/>
          <w:szCs w:val="24"/>
        </w:rPr>
        <w:t xml:space="preserve"> production of enough feed to</w:t>
      </w:r>
      <w:r w:rsidR="00EC05A8">
        <w:rPr>
          <w:rFonts w:ascii="Times New Roman" w:hAnsi="Times New Roman"/>
          <w:color w:val="000000" w:themeColor="text1"/>
          <w:sz w:val="24"/>
          <w:szCs w:val="24"/>
        </w:rPr>
        <w:t xml:space="preserve"> lead to significant increased emissions (including that the project is unlikely to lead to an increase in livestock numbers)</w:t>
      </w:r>
      <w:r w:rsidR="00141AE1" w:rsidRPr="00164C12">
        <w:rPr>
          <w:rFonts w:ascii="Times New Roman" w:hAnsi="Times New Roman"/>
          <w:color w:val="000000" w:themeColor="text1"/>
          <w:sz w:val="24"/>
          <w:szCs w:val="24"/>
        </w:rPr>
        <w:t>.</w:t>
      </w:r>
    </w:p>
    <w:p w:rsidR="00915BEF" w:rsidRPr="00AD14F1" w:rsidRDefault="002E67E6" w:rsidP="00986D81">
      <w:pPr>
        <w:keepNext/>
        <w:spacing w:after="120" w:line="240" w:lineRule="auto"/>
        <w:rPr>
          <w:rFonts w:ascii="Times New Roman" w:hAnsi="Times New Roman"/>
          <w:color w:val="000000" w:themeColor="text1"/>
          <w:sz w:val="24"/>
          <w:szCs w:val="24"/>
          <w:u w:val="single"/>
        </w:rPr>
      </w:pPr>
      <w:r w:rsidRPr="00AD14F1">
        <w:rPr>
          <w:rFonts w:ascii="Times New Roman" w:hAnsi="Times New Roman"/>
          <w:color w:val="000000" w:themeColor="text1"/>
          <w:sz w:val="24"/>
          <w:szCs w:val="24"/>
          <w:u w:val="single"/>
        </w:rPr>
        <w:t>4</w:t>
      </w:r>
      <w:r w:rsidR="00915BEF" w:rsidRPr="00AD14F1">
        <w:rPr>
          <w:rFonts w:ascii="Times New Roman" w:hAnsi="Times New Roman"/>
          <w:color w:val="000000" w:themeColor="text1"/>
          <w:sz w:val="24"/>
          <w:szCs w:val="24"/>
          <w:u w:val="single"/>
        </w:rPr>
        <w:t>.</w:t>
      </w:r>
      <w:r w:rsidRPr="00AD14F1">
        <w:rPr>
          <w:rFonts w:ascii="Times New Roman" w:hAnsi="Times New Roman"/>
          <w:color w:val="000000" w:themeColor="text1"/>
          <w:sz w:val="24"/>
          <w:szCs w:val="24"/>
          <w:u w:val="single"/>
        </w:rPr>
        <w:t>4</w:t>
      </w:r>
      <w:r w:rsidR="00915BEF" w:rsidRPr="00AD14F1">
        <w:rPr>
          <w:rFonts w:ascii="Times New Roman" w:hAnsi="Times New Roman"/>
          <w:color w:val="000000" w:themeColor="text1"/>
          <w:sz w:val="24"/>
          <w:szCs w:val="24"/>
          <w:u w:val="single"/>
        </w:rPr>
        <w:tab/>
      </w:r>
      <w:r w:rsidR="00AD14F1">
        <w:rPr>
          <w:rFonts w:ascii="Times New Roman" w:hAnsi="Times New Roman"/>
          <w:color w:val="000000" w:themeColor="text1"/>
          <w:sz w:val="24"/>
          <w:szCs w:val="24"/>
          <w:u w:val="single"/>
        </w:rPr>
        <w:t>FullCAM modelling—calculating carbon stocks</w:t>
      </w:r>
    </w:p>
    <w:p w:rsidR="00AD14F1" w:rsidRDefault="00AD14F1" w:rsidP="00986D81">
      <w:pPr>
        <w:spacing w:after="120" w:line="240" w:lineRule="auto"/>
        <w:rPr>
          <w:rFonts w:ascii="Times New Roman" w:hAnsi="Times New Roman"/>
          <w:color w:val="000000" w:themeColor="text1"/>
          <w:sz w:val="24"/>
          <w:szCs w:val="24"/>
        </w:rPr>
      </w:pPr>
      <w:r w:rsidRPr="00AD14F1">
        <w:rPr>
          <w:rFonts w:ascii="Times New Roman" w:hAnsi="Times New Roman"/>
          <w:color w:val="000000" w:themeColor="text1"/>
          <w:sz w:val="24"/>
          <w:szCs w:val="24"/>
        </w:rPr>
        <w:t xml:space="preserve">Section 4.4 specifies </w:t>
      </w:r>
      <w:r w:rsidR="00415619">
        <w:rPr>
          <w:rFonts w:ascii="Times New Roman" w:hAnsi="Times New Roman"/>
          <w:color w:val="000000" w:themeColor="text1"/>
          <w:sz w:val="24"/>
          <w:szCs w:val="24"/>
        </w:rPr>
        <w:t>the circumstances in which</w:t>
      </w:r>
      <w:r w:rsidRPr="00AD14F1">
        <w:rPr>
          <w:rFonts w:ascii="Times New Roman" w:hAnsi="Times New Roman"/>
          <w:color w:val="000000" w:themeColor="text1"/>
          <w:sz w:val="24"/>
          <w:szCs w:val="24"/>
        </w:rPr>
        <w:t xml:space="preserve"> </w:t>
      </w:r>
      <w:proofErr w:type="spellStart"/>
      <w:r w:rsidRPr="00AD14F1">
        <w:rPr>
          <w:rFonts w:ascii="Times New Roman" w:hAnsi="Times New Roman"/>
          <w:color w:val="000000" w:themeColor="text1"/>
          <w:sz w:val="24"/>
          <w:szCs w:val="24"/>
        </w:rPr>
        <w:t>FullCAM</w:t>
      </w:r>
      <w:proofErr w:type="spellEnd"/>
      <w:r w:rsidRPr="00AD14F1">
        <w:rPr>
          <w:rFonts w:ascii="Times New Roman" w:hAnsi="Times New Roman"/>
          <w:color w:val="000000" w:themeColor="text1"/>
          <w:sz w:val="24"/>
          <w:szCs w:val="24"/>
        </w:rPr>
        <w:t xml:space="preserve"> must be used </w:t>
      </w:r>
      <w:r>
        <w:rPr>
          <w:rFonts w:ascii="Times New Roman" w:hAnsi="Times New Roman"/>
          <w:color w:val="000000" w:themeColor="text1"/>
          <w:sz w:val="24"/>
          <w:szCs w:val="24"/>
        </w:rPr>
        <w:t>for the purposes of calculating carbon stocks in a carbon estimation area</w:t>
      </w:r>
      <w:r w:rsidRPr="00AD14F1">
        <w:rPr>
          <w:rFonts w:ascii="Times New Roman" w:hAnsi="Times New Roman"/>
          <w:color w:val="000000" w:themeColor="text1"/>
          <w:sz w:val="24"/>
          <w:szCs w:val="24"/>
        </w:rPr>
        <w:t>.</w:t>
      </w:r>
    </w:p>
    <w:p w:rsidR="005A2B0C" w:rsidRDefault="005A2B0C" w:rsidP="00986D81">
      <w:pPr>
        <w:spacing w:after="120" w:line="240" w:lineRule="auto"/>
        <w:rPr>
          <w:rFonts w:ascii="Times New Roman" w:hAnsi="Times New Roman"/>
          <w:color w:val="000000" w:themeColor="text1"/>
          <w:sz w:val="24"/>
          <w:szCs w:val="24"/>
        </w:rPr>
      </w:pPr>
    </w:p>
    <w:p w:rsidR="00AD14F1" w:rsidRDefault="00AD14F1" w:rsidP="00986D81">
      <w:pPr>
        <w:keepNext/>
        <w:spacing w:after="120" w:line="240" w:lineRule="auto"/>
        <w:rPr>
          <w:rFonts w:ascii="Times New Roman" w:hAnsi="Times New Roman"/>
          <w:b/>
          <w:color w:val="000000" w:themeColor="text1"/>
          <w:sz w:val="24"/>
          <w:szCs w:val="24"/>
        </w:rPr>
      </w:pPr>
      <w:r w:rsidRPr="001D3C5D">
        <w:rPr>
          <w:rFonts w:ascii="Times New Roman" w:hAnsi="Times New Roman"/>
          <w:b/>
          <w:color w:val="000000" w:themeColor="text1"/>
          <w:sz w:val="24"/>
          <w:szCs w:val="24"/>
        </w:rPr>
        <w:t>Division 4.</w:t>
      </w:r>
      <w:r>
        <w:rPr>
          <w:rFonts w:ascii="Times New Roman" w:hAnsi="Times New Roman"/>
          <w:b/>
          <w:color w:val="000000" w:themeColor="text1"/>
          <w:sz w:val="24"/>
          <w:szCs w:val="24"/>
        </w:rPr>
        <w:t>3</w:t>
      </w:r>
      <w:r w:rsidRPr="001D3C5D">
        <w:rPr>
          <w:rFonts w:ascii="Times New Roman" w:hAnsi="Times New Roman"/>
          <w:b/>
          <w:color w:val="000000" w:themeColor="text1"/>
          <w:sz w:val="24"/>
          <w:szCs w:val="24"/>
        </w:rPr>
        <w:t xml:space="preserve"> </w:t>
      </w:r>
      <w:r w:rsidRPr="001D3C5D">
        <w:rPr>
          <w:rFonts w:ascii="Times New Roman" w:hAnsi="Times New Roman"/>
          <w:b/>
          <w:color w:val="000000" w:themeColor="text1"/>
          <w:sz w:val="24"/>
          <w:szCs w:val="24"/>
        </w:rPr>
        <w:tab/>
      </w:r>
      <w:r w:rsidRPr="001D3C5D">
        <w:rPr>
          <w:rFonts w:ascii="Times New Roman" w:hAnsi="Times New Roman"/>
          <w:b/>
          <w:color w:val="000000" w:themeColor="text1"/>
          <w:sz w:val="24"/>
          <w:szCs w:val="24"/>
        </w:rPr>
        <w:tab/>
      </w:r>
      <w:r w:rsidR="008841F4">
        <w:rPr>
          <w:rFonts w:ascii="Times New Roman" w:hAnsi="Times New Roman"/>
          <w:b/>
          <w:color w:val="000000" w:themeColor="text1"/>
          <w:sz w:val="24"/>
          <w:szCs w:val="24"/>
        </w:rPr>
        <w:t>B</w:t>
      </w:r>
      <w:r>
        <w:rPr>
          <w:rFonts w:ascii="Times New Roman" w:hAnsi="Times New Roman"/>
          <w:b/>
          <w:color w:val="000000" w:themeColor="text1"/>
          <w:sz w:val="24"/>
          <w:szCs w:val="24"/>
        </w:rPr>
        <w:t>aseline</w:t>
      </w:r>
    </w:p>
    <w:p w:rsidR="00274BBD" w:rsidRDefault="00274BBD" w:rsidP="00274BBD">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Division 4.3 sets out the requirements for</w:t>
      </w:r>
      <w:r w:rsidRPr="00576803">
        <w:rPr>
          <w:rFonts w:ascii="Times New Roman" w:hAnsi="Times New Roman"/>
          <w:color w:val="000000" w:themeColor="text1"/>
          <w:sz w:val="24"/>
          <w:szCs w:val="24"/>
        </w:rPr>
        <w:t xml:space="preserve"> the two baseline scenarios covered by the Determination, </w:t>
      </w:r>
      <w:r>
        <w:rPr>
          <w:rFonts w:ascii="Times New Roman" w:hAnsi="Times New Roman"/>
          <w:color w:val="000000" w:themeColor="text1"/>
          <w:sz w:val="24"/>
          <w:szCs w:val="24"/>
        </w:rPr>
        <w:t>referred to</w:t>
      </w:r>
      <w:r w:rsidRPr="00576803">
        <w:rPr>
          <w:rFonts w:ascii="Times New Roman" w:hAnsi="Times New Roman"/>
          <w:color w:val="000000" w:themeColor="text1"/>
          <w:sz w:val="24"/>
          <w:szCs w:val="24"/>
        </w:rPr>
        <w:t xml:space="preserve"> as the zero and non-zero baselines.  </w:t>
      </w:r>
    </w:p>
    <w:p w:rsidR="00274BBD" w:rsidRDefault="001C1EEE" w:rsidP="001C1EEE">
      <w:pPr>
        <w:spacing w:after="120" w:line="240" w:lineRule="auto"/>
        <w:ind w:right="237"/>
        <w:rPr>
          <w:rFonts w:ascii="Times New Roman" w:hAnsi="Times New Roman"/>
          <w:color w:val="000000" w:themeColor="text1"/>
          <w:sz w:val="24"/>
          <w:szCs w:val="24"/>
        </w:rPr>
      </w:pPr>
      <w:r>
        <w:rPr>
          <w:rFonts w:ascii="Times New Roman" w:hAnsi="Times New Roman"/>
          <w:color w:val="000000" w:themeColor="text1"/>
          <w:sz w:val="24"/>
          <w:szCs w:val="24"/>
        </w:rPr>
        <w:t>Both</w:t>
      </w:r>
      <w:r w:rsidR="00274BBD" w:rsidRPr="005D1914">
        <w:rPr>
          <w:rFonts w:ascii="Times New Roman" w:hAnsi="Times New Roman"/>
          <w:color w:val="000000" w:themeColor="text1"/>
          <w:sz w:val="24"/>
          <w:szCs w:val="24"/>
        </w:rPr>
        <w:t xml:space="preserve"> baseline scenario</w:t>
      </w:r>
      <w:r>
        <w:rPr>
          <w:rFonts w:ascii="Times New Roman" w:hAnsi="Times New Roman"/>
          <w:color w:val="000000" w:themeColor="text1"/>
          <w:sz w:val="24"/>
          <w:szCs w:val="24"/>
        </w:rPr>
        <w:t>s</w:t>
      </w:r>
      <w:r w:rsidR="00274BBD" w:rsidRPr="005D1914">
        <w:rPr>
          <w:rFonts w:ascii="Times New Roman" w:hAnsi="Times New Roman"/>
          <w:color w:val="000000" w:themeColor="text1"/>
          <w:sz w:val="24"/>
          <w:szCs w:val="24"/>
        </w:rPr>
        <w:t xml:space="preserve"> involve the ongoing, active management of </w:t>
      </w:r>
      <w:r>
        <w:rPr>
          <w:rFonts w:ascii="Times New Roman" w:hAnsi="Times New Roman"/>
          <w:color w:val="000000" w:themeColor="text1"/>
          <w:sz w:val="24"/>
          <w:szCs w:val="24"/>
        </w:rPr>
        <w:t>a carbon estimation area</w:t>
      </w:r>
      <w:r w:rsidR="00274BBD" w:rsidRPr="005D1914">
        <w:rPr>
          <w:rFonts w:ascii="Times New Roman" w:hAnsi="Times New Roman"/>
          <w:color w:val="000000" w:themeColor="text1"/>
          <w:sz w:val="24"/>
          <w:szCs w:val="24"/>
        </w:rPr>
        <w:t xml:space="preserve"> for pastoral use, including mechanical or chemical</w:t>
      </w:r>
      <w:r w:rsidR="00274BBD">
        <w:rPr>
          <w:rFonts w:ascii="Times New Roman" w:hAnsi="Times New Roman"/>
          <w:color w:val="000000" w:themeColor="text1"/>
          <w:sz w:val="24"/>
          <w:szCs w:val="24"/>
        </w:rPr>
        <w:t xml:space="preserve"> treatment to supress regrowth.  </w:t>
      </w:r>
    </w:p>
    <w:p w:rsidR="00B8075B" w:rsidRDefault="001C1EEE" w:rsidP="005A2B0C">
      <w:pPr>
        <w:spacing w:after="120" w:line="240" w:lineRule="auto"/>
        <w:ind w:right="237"/>
        <w:rPr>
          <w:rFonts w:ascii="Times New Roman" w:hAnsi="Times New Roman"/>
          <w:color w:val="000000" w:themeColor="text1"/>
          <w:sz w:val="24"/>
          <w:szCs w:val="24"/>
        </w:rPr>
      </w:pPr>
      <w:r w:rsidRPr="005A2B0C">
        <w:rPr>
          <w:rFonts w:ascii="Times New Roman" w:hAnsi="Times New Roman"/>
          <w:color w:val="000000" w:themeColor="text1"/>
          <w:sz w:val="24"/>
          <w:szCs w:val="24"/>
        </w:rPr>
        <w:t xml:space="preserve">The </w:t>
      </w:r>
      <w:r w:rsidR="00B8075B">
        <w:rPr>
          <w:rFonts w:ascii="Times New Roman" w:hAnsi="Times New Roman"/>
          <w:color w:val="000000" w:themeColor="text1"/>
          <w:sz w:val="24"/>
          <w:szCs w:val="24"/>
        </w:rPr>
        <w:t>regrowth may be suppressed through</w:t>
      </w:r>
      <w:r w:rsidRPr="005A2B0C">
        <w:rPr>
          <w:rFonts w:ascii="Times New Roman" w:hAnsi="Times New Roman"/>
          <w:color w:val="000000" w:themeColor="text1"/>
          <w:sz w:val="24"/>
          <w:szCs w:val="24"/>
        </w:rPr>
        <w:t xml:space="preserve"> fire, the application of chemicals, or mechanical suppression such as bulldozing.</w:t>
      </w:r>
      <w:r w:rsidR="005A2B0C" w:rsidRPr="005A2B0C">
        <w:rPr>
          <w:rFonts w:ascii="Times New Roman" w:hAnsi="Times New Roman"/>
          <w:color w:val="000000" w:themeColor="text1"/>
          <w:sz w:val="24"/>
          <w:szCs w:val="24"/>
        </w:rPr>
        <w:t xml:space="preserve">  </w:t>
      </w:r>
    </w:p>
    <w:p w:rsidR="005A2B0C" w:rsidRDefault="00EC05A8" w:rsidP="005A2B0C">
      <w:pPr>
        <w:spacing w:after="120" w:line="240" w:lineRule="auto"/>
        <w:ind w:right="237"/>
        <w:rPr>
          <w:rFonts w:ascii="Times New Roman" w:hAnsi="Times New Roman"/>
          <w:color w:val="000000" w:themeColor="text1"/>
          <w:sz w:val="24"/>
          <w:szCs w:val="24"/>
        </w:rPr>
      </w:pPr>
      <w:r>
        <w:rPr>
          <w:rFonts w:ascii="Times New Roman" w:hAnsi="Times New Roman"/>
          <w:color w:val="000000" w:themeColor="text1"/>
          <w:sz w:val="24"/>
          <w:szCs w:val="24"/>
        </w:rPr>
        <w:t>The timing and nature of actual past land management</w:t>
      </w:r>
      <w:r w:rsidR="005A2B0C" w:rsidRPr="005D1914">
        <w:rPr>
          <w:rFonts w:ascii="Times New Roman" w:hAnsi="Times New Roman"/>
          <w:color w:val="000000" w:themeColor="text1"/>
          <w:sz w:val="24"/>
          <w:szCs w:val="24"/>
        </w:rPr>
        <w:t xml:space="preserve"> practices will determine whether a zero or </w:t>
      </w:r>
      <w:r w:rsidR="005A2B0C">
        <w:rPr>
          <w:rFonts w:ascii="Times New Roman" w:hAnsi="Times New Roman"/>
          <w:color w:val="000000" w:themeColor="text1"/>
          <w:sz w:val="24"/>
          <w:szCs w:val="24"/>
        </w:rPr>
        <w:t>non-zero (‘</w:t>
      </w:r>
      <w:r w:rsidR="005A2B0C" w:rsidRPr="005D1914">
        <w:rPr>
          <w:rFonts w:ascii="Times New Roman" w:hAnsi="Times New Roman"/>
          <w:color w:val="000000" w:themeColor="text1"/>
          <w:sz w:val="24"/>
          <w:szCs w:val="24"/>
        </w:rPr>
        <w:t>average</w:t>
      </w:r>
      <w:r w:rsidR="005A2B0C">
        <w:rPr>
          <w:rFonts w:ascii="Times New Roman" w:hAnsi="Times New Roman"/>
          <w:color w:val="000000" w:themeColor="text1"/>
          <w:sz w:val="24"/>
          <w:szCs w:val="24"/>
        </w:rPr>
        <w:t>’</w:t>
      </w:r>
      <w:r w:rsidR="005A2B0C" w:rsidRPr="005D1914">
        <w:rPr>
          <w:rFonts w:ascii="Times New Roman" w:hAnsi="Times New Roman"/>
          <w:color w:val="000000" w:themeColor="text1"/>
          <w:sz w:val="24"/>
          <w:szCs w:val="24"/>
        </w:rPr>
        <w:t>) baseline applies</w:t>
      </w:r>
      <w:r w:rsidR="005A2B0C">
        <w:rPr>
          <w:rFonts w:ascii="Times New Roman" w:hAnsi="Times New Roman"/>
          <w:color w:val="000000" w:themeColor="text1"/>
          <w:sz w:val="24"/>
          <w:szCs w:val="24"/>
        </w:rPr>
        <w:t xml:space="preserve"> to a carbon estimation area</w:t>
      </w:r>
      <w:r w:rsidR="005A2B0C" w:rsidRPr="005D1914">
        <w:rPr>
          <w:rFonts w:ascii="Times New Roman" w:hAnsi="Times New Roman"/>
          <w:color w:val="000000" w:themeColor="text1"/>
          <w:sz w:val="24"/>
          <w:szCs w:val="24"/>
        </w:rPr>
        <w:t xml:space="preserve">. </w:t>
      </w:r>
    </w:p>
    <w:p w:rsidR="001C1EEE" w:rsidRPr="001C1EEE" w:rsidRDefault="001C1EEE" w:rsidP="001C1EEE">
      <w:pPr>
        <w:pStyle w:val="noteMain"/>
        <w:spacing w:before="0" w:after="120" w:line="240" w:lineRule="auto"/>
        <w:ind w:left="0" w:firstLine="0"/>
        <w:rPr>
          <w:rFonts w:eastAsia="Calibri"/>
          <w:color w:val="000000" w:themeColor="text1"/>
          <w:sz w:val="24"/>
          <w:lang w:eastAsia="en-US"/>
        </w:rPr>
      </w:pPr>
    </w:p>
    <w:p w:rsidR="00AD14F1" w:rsidRDefault="00AD14F1" w:rsidP="00986D81">
      <w:pPr>
        <w:keepNext/>
        <w:spacing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Subdivision 4.</w:t>
      </w:r>
      <w:r w:rsidR="004D76DC">
        <w:rPr>
          <w:rFonts w:ascii="Times New Roman" w:hAnsi="Times New Roman"/>
          <w:b/>
          <w:color w:val="000000" w:themeColor="text1"/>
          <w:sz w:val="24"/>
          <w:szCs w:val="24"/>
        </w:rPr>
        <w:t>3</w:t>
      </w:r>
      <w:r>
        <w:rPr>
          <w:rFonts w:ascii="Times New Roman" w:hAnsi="Times New Roman"/>
          <w:b/>
          <w:color w:val="000000" w:themeColor="text1"/>
          <w:sz w:val="24"/>
          <w:szCs w:val="24"/>
        </w:rPr>
        <w:t>.1</w:t>
      </w:r>
      <w:r>
        <w:rPr>
          <w:rFonts w:ascii="Times New Roman" w:hAnsi="Times New Roman"/>
          <w:b/>
          <w:color w:val="000000" w:themeColor="text1"/>
          <w:sz w:val="24"/>
          <w:szCs w:val="24"/>
        </w:rPr>
        <w:tab/>
      </w:r>
      <w:r w:rsidR="008841F4">
        <w:rPr>
          <w:rFonts w:ascii="Times New Roman" w:hAnsi="Times New Roman"/>
          <w:b/>
          <w:color w:val="000000" w:themeColor="text1"/>
          <w:sz w:val="24"/>
          <w:szCs w:val="24"/>
        </w:rPr>
        <w:t>B</w:t>
      </w:r>
      <w:r w:rsidR="004D76DC">
        <w:rPr>
          <w:rFonts w:ascii="Times New Roman" w:hAnsi="Times New Roman"/>
          <w:b/>
          <w:color w:val="000000" w:themeColor="text1"/>
          <w:sz w:val="24"/>
          <w:szCs w:val="24"/>
        </w:rPr>
        <w:t>aseline—g</w:t>
      </w:r>
      <w:r>
        <w:rPr>
          <w:rFonts w:ascii="Times New Roman" w:hAnsi="Times New Roman"/>
          <w:b/>
          <w:color w:val="000000" w:themeColor="text1"/>
          <w:sz w:val="24"/>
          <w:szCs w:val="24"/>
        </w:rPr>
        <w:t>eneral</w:t>
      </w:r>
    </w:p>
    <w:p w:rsidR="005D1914" w:rsidRPr="005D1914" w:rsidRDefault="005D1914" w:rsidP="00986D81">
      <w:pPr>
        <w:keepNext/>
        <w:spacing w:after="120" w:line="240" w:lineRule="auto"/>
        <w:rPr>
          <w:rFonts w:ascii="Times New Roman" w:hAnsi="Times New Roman"/>
          <w:color w:val="000000" w:themeColor="text1"/>
          <w:sz w:val="24"/>
          <w:szCs w:val="24"/>
          <w:u w:val="single"/>
        </w:rPr>
      </w:pPr>
      <w:r w:rsidRPr="005D1914">
        <w:rPr>
          <w:rFonts w:ascii="Times New Roman" w:hAnsi="Times New Roman"/>
          <w:color w:val="000000" w:themeColor="text1"/>
          <w:sz w:val="24"/>
          <w:szCs w:val="24"/>
          <w:u w:val="single"/>
        </w:rPr>
        <w:t>4.5</w:t>
      </w:r>
      <w:r w:rsidRPr="005D1914">
        <w:rPr>
          <w:rFonts w:ascii="Times New Roman" w:hAnsi="Times New Roman"/>
          <w:color w:val="000000" w:themeColor="text1"/>
          <w:sz w:val="24"/>
          <w:szCs w:val="24"/>
          <w:u w:val="single"/>
        </w:rPr>
        <w:tab/>
      </w:r>
      <w:r w:rsidR="001309AA">
        <w:rPr>
          <w:rFonts w:ascii="Times New Roman" w:hAnsi="Times New Roman"/>
          <w:color w:val="000000" w:themeColor="text1"/>
          <w:sz w:val="24"/>
          <w:szCs w:val="24"/>
          <w:u w:val="single"/>
        </w:rPr>
        <w:t>B</w:t>
      </w:r>
      <w:r w:rsidRPr="005D1914">
        <w:rPr>
          <w:rFonts w:ascii="Times New Roman" w:hAnsi="Times New Roman"/>
          <w:color w:val="000000" w:themeColor="text1"/>
          <w:sz w:val="24"/>
          <w:szCs w:val="24"/>
          <w:u w:val="single"/>
        </w:rPr>
        <w:t>aseline—</w:t>
      </w:r>
      <w:r w:rsidR="00FC617D">
        <w:rPr>
          <w:rFonts w:ascii="Times New Roman" w:hAnsi="Times New Roman"/>
          <w:color w:val="000000" w:themeColor="text1"/>
          <w:sz w:val="24"/>
          <w:szCs w:val="24"/>
          <w:u w:val="single"/>
        </w:rPr>
        <w:t>general</w:t>
      </w:r>
    </w:p>
    <w:p w:rsidR="00576803" w:rsidRPr="00576803" w:rsidRDefault="00576803" w:rsidP="00576803">
      <w:pPr>
        <w:spacing w:after="120" w:line="240" w:lineRule="auto"/>
        <w:rPr>
          <w:rFonts w:ascii="Times New Roman" w:hAnsi="Times New Roman"/>
          <w:color w:val="000000" w:themeColor="text1"/>
          <w:sz w:val="24"/>
          <w:szCs w:val="24"/>
        </w:rPr>
      </w:pPr>
      <w:r w:rsidRPr="00576803">
        <w:rPr>
          <w:rFonts w:ascii="Times New Roman" w:hAnsi="Times New Roman"/>
          <w:color w:val="000000" w:themeColor="text1"/>
          <w:sz w:val="24"/>
          <w:szCs w:val="24"/>
        </w:rPr>
        <w:t xml:space="preserve">Section 4.5 </w:t>
      </w:r>
      <w:r w:rsidR="001C1EEE">
        <w:rPr>
          <w:rFonts w:ascii="Times New Roman" w:hAnsi="Times New Roman"/>
          <w:color w:val="000000" w:themeColor="text1"/>
          <w:sz w:val="24"/>
          <w:szCs w:val="24"/>
        </w:rPr>
        <w:t>specifies</w:t>
      </w:r>
      <w:r w:rsidRPr="00576803">
        <w:rPr>
          <w:rFonts w:ascii="Times New Roman" w:hAnsi="Times New Roman"/>
          <w:color w:val="000000" w:themeColor="text1"/>
          <w:sz w:val="24"/>
          <w:szCs w:val="24"/>
        </w:rPr>
        <w:t xml:space="preserve"> the two possible baseline scenarios </w:t>
      </w:r>
      <w:r w:rsidR="001C1EEE">
        <w:rPr>
          <w:rFonts w:ascii="Times New Roman" w:hAnsi="Times New Roman"/>
          <w:color w:val="000000" w:themeColor="text1"/>
          <w:sz w:val="24"/>
          <w:szCs w:val="24"/>
        </w:rPr>
        <w:t>that may be applied to a carbon estimation area</w:t>
      </w:r>
      <w:r w:rsidRPr="00576803">
        <w:rPr>
          <w:rFonts w:ascii="Times New Roman" w:hAnsi="Times New Roman"/>
          <w:color w:val="000000" w:themeColor="text1"/>
          <w:sz w:val="24"/>
          <w:szCs w:val="24"/>
        </w:rPr>
        <w:t>.</w:t>
      </w:r>
    </w:p>
    <w:p w:rsidR="004D76DC" w:rsidRPr="00AF01B4" w:rsidRDefault="004D76DC" w:rsidP="00986D81">
      <w:pPr>
        <w:spacing w:after="120" w:line="240" w:lineRule="auto"/>
        <w:rPr>
          <w:rFonts w:ascii="Times New Roman" w:hAnsi="Times New Roman"/>
          <w:color w:val="000000" w:themeColor="text1"/>
          <w:sz w:val="24"/>
          <w:szCs w:val="24"/>
        </w:rPr>
      </w:pPr>
      <w:r w:rsidRPr="00AF01B4">
        <w:rPr>
          <w:rFonts w:ascii="Times New Roman" w:hAnsi="Times New Roman"/>
          <w:color w:val="000000" w:themeColor="text1"/>
          <w:sz w:val="24"/>
          <w:szCs w:val="24"/>
        </w:rPr>
        <w:t xml:space="preserve">A zero baseline </w:t>
      </w:r>
      <w:r w:rsidR="00B8075B">
        <w:rPr>
          <w:rFonts w:ascii="Times New Roman" w:hAnsi="Times New Roman"/>
          <w:color w:val="000000" w:themeColor="text1"/>
          <w:sz w:val="24"/>
          <w:szCs w:val="24"/>
        </w:rPr>
        <w:t>exists if</w:t>
      </w:r>
      <w:r w:rsidRPr="00AF01B4">
        <w:rPr>
          <w:rFonts w:ascii="Times New Roman" w:hAnsi="Times New Roman"/>
          <w:color w:val="000000" w:themeColor="text1"/>
          <w:sz w:val="24"/>
          <w:szCs w:val="24"/>
        </w:rPr>
        <w:t xml:space="preserve"> there has been ongoing and active suppression of </w:t>
      </w:r>
      <w:r w:rsidR="00AF01B4" w:rsidRPr="00AF01B4">
        <w:rPr>
          <w:rFonts w:ascii="Times New Roman" w:hAnsi="Times New Roman"/>
          <w:color w:val="000000" w:themeColor="text1"/>
          <w:sz w:val="24"/>
          <w:szCs w:val="24"/>
        </w:rPr>
        <w:t xml:space="preserve">regrowth in the </w:t>
      </w:r>
      <w:r w:rsidR="001309AA">
        <w:rPr>
          <w:rFonts w:ascii="Times New Roman" w:hAnsi="Times New Roman"/>
          <w:color w:val="000000" w:themeColor="text1"/>
          <w:sz w:val="24"/>
          <w:szCs w:val="24"/>
        </w:rPr>
        <w:t>carbon estimation area</w:t>
      </w:r>
      <w:r w:rsidR="00AF01B4" w:rsidRPr="00AF01B4">
        <w:rPr>
          <w:rFonts w:ascii="Times New Roman" w:hAnsi="Times New Roman"/>
          <w:color w:val="000000" w:themeColor="text1"/>
          <w:sz w:val="24"/>
          <w:szCs w:val="24"/>
        </w:rPr>
        <w:t xml:space="preserve"> </w:t>
      </w:r>
      <w:r w:rsidRPr="00AF01B4">
        <w:rPr>
          <w:rFonts w:ascii="Times New Roman" w:hAnsi="Times New Roman"/>
          <w:color w:val="000000" w:themeColor="text1"/>
          <w:sz w:val="24"/>
          <w:szCs w:val="24"/>
        </w:rPr>
        <w:t xml:space="preserve">such that the C mass of trees has been immaterial for the 10 years </w:t>
      </w:r>
      <w:r w:rsidR="00AF01B4" w:rsidRPr="00AF01B4">
        <w:rPr>
          <w:rFonts w:ascii="Times New Roman" w:hAnsi="Times New Roman"/>
          <w:color w:val="000000" w:themeColor="text1"/>
          <w:sz w:val="24"/>
          <w:szCs w:val="24"/>
        </w:rPr>
        <w:t>before</w:t>
      </w:r>
      <w:r w:rsidR="00576803">
        <w:rPr>
          <w:rFonts w:ascii="Times New Roman" w:hAnsi="Times New Roman"/>
          <w:color w:val="000000" w:themeColor="text1"/>
          <w:sz w:val="24"/>
          <w:szCs w:val="24"/>
        </w:rPr>
        <w:t xml:space="preserve"> the</w:t>
      </w:r>
      <w:r w:rsidR="00AF01B4" w:rsidRPr="00AF01B4">
        <w:rPr>
          <w:rFonts w:ascii="Times New Roman" w:hAnsi="Times New Roman"/>
          <w:color w:val="000000" w:themeColor="text1"/>
          <w:sz w:val="24"/>
          <w:szCs w:val="24"/>
        </w:rPr>
        <w:t xml:space="preserve"> p</w:t>
      </w:r>
      <w:r w:rsidRPr="00AF01B4">
        <w:rPr>
          <w:rFonts w:ascii="Times New Roman" w:hAnsi="Times New Roman"/>
          <w:color w:val="000000" w:themeColor="text1"/>
          <w:sz w:val="24"/>
          <w:szCs w:val="24"/>
        </w:rPr>
        <w:t xml:space="preserve">roject </w:t>
      </w:r>
      <w:r w:rsidR="00576803">
        <w:rPr>
          <w:rFonts w:ascii="Times New Roman" w:hAnsi="Times New Roman"/>
          <w:color w:val="000000" w:themeColor="text1"/>
          <w:sz w:val="24"/>
          <w:szCs w:val="24"/>
        </w:rPr>
        <w:t>mechanism is implemented in the area</w:t>
      </w:r>
      <w:r w:rsidRPr="00AF01B4">
        <w:rPr>
          <w:rFonts w:ascii="Times New Roman" w:hAnsi="Times New Roman"/>
          <w:color w:val="000000" w:themeColor="text1"/>
          <w:sz w:val="24"/>
          <w:szCs w:val="24"/>
        </w:rPr>
        <w:t>.</w:t>
      </w:r>
    </w:p>
    <w:p w:rsidR="004D76DC" w:rsidRDefault="004D76DC" w:rsidP="00986D81">
      <w:pPr>
        <w:spacing w:after="120" w:line="240" w:lineRule="auto"/>
        <w:rPr>
          <w:rFonts w:ascii="Times New Roman" w:hAnsi="Times New Roman"/>
          <w:color w:val="000000" w:themeColor="text1"/>
          <w:sz w:val="24"/>
          <w:szCs w:val="24"/>
        </w:rPr>
      </w:pPr>
      <w:r w:rsidRPr="005D1914">
        <w:rPr>
          <w:rFonts w:ascii="Times New Roman" w:hAnsi="Times New Roman"/>
          <w:color w:val="000000" w:themeColor="text1"/>
          <w:sz w:val="24"/>
          <w:szCs w:val="24"/>
        </w:rPr>
        <w:t xml:space="preserve">A non-zero baseline exists </w:t>
      </w:r>
      <w:r w:rsidR="00B8075B">
        <w:rPr>
          <w:rFonts w:ascii="Times New Roman" w:hAnsi="Times New Roman"/>
          <w:color w:val="000000" w:themeColor="text1"/>
          <w:sz w:val="24"/>
          <w:szCs w:val="24"/>
        </w:rPr>
        <w:t>if</w:t>
      </w:r>
      <w:r w:rsidRPr="005D1914">
        <w:rPr>
          <w:rFonts w:ascii="Times New Roman" w:hAnsi="Times New Roman"/>
          <w:color w:val="000000" w:themeColor="text1"/>
          <w:sz w:val="24"/>
          <w:szCs w:val="24"/>
        </w:rPr>
        <w:t xml:space="preserve"> the C mass of trees has </w:t>
      </w:r>
      <w:r w:rsidR="00576803">
        <w:rPr>
          <w:rFonts w:ascii="Times New Roman" w:hAnsi="Times New Roman"/>
          <w:color w:val="000000" w:themeColor="text1"/>
          <w:sz w:val="24"/>
          <w:szCs w:val="24"/>
        </w:rPr>
        <w:t>reached</w:t>
      </w:r>
      <w:r w:rsidRPr="005D1914">
        <w:rPr>
          <w:rFonts w:ascii="Times New Roman" w:hAnsi="Times New Roman"/>
          <w:color w:val="000000" w:themeColor="text1"/>
          <w:sz w:val="24"/>
          <w:szCs w:val="24"/>
        </w:rPr>
        <w:t xml:space="preserve"> </w:t>
      </w:r>
      <w:r w:rsidR="00F24211">
        <w:rPr>
          <w:rFonts w:ascii="Times New Roman" w:hAnsi="Times New Roman"/>
          <w:color w:val="000000" w:themeColor="text1"/>
          <w:sz w:val="24"/>
          <w:szCs w:val="24"/>
        </w:rPr>
        <w:t xml:space="preserve">a </w:t>
      </w:r>
      <w:r w:rsidRPr="005D1914">
        <w:rPr>
          <w:rFonts w:ascii="Times New Roman" w:hAnsi="Times New Roman"/>
          <w:color w:val="000000" w:themeColor="text1"/>
          <w:sz w:val="24"/>
          <w:szCs w:val="24"/>
        </w:rPr>
        <w:t xml:space="preserve">material </w:t>
      </w:r>
      <w:r w:rsidR="00F24211">
        <w:rPr>
          <w:rFonts w:ascii="Times New Roman" w:hAnsi="Times New Roman"/>
          <w:color w:val="000000" w:themeColor="text1"/>
          <w:sz w:val="24"/>
          <w:szCs w:val="24"/>
        </w:rPr>
        <w:t>level</w:t>
      </w:r>
      <w:r w:rsidR="00576803">
        <w:rPr>
          <w:rFonts w:ascii="Times New Roman" w:hAnsi="Times New Roman"/>
          <w:color w:val="000000" w:themeColor="text1"/>
          <w:sz w:val="24"/>
          <w:szCs w:val="24"/>
        </w:rPr>
        <w:t xml:space="preserve"> </w:t>
      </w:r>
      <w:r w:rsidRPr="005D1914">
        <w:rPr>
          <w:rFonts w:ascii="Times New Roman" w:hAnsi="Times New Roman"/>
          <w:color w:val="000000" w:themeColor="text1"/>
          <w:sz w:val="24"/>
          <w:szCs w:val="24"/>
        </w:rPr>
        <w:t xml:space="preserve">from time to time </w:t>
      </w:r>
      <w:r w:rsidR="00D07C88">
        <w:rPr>
          <w:rFonts w:ascii="Times New Roman" w:hAnsi="Times New Roman"/>
          <w:color w:val="000000" w:themeColor="text1"/>
          <w:sz w:val="24"/>
          <w:szCs w:val="24"/>
        </w:rPr>
        <w:t xml:space="preserve">during </w:t>
      </w:r>
      <w:r w:rsidR="00D07C88" w:rsidRPr="00AF01B4">
        <w:rPr>
          <w:rFonts w:ascii="Times New Roman" w:hAnsi="Times New Roman"/>
          <w:color w:val="000000" w:themeColor="text1"/>
          <w:sz w:val="24"/>
          <w:szCs w:val="24"/>
        </w:rPr>
        <w:t>the 10 years before</w:t>
      </w:r>
      <w:r w:rsidR="00D07C88">
        <w:rPr>
          <w:rFonts w:ascii="Times New Roman" w:hAnsi="Times New Roman"/>
          <w:color w:val="000000" w:themeColor="text1"/>
          <w:sz w:val="24"/>
          <w:szCs w:val="24"/>
        </w:rPr>
        <w:t xml:space="preserve"> the</w:t>
      </w:r>
      <w:r w:rsidR="00D07C88" w:rsidRPr="00AF01B4">
        <w:rPr>
          <w:rFonts w:ascii="Times New Roman" w:hAnsi="Times New Roman"/>
          <w:color w:val="000000" w:themeColor="text1"/>
          <w:sz w:val="24"/>
          <w:szCs w:val="24"/>
        </w:rPr>
        <w:t xml:space="preserve"> project </w:t>
      </w:r>
      <w:r w:rsidR="00D07C88">
        <w:rPr>
          <w:rFonts w:ascii="Times New Roman" w:hAnsi="Times New Roman"/>
          <w:color w:val="000000" w:themeColor="text1"/>
          <w:sz w:val="24"/>
          <w:szCs w:val="24"/>
        </w:rPr>
        <w:t>mechanism is implemented in the carbon estimation area</w:t>
      </w:r>
      <w:r w:rsidR="00571681">
        <w:rPr>
          <w:rFonts w:ascii="Times New Roman" w:hAnsi="Times New Roman"/>
          <w:color w:val="000000" w:themeColor="text1"/>
          <w:sz w:val="24"/>
          <w:szCs w:val="24"/>
        </w:rPr>
        <w:t xml:space="preserve">.  </w:t>
      </w:r>
      <w:r w:rsidRPr="005D1914">
        <w:rPr>
          <w:rFonts w:ascii="Times New Roman" w:hAnsi="Times New Roman"/>
          <w:color w:val="000000" w:themeColor="text1"/>
          <w:sz w:val="24"/>
          <w:szCs w:val="24"/>
        </w:rPr>
        <w:t>In these circumstances a long</w:t>
      </w:r>
      <w:r w:rsidR="005D1914">
        <w:rPr>
          <w:rFonts w:ascii="Times New Roman" w:hAnsi="Times New Roman"/>
          <w:color w:val="000000" w:themeColor="text1"/>
          <w:sz w:val="24"/>
          <w:szCs w:val="24"/>
        </w:rPr>
        <w:t>-</w:t>
      </w:r>
      <w:r w:rsidRPr="005D1914">
        <w:rPr>
          <w:rFonts w:ascii="Times New Roman" w:hAnsi="Times New Roman"/>
          <w:color w:val="000000" w:themeColor="text1"/>
          <w:sz w:val="24"/>
          <w:szCs w:val="24"/>
        </w:rPr>
        <w:t xml:space="preserve">term average of carbon stocks </w:t>
      </w:r>
      <w:r w:rsidR="001309AA">
        <w:rPr>
          <w:rFonts w:ascii="Times New Roman" w:hAnsi="Times New Roman"/>
          <w:color w:val="000000" w:themeColor="text1"/>
          <w:sz w:val="24"/>
          <w:szCs w:val="24"/>
        </w:rPr>
        <w:t>in the area</w:t>
      </w:r>
      <w:r w:rsidRPr="005D1914">
        <w:rPr>
          <w:rFonts w:ascii="Times New Roman" w:hAnsi="Times New Roman"/>
          <w:color w:val="000000" w:themeColor="text1"/>
          <w:sz w:val="24"/>
          <w:szCs w:val="24"/>
        </w:rPr>
        <w:t xml:space="preserve"> must be calculated. </w:t>
      </w:r>
    </w:p>
    <w:p w:rsidR="00F24211" w:rsidRPr="00F24211" w:rsidRDefault="00F24211" w:rsidP="00986D81">
      <w:pPr>
        <w:spacing w:after="120" w:line="240" w:lineRule="auto"/>
        <w:rPr>
          <w:rFonts w:ascii="Times New Roman" w:hAnsi="Times New Roman"/>
          <w:sz w:val="24"/>
          <w:szCs w:val="24"/>
        </w:rPr>
      </w:pPr>
      <w:r w:rsidRPr="00A52848">
        <w:rPr>
          <w:rFonts w:ascii="Times New Roman" w:hAnsi="Times New Roman"/>
          <w:b/>
          <w:i/>
          <w:sz w:val="24"/>
          <w:szCs w:val="24"/>
        </w:rPr>
        <w:t xml:space="preserve">Material level </w:t>
      </w:r>
      <w:r>
        <w:rPr>
          <w:rFonts w:ascii="Times New Roman" w:hAnsi="Times New Roman"/>
          <w:sz w:val="24"/>
          <w:szCs w:val="24"/>
        </w:rPr>
        <w:t xml:space="preserve">refers to a threshold test for the C mass of trees in a carbon estimation area.  FullCAM is used to model the C mass of trees in the carbon estimation area over </w:t>
      </w:r>
      <w:r w:rsidR="00A33881">
        <w:rPr>
          <w:rFonts w:ascii="Times New Roman" w:hAnsi="Times New Roman"/>
          <w:sz w:val="24"/>
          <w:szCs w:val="24"/>
        </w:rPr>
        <w:t>100 years</w:t>
      </w:r>
      <w:r>
        <w:rPr>
          <w:rFonts w:ascii="Times New Roman" w:hAnsi="Times New Roman"/>
          <w:sz w:val="24"/>
          <w:szCs w:val="24"/>
        </w:rPr>
        <w:t xml:space="preserve">.  If the level of C mass of trees </w:t>
      </w:r>
      <w:r w:rsidR="00A33881">
        <w:rPr>
          <w:rFonts w:ascii="Times New Roman" w:hAnsi="Times New Roman"/>
          <w:sz w:val="24"/>
          <w:szCs w:val="24"/>
        </w:rPr>
        <w:t>is ever</w:t>
      </w:r>
      <w:r>
        <w:rPr>
          <w:rFonts w:ascii="Times New Roman" w:hAnsi="Times New Roman"/>
          <w:sz w:val="24"/>
          <w:szCs w:val="24"/>
        </w:rPr>
        <w:t xml:space="preserve"> greater than 5% of the amount of C mass of trees at the end of the modelled period, then the C mass of trees has reached a material level</w:t>
      </w:r>
      <w:r w:rsidR="00A33881">
        <w:rPr>
          <w:rFonts w:ascii="Times New Roman" w:hAnsi="Times New Roman"/>
          <w:sz w:val="24"/>
          <w:szCs w:val="24"/>
        </w:rPr>
        <w:t xml:space="preserve"> during the 100 year</w:t>
      </w:r>
      <w:r w:rsidR="00BC3D86">
        <w:rPr>
          <w:rFonts w:ascii="Times New Roman" w:hAnsi="Times New Roman"/>
          <w:sz w:val="24"/>
          <w:szCs w:val="24"/>
        </w:rPr>
        <w:t>s</w:t>
      </w:r>
      <w:r>
        <w:rPr>
          <w:rFonts w:ascii="Times New Roman" w:hAnsi="Times New Roman"/>
          <w:sz w:val="24"/>
          <w:szCs w:val="24"/>
        </w:rPr>
        <w:t>.</w:t>
      </w:r>
    </w:p>
    <w:p w:rsidR="00FC617D" w:rsidRPr="005D1914" w:rsidRDefault="00FC617D" w:rsidP="00986D81">
      <w:pPr>
        <w:keepNext/>
        <w:spacing w:after="120" w:line="240" w:lineRule="auto"/>
        <w:rPr>
          <w:rFonts w:ascii="Times New Roman" w:hAnsi="Times New Roman"/>
          <w:color w:val="000000" w:themeColor="text1"/>
          <w:sz w:val="24"/>
          <w:szCs w:val="24"/>
          <w:u w:val="single"/>
        </w:rPr>
      </w:pPr>
      <w:r w:rsidRPr="005D1914">
        <w:rPr>
          <w:rFonts w:ascii="Times New Roman" w:hAnsi="Times New Roman"/>
          <w:color w:val="000000" w:themeColor="text1"/>
          <w:sz w:val="24"/>
          <w:szCs w:val="24"/>
          <w:u w:val="single"/>
        </w:rPr>
        <w:t>4.</w:t>
      </w:r>
      <w:r>
        <w:rPr>
          <w:rFonts w:ascii="Times New Roman" w:hAnsi="Times New Roman"/>
          <w:color w:val="000000" w:themeColor="text1"/>
          <w:sz w:val="24"/>
          <w:szCs w:val="24"/>
          <w:u w:val="single"/>
        </w:rPr>
        <w:t>6</w:t>
      </w:r>
      <w:r w:rsidRPr="005D1914">
        <w:rPr>
          <w:rFonts w:ascii="Times New Roman" w:hAnsi="Times New Roman"/>
          <w:color w:val="000000" w:themeColor="text1"/>
          <w:sz w:val="24"/>
          <w:szCs w:val="24"/>
          <w:u w:val="single"/>
        </w:rPr>
        <w:tab/>
      </w:r>
      <w:r w:rsidR="00571681">
        <w:rPr>
          <w:rFonts w:ascii="Times New Roman" w:hAnsi="Times New Roman"/>
          <w:color w:val="000000" w:themeColor="text1"/>
          <w:sz w:val="24"/>
          <w:szCs w:val="24"/>
          <w:u w:val="single"/>
        </w:rPr>
        <w:t>B</w:t>
      </w:r>
      <w:r w:rsidRPr="005D1914">
        <w:rPr>
          <w:rFonts w:ascii="Times New Roman" w:hAnsi="Times New Roman"/>
          <w:color w:val="000000" w:themeColor="text1"/>
          <w:sz w:val="24"/>
          <w:szCs w:val="24"/>
          <w:u w:val="single"/>
        </w:rPr>
        <w:t>aseline—</w:t>
      </w:r>
      <w:r w:rsidR="00554EE7">
        <w:rPr>
          <w:rFonts w:ascii="Times New Roman" w:hAnsi="Times New Roman"/>
          <w:color w:val="000000" w:themeColor="text1"/>
          <w:sz w:val="24"/>
          <w:szCs w:val="24"/>
          <w:u w:val="single"/>
        </w:rPr>
        <w:t xml:space="preserve">establishing </w:t>
      </w:r>
      <w:r w:rsidRPr="005D1914">
        <w:rPr>
          <w:rFonts w:ascii="Times New Roman" w:hAnsi="Times New Roman"/>
          <w:color w:val="000000" w:themeColor="text1"/>
          <w:sz w:val="24"/>
          <w:szCs w:val="24"/>
          <w:u w:val="single"/>
        </w:rPr>
        <w:t>forest potential date</w:t>
      </w:r>
    </w:p>
    <w:p w:rsidR="00D35CA2" w:rsidRDefault="00571681"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Land on which the project mechanism will be </w:t>
      </w:r>
      <w:r w:rsidR="00E45119">
        <w:rPr>
          <w:rFonts w:ascii="Times New Roman" w:hAnsi="Times New Roman"/>
          <w:color w:val="000000" w:themeColor="text1"/>
          <w:sz w:val="24"/>
          <w:szCs w:val="24"/>
        </w:rPr>
        <w:t>implemented</w:t>
      </w:r>
      <w:r w:rsidR="00D35CA2" w:rsidRPr="00D35CA2">
        <w:rPr>
          <w:rFonts w:ascii="Times New Roman" w:hAnsi="Times New Roman"/>
          <w:color w:val="000000" w:themeColor="text1"/>
          <w:sz w:val="24"/>
          <w:szCs w:val="24"/>
        </w:rPr>
        <w:t xml:space="preserve"> must have forest potential. </w:t>
      </w:r>
      <w:r w:rsidR="00F24211">
        <w:rPr>
          <w:rFonts w:ascii="Times New Roman" w:hAnsi="Times New Roman"/>
          <w:color w:val="000000" w:themeColor="text1"/>
          <w:sz w:val="24"/>
          <w:szCs w:val="24"/>
        </w:rPr>
        <w:t>This means it is likely to</w:t>
      </w:r>
      <w:r w:rsidR="00D35CA2" w:rsidRPr="00D35CA2">
        <w:rPr>
          <w:rFonts w:ascii="Times New Roman" w:hAnsi="Times New Roman"/>
          <w:color w:val="000000" w:themeColor="text1"/>
          <w:sz w:val="24"/>
          <w:szCs w:val="24"/>
        </w:rPr>
        <w:t xml:space="preserve"> have or develop sufficient density of regenerating woody plants (or regrowth) to be capable of developing into a forest given a change in land management. </w:t>
      </w:r>
    </w:p>
    <w:p w:rsidR="006B0DA4" w:rsidRPr="00D97AB3" w:rsidRDefault="006B0DA4" w:rsidP="00986D81">
      <w:pPr>
        <w:spacing w:after="120" w:line="240" w:lineRule="auto"/>
        <w:rPr>
          <w:rFonts w:ascii="Times New Roman" w:hAnsi="Times New Roman"/>
          <w:color w:val="000000" w:themeColor="text1"/>
          <w:sz w:val="24"/>
          <w:szCs w:val="24"/>
        </w:rPr>
      </w:pPr>
      <w:r w:rsidRPr="00D97AB3">
        <w:rPr>
          <w:rFonts w:ascii="Times New Roman" w:hAnsi="Times New Roman"/>
          <w:color w:val="000000" w:themeColor="text1"/>
          <w:sz w:val="24"/>
          <w:szCs w:val="24"/>
        </w:rPr>
        <w:t xml:space="preserve">Under the Determination, forest potential </w:t>
      </w:r>
      <w:r w:rsidR="00554EE7">
        <w:rPr>
          <w:rFonts w:ascii="Times New Roman" w:hAnsi="Times New Roman"/>
          <w:color w:val="000000" w:themeColor="text1"/>
          <w:sz w:val="24"/>
          <w:szCs w:val="24"/>
        </w:rPr>
        <w:t>exists</w:t>
      </w:r>
      <w:r w:rsidRPr="00D97AB3">
        <w:rPr>
          <w:rFonts w:ascii="Times New Roman" w:hAnsi="Times New Roman"/>
          <w:color w:val="000000" w:themeColor="text1"/>
          <w:sz w:val="24"/>
          <w:szCs w:val="24"/>
        </w:rPr>
        <w:t xml:space="preserve"> when the carbon estimation area supports enough stems of appropriate tree species to ha</w:t>
      </w:r>
      <w:r w:rsidR="00EC05A8">
        <w:rPr>
          <w:rFonts w:ascii="Times New Roman" w:hAnsi="Times New Roman"/>
          <w:color w:val="000000" w:themeColor="text1"/>
          <w:sz w:val="24"/>
          <w:szCs w:val="24"/>
        </w:rPr>
        <w:t xml:space="preserve">ve the potential to achieve </w:t>
      </w:r>
      <w:r w:rsidRPr="00D97AB3">
        <w:rPr>
          <w:rFonts w:ascii="Times New Roman" w:hAnsi="Times New Roman"/>
          <w:color w:val="000000" w:themeColor="text1"/>
          <w:sz w:val="24"/>
          <w:szCs w:val="24"/>
        </w:rPr>
        <w:t xml:space="preserve">20% crown cover and minimum 2 metres </w:t>
      </w:r>
      <w:r w:rsidR="00EC05A8">
        <w:rPr>
          <w:rFonts w:ascii="Times New Roman" w:hAnsi="Times New Roman"/>
          <w:color w:val="000000" w:themeColor="text1"/>
          <w:sz w:val="24"/>
          <w:szCs w:val="24"/>
        </w:rPr>
        <w:t>height</w:t>
      </w:r>
      <w:r w:rsidRPr="00D97AB3">
        <w:rPr>
          <w:rFonts w:ascii="Times New Roman" w:hAnsi="Times New Roman"/>
          <w:color w:val="000000" w:themeColor="text1"/>
          <w:sz w:val="24"/>
          <w:szCs w:val="24"/>
        </w:rPr>
        <w:t xml:space="preserve">. </w:t>
      </w:r>
    </w:p>
    <w:p w:rsidR="00BE4926" w:rsidRDefault="006B0DA4" w:rsidP="00BE4926">
      <w:pPr>
        <w:pStyle w:val="Bullet"/>
        <w:numPr>
          <w:ilvl w:val="0"/>
          <w:numId w:val="0"/>
        </w:numPr>
        <w:spacing w:before="0" w:line="240" w:lineRule="auto"/>
        <w:rPr>
          <w:rFonts w:ascii="Times New Roman" w:eastAsia="Calibri" w:hAnsi="Times New Roman"/>
          <w:color w:val="000000" w:themeColor="text1"/>
          <w:sz w:val="24"/>
          <w:szCs w:val="24"/>
        </w:rPr>
      </w:pPr>
      <w:r w:rsidRPr="00D97AB3">
        <w:rPr>
          <w:rFonts w:ascii="Times New Roman" w:eastAsia="Calibri" w:hAnsi="Times New Roman"/>
          <w:color w:val="000000" w:themeColor="text1"/>
          <w:sz w:val="24"/>
          <w:szCs w:val="24"/>
        </w:rPr>
        <w:t>The table below sets out the minimum stem density required to achieve 20% crown cover for a given crown diameter, assuming a circular crown area. Failure to meet these assumptions—such as where the distribution of trees in a stand is clumped or widely spaced</w:t>
      </w:r>
      <w:r w:rsidR="00D97AB3" w:rsidRPr="00D97AB3">
        <w:rPr>
          <w:rFonts w:ascii="Times New Roman" w:eastAsia="Calibri" w:hAnsi="Times New Roman"/>
          <w:color w:val="000000" w:themeColor="text1"/>
          <w:sz w:val="24"/>
          <w:szCs w:val="24"/>
        </w:rPr>
        <w:t>—</w:t>
      </w:r>
      <w:r w:rsidRPr="00D97AB3">
        <w:rPr>
          <w:rFonts w:ascii="Times New Roman" w:eastAsia="Calibri" w:hAnsi="Times New Roman"/>
          <w:color w:val="000000" w:themeColor="text1"/>
          <w:sz w:val="24"/>
          <w:szCs w:val="24"/>
        </w:rPr>
        <w:t>will increase</w:t>
      </w:r>
      <w:r w:rsidRPr="00D97AB3" w:rsidDel="00295216">
        <w:rPr>
          <w:rFonts w:ascii="Times New Roman" w:eastAsia="Calibri" w:hAnsi="Times New Roman"/>
          <w:color w:val="000000" w:themeColor="text1"/>
          <w:sz w:val="24"/>
          <w:szCs w:val="24"/>
        </w:rPr>
        <w:t xml:space="preserve"> </w:t>
      </w:r>
      <w:r w:rsidRPr="00D97AB3">
        <w:rPr>
          <w:rFonts w:ascii="Times New Roman" w:eastAsia="Calibri" w:hAnsi="Times New Roman"/>
          <w:color w:val="000000" w:themeColor="text1"/>
          <w:sz w:val="24"/>
          <w:szCs w:val="24"/>
        </w:rPr>
        <w:t>the tree density required. Pro</w:t>
      </w:r>
      <w:r w:rsidR="00D97AB3" w:rsidRPr="00D97AB3">
        <w:rPr>
          <w:rFonts w:ascii="Times New Roman" w:eastAsia="Calibri" w:hAnsi="Times New Roman"/>
          <w:color w:val="000000" w:themeColor="text1"/>
          <w:sz w:val="24"/>
          <w:szCs w:val="24"/>
        </w:rPr>
        <w:t>ject pro</w:t>
      </w:r>
      <w:r w:rsidRPr="00D97AB3">
        <w:rPr>
          <w:rFonts w:ascii="Times New Roman" w:eastAsia="Calibri" w:hAnsi="Times New Roman"/>
          <w:color w:val="000000" w:themeColor="text1"/>
          <w:sz w:val="24"/>
          <w:szCs w:val="24"/>
        </w:rPr>
        <w:t xml:space="preserve">ponents are encouraged to ensure that there is sufficient </w:t>
      </w:r>
      <w:r w:rsidR="00D97AB3" w:rsidRPr="00D97AB3">
        <w:rPr>
          <w:rFonts w:ascii="Times New Roman" w:eastAsia="Calibri" w:hAnsi="Times New Roman"/>
          <w:color w:val="000000" w:themeColor="text1"/>
          <w:sz w:val="24"/>
          <w:szCs w:val="24"/>
        </w:rPr>
        <w:t>r</w:t>
      </w:r>
      <w:r w:rsidRPr="00D97AB3">
        <w:rPr>
          <w:rFonts w:ascii="Times New Roman" w:eastAsia="Calibri" w:hAnsi="Times New Roman"/>
          <w:color w:val="000000" w:themeColor="text1"/>
          <w:sz w:val="24"/>
          <w:szCs w:val="24"/>
        </w:rPr>
        <w:t xml:space="preserve">egrowth </w:t>
      </w:r>
      <w:r w:rsidR="00A0786E">
        <w:rPr>
          <w:rFonts w:ascii="Times New Roman" w:eastAsia="Calibri" w:hAnsi="Times New Roman"/>
          <w:color w:val="000000" w:themeColor="text1"/>
          <w:sz w:val="24"/>
          <w:szCs w:val="24"/>
        </w:rPr>
        <w:t xml:space="preserve">at the implementation date </w:t>
      </w:r>
      <w:r w:rsidRPr="00D97AB3">
        <w:rPr>
          <w:rFonts w:ascii="Times New Roman" w:eastAsia="Calibri" w:hAnsi="Times New Roman"/>
          <w:color w:val="000000" w:themeColor="text1"/>
          <w:sz w:val="24"/>
          <w:szCs w:val="24"/>
        </w:rPr>
        <w:t xml:space="preserve">to allow for some </w:t>
      </w:r>
      <w:r w:rsidR="005B6C8F">
        <w:rPr>
          <w:rFonts w:ascii="Times New Roman" w:eastAsia="Calibri" w:hAnsi="Times New Roman"/>
          <w:color w:val="000000" w:themeColor="text1"/>
          <w:sz w:val="24"/>
          <w:szCs w:val="24"/>
        </w:rPr>
        <w:t>variation from</w:t>
      </w:r>
      <w:r w:rsidRPr="00D97AB3">
        <w:rPr>
          <w:rFonts w:ascii="Times New Roman" w:eastAsia="Calibri" w:hAnsi="Times New Roman"/>
          <w:color w:val="000000" w:themeColor="text1"/>
          <w:sz w:val="24"/>
          <w:szCs w:val="24"/>
        </w:rPr>
        <w:t xml:space="preserve"> these assumptions and a buffer for mortality, and</w:t>
      </w:r>
      <w:r w:rsidR="00D97AB3" w:rsidRPr="00D97AB3">
        <w:rPr>
          <w:rFonts w:ascii="Times New Roman" w:eastAsia="Calibri" w:hAnsi="Times New Roman"/>
          <w:color w:val="000000" w:themeColor="text1"/>
          <w:sz w:val="24"/>
          <w:szCs w:val="24"/>
        </w:rPr>
        <w:t xml:space="preserve"> to</w:t>
      </w:r>
      <w:r w:rsidRPr="00D97AB3">
        <w:rPr>
          <w:rFonts w:ascii="Times New Roman" w:eastAsia="Calibri" w:hAnsi="Times New Roman"/>
          <w:color w:val="000000" w:themeColor="text1"/>
          <w:sz w:val="24"/>
          <w:szCs w:val="24"/>
        </w:rPr>
        <w:t xml:space="preserve"> ensure that greater than 20</w:t>
      </w:r>
      <w:r w:rsidR="00D97AB3" w:rsidRPr="00D97AB3">
        <w:rPr>
          <w:rFonts w:ascii="Times New Roman" w:eastAsia="Calibri" w:hAnsi="Times New Roman"/>
          <w:color w:val="000000" w:themeColor="text1"/>
          <w:sz w:val="24"/>
          <w:szCs w:val="24"/>
        </w:rPr>
        <w:t>%</w:t>
      </w:r>
      <w:r w:rsidRPr="00D97AB3">
        <w:rPr>
          <w:rFonts w:ascii="Times New Roman" w:eastAsia="Calibri" w:hAnsi="Times New Roman"/>
          <w:color w:val="000000" w:themeColor="text1"/>
          <w:sz w:val="24"/>
          <w:szCs w:val="24"/>
        </w:rPr>
        <w:t xml:space="preserve"> crown cover can be achieved and maintained.</w:t>
      </w:r>
    </w:p>
    <w:p w:rsidR="006B0DA4" w:rsidRPr="00D97AB3" w:rsidRDefault="00D97AB3" w:rsidP="00BE4926">
      <w:pPr>
        <w:pStyle w:val="Bullet"/>
        <w:keepNext/>
        <w:keepLines/>
        <w:numPr>
          <w:ilvl w:val="0"/>
          <w:numId w:val="0"/>
        </w:numPr>
        <w:spacing w:before="0" w:line="240" w:lineRule="auto"/>
        <w:rPr>
          <w:rFonts w:ascii="Times New Roman" w:hAnsi="Times New Roman"/>
          <w:i/>
          <w:sz w:val="24"/>
        </w:rPr>
      </w:pPr>
      <w:r w:rsidRPr="00D97AB3">
        <w:rPr>
          <w:rFonts w:ascii="Times New Roman" w:hAnsi="Times New Roman"/>
          <w:i/>
          <w:sz w:val="24"/>
        </w:rPr>
        <w:lastRenderedPageBreak/>
        <w:t>Table</w:t>
      </w:r>
      <w:r w:rsidR="00C3384E">
        <w:rPr>
          <w:rFonts w:ascii="Times New Roman" w:hAnsi="Times New Roman"/>
          <w:i/>
          <w:sz w:val="24"/>
        </w:rPr>
        <w:t xml:space="preserve"> 3—</w:t>
      </w:r>
      <w:r w:rsidR="006B0DA4" w:rsidRPr="00D97AB3">
        <w:rPr>
          <w:rFonts w:ascii="Times New Roman" w:hAnsi="Times New Roman"/>
          <w:i/>
          <w:sz w:val="24"/>
        </w:rPr>
        <w:t xml:space="preserve">Minimum number of trees per hectare to achieve </w:t>
      </w:r>
      <w:r w:rsidRPr="00D97AB3">
        <w:rPr>
          <w:rFonts w:ascii="Times New Roman" w:hAnsi="Times New Roman"/>
          <w:i/>
          <w:sz w:val="24"/>
        </w:rPr>
        <w:t xml:space="preserve">20% </w:t>
      </w:r>
      <w:r w:rsidR="00BE4926">
        <w:rPr>
          <w:rFonts w:ascii="Times New Roman" w:hAnsi="Times New Roman"/>
          <w:i/>
          <w:sz w:val="24"/>
        </w:rPr>
        <w:t xml:space="preserve">crown cover in a stand of trees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8"/>
        <w:gridCol w:w="1559"/>
        <w:gridCol w:w="1549"/>
        <w:gridCol w:w="4070"/>
      </w:tblGrid>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b/>
              </w:rPr>
            </w:pPr>
            <w:r w:rsidRPr="007E5C86">
              <w:rPr>
                <w:rFonts w:ascii="Times New Roman" w:hAnsi="Times New Roman"/>
                <w:b/>
              </w:rPr>
              <w:t>Mature crown diameter per tree (m)</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b/>
              </w:rPr>
            </w:pPr>
            <w:r w:rsidRPr="007E5C86">
              <w:rPr>
                <w:rFonts w:ascii="Times New Roman" w:hAnsi="Times New Roman"/>
                <w:b/>
              </w:rPr>
              <w:t>Crown area per tree at maturity (m</w:t>
            </w:r>
            <w:r w:rsidRPr="007E5C86">
              <w:rPr>
                <w:rFonts w:ascii="Times New Roman" w:hAnsi="Times New Roman"/>
                <w:b/>
                <w:vertAlign w:val="superscript"/>
              </w:rPr>
              <w:t>2</w:t>
            </w:r>
            <w:r w:rsidRPr="007E5C86">
              <w:rPr>
                <w:rFonts w:ascii="Times New Roman" w:hAnsi="Times New Roman"/>
                <w:b/>
              </w:rPr>
              <w:t>)</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b/>
              </w:rPr>
            </w:pPr>
            <w:r w:rsidRPr="007E5C86">
              <w:rPr>
                <w:rFonts w:ascii="Times New Roman" w:hAnsi="Times New Roman"/>
                <w:b/>
              </w:rPr>
              <w:t>Crown area per tree at maturity (ha)</w:t>
            </w:r>
          </w:p>
        </w:tc>
        <w:tc>
          <w:tcPr>
            <w:tcW w:w="4070" w:type="dxa"/>
            <w:tcBorders>
              <w:top w:val="single" w:sz="4" w:space="0" w:color="000000"/>
              <w:left w:val="single" w:sz="4" w:space="0" w:color="000000"/>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b/>
              </w:rPr>
            </w:pPr>
            <w:r w:rsidRPr="007E5C86">
              <w:rPr>
                <w:rFonts w:ascii="Times New Roman" w:hAnsi="Times New Roman"/>
                <w:b/>
              </w:rPr>
              <w:t>Minimum number of trees per hectare required for 20% crown cover</w:t>
            </w:r>
          </w:p>
          <w:p w:rsidR="006B0DA4" w:rsidRPr="007E5C86" w:rsidRDefault="006B0DA4" w:rsidP="00BE4926">
            <w:pPr>
              <w:keepNext/>
              <w:keepLines/>
              <w:spacing w:after="120" w:line="240" w:lineRule="auto"/>
              <w:jc w:val="center"/>
              <w:rPr>
                <w:rFonts w:ascii="Times New Roman" w:hAnsi="Times New Roman"/>
                <w:b/>
              </w:rPr>
            </w:pPr>
            <w:r w:rsidRPr="007E5C86">
              <w:rPr>
                <w:rFonts w:ascii="Times New Roman" w:hAnsi="Times New Roman"/>
                <w:b/>
              </w:rPr>
              <w:t xml:space="preserve">(Crown cover of 20% divided by </w:t>
            </w:r>
            <w:r w:rsidR="007E5C86">
              <w:rPr>
                <w:rFonts w:ascii="Times New Roman" w:hAnsi="Times New Roman"/>
                <w:b/>
              </w:rPr>
              <w:t>c</w:t>
            </w:r>
            <w:r w:rsidRPr="007E5C86">
              <w:rPr>
                <w:rFonts w:ascii="Times New Roman" w:hAnsi="Times New Roman"/>
                <w:b/>
              </w:rPr>
              <w:t>rown area per tree at maturity)</w:t>
            </w:r>
          </w:p>
        </w:tc>
      </w:tr>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5.0</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19.63</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0.00196</w:t>
            </w:r>
          </w:p>
        </w:tc>
        <w:tc>
          <w:tcPr>
            <w:tcW w:w="4070"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102</w:t>
            </w:r>
          </w:p>
        </w:tc>
      </w:tr>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4.5</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15.90</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0.00159</w:t>
            </w:r>
          </w:p>
        </w:tc>
        <w:tc>
          <w:tcPr>
            <w:tcW w:w="4070"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126</w:t>
            </w:r>
          </w:p>
        </w:tc>
      </w:tr>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4.0</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12.57</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0.00126</w:t>
            </w:r>
          </w:p>
        </w:tc>
        <w:tc>
          <w:tcPr>
            <w:tcW w:w="4070"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160</w:t>
            </w:r>
          </w:p>
        </w:tc>
      </w:tr>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3.5</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9.62</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0.00096</w:t>
            </w:r>
          </w:p>
        </w:tc>
        <w:tc>
          <w:tcPr>
            <w:tcW w:w="4070"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208</w:t>
            </w:r>
          </w:p>
        </w:tc>
      </w:tr>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3.0</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7.07</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0.00071</w:t>
            </w:r>
          </w:p>
        </w:tc>
        <w:tc>
          <w:tcPr>
            <w:tcW w:w="4070"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283</w:t>
            </w:r>
          </w:p>
        </w:tc>
      </w:tr>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2.5</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4.91</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0.00049</w:t>
            </w:r>
          </w:p>
        </w:tc>
        <w:tc>
          <w:tcPr>
            <w:tcW w:w="4070"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408</w:t>
            </w:r>
          </w:p>
        </w:tc>
      </w:tr>
      <w:tr w:rsidR="006B0DA4" w:rsidRPr="00D97AB3" w:rsidTr="00D97AB3">
        <w:trPr>
          <w:trHeight w:val="170"/>
          <w:jc w:val="center"/>
        </w:trPr>
        <w:tc>
          <w:tcPr>
            <w:tcW w:w="1838"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2.0</w:t>
            </w:r>
          </w:p>
        </w:tc>
        <w:tc>
          <w:tcPr>
            <w:tcW w:w="1559" w:type="dxa"/>
            <w:tcBorders>
              <w:top w:val="single" w:sz="4" w:space="0" w:color="000000"/>
              <w:left w:val="single" w:sz="4" w:space="0" w:color="000000"/>
              <w:bottom w:val="single" w:sz="4" w:space="0" w:color="000000"/>
              <w:right w:val="single" w:sz="4" w:space="0" w:color="auto"/>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3.14</w:t>
            </w:r>
          </w:p>
        </w:tc>
        <w:tc>
          <w:tcPr>
            <w:tcW w:w="1549" w:type="dxa"/>
            <w:tcBorders>
              <w:top w:val="single" w:sz="4" w:space="0" w:color="000000"/>
              <w:left w:val="single" w:sz="4" w:space="0" w:color="auto"/>
              <w:bottom w:val="single" w:sz="4" w:space="0" w:color="000000"/>
              <w:right w:val="single" w:sz="4" w:space="0" w:color="000000"/>
            </w:tcBorders>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0.00031</w:t>
            </w:r>
          </w:p>
        </w:tc>
        <w:tc>
          <w:tcPr>
            <w:tcW w:w="4070" w:type="dxa"/>
            <w:tcBorders>
              <w:top w:val="single" w:sz="4" w:space="0" w:color="000000"/>
              <w:left w:val="single" w:sz="4" w:space="0" w:color="000000"/>
              <w:bottom w:val="single" w:sz="4" w:space="0" w:color="000000"/>
              <w:right w:val="single" w:sz="4" w:space="0" w:color="000000"/>
            </w:tcBorders>
            <w:noWrap/>
          </w:tcPr>
          <w:p w:rsidR="006B0DA4" w:rsidRPr="007E5C86" w:rsidRDefault="006B0DA4" w:rsidP="00BE4926">
            <w:pPr>
              <w:keepNext/>
              <w:keepLines/>
              <w:spacing w:after="120" w:line="240" w:lineRule="auto"/>
              <w:jc w:val="center"/>
              <w:rPr>
                <w:rFonts w:ascii="Times New Roman" w:hAnsi="Times New Roman"/>
              </w:rPr>
            </w:pPr>
            <w:r w:rsidRPr="007E5C86">
              <w:rPr>
                <w:rFonts w:ascii="Times New Roman" w:hAnsi="Times New Roman"/>
              </w:rPr>
              <w:t>637</w:t>
            </w:r>
          </w:p>
        </w:tc>
      </w:tr>
    </w:tbl>
    <w:p w:rsidR="00986D81" w:rsidRDefault="00986D81" w:rsidP="00BE4926">
      <w:pPr>
        <w:keepNext/>
        <w:keepLines/>
        <w:spacing w:after="120" w:line="240" w:lineRule="auto"/>
        <w:rPr>
          <w:rFonts w:ascii="Times New Roman" w:hAnsi="Times New Roman"/>
          <w:color w:val="000000" w:themeColor="text1"/>
          <w:sz w:val="24"/>
          <w:szCs w:val="24"/>
        </w:rPr>
      </w:pPr>
    </w:p>
    <w:p w:rsidR="007E5C86" w:rsidRDefault="00722987" w:rsidP="00986D81">
      <w:pPr>
        <w:spacing w:after="120" w:line="240" w:lineRule="auto"/>
        <w:rPr>
          <w:rFonts w:ascii="Times New Roman" w:hAnsi="Times New Roman"/>
          <w:color w:val="000000" w:themeColor="text1"/>
          <w:sz w:val="24"/>
          <w:szCs w:val="24"/>
        </w:rPr>
      </w:pPr>
      <w:r w:rsidRPr="007E5C86">
        <w:rPr>
          <w:rFonts w:ascii="Times New Roman" w:hAnsi="Times New Roman"/>
          <w:color w:val="000000" w:themeColor="text1"/>
          <w:sz w:val="24"/>
          <w:szCs w:val="24"/>
        </w:rPr>
        <w:t>Section 4.</w:t>
      </w:r>
      <w:r w:rsidR="007E5C86" w:rsidRPr="007E5C86">
        <w:rPr>
          <w:rFonts w:ascii="Times New Roman" w:hAnsi="Times New Roman"/>
          <w:color w:val="000000" w:themeColor="text1"/>
          <w:sz w:val="24"/>
          <w:szCs w:val="24"/>
        </w:rPr>
        <w:t xml:space="preserve">6 </w:t>
      </w:r>
      <w:r w:rsidR="007E5C86">
        <w:rPr>
          <w:rFonts w:ascii="Times New Roman" w:hAnsi="Times New Roman"/>
          <w:color w:val="000000" w:themeColor="text1"/>
          <w:sz w:val="24"/>
          <w:szCs w:val="24"/>
        </w:rPr>
        <w:t>sets out the two possible times</w:t>
      </w:r>
      <w:r w:rsidR="007E5C86" w:rsidRPr="007E5C86">
        <w:rPr>
          <w:rFonts w:ascii="Times New Roman" w:hAnsi="Times New Roman"/>
          <w:color w:val="000000" w:themeColor="text1"/>
          <w:sz w:val="24"/>
          <w:szCs w:val="24"/>
        </w:rPr>
        <w:t xml:space="preserve"> when forest potential </w:t>
      </w:r>
      <w:r w:rsidR="00571681">
        <w:rPr>
          <w:rFonts w:ascii="Times New Roman" w:hAnsi="Times New Roman"/>
          <w:color w:val="000000" w:themeColor="text1"/>
          <w:sz w:val="24"/>
          <w:szCs w:val="24"/>
        </w:rPr>
        <w:t>may occur</w:t>
      </w:r>
      <w:r w:rsidR="007E5C86" w:rsidRPr="007E5C86">
        <w:rPr>
          <w:rFonts w:ascii="Times New Roman" w:hAnsi="Times New Roman"/>
          <w:color w:val="000000" w:themeColor="text1"/>
          <w:sz w:val="24"/>
          <w:szCs w:val="24"/>
        </w:rPr>
        <w:t xml:space="preserve"> </w:t>
      </w:r>
      <w:r w:rsidR="007E5C86">
        <w:rPr>
          <w:rFonts w:ascii="Times New Roman" w:hAnsi="Times New Roman"/>
          <w:color w:val="000000" w:themeColor="text1"/>
          <w:sz w:val="24"/>
          <w:szCs w:val="24"/>
        </w:rPr>
        <w:t>under the Determination.</w:t>
      </w:r>
    </w:p>
    <w:p w:rsidR="007E5C86" w:rsidRPr="007E5C86" w:rsidRDefault="007E5C86"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4.6(1) specifies the default forest potential date, which is </w:t>
      </w:r>
      <w:r w:rsidR="00571681">
        <w:rPr>
          <w:rFonts w:ascii="Times New Roman" w:hAnsi="Times New Roman"/>
          <w:color w:val="000000" w:themeColor="text1"/>
          <w:sz w:val="24"/>
          <w:szCs w:val="24"/>
        </w:rPr>
        <w:t xml:space="preserve">12 months </w:t>
      </w:r>
      <w:r>
        <w:rPr>
          <w:rFonts w:ascii="Times New Roman" w:hAnsi="Times New Roman"/>
          <w:color w:val="000000" w:themeColor="text1"/>
          <w:sz w:val="24"/>
          <w:szCs w:val="24"/>
        </w:rPr>
        <w:t>after the last comprehensive clearing in the carbon estimation area.</w:t>
      </w:r>
    </w:p>
    <w:p w:rsidR="007E5C86" w:rsidRDefault="006E420E" w:rsidP="00986D81">
      <w:pPr>
        <w:spacing w:after="120" w:line="240" w:lineRule="auto"/>
        <w:rPr>
          <w:rFonts w:ascii="Times New Roman" w:hAnsi="Times New Roman"/>
          <w:color w:val="000000" w:themeColor="text1"/>
          <w:sz w:val="24"/>
          <w:szCs w:val="24"/>
        </w:rPr>
      </w:pPr>
      <w:r w:rsidRPr="006E420E">
        <w:rPr>
          <w:rFonts w:ascii="Times New Roman" w:hAnsi="Times New Roman"/>
          <w:color w:val="000000" w:themeColor="text1"/>
          <w:sz w:val="24"/>
          <w:szCs w:val="24"/>
        </w:rPr>
        <w:t xml:space="preserve">Subsection 4.6(2) specifies that if there is evidence that forest potential </w:t>
      </w:r>
      <w:r w:rsidR="00571681">
        <w:rPr>
          <w:rFonts w:ascii="Times New Roman" w:hAnsi="Times New Roman"/>
          <w:color w:val="000000" w:themeColor="text1"/>
          <w:sz w:val="24"/>
          <w:szCs w:val="24"/>
        </w:rPr>
        <w:t>arose</w:t>
      </w:r>
      <w:r w:rsidRPr="006E420E">
        <w:rPr>
          <w:rFonts w:ascii="Times New Roman" w:hAnsi="Times New Roman"/>
          <w:color w:val="000000" w:themeColor="text1"/>
          <w:sz w:val="24"/>
          <w:szCs w:val="24"/>
        </w:rPr>
        <w:t xml:space="preserve"> at another time, then that other time is the forest potential date. </w:t>
      </w:r>
    </w:p>
    <w:p w:rsidR="00571681" w:rsidRDefault="00571681" w:rsidP="00571681">
      <w:pPr>
        <w:spacing w:after="120" w:line="240" w:lineRule="auto"/>
        <w:rPr>
          <w:rFonts w:ascii="Times New Roman" w:hAnsi="Times New Roman"/>
          <w:color w:val="000000" w:themeColor="text1"/>
          <w:sz w:val="24"/>
          <w:szCs w:val="24"/>
        </w:rPr>
      </w:pPr>
      <w:r w:rsidRPr="00D97AB3">
        <w:rPr>
          <w:rFonts w:ascii="Times New Roman" w:hAnsi="Times New Roman"/>
          <w:color w:val="000000" w:themeColor="text1"/>
          <w:sz w:val="24"/>
          <w:szCs w:val="24"/>
        </w:rPr>
        <w:t xml:space="preserve">Evidence of forest potential </w:t>
      </w:r>
      <w:r w:rsidR="003A3C08">
        <w:rPr>
          <w:rFonts w:ascii="Times New Roman" w:hAnsi="Times New Roman"/>
          <w:color w:val="000000" w:themeColor="text1"/>
          <w:sz w:val="24"/>
          <w:szCs w:val="24"/>
        </w:rPr>
        <w:t>may</w:t>
      </w:r>
      <w:r w:rsidRPr="00D97AB3">
        <w:rPr>
          <w:rFonts w:ascii="Times New Roman" w:hAnsi="Times New Roman"/>
          <w:color w:val="000000" w:themeColor="text1"/>
          <w:sz w:val="24"/>
          <w:szCs w:val="24"/>
        </w:rPr>
        <w:t xml:space="preserve"> include current or past field observations, </w:t>
      </w:r>
      <w:r>
        <w:rPr>
          <w:rFonts w:ascii="Times New Roman" w:hAnsi="Times New Roman"/>
          <w:color w:val="000000" w:themeColor="text1"/>
          <w:sz w:val="24"/>
          <w:szCs w:val="24"/>
        </w:rPr>
        <w:t xml:space="preserve">or </w:t>
      </w:r>
      <w:r w:rsidRPr="00D97AB3">
        <w:rPr>
          <w:rFonts w:ascii="Times New Roman" w:hAnsi="Times New Roman"/>
          <w:color w:val="000000" w:themeColor="text1"/>
          <w:sz w:val="24"/>
          <w:szCs w:val="24"/>
        </w:rPr>
        <w:t>dat</w:t>
      </w:r>
      <w:r w:rsidR="00AD7036">
        <w:rPr>
          <w:rFonts w:ascii="Times New Roman" w:hAnsi="Times New Roman"/>
          <w:color w:val="000000" w:themeColor="text1"/>
          <w:sz w:val="24"/>
          <w:szCs w:val="24"/>
        </w:rPr>
        <w:t>e-</w:t>
      </w:r>
      <w:r w:rsidRPr="00D97AB3">
        <w:rPr>
          <w:rFonts w:ascii="Times New Roman" w:hAnsi="Times New Roman"/>
          <w:color w:val="000000" w:themeColor="text1"/>
          <w:sz w:val="24"/>
          <w:szCs w:val="24"/>
        </w:rPr>
        <w:t>stamped geo</w:t>
      </w:r>
      <w:r>
        <w:rPr>
          <w:rFonts w:ascii="Times New Roman" w:hAnsi="Times New Roman"/>
          <w:color w:val="000000" w:themeColor="text1"/>
          <w:sz w:val="24"/>
          <w:szCs w:val="24"/>
        </w:rPr>
        <w:noBreakHyphen/>
      </w:r>
      <w:r w:rsidRPr="00D97AB3">
        <w:rPr>
          <w:rFonts w:ascii="Times New Roman" w:hAnsi="Times New Roman"/>
          <w:color w:val="000000" w:themeColor="text1"/>
          <w:sz w:val="24"/>
          <w:szCs w:val="24"/>
        </w:rPr>
        <w:t xml:space="preserve">referenced remotely sensed imagery </w:t>
      </w:r>
      <w:r>
        <w:rPr>
          <w:rFonts w:ascii="Times New Roman" w:hAnsi="Times New Roman"/>
          <w:color w:val="000000" w:themeColor="text1"/>
          <w:sz w:val="24"/>
          <w:szCs w:val="24"/>
        </w:rPr>
        <w:t>such as</w:t>
      </w:r>
      <w:r w:rsidRPr="00D97AB3">
        <w:rPr>
          <w:rFonts w:ascii="Times New Roman" w:hAnsi="Times New Roman"/>
          <w:color w:val="000000" w:themeColor="text1"/>
          <w:sz w:val="24"/>
          <w:szCs w:val="24"/>
        </w:rPr>
        <w:t xml:space="preserve"> attributed sat</w:t>
      </w:r>
      <w:r w:rsidR="00D07C88">
        <w:rPr>
          <w:rFonts w:ascii="Times New Roman" w:hAnsi="Times New Roman"/>
          <w:color w:val="000000" w:themeColor="text1"/>
          <w:sz w:val="24"/>
          <w:szCs w:val="24"/>
        </w:rPr>
        <w:t xml:space="preserve">ellite data, aerial photographs, </w:t>
      </w:r>
      <w:r w:rsidRPr="00D97AB3">
        <w:rPr>
          <w:rFonts w:ascii="Times New Roman" w:hAnsi="Times New Roman"/>
          <w:color w:val="000000" w:themeColor="text1"/>
          <w:sz w:val="24"/>
          <w:szCs w:val="24"/>
        </w:rPr>
        <w:t>satellite imagery</w:t>
      </w:r>
      <w:r w:rsidR="00D07C88">
        <w:rPr>
          <w:rFonts w:ascii="Times New Roman" w:hAnsi="Times New Roman"/>
          <w:color w:val="000000" w:themeColor="text1"/>
          <w:sz w:val="24"/>
          <w:szCs w:val="24"/>
        </w:rPr>
        <w:t xml:space="preserve"> or </w:t>
      </w:r>
      <w:r w:rsidR="00D07C88" w:rsidRPr="006325FC">
        <w:rPr>
          <w:rFonts w:ascii="Times New Roman" w:hAnsi="Times New Roman"/>
          <w:color w:val="000000" w:themeColor="text1"/>
          <w:sz w:val="24"/>
          <w:szCs w:val="24"/>
        </w:rPr>
        <w:t>derived vegetation cover data</w:t>
      </w:r>
      <w:r w:rsidRPr="00D97AB3">
        <w:rPr>
          <w:rFonts w:ascii="Times New Roman" w:hAnsi="Times New Roman"/>
          <w:color w:val="000000" w:themeColor="text1"/>
          <w:sz w:val="24"/>
          <w:szCs w:val="24"/>
        </w:rPr>
        <w:t>.</w:t>
      </w:r>
    </w:p>
    <w:p w:rsidR="004C207F" w:rsidRDefault="004C207F" w:rsidP="00571681">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4.7</w:t>
      </w:r>
      <w:r>
        <w:rPr>
          <w:rFonts w:ascii="Times New Roman" w:hAnsi="Times New Roman"/>
          <w:color w:val="000000" w:themeColor="text1"/>
          <w:sz w:val="24"/>
          <w:szCs w:val="24"/>
          <w:u w:val="single"/>
        </w:rPr>
        <w:tab/>
        <w:t>Baseline—</w:t>
      </w:r>
      <w:r w:rsidR="007B5C27">
        <w:rPr>
          <w:rFonts w:ascii="Times New Roman" w:hAnsi="Times New Roman"/>
          <w:color w:val="000000" w:themeColor="text1"/>
          <w:sz w:val="24"/>
          <w:szCs w:val="24"/>
          <w:u w:val="single"/>
        </w:rPr>
        <w:t>m</w:t>
      </w:r>
      <w:r>
        <w:rPr>
          <w:rFonts w:ascii="Times New Roman" w:hAnsi="Times New Roman"/>
          <w:color w:val="000000" w:themeColor="text1"/>
          <w:sz w:val="24"/>
          <w:szCs w:val="24"/>
          <w:u w:val="single"/>
        </w:rPr>
        <w:t>ateriality test</w:t>
      </w:r>
    </w:p>
    <w:p w:rsidR="006817A5" w:rsidRDefault="006817A5" w:rsidP="006817A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4.7 sets out the test</w:t>
      </w:r>
      <w:r w:rsidRPr="006817A5">
        <w:rPr>
          <w:rFonts w:ascii="Times New Roman" w:hAnsi="Times New Roman"/>
          <w:color w:val="000000" w:themeColor="text1"/>
          <w:sz w:val="24"/>
          <w:szCs w:val="24"/>
        </w:rPr>
        <w:t xml:space="preserve"> for determining whether the C mass of trees in a carbon estimation area </w:t>
      </w:r>
      <w:r w:rsidR="00204232">
        <w:rPr>
          <w:rFonts w:ascii="Times New Roman" w:hAnsi="Times New Roman"/>
          <w:color w:val="000000" w:themeColor="text1"/>
          <w:sz w:val="24"/>
          <w:szCs w:val="24"/>
        </w:rPr>
        <w:t>reached a material level</w:t>
      </w:r>
      <w:r w:rsidR="00204232" w:rsidRPr="006817A5">
        <w:rPr>
          <w:rFonts w:ascii="Times New Roman" w:hAnsi="Times New Roman"/>
          <w:color w:val="000000" w:themeColor="text1"/>
          <w:sz w:val="24"/>
          <w:szCs w:val="24"/>
        </w:rPr>
        <w:t xml:space="preserve"> </w:t>
      </w:r>
      <w:r w:rsidRPr="006817A5">
        <w:rPr>
          <w:rFonts w:ascii="Times New Roman" w:hAnsi="Times New Roman"/>
          <w:color w:val="000000" w:themeColor="text1"/>
          <w:sz w:val="24"/>
          <w:szCs w:val="24"/>
        </w:rPr>
        <w:t xml:space="preserve">in the 10 years before </w:t>
      </w:r>
      <w:r w:rsidR="00204232">
        <w:rPr>
          <w:rFonts w:ascii="Times New Roman" w:hAnsi="Times New Roman"/>
          <w:color w:val="000000" w:themeColor="text1"/>
          <w:sz w:val="24"/>
          <w:szCs w:val="24"/>
        </w:rPr>
        <w:t>the project mechanism was implemented in the area</w:t>
      </w:r>
      <w:r w:rsidRPr="006817A5">
        <w:rPr>
          <w:rFonts w:ascii="Times New Roman" w:hAnsi="Times New Roman"/>
          <w:color w:val="000000" w:themeColor="text1"/>
          <w:sz w:val="24"/>
          <w:szCs w:val="24"/>
        </w:rPr>
        <w:t>.</w:t>
      </w:r>
    </w:p>
    <w:p w:rsidR="004C207F" w:rsidRDefault="004C207F" w:rsidP="004C207F">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To determine whether or no</w:t>
      </w:r>
      <w:r w:rsidR="0095047E">
        <w:rPr>
          <w:rFonts w:ascii="Times New Roman" w:hAnsi="Times New Roman"/>
          <w:color w:val="000000" w:themeColor="text1"/>
          <w:sz w:val="24"/>
          <w:szCs w:val="24"/>
        </w:rPr>
        <w:t xml:space="preserve">t the C mass of </w:t>
      </w:r>
      <w:r>
        <w:rPr>
          <w:rFonts w:ascii="Times New Roman" w:hAnsi="Times New Roman"/>
          <w:color w:val="000000" w:themeColor="text1"/>
          <w:sz w:val="24"/>
          <w:szCs w:val="24"/>
        </w:rPr>
        <w:t xml:space="preserve">trees </w:t>
      </w:r>
      <w:r w:rsidR="00204232">
        <w:rPr>
          <w:rFonts w:ascii="Times New Roman" w:hAnsi="Times New Roman"/>
          <w:color w:val="000000" w:themeColor="text1"/>
          <w:sz w:val="24"/>
          <w:szCs w:val="24"/>
        </w:rPr>
        <w:t>reached a material level</w:t>
      </w:r>
      <w:r>
        <w:rPr>
          <w:rFonts w:ascii="Times New Roman" w:hAnsi="Times New Roman"/>
          <w:color w:val="000000" w:themeColor="text1"/>
          <w:sz w:val="24"/>
          <w:szCs w:val="24"/>
        </w:rPr>
        <w:t xml:space="preserve">, the following needs to be modelled in </w:t>
      </w:r>
      <w:proofErr w:type="spellStart"/>
      <w:r>
        <w:rPr>
          <w:rFonts w:ascii="Times New Roman" w:hAnsi="Times New Roman"/>
          <w:color w:val="000000" w:themeColor="text1"/>
          <w:sz w:val="24"/>
          <w:szCs w:val="24"/>
        </w:rPr>
        <w:t>FullCAM</w:t>
      </w:r>
      <w:proofErr w:type="spellEnd"/>
      <w:r>
        <w:rPr>
          <w:rFonts w:ascii="Times New Roman" w:hAnsi="Times New Roman"/>
          <w:color w:val="000000" w:themeColor="text1"/>
          <w:sz w:val="24"/>
          <w:szCs w:val="24"/>
        </w:rPr>
        <w:t>:</w:t>
      </w:r>
    </w:p>
    <w:p w:rsidR="004C207F" w:rsidRPr="001C77A2" w:rsidRDefault="0095047E" w:rsidP="004C207F">
      <w:pPr>
        <w:pStyle w:val="ListParagraph"/>
        <w:numPr>
          <w:ilvl w:val="0"/>
          <w:numId w:val="12"/>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1222B0">
        <w:rPr>
          <w:rFonts w:ascii="Times New Roman" w:hAnsi="Times New Roman"/>
          <w:color w:val="000000" w:themeColor="text1"/>
          <w:sz w:val="24"/>
          <w:szCs w:val="24"/>
        </w:rPr>
        <w:t xml:space="preserve">maximum </w:t>
      </w:r>
      <w:r>
        <w:rPr>
          <w:rFonts w:ascii="Times New Roman" w:hAnsi="Times New Roman"/>
          <w:color w:val="000000" w:themeColor="text1"/>
          <w:sz w:val="24"/>
          <w:szCs w:val="24"/>
        </w:rPr>
        <w:t>C mass of</w:t>
      </w:r>
      <w:r w:rsidR="004C207F" w:rsidRPr="001C77A2">
        <w:rPr>
          <w:rFonts w:ascii="Times New Roman" w:hAnsi="Times New Roman"/>
          <w:color w:val="000000" w:themeColor="text1"/>
          <w:sz w:val="24"/>
          <w:szCs w:val="24"/>
        </w:rPr>
        <w:t xml:space="preserve"> trees </w:t>
      </w:r>
      <w:r w:rsidR="001222B0">
        <w:rPr>
          <w:rFonts w:ascii="Times New Roman" w:hAnsi="Times New Roman"/>
          <w:color w:val="000000" w:themeColor="text1"/>
          <w:sz w:val="24"/>
          <w:szCs w:val="24"/>
        </w:rPr>
        <w:t xml:space="preserve">reached </w:t>
      </w:r>
      <w:r w:rsidR="004C207F" w:rsidRPr="001C77A2">
        <w:rPr>
          <w:rFonts w:ascii="Times New Roman" w:hAnsi="Times New Roman"/>
          <w:color w:val="000000" w:themeColor="text1"/>
          <w:sz w:val="24"/>
          <w:szCs w:val="24"/>
        </w:rPr>
        <w:t>during the 10 years before the project mechanism was implemented in the carbon estimation area</w:t>
      </w:r>
      <w:r w:rsidR="00C6314C">
        <w:rPr>
          <w:rFonts w:ascii="Times New Roman" w:hAnsi="Times New Roman"/>
          <w:color w:val="000000" w:themeColor="text1"/>
          <w:sz w:val="24"/>
          <w:szCs w:val="24"/>
        </w:rPr>
        <w:t xml:space="preserve"> (section 4.8)</w:t>
      </w:r>
      <w:r w:rsidR="004C207F" w:rsidRPr="001C77A2">
        <w:rPr>
          <w:rFonts w:ascii="Times New Roman" w:hAnsi="Times New Roman"/>
          <w:color w:val="000000" w:themeColor="text1"/>
          <w:sz w:val="24"/>
          <w:szCs w:val="24"/>
        </w:rPr>
        <w:t>; and</w:t>
      </w:r>
    </w:p>
    <w:p w:rsidR="004C207F" w:rsidRPr="001C77A2" w:rsidRDefault="004C207F" w:rsidP="004C207F">
      <w:pPr>
        <w:pStyle w:val="ListParagraph"/>
        <w:numPr>
          <w:ilvl w:val="0"/>
          <w:numId w:val="12"/>
        </w:numPr>
        <w:spacing w:after="120" w:line="240" w:lineRule="auto"/>
        <w:rPr>
          <w:rFonts w:ascii="Times New Roman" w:hAnsi="Times New Roman"/>
          <w:color w:val="000000" w:themeColor="text1"/>
          <w:sz w:val="24"/>
          <w:szCs w:val="24"/>
        </w:rPr>
      </w:pPr>
      <w:proofErr w:type="gramStart"/>
      <w:r w:rsidRPr="001C77A2">
        <w:rPr>
          <w:rFonts w:ascii="Times New Roman" w:hAnsi="Times New Roman"/>
          <w:color w:val="000000" w:themeColor="text1"/>
          <w:sz w:val="24"/>
          <w:szCs w:val="24"/>
        </w:rPr>
        <w:t>the</w:t>
      </w:r>
      <w:proofErr w:type="gramEnd"/>
      <w:r w:rsidRPr="001C77A2">
        <w:rPr>
          <w:rFonts w:ascii="Times New Roman" w:hAnsi="Times New Roman"/>
          <w:color w:val="000000" w:themeColor="text1"/>
          <w:sz w:val="24"/>
          <w:szCs w:val="24"/>
        </w:rPr>
        <w:t xml:space="preserve"> C mass of trees</w:t>
      </w:r>
      <w:r w:rsidR="00C6314C">
        <w:rPr>
          <w:rFonts w:ascii="Times New Roman" w:hAnsi="Times New Roman"/>
          <w:color w:val="000000" w:themeColor="text1"/>
          <w:sz w:val="24"/>
          <w:szCs w:val="24"/>
        </w:rPr>
        <w:t xml:space="preserve"> in the carbon estimation area</w:t>
      </w:r>
      <w:r w:rsidRPr="001C77A2">
        <w:rPr>
          <w:rFonts w:ascii="Times New Roman" w:hAnsi="Times New Roman"/>
          <w:color w:val="000000" w:themeColor="text1"/>
          <w:sz w:val="24"/>
          <w:szCs w:val="24"/>
        </w:rPr>
        <w:t xml:space="preserve"> </w:t>
      </w:r>
      <w:r w:rsidR="001C4F4D">
        <w:rPr>
          <w:rFonts w:ascii="Times New Roman" w:hAnsi="Times New Roman"/>
          <w:color w:val="000000" w:themeColor="text1"/>
          <w:sz w:val="24"/>
          <w:szCs w:val="24"/>
        </w:rPr>
        <w:t>100 years after the project mechanism was implemented in the carbon estimation area</w:t>
      </w:r>
      <w:r w:rsidR="00C6314C">
        <w:rPr>
          <w:rFonts w:ascii="Times New Roman" w:hAnsi="Times New Roman"/>
          <w:color w:val="000000" w:themeColor="text1"/>
          <w:sz w:val="24"/>
          <w:szCs w:val="24"/>
        </w:rPr>
        <w:t xml:space="preserve"> (section 4.9)</w:t>
      </w:r>
      <w:r w:rsidRPr="001C77A2">
        <w:rPr>
          <w:rFonts w:ascii="Times New Roman" w:hAnsi="Times New Roman"/>
          <w:color w:val="000000" w:themeColor="text1"/>
          <w:sz w:val="24"/>
          <w:szCs w:val="24"/>
        </w:rPr>
        <w:t>.</w:t>
      </w:r>
    </w:p>
    <w:p w:rsidR="00A33881" w:rsidRPr="0036484F" w:rsidRDefault="004C207F" w:rsidP="005716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If the </w:t>
      </w:r>
      <w:r w:rsidRPr="00A33881">
        <w:rPr>
          <w:rFonts w:ascii="Times New Roman" w:hAnsi="Times New Roman"/>
          <w:color w:val="000000" w:themeColor="text1"/>
          <w:sz w:val="24"/>
          <w:szCs w:val="24"/>
        </w:rPr>
        <w:t>total</w:t>
      </w:r>
      <w:r>
        <w:rPr>
          <w:rFonts w:ascii="Times New Roman" w:hAnsi="Times New Roman"/>
          <w:color w:val="000000" w:themeColor="text1"/>
          <w:sz w:val="24"/>
          <w:szCs w:val="24"/>
        </w:rPr>
        <w:t xml:space="preserve"> in (a) is less</w:t>
      </w:r>
      <w:r w:rsidR="00C6314C">
        <w:rPr>
          <w:rFonts w:ascii="Times New Roman" w:hAnsi="Times New Roman"/>
          <w:color w:val="000000" w:themeColor="text1"/>
          <w:sz w:val="24"/>
          <w:szCs w:val="24"/>
        </w:rPr>
        <w:t xml:space="preserve"> than or equal to</w:t>
      </w:r>
      <w:r>
        <w:rPr>
          <w:rFonts w:ascii="Times New Roman" w:hAnsi="Times New Roman"/>
          <w:color w:val="000000" w:themeColor="text1"/>
          <w:sz w:val="24"/>
          <w:szCs w:val="24"/>
        </w:rPr>
        <w:t xml:space="preserve"> 5% of the total in (b), then the C mass </w:t>
      </w:r>
      <w:r w:rsidR="008A3F3E">
        <w:rPr>
          <w:rFonts w:ascii="Times New Roman" w:hAnsi="Times New Roman"/>
          <w:color w:val="000000" w:themeColor="text1"/>
          <w:sz w:val="24"/>
          <w:szCs w:val="24"/>
        </w:rPr>
        <w:t>of</w:t>
      </w:r>
      <w:r>
        <w:rPr>
          <w:rFonts w:ascii="Times New Roman" w:hAnsi="Times New Roman"/>
          <w:color w:val="000000" w:themeColor="text1"/>
          <w:sz w:val="24"/>
          <w:szCs w:val="24"/>
        </w:rPr>
        <w:t xml:space="preserve"> trees</w:t>
      </w:r>
      <w:r w:rsidR="00C6314C">
        <w:rPr>
          <w:rFonts w:ascii="Times New Roman" w:hAnsi="Times New Roman"/>
          <w:color w:val="000000" w:themeColor="text1"/>
          <w:sz w:val="24"/>
          <w:szCs w:val="24"/>
        </w:rPr>
        <w:t xml:space="preserve"> </w:t>
      </w:r>
      <w:r w:rsidR="00D31787">
        <w:rPr>
          <w:rFonts w:ascii="Times New Roman" w:hAnsi="Times New Roman"/>
          <w:color w:val="000000" w:themeColor="text1"/>
          <w:sz w:val="24"/>
          <w:szCs w:val="24"/>
        </w:rPr>
        <w:t>did not reach a material level</w:t>
      </w:r>
      <w:r>
        <w:rPr>
          <w:rFonts w:ascii="Times New Roman" w:hAnsi="Times New Roman"/>
          <w:color w:val="000000" w:themeColor="text1"/>
          <w:sz w:val="24"/>
          <w:szCs w:val="24"/>
        </w:rPr>
        <w:t>.</w:t>
      </w:r>
    </w:p>
    <w:p w:rsidR="004C207F" w:rsidRDefault="004C207F" w:rsidP="00571681">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4.8</w:t>
      </w:r>
      <w:r>
        <w:rPr>
          <w:rFonts w:ascii="Times New Roman" w:hAnsi="Times New Roman"/>
          <w:color w:val="000000" w:themeColor="text1"/>
          <w:sz w:val="24"/>
          <w:szCs w:val="24"/>
          <w:u w:val="single"/>
        </w:rPr>
        <w:tab/>
      </w:r>
      <w:proofErr w:type="spellStart"/>
      <w:r>
        <w:rPr>
          <w:rFonts w:ascii="Times New Roman" w:hAnsi="Times New Roman"/>
          <w:color w:val="000000" w:themeColor="text1"/>
          <w:sz w:val="24"/>
          <w:szCs w:val="24"/>
          <w:u w:val="single"/>
        </w:rPr>
        <w:t>FullCAM</w:t>
      </w:r>
      <w:proofErr w:type="spellEnd"/>
      <w:r>
        <w:rPr>
          <w:rFonts w:ascii="Times New Roman" w:hAnsi="Times New Roman"/>
          <w:color w:val="000000" w:themeColor="text1"/>
          <w:sz w:val="24"/>
          <w:szCs w:val="24"/>
          <w:u w:val="single"/>
        </w:rPr>
        <w:t xml:space="preserve"> modelling—C mass of trees 10 years before implementation date</w:t>
      </w:r>
    </w:p>
    <w:p w:rsidR="006817A5" w:rsidRDefault="006817A5" w:rsidP="006817A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Section 4.8 </w:t>
      </w:r>
      <w:r w:rsidRPr="006817A5">
        <w:rPr>
          <w:rFonts w:ascii="Times New Roman" w:hAnsi="Times New Roman"/>
          <w:color w:val="000000" w:themeColor="text1"/>
          <w:sz w:val="24"/>
          <w:szCs w:val="24"/>
        </w:rPr>
        <w:t xml:space="preserve">sets out the requirements for </w:t>
      </w:r>
      <w:r w:rsidR="00592D42" w:rsidRPr="00152E26">
        <w:rPr>
          <w:rFonts w:ascii="Times New Roman" w:hAnsi="Times New Roman"/>
          <w:color w:val="000000" w:themeColor="text1"/>
          <w:sz w:val="24"/>
          <w:szCs w:val="24"/>
        </w:rPr>
        <w:t xml:space="preserve">using </w:t>
      </w:r>
      <w:proofErr w:type="spellStart"/>
      <w:r w:rsidR="00592D42" w:rsidRPr="00152E26">
        <w:rPr>
          <w:rFonts w:ascii="Times New Roman" w:hAnsi="Times New Roman"/>
          <w:color w:val="000000" w:themeColor="text1"/>
          <w:sz w:val="24"/>
          <w:szCs w:val="24"/>
        </w:rPr>
        <w:t>FullCAM</w:t>
      </w:r>
      <w:proofErr w:type="spellEnd"/>
      <w:r w:rsidR="00592D42" w:rsidRPr="00152E26">
        <w:rPr>
          <w:rFonts w:ascii="Times New Roman" w:hAnsi="Times New Roman"/>
          <w:color w:val="000000" w:themeColor="text1"/>
          <w:sz w:val="24"/>
          <w:szCs w:val="24"/>
        </w:rPr>
        <w:t xml:space="preserve"> to </w:t>
      </w:r>
      <w:r w:rsidR="00850FE1">
        <w:rPr>
          <w:rFonts w:ascii="Times New Roman" w:hAnsi="Times New Roman"/>
          <w:color w:val="000000" w:themeColor="text1"/>
          <w:sz w:val="24"/>
          <w:szCs w:val="24"/>
        </w:rPr>
        <w:t>model</w:t>
      </w:r>
      <w:r w:rsidR="00592D42" w:rsidRPr="006817A5">
        <w:rPr>
          <w:rFonts w:ascii="Times New Roman" w:hAnsi="Times New Roman"/>
          <w:color w:val="000000" w:themeColor="text1"/>
          <w:sz w:val="24"/>
          <w:szCs w:val="24"/>
        </w:rPr>
        <w:t xml:space="preserve"> </w:t>
      </w:r>
      <w:r w:rsidRPr="006817A5">
        <w:rPr>
          <w:rFonts w:ascii="Times New Roman" w:hAnsi="Times New Roman"/>
          <w:color w:val="000000" w:themeColor="text1"/>
          <w:sz w:val="24"/>
          <w:szCs w:val="24"/>
        </w:rPr>
        <w:t xml:space="preserve">the C mass of trees in a carbon estimation area in the 10 years before the </w:t>
      </w:r>
      <w:r w:rsidR="00446B85">
        <w:rPr>
          <w:rFonts w:ascii="Times New Roman" w:hAnsi="Times New Roman"/>
          <w:color w:val="000000" w:themeColor="text1"/>
          <w:sz w:val="24"/>
          <w:szCs w:val="24"/>
        </w:rPr>
        <w:t>project mechanism is implemented in the area</w:t>
      </w:r>
      <w:r w:rsidRPr="006817A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6817A5" w:rsidRDefault="0095047E" w:rsidP="006817A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 proponents must </w:t>
      </w:r>
      <w:r w:rsidR="006817A5">
        <w:rPr>
          <w:rFonts w:ascii="Times New Roman" w:hAnsi="Times New Roman"/>
          <w:color w:val="000000" w:themeColor="text1"/>
          <w:sz w:val="24"/>
          <w:szCs w:val="24"/>
        </w:rPr>
        <w:t xml:space="preserve">comply with the relevant </w:t>
      </w:r>
      <w:r w:rsidR="00650284">
        <w:rPr>
          <w:rFonts w:ascii="Times New Roman" w:hAnsi="Times New Roman"/>
          <w:color w:val="000000" w:themeColor="text1"/>
          <w:sz w:val="24"/>
          <w:szCs w:val="24"/>
        </w:rPr>
        <w:t>part</w:t>
      </w:r>
      <w:r w:rsidR="006817A5">
        <w:rPr>
          <w:rFonts w:ascii="Times New Roman" w:hAnsi="Times New Roman"/>
          <w:color w:val="000000" w:themeColor="text1"/>
          <w:sz w:val="24"/>
          <w:szCs w:val="24"/>
        </w:rPr>
        <w:t xml:space="preserve"> of the </w:t>
      </w:r>
      <w:proofErr w:type="spellStart"/>
      <w:r w:rsidR="006817A5">
        <w:rPr>
          <w:rFonts w:ascii="Times New Roman" w:hAnsi="Times New Roman"/>
          <w:color w:val="000000" w:themeColor="text1"/>
          <w:sz w:val="24"/>
          <w:szCs w:val="24"/>
        </w:rPr>
        <w:t>FullCAM</w:t>
      </w:r>
      <w:proofErr w:type="spellEnd"/>
      <w:r w:rsidR="006817A5">
        <w:rPr>
          <w:rFonts w:ascii="Times New Roman" w:hAnsi="Times New Roman"/>
          <w:color w:val="000000" w:themeColor="text1"/>
          <w:sz w:val="24"/>
          <w:szCs w:val="24"/>
        </w:rPr>
        <w:t xml:space="preserve"> Guidelines</w:t>
      </w:r>
      <w:r w:rsidR="003B07AC">
        <w:rPr>
          <w:rFonts w:ascii="Times New Roman" w:hAnsi="Times New Roman"/>
          <w:color w:val="000000" w:themeColor="text1"/>
          <w:sz w:val="24"/>
          <w:szCs w:val="24"/>
        </w:rPr>
        <w:t xml:space="preserve"> when modelling the C mass of trees specified in subsection 4.8(1)</w:t>
      </w:r>
      <w:r w:rsidR="006817A5">
        <w:rPr>
          <w:rFonts w:ascii="Times New Roman" w:hAnsi="Times New Roman"/>
          <w:color w:val="000000" w:themeColor="text1"/>
          <w:sz w:val="24"/>
          <w:szCs w:val="24"/>
        </w:rPr>
        <w:t xml:space="preserve">. </w:t>
      </w:r>
    </w:p>
    <w:p w:rsidR="00C6314C" w:rsidRDefault="00C6314C" w:rsidP="00C6314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Subsection 4.8(</w:t>
      </w:r>
      <w:r w:rsidR="003B07AC">
        <w:rPr>
          <w:rFonts w:ascii="Times New Roman" w:hAnsi="Times New Roman"/>
          <w:color w:val="000000" w:themeColor="text1"/>
          <w:sz w:val="24"/>
          <w:szCs w:val="24"/>
        </w:rPr>
        <w:t>2</w:t>
      </w:r>
      <w:r>
        <w:rPr>
          <w:rFonts w:ascii="Times New Roman" w:hAnsi="Times New Roman"/>
          <w:color w:val="000000" w:themeColor="text1"/>
          <w:sz w:val="24"/>
          <w:szCs w:val="24"/>
        </w:rPr>
        <w:t xml:space="preserve">) clarifies that the appropriate </w:t>
      </w:r>
      <w:r w:rsidRPr="0009205E">
        <w:rPr>
          <w:rFonts w:ascii="Times New Roman" w:hAnsi="Times New Roman"/>
          <w:color w:val="000000" w:themeColor="text1"/>
          <w:sz w:val="24"/>
          <w:szCs w:val="24"/>
        </w:rPr>
        <w:t xml:space="preserve">default values in </w:t>
      </w:r>
      <w:proofErr w:type="spellStart"/>
      <w:r w:rsidRPr="0009205E">
        <w:rPr>
          <w:rFonts w:ascii="Times New Roman" w:hAnsi="Times New Roman"/>
          <w:color w:val="000000" w:themeColor="text1"/>
          <w:sz w:val="24"/>
          <w:szCs w:val="24"/>
        </w:rPr>
        <w:t>FullCAM</w:t>
      </w:r>
      <w:proofErr w:type="spellEnd"/>
      <w:r w:rsidRPr="0009205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or the </w:t>
      </w:r>
      <w:proofErr w:type="spellStart"/>
      <w:r>
        <w:rPr>
          <w:rFonts w:ascii="Times New Roman" w:hAnsi="Times New Roman"/>
          <w:color w:val="000000" w:themeColor="text1"/>
          <w:sz w:val="24"/>
          <w:szCs w:val="24"/>
        </w:rPr>
        <w:t>FullCAM</w:t>
      </w:r>
      <w:proofErr w:type="spellEnd"/>
      <w:r>
        <w:rPr>
          <w:rFonts w:ascii="Times New Roman" w:hAnsi="Times New Roman"/>
          <w:color w:val="000000" w:themeColor="text1"/>
          <w:sz w:val="24"/>
          <w:szCs w:val="24"/>
        </w:rPr>
        <w:t xml:space="preserve"> Guidelines </w:t>
      </w:r>
      <w:r w:rsidRPr="0009205E">
        <w:rPr>
          <w:rFonts w:ascii="Times New Roman" w:hAnsi="Times New Roman"/>
          <w:color w:val="000000" w:themeColor="text1"/>
          <w:sz w:val="24"/>
          <w:szCs w:val="24"/>
        </w:rPr>
        <w:t>must be used to model the C</w:t>
      </w:r>
      <w:r>
        <w:rPr>
          <w:rFonts w:ascii="Times New Roman" w:hAnsi="Times New Roman"/>
          <w:color w:val="000000" w:themeColor="text1"/>
          <w:sz w:val="24"/>
          <w:szCs w:val="24"/>
        </w:rPr>
        <w:t> </w:t>
      </w:r>
      <w:r w:rsidRPr="0009205E">
        <w:rPr>
          <w:rFonts w:ascii="Times New Roman" w:hAnsi="Times New Roman"/>
          <w:color w:val="000000" w:themeColor="text1"/>
          <w:sz w:val="24"/>
          <w:szCs w:val="24"/>
        </w:rPr>
        <w:t xml:space="preserve">mass of trees </w:t>
      </w:r>
      <w:r w:rsidR="003B07AC">
        <w:rPr>
          <w:rFonts w:ascii="Times New Roman" w:hAnsi="Times New Roman"/>
          <w:color w:val="000000" w:themeColor="text1"/>
          <w:sz w:val="24"/>
          <w:szCs w:val="24"/>
        </w:rPr>
        <w:t>specified in subsection 4.8(1)</w:t>
      </w:r>
      <w:r w:rsidRPr="0009205E">
        <w:rPr>
          <w:rFonts w:ascii="Times New Roman" w:hAnsi="Times New Roman"/>
          <w:color w:val="000000" w:themeColor="text1"/>
          <w:sz w:val="24"/>
          <w:szCs w:val="24"/>
        </w:rPr>
        <w:t xml:space="preserve">, except where the </w:t>
      </w:r>
      <w:proofErr w:type="spellStart"/>
      <w:r w:rsidRPr="0009205E">
        <w:rPr>
          <w:rFonts w:ascii="Times New Roman" w:hAnsi="Times New Roman"/>
          <w:color w:val="000000" w:themeColor="text1"/>
          <w:sz w:val="24"/>
          <w:szCs w:val="24"/>
        </w:rPr>
        <w:t>FullCAM</w:t>
      </w:r>
      <w:proofErr w:type="spellEnd"/>
      <w:r w:rsidRPr="0009205E">
        <w:rPr>
          <w:rFonts w:ascii="Times New Roman" w:hAnsi="Times New Roman"/>
          <w:color w:val="000000" w:themeColor="text1"/>
          <w:sz w:val="24"/>
          <w:szCs w:val="24"/>
        </w:rPr>
        <w:t xml:space="preserve"> Guidelines </w:t>
      </w:r>
      <w:r>
        <w:rPr>
          <w:rFonts w:ascii="Times New Roman" w:hAnsi="Times New Roman"/>
          <w:color w:val="000000" w:themeColor="text1"/>
          <w:sz w:val="24"/>
          <w:szCs w:val="24"/>
        </w:rPr>
        <w:t xml:space="preserve">specify that </w:t>
      </w:r>
      <w:r w:rsidRPr="0009205E">
        <w:rPr>
          <w:rFonts w:ascii="Times New Roman" w:hAnsi="Times New Roman"/>
          <w:color w:val="000000" w:themeColor="text1"/>
          <w:sz w:val="24"/>
          <w:szCs w:val="24"/>
        </w:rPr>
        <w:t xml:space="preserve">project-specific </w:t>
      </w:r>
      <w:r>
        <w:rPr>
          <w:rFonts w:ascii="Times New Roman" w:hAnsi="Times New Roman"/>
          <w:color w:val="000000" w:themeColor="text1"/>
          <w:sz w:val="24"/>
          <w:szCs w:val="24"/>
        </w:rPr>
        <w:t>inputs must be used</w:t>
      </w:r>
      <w:r w:rsidRPr="0009205E">
        <w:rPr>
          <w:rFonts w:ascii="Times New Roman" w:hAnsi="Times New Roman"/>
          <w:color w:val="000000" w:themeColor="text1"/>
          <w:sz w:val="24"/>
          <w:szCs w:val="24"/>
        </w:rPr>
        <w:t>.</w:t>
      </w:r>
    </w:p>
    <w:p w:rsidR="00D31787" w:rsidRDefault="008B61DC" w:rsidP="00C6314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4.8(</w:t>
      </w:r>
      <w:r w:rsidR="003B07AC">
        <w:rPr>
          <w:rFonts w:ascii="Times New Roman" w:hAnsi="Times New Roman"/>
          <w:color w:val="000000" w:themeColor="text1"/>
          <w:sz w:val="24"/>
          <w:szCs w:val="24"/>
        </w:rPr>
        <w:t>3</w:t>
      </w:r>
      <w:r>
        <w:rPr>
          <w:rFonts w:ascii="Times New Roman" w:hAnsi="Times New Roman"/>
          <w:color w:val="000000" w:themeColor="text1"/>
          <w:sz w:val="24"/>
          <w:szCs w:val="24"/>
        </w:rPr>
        <w:t xml:space="preserve">) specifies when modelling must commence.  </w:t>
      </w:r>
      <w:r w:rsidR="00D31787">
        <w:rPr>
          <w:rFonts w:ascii="Times New Roman" w:hAnsi="Times New Roman"/>
          <w:color w:val="000000" w:themeColor="text1"/>
          <w:sz w:val="24"/>
          <w:szCs w:val="24"/>
        </w:rPr>
        <w:t>In order to determine when modelling commences, a project proponent must determine the following:</w:t>
      </w:r>
    </w:p>
    <w:p w:rsidR="00773507" w:rsidRPr="00773507" w:rsidRDefault="00773507" w:rsidP="00773507">
      <w:pPr>
        <w:pStyle w:val="ListParagraph"/>
        <w:numPr>
          <w:ilvl w:val="0"/>
          <w:numId w:val="17"/>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Pr="00773507">
        <w:rPr>
          <w:rFonts w:ascii="Times New Roman" w:hAnsi="Times New Roman"/>
          <w:color w:val="000000" w:themeColor="text1"/>
          <w:sz w:val="24"/>
          <w:szCs w:val="24"/>
        </w:rPr>
        <w:t>he date when the project mechanism was implemented in the carbon estimation area;</w:t>
      </w:r>
    </w:p>
    <w:p w:rsidR="00773507" w:rsidRPr="00773507" w:rsidRDefault="00773507" w:rsidP="00773507">
      <w:pPr>
        <w:pStyle w:val="ListParagraph"/>
        <w:numPr>
          <w:ilvl w:val="0"/>
          <w:numId w:val="17"/>
        </w:num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Pr="00773507">
        <w:rPr>
          <w:rFonts w:ascii="Times New Roman" w:hAnsi="Times New Roman"/>
          <w:color w:val="000000" w:themeColor="text1"/>
          <w:sz w:val="24"/>
          <w:szCs w:val="24"/>
        </w:rPr>
        <w:t xml:space="preserve">en years before the date in (a); </w:t>
      </w:r>
      <w:r w:rsidR="00713B51">
        <w:rPr>
          <w:rFonts w:ascii="Times New Roman" w:hAnsi="Times New Roman"/>
          <w:color w:val="000000" w:themeColor="text1"/>
          <w:sz w:val="24"/>
          <w:szCs w:val="24"/>
        </w:rPr>
        <w:t xml:space="preserve">and </w:t>
      </w:r>
    </w:p>
    <w:p w:rsidR="00773507" w:rsidRPr="00773507" w:rsidRDefault="00773507" w:rsidP="00773507">
      <w:pPr>
        <w:pStyle w:val="ListParagraph"/>
        <w:numPr>
          <w:ilvl w:val="0"/>
          <w:numId w:val="17"/>
        </w:numPr>
        <w:spacing w:after="12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t</w:t>
      </w:r>
      <w:r w:rsidR="00EC05A8">
        <w:rPr>
          <w:rFonts w:ascii="Times New Roman" w:hAnsi="Times New Roman"/>
          <w:color w:val="000000" w:themeColor="text1"/>
          <w:sz w:val="24"/>
          <w:szCs w:val="24"/>
        </w:rPr>
        <w:t>he</w:t>
      </w:r>
      <w:proofErr w:type="gramEnd"/>
      <w:r w:rsidR="00EC05A8">
        <w:rPr>
          <w:rFonts w:ascii="Times New Roman" w:hAnsi="Times New Roman"/>
          <w:color w:val="000000" w:themeColor="text1"/>
          <w:sz w:val="24"/>
          <w:szCs w:val="24"/>
        </w:rPr>
        <w:t xml:space="preserve"> date, before the start of the 10 year period referred to in (b), when the last comprehensive clearing ended.</w:t>
      </w:r>
    </w:p>
    <w:p w:rsidR="00C6314C" w:rsidRDefault="005F5271" w:rsidP="00C6314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proofErr w:type="spellStart"/>
      <w:r>
        <w:rPr>
          <w:rFonts w:ascii="Times New Roman" w:hAnsi="Times New Roman"/>
          <w:color w:val="000000" w:themeColor="text1"/>
          <w:sz w:val="24"/>
          <w:szCs w:val="24"/>
        </w:rPr>
        <w:t>FullCAM</w:t>
      </w:r>
      <w:proofErr w:type="spellEnd"/>
      <w:r>
        <w:rPr>
          <w:rFonts w:ascii="Times New Roman" w:hAnsi="Times New Roman"/>
          <w:color w:val="000000" w:themeColor="text1"/>
          <w:sz w:val="24"/>
          <w:szCs w:val="24"/>
        </w:rPr>
        <w:t xml:space="preserve"> model must</w:t>
      </w:r>
      <w:r w:rsidR="00713B51">
        <w:rPr>
          <w:rFonts w:ascii="Times New Roman" w:hAnsi="Times New Roman"/>
          <w:color w:val="000000" w:themeColor="text1"/>
          <w:sz w:val="24"/>
          <w:szCs w:val="24"/>
        </w:rPr>
        <w:t xml:space="preserve"> commence </w:t>
      </w:r>
      <w:r w:rsidR="00263995">
        <w:rPr>
          <w:rFonts w:ascii="Times New Roman" w:hAnsi="Times New Roman"/>
          <w:color w:val="000000" w:themeColor="text1"/>
          <w:sz w:val="24"/>
          <w:szCs w:val="24"/>
        </w:rPr>
        <w:t xml:space="preserve">on </w:t>
      </w:r>
      <w:r w:rsidR="00713B51">
        <w:rPr>
          <w:rFonts w:ascii="Times New Roman" w:hAnsi="Times New Roman"/>
          <w:color w:val="000000" w:themeColor="text1"/>
          <w:sz w:val="24"/>
          <w:szCs w:val="24"/>
        </w:rPr>
        <w:t>the day after t</w:t>
      </w:r>
      <w:r w:rsidR="00773507">
        <w:rPr>
          <w:rFonts w:ascii="Times New Roman" w:hAnsi="Times New Roman"/>
          <w:color w:val="000000" w:themeColor="text1"/>
          <w:sz w:val="24"/>
          <w:szCs w:val="24"/>
        </w:rPr>
        <w:t>he date in (</w:t>
      </w:r>
      <w:r w:rsidR="00713B51">
        <w:rPr>
          <w:rFonts w:ascii="Times New Roman" w:hAnsi="Times New Roman"/>
          <w:color w:val="000000" w:themeColor="text1"/>
          <w:sz w:val="24"/>
          <w:szCs w:val="24"/>
        </w:rPr>
        <w:t>c).</w:t>
      </w:r>
      <w:r w:rsidR="008B61DC">
        <w:rPr>
          <w:rFonts w:ascii="Times New Roman" w:hAnsi="Times New Roman"/>
          <w:color w:val="000000" w:themeColor="text1"/>
          <w:sz w:val="24"/>
          <w:szCs w:val="24"/>
        </w:rPr>
        <w:t xml:space="preserve">  </w:t>
      </w:r>
      <w:r w:rsidR="00C6314C">
        <w:rPr>
          <w:rFonts w:ascii="Times New Roman" w:hAnsi="Times New Roman"/>
          <w:color w:val="000000" w:themeColor="text1"/>
          <w:sz w:val="24"/>
          <w:szCs w:val="24"/>
        </w:rPr>
        <w:t>Thi</w:t>
      </w:r>
      <w:r w:rsidR="0095047E">
        <w:rPr>
          <w:rFonts w:ascii="Times New Roman" w:hAnsi="Times New Roman"/>
          <w:color w:val="000000" w:themeColor="text1"/>
          <w:sz w:val="24"/>
          <w:szCs w:val="24"/>
        </w:rPr>
        <w:t xml:space="preserve">s is an appropriate </w:t>
      </w:r>
      <w:r w:rsidR="00C6314C">
        <w:rPr>
          <w:rFonts w:ascii="Times New Roman" w:hAnsi="Times New Roman"/>
          <w:color w:val="000000" w:themeColor="text1"/>
          <w:sz w:val="24"/>
          <w:szCs w:val="24"/>
        </w:rPr>
        <w:t>start</w:t>
      </w:r>
      <w:r w:rsidR="0095047E">
        <w:rPr>
          <w:rFonts w:ascii="Times New Roman" w:hAnsi="Times New Roman"/>
          <w:color w:val="000000" w:themeColor="text1"/>
          <w:sz w:val="24"/>
          <w:szCs w:val="24"/>
        </w:rPr>
        <w:t xml:space="preserve">ing point for modelling </w:t>
      </w:r>
      <w:r w:rsidR="008B61DC">
        <w:rPr>
          <w:rFonts w:ascii="Times New Roman" w:hAnsi="Times New Roman"/>
          <w:color w:val="000000" w:themeColor="text1"/>
          <w:sz w:val="24"/>
          <w:szCs w:val="24"/>
        </w:rPr>
        <w:t xml:space="preserve">the </w:t>
      </w:r>
      <w:r w:rsidR="0095047E">
        <w:rPr>
          <w:rFonts w:ascii="Times New Roman" w:hAnsi="Times New Roman"/>
          <w:color w:val="000000" w:themeColor="text1"/>
          <w:sz w:val="24"/>
          <w:szCs w:val="24"/>
        </w:rPr>
        <w:t>C mass</w:t>
      </w:r>
      <w:r w:rsidR="0051362E">
        <w:rPr>
          <w:rFonts w:ascii="Times New Roman" w:hAnsi="Times New Roman"/>
          <w:color w:val="000000" w:themeColor="text1"/>
          <w:sz w:val="24"/>
          <w:szCs w:val="24"/>
        </w:rPr>
        <w:t xml:space="preserve"> </w:t>
      </w:r>
      <w:r w:rsidR="002F767F">
        <w:rPr>
          <w:rFonts w:ascii="Times New Roman" w:hAnsi="Times New Roman"/>
          <w:color w:val="000000" w:themeColor="text1"/>
          <w:sz w:val="24"/>
          <w:szCs w:val="24"/>
        </w:rPr>
        <w:t>of trees</w:t>
      </w:r>
      <w:r w:rsidR="00C6314C">
        <w:rPr>
          <w:rFonts w:ascii="Times New Roman" w:hAnsi="Times New Roman"/>
          <w:color w:val="000000" w:themeColor="text1"/>
          <w:sz w:val="24"/>
          <w:szCs w:val="24"/>
        </w:rPr>
        <w:t xml:space="preserve">. </w:t>
      </w:r>
    </w:p>
    <w:p w:rsidR="003B07AC" w:rsidRDefault="00C6314C" w:rsidP="00C6314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There must be documentary evidence for </w:t>
      </w:r>
      <w:r w:rsidR="008A3F3E">
        <w:rPr>
          <w:rFonts w:ascii="Times New Roman" w:hAnsi="Times New Roman"/>
          <w:color w:val="000000" w:themeColor="text1"/>
          <w:sz w:val="24"/>
          <w:szCs w:val="24"/>
        </w:rPr>
        <w:t>the</w:t>
      </w:r>
      <w:r>
        <w:rPr>
          <w:rFonts w:ascii="Times New Roman" w:hAnsi="Times New Roman"/>
          <w:color w:val="000000" w:themeColor="text1"/>
          <w:sz w:val="24"/>
          <w:szCs w:val="24"/>
        </w:rPr>
        <w:t xml:space="preserve"> management event</w:t>
      </w:r>
      <w:r w:rsidR="008A3F3E">
        <w:rPr>
          <w:rFonts w:ascii="Times New Roman" w:hAnsi="Times New Roman"/>
          <w:color w:val="000000" w:themeColor="text1"/>
          <w:sz w:val="24"/>
          <w:szCs w:val="24"/>
        </w:rPr>
        <w:t>s</w:t>
      </w:r>
      <w:r>
        <w:rPr>
          <w:rFonts w:ascii="Times New Roman" w:hAnsi="Times New Roman"/>
          <w:color w:val="000000" w:themeColor="text1"/>
          <w:sz w:val="24"/>
          <w:szCs w:val="24"/>
        </w:rPr>
        <w:t xml:space="preserve"> in the </w:t>
      </w:r>
      <w:proofErr w:type="spellStart"/>
      <w:r>
        <w:rPr>
          <w:rFonts w:ascii="Times New Roman" w:hAnsi="Times New Roman"/>
          <w:color w:val="000000" w:themeColor="text1"/>
          <w:sz w:val="24"/>
          <w:szCs w:val="24"/>
        </w:rPr>
        <w:t>FullCAM</w:t>
      </w:r>
      <w:proofErr w:type="spellEnd"/>
      <w:r>
        <w:rPr>
          <w:rFonts w:ascii="Times New Roman" w:hAnsi="Times New Roman"/>
          <w:color w:val="000000" w:themeColor="text1"/>
          <w:sz w:val="24"/>
          <w:szCs w:val="24"/>
        </w:rPr>
        <w:t xml:space="preserve"> event queue</w:t>
      </w:r>
      <w:r w:rsidR="0051362E">
        <w:rPr>
          <w:rFonts w:ascii="Times New Roman" w:hAnsi="Times New Roman"/>
          <w:color w:val="000000" w:themeColor="text1"/>
          <w:sz w:val="24"/>
          <w:szCs w:val="24"/>
        </w:rPr>
        <w:t xml:space="preserve"> that </w:t>
      </w:r>
      <w:r w:rsidR="008A3F3E">
        <w:rPr>
          <w:rFonts w:ascii="Times New Roman" w:hAnsi="Times New Roman"/>
          <w:color w:val="000000" w:themeColor="text1"/>
          <w:sz w:val="24"/>
          <w:szCs w:val="24"/>
        </w:rPr>
        <w:t>are</w:t>
      </w:r>
      <w:r w:rsidR="0051362E">
        <w:rPr>
          <w:rFonts w:ascii="Times New Roman" w:hAnsi="Times New Roman"/>
          <w:color w:val="000000" w:themeColor="text1"/>
          <w:sz w:val="24"/>
          <w:szCs w:val="24"/>
        </w:rPr>
        <w:t xml:space="preserve"> used to establish the C mass of trees in the carbon estimation area</w:t>
      </w:r>
      <w:r>
        <w:rPr>
          <w:rFonts w:ascii="Times New Roman" w:hAnsi="Times New Roman"/>
          <w:color w:val="000000" w:themeColor="text1"/>
          <w:sz w:val="24"/>
          <w:szCs w:val="24"/>
        </w:rPr>
        <w:t xml:space="preserve">. </w:t>
      </w:r>
    </w:p>
    <w:p w:rsidR="00C6314C" w:rsidRPr="00C6314C" w:rsidRDefault="00C6314C" w:rsidP="00C6314C">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51362E">
        <w:rPr>
          <w:rFonts w:ascii="Times New Roman" w:hAnsi="Times New Roman"/>
          <w:color w:val="000000" w:themeColor="text1"/>
          <w:sz w:val="24"/>
          <w:szCs w:val="24"/>
        </w:rPr>
        <w:t> </w:t>
      </w:r>
      <w:r>
        <w:rPr>
          <w:rFonts w:ascii="Times New Roman" w:hAnsi="Times New Roman"/>
          <w:color w:val="000000" w:themeColor="text1"/>
          <w:sz w:val="24"/>
          <w:szCs w:val="24"/>
        </w:rPr>
        <w:t>4.8(</w:t>
      </w:r>
      <w:r w:rsidR="003B07AC">
        <w:rPr>
          <w:rFonts w:ascii="Times New Roman" w:hAnsi="Times New Roman"/>
          <w:color w:val="000000" w:themeColor="text1"/>
          <w:sz w:val="24"/>
          <w:szCs w:val="24"/>
        </w:rPr>
        <w:t>6</w:t>
      </w:r>
      <w:r>
        <w:rPr>
          <w:rFonts w:ascii="Times New Roman" w:hAnsi="Times New Roman"/>
          <w:color w:val="000000" w:themeColor="text1"/>
          <w:sz w:val="24"/>
          <w:szCs w:val="24"/>
        </w:rPr>
        <w:t>) provides a non-exhaustive list of the documentary evidence that may be provided to the Regulator.</w:t>
      </w:r>
    </w:p>
    <w:p w:rsidR="004C207F" w:rsidRDefault="004C207F" w:rsidP="00571681">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4.9</w:t>
      </w:r>
      <w:r>
        <w:rPr>
          <w:rFonts w:ascii="Times New Roman" w:hAnsi="Times New Roman"/>
          <w:color w:val="000000" w:themeColor="text1"/>
          <w:sz w:val="24"/>
          <w:szCs w:val="24"/>
          <w:u w:val="single"/>
        </w:rPr>
        <w:tab/>
      </w:r>
      <w:proofErr w:type="spellStart"/>
      <w:r>
        <w:rPr>
          <w:rFonts w:ascii="Times New Roman" w:hAnsi="Times New Roman"/>
          <w:color w:val="000000" w:themeColor="text1"/>
          <w:sz w:val="24"/>
          <w:szCs w:val="24"/>
          <w:u w:val="single"/>
        </w:rPr>
        <w:t>FullCAM</w:t>
      </w:r>
      <w:proofErr w:type="spellEnd"/>
      <w:r>
        <w:rPr>
          <w:rFonts w:ascii="Times New Roman" w:hAnsi="Times New Roman"/>
          <w:color w:val="000000" w:themeColor="text1"/>
          <w:sz w:val="24"/>
          <w:szCs w:val="24"/>
          <w:u w:val="single"/>
        </w:rPr>
        <w:t xml:space="preserve"> modelling—C mass of trees </w:t>
      </w:r>
      <w:r w:rsidR="0051362E">
        <w:rPr>
          <w:rFonts w:ascii="Times New Roman" w:hAnsi="Times New Roman"/>
          <w:color w:val="000000" w:themeColor="text1"/>
          <w:sz w:val="24"/>
          <w:szCs w:val="24"/>
          <w:u w:val="single"/>
        </w:rPr>
        <w:t>100 years after implementation date</w:t>
      </w:r>
    </w:p>
    <w:p w:rsidR="00446B85" w:rsidRDefault="00446B85" w:rsidP="00446B85">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Pr="0095047E">
        <w:rPr>
          <w:rFonts w:ascii="Times New Roman" w:hAnsi="Times New Roman"/>
          <w:color w:val="000000" w:themeColor="text1"/>
          <w:sz w:val="24"/>
          <w:szCs w:val="24"/>
        </w:rPr>
        <w:t>ection</w:t>
      </w:r>
      <w:r>
        <w:rPr>
          <w:rFonts w:ascii="Times New Roman" w:hAnsi="Times New Roman"/>
          <w:color w:val="000000" w:themeColor="text1"/>
          <w:sz w:val="24"/>
          <w:szCs w:val="24"/>
        </w:rPr>
        <w:t xml:space="preserve"> 4.9</w:t>
      </w:r>
      <w:r w:rsidRPr="0095047E">
        <w:rPr>
          <w:rFonts w:ascii="Times New Roman" w:hAnsi="Times New Roman"/>
          <w:color w:val="000000" w:themeColor="text1"/>
          <w:sz w:val="24"/>
          <w:szCs w:val="24"/>
        </w:rPr>
        <w:t xml:space="preserve"> sets out the requirements for </w:t>
      </w:r>
      <w:r w:rsidR="00592D42" w:rsidRPr="00152E26">
        <w:rPr>
          <w:rFonts w:ascii="Times New Roman" w:hAnsi="Times New Roman"/>
          <w:color w:val="000000" w:themeColor="text1"/>
          <w:sz w:val="24"/>
          <w:szCs w:val="24"/>
        </w:rPr>
        <w:t xml:space="preserve">using </w:t>
      </w:r>
      <w:proofErr w:type="spellStart"/>
      <w:r w:rsidR="00592D42" w:rsidRPr="00152E26">
        <w:rPr>
          <w:rFonts w:ascii="Times New Roman" w:hAnsi="Times New Roman"/>
          <w:color w:val="000000" w:themeColor="text1"/>
          <w:sz w:val="24"/>
          <w:szCs w:val="24"/>
        </w:rPr>
        <w:t>FullCAM</w:t>
      </w:r>
      <w:proofErr w:type="spellEnd"/>
      <w:r w:rsidR="00592D42" w:rsidRPr="00152E26">
        <w:rPr>
          <w:rFonts w:ascii="Times New Roman" w:hAnsi="Times New Roman"/>
          <w:color w:val="000000" w:themeColor="text1"/>
          <w:sz w:val="24"/>
          <w:szCs w:val="24"/>
        </w:rPr>
        <w:t xml:space="preserve"> to </w:t>
      </w:r>
      <w:r w:rsidR="00DA2A4B">
        <w:rPr>
          <w:rFonts w:ascii="Times New Roman" w:hAnsi="Times New Roman"/>
          <w:color w:val="000000" w:themeColor="text1"/>
          <w:sz w:val="24"/>
          <w:szCs w:val="24"/>
        </w:rPr>
        <w:t>model</w:t>
      </w:r>
      <w:r w:rsidRPr="0095047E">
        <w:rPr>
          <w:rFonts w:ascii="Times New Roman" w:hAnsi="Times New Roman"/>
          <w:color w:val="000000" w:themeColor="text1"/>
          <w:sz w:val="24"/>
          <w:szCs w:val="24"/>
        </w:rPr>
        <w:t xml:space="preserve"> the C mass of trees in a carbon estimation area </w:t>
      </w:r>
      <w:r>
        <w:rPr>
          <w:rFonts w:ascii="Times New Roman" w:hAnsi="Times New Roman"/>
          <w:color w:val="000000" w:themeColor="text1"/>
          <w:sz w:val="24"/>
          <w:szCs w:val="24"/>
        </w:rPr>
        <w:t>100 years after the project mechanism is implemented in the area</w:t>
      </w:r>
      <w:r w:rsidRPr="0095047E">
        <w:rPr>
          <w:rFonts w:ascii="Times New Roman" w:hAnsi="Times New Roman"/>
          <w:color w:val="000000" w:themeColor="text1"/>
          <w:sz w:val="24"/>
          <w:szCs w:val="24"/>
        </w:rPr>
        <w:t>.</w:t>
      </w:r>
    </w:p>
    <w:p w:rsidR="0095047E" w:rsidRDefault="00446B85" w:rsidP="0095047E">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w:t>
      </w:r>
      <w:r w:rsidR="0095047E" w:rsidRPr="0095047E">
        <w:rPr>
          <w:rFonts w:ascii="Times New Roman" w:hAnsi="Times New Roman"/>
          <w:color w:val="000000" w:themeColor="text1"/>
          <w:sz w:val="24"/>
          <w:szCs w:val="24"/>
        </w:rPr>
        <w:t xml:space="preserve">roject proponents must comply with the relevant sections of the </w:t>
      </w:r>
      <w:proofErr w:type="spellStart"/>
      <w:r w:rsidR="0095047E" w:rsidRPr="0095047E">
        <w:rPr>
          <w:rFonts w:ascii="Times New Roman" w:hAnsi="Times New Roman"/>
          <w:color w:val="000000" w:themeColor="text1"/>
          <w:sz w:val="24"/>
          <w:szCs w:val="24"/>
        </w:rPr>
        <w:t>FullCAM</w:t>
      </w:r>
      <w:proofErr w:type="spellEnd"/>
      <w:r w:rsidR="0095047E" w:rsidRPr="0095047E">
        <w:rPr>
          <w:rFonts w:ascii="Times New Roman" w:hAnsi="Times New Roman"/>
          <w:color w:val="000000" w:themeColor="text1"/>
          <w:sz w:val="24"/>
          <w:szCs w:val="24"/>
        </w:rPr>
        <w:t xml:space="preserve"> Guidelines</w:t>
      </w:r>
      <w:r w:rsidR="00DC3F2D">
        <w:rPr>
          <w:rFonts w:ascii="Times New Roman" w:hAnsi="Times New Roman"/>
          <w:color w:val="000000" w:themeColor="text1"/>
          <w:sz w:val="24"/>
          <w:szCs w:val="24"/>
        </w:rPr>
        <w:t xml:space="preserve"> when establishing the C mass of trees at the end of the 100</w:t>
      </w:r>
      <w:r w:rsidR="008A3F3E">
        <w:rPr>
          <w:rFonts w:ascii="Times New Roman" w:hAnsi="Times New Roman"/>
          <w:color w:val="000000" w:themeColor="text1"/>
          <w:sz w:val="24"/>
          <w:szCs w:val="24"/>
        </w:rPr>
        <w:t>-</w:t>
      </w:r>
      <w:r w:rsidR="00DC3F2D">
        <w:rPr>
          <w:rFonts w:ascii="Times New Roman" w:hAnsi="Times New Roman"/>
          <w:color w:val="000000" w:themeColor="text1"/>
          <w:sz w:val="24"/>
          <w:szCs w:val="24"/>
        </w:rPr>
        <w:t>year period</w:t>
      </w:r>
      <w:r w:rsidR="0095047E" w:rsidRPr="0095047E">
        <w:rPr>
          <w:rFonts w:ascii="Times New Roman" w:hAnsi="Times New Roman"/>
          <w:color w:val="000000" w:themeColor="text1"/>
          <w:sz w:val="24"/>
          <w:szCs w:val="24"/>
        </w:rPr>
        <w:t xml:space="preserve">. </w:t>
      </w:r>
    </w:p>
    <w:p w:rsidR="0095047E" w:rsidRDefault="0095047E" w:rsidP="0095047E">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4.9</w:t>
      </w:r>
      <w:r w:rsidRPr="0095047E">
        <w:rPr>
          <w:rFonts w:ascii="Times New Roman" w:hAnsi="Times New Roman"/>
          <w:color w:val="000000" w:themeColor="text1"/>
          <w:sz w:val="24"/>
          <w:szCs w:val="24"/>
        </w:rPr>
        <w:t>(</w:t>
      </w:r>
      <w:r w:rsidR="00DA2A4B">
        <w:rPr>
          <w:rFonts w:ascii="Times New Roman" w:hAnsi="Times New Roman"/>
          <w:color w:val="000000" w:themeColor="text1"/>
          <w:sz w:val="24"/>
          <w:szCs w:val="24"/>
        </w:rPr>
        <w:t>2</w:t>
      </w:r>
      <w:r w:rsidRPr="0095047E">
        <w:rPr>
          <w:rFonts w:ascii="Times New Roman" w:hAnsi="Times New Roman"/>
          <w:color w:val="000000" w:themeColor="text1"/>
          <w:sz w:val="24"/>
          <w:szCs w:val="24"/>
        </w:rPr>
        <w:t xml:space="preserve">) clarifies that the appropriate default values in </w:t>
      </w:r>
      <w:proofErr w:type="spellStart"/>
      <w:r w:rsidRPr="0095047E">
        <w:rPr>
          <w:rFonts w:ascii="Times New Roman" w:hAnsi="Times New Roman"/>
          <w:color w:val="000000" w:themeColor="text1"/>
          <w:sz w:val="24"/>
          <w:szCs w:val="24"/>
        </w:rPr>
        <w:t>FullCAM</w:t>
      </w:r>
      <w:proofErr w:type="spellEnd"/>
      <w:r w:rsidRPr="0095047E">
        <w:rPr>
          <w:rFonts w:ascii="Times New Roman" w:hAnsi="Times New Roman"/>
          <w:color w:val="000000" w:themeColor="text1"/>
          <w:sz w:val="24"/>
          <w:szCs w:val="24"/>
        </w:rPr>
        <w:t xml:space="preserve"> or the </w:t>
      </w:r>
      <w:proofErr w:type="spellStart"/>
      <w:r w:rsidRPr="0095047E">
        <w:rPr>
          <w:rFonts w:ascii="Times New Roman" w:hAnsi="Times New Roman"/>
          <w:color w:val="000000" w:themeColor="text1"/>
          <w:sz w:val="24"/>
          <w:szCs w:val="24"/>
        </w:rPr>
        <w:t>FullCAM</w:t>
      </w:r>
      <w:proofErr w:type="spellEnd"/>
      <w:r w:rsidRPr="0095047E">
        <w:rPr>
          <w:rFonts w:ascii="Times New Roman" w:hAnsi="Times New Roman"/>
          <w:color w:val="000000" w:themeColor="text1"/>
          <w:sz w:val="24"/>
          <w:szCs w:val="24"/>
        </w:rPr>
        <w:t xml:space="preserve"> Guidelines must be used to model the C mass of trees </w:t>
      </w:r>
      <w:r w:rsidR="00DA2A4B">
        <w:rPr>
          <w:rFonts w:ascii="Times New Roman" w:hAnsi="Times New Roman"/>
          <w:color w:val="000000" w:themeColor="text1"/>
          <w:sz w:val="24"/>
          <w:szCs w:val="24"/>
        </w:rPr>
        <w:t>specified in subsection 4.9(1)</w:t>
      </w:r>
      <w:r w:rsidRPr="0095047E">
        <w:rPr>
          <w:rFonts w:ascii="Times New Roman" w:hAnsi="Times New Roman"/>
          <w:color w:val="000000" w:themeColor="text1"/>
          <w:sz w:val="24"/>
          <w:szCs w:val="24"/>
        </w:rPr>
        <w:t xml:space="preserve">, except where the </w:t>
      </w:r>
      <w:proofErr w:type="spellStart"/>
      <w:r w:rsidRPr="0095047E">
        <w:rPr>
          <w:rFonts w:ascii="Times New Roman" w:hAnsi="Times New Roman"/>
          <w:color w:val="000000" w:themeColor="text1"/>
          <w:sz w:val="24"/>
          <w:szCs w:val="24"/>
        </w:rPr>
        <w:t>FullCAM</w:t>
      </w:r>
      <w:proofErr w:type="spellEnd"/>
      <w:r w:rsidRPr="0095047E">
        <w:rPr>
          <w:rFonts w:ascii="Times New Roman" w:hAnsi="Times New Roman"/>
          <w:color w:val="000000" w:themeColor="text1"/>
          <w:sz w:val="24"/>
          <w:szCs w:val="24"/>
        </w:rPr>
        <w:t xml:space="preserve"> Guidelines specify that project-specific inputs must be used.</w:t>
      </w:r>
    </w:p>
    <w:p w:rsidR="00986D81" w:rsidRDefault="00516EF1"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M</w:t>
      </w:r>
      <w:r w:rsidR="00581457">
        <w:rPr>
          <w:rFonts w:ascii="Times New Roman" w:hAnsi="Times New Roman"/>
          <w:color w:val="000000" w:themeColor="text1"/>
          <w:sz w:val="24"/>
          <w:szCs w:val="24"/>
        </w:rPr>
        <w:t>odel</w:t>
      </w:r>
      <w:r>
        <w:rPr>
          <w:rFonts w:ascii="Times New Roman" w:hAnsi="Times New Roman"/>
          <w:color w:val="000000" w:themeColor="text1"/>
          <w:sz w:val="24"/>
          <w:szCs w:val="24"/>
        </w:rPr>
        <w:t>ling</w:t>
      </w:r>
      <w:r w:rsidR="00581457">
        <w:rPr>
          <w:rFonts w:ascii="Times New Roman" w:hAnsi="Times New Roman"/>
          <w:color w:val="000000" w:themeColor="text1"/>
          <w:sz w:val="24"/>
          <w:szCs w:val="24"/>
        </w:rPr>
        <w:t xml:space="preserve"> must begin</w:t>
      </w:r>
      <w:r w:rsidR="0095047E">
        <w:rPr>
          <w:rFonts w:ascii="Times New Roman" w:hAnsi="Times New Roman"/>
          <w:color w:val="000000" w:themeColor="text1"/>
          <w:sz w:val="24"/>
          <w:szCs w:val="24"/>
        </w:rPr>
        <w:t xml:space="preserve"> on the </w:t>
      </w:r>
      <w:r w:rsidR="001023CD">
        <w:rPr>
          <w:rFonts w:ascii="Times New Roman" w:hAnsi="Times New Roman"/>
          <w:color w:val="000000" w:themeColor="text1"/>
          <w:sz w:val="24"/>
          <w:szCs w:val="24"/>
        </w:rPr>
        <w:t xml:space="preserve">implementation </w:t>
      </w:r>
      <w:r w:rsidR="0095047E">
        <w:rPr>
          <w:rFonts w:ascii="Times New Roman" w:hAnsi="Times New Roman"/>
          <w:color w:val="000000" w:themeColor="text1"/>
          <w:sz w:val="24"/>
          <w:szCs w:val="24"/>
        </w:rPr>
        <w:t>date</w:t>
      </w:r>
      <w:r w:rsidR="001023CD">
        <w:rPr>
          <w:rFonts w:ascii="Times New Roman" w:hAnsi="Times New Roman"/>
          <w:color w:val="000000" w:themeColor="text1"/>
          <w:sz w:val="24"/>
          <w:szCs w:val="24"/>
        </w:rPr>
        <w:t>, which is</w:t>
      </w:r>
      <w:r w:rsidR="0095047E">
        <w:rPr>
          <w:rFonts w:ascii="Times New Roman" w:hAnsi="Times New Roman"/>
          <w:color w:val="000000" w:themeColor="text1"/>
          <w:sz w:val="24"/>
          <w:szCs w:val="24"/>
        </w:rPr>
        <w:t xml:space="preserve"> </w:t>
      </w:r>
      <w:r w:rsidR="001023CD">
        <w:rPr>
          <w:rFonts w:ascii="Times New Roman" w:hAnsi="Times New Roman"/>
          <w:color w:val="000000" w:themeColor="text1"/>
          <w:sz w:val="24"/>
          <w:szCs w:val="24"/>
        </w:rPr>
        <w:t>when the project mechanism is implemented in the carbon estimation area</w:t>
      </w:r>
      <w:r w:rsidR="008A3F3E">
        <w:rPr>
          <w:rFonts w:ascii="Times New Roman" w:hAnsi="Times New Roman"/>
          <w:color w:val="000000" w:themeColor="text1"/>
          <w:sz w:val="24"/>
          <w:szCs w:val="24"/>
        </w:rPr>
        <w:t>.  It must</w:t>
      </w:r>
      <w:r w:rsidR="0095047E">
        <w:rPr>
          <w:rFonts w:ascii="Times New Roman" w:hAnsi="Times New Roman"/>
          <w:color w:val="000000" w:themeColor="text1"/>
          <w:sz w:val="24"/>
          <w:szCs w:val="24"/>
        </w:rPr>
        <w:t xml:space="preserve"> end on the last day of </w:t>
      </w:r>
      <w:r>
        <w:rPr>
          <w:rFonts w:ascii="Times New Roman" w:hAnsi="Times New Roman"/>
          <w:color w:val="000000" w:themeColor="text1"/>
          <w:sz w:val="24"/>
          <w:szCs w:val="24"/>
        </w:rPr>
        <w:t>the 100-year period that follows the implementation date</w:t>
      </w:r>
      <w:r w:rsidR="0095047E">
        <w:rPr>
          <w:rFonts w:ascii="Times New Roman" w:hAnsi="Times New Roman"/>
          <w:color w:val="000000" w:themeColor="text1"/>
          <w:sz w:val="24"/>
          <w:szCs w:val="24"/>
        </w:rPr>
        <w:t>.</w:t>
      </w:r>
    </w:p>
    <w:p w:rsidR="00DA2A4B" w:rsidRDefault="00DA2A4B"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Once the </w:t>
      </w:r>
      <w:r w:rsidRPr="0095047E">
        <w:rPr>
          <w:rFonts w:ascii="Times New Roman" w:hAnsi="Times New Roman"/>
          <w:color w:val="000000" w:themeColor="text1"/>
          <w:sz w:val="24"/>
          <w:szCs w:val="24"/>
        </w:rPr>
        <w:t xml:space="preserve">C mass of trees in a carbon estimation area </w:t>
      </w:r>
      <w:r>
        <w:rPr>
          <w:rFonts w:ascii="Times New Roman" w:hAnsi="Times New Roman"/>
          <w:color w:val="000000" w:themeColor="text1"/>
          <w:sz w:val="24"/>
          <w:szCs w:val="24"/>
        </w:rPr>
        <w:t xml:space="preserve">100 years after the implementation date is modelled, 5% of the total must be calculated in accordance with the </w:t>
      </w:r>
      <w:proofErr w:type="spellStart"/>
      <w:r>
        <w:rPr>
          <w:rFonts w:ascii="Times New Roman" w:hAnsi="Times New Roman"/>
          <w:color w:val="000000" w:themeColor="text1"/>
          <w:sz w:val="24"/>
          <w:szCs w:val="24"/>
        </w:rPr>
        <w:t>FullCAM</w:t>
      </w:r>
      <w:proofErr w:type="spellEnd"/>
      <w:r>
        <w:rPr>
          <w:rFonts w:ascii="Times New Roman" w:hAnsi="Times New Roman"/>
          <w:color w:val="000000" w:themeColor="text1"/>
          <w:sz w:val="24"/>
          <w:szCs w:val="24"/>
        </w:rPr>
        <w:t xml:space="preserve"> Guidelines.  </w:t>
      </w:r>
      <w:r w:rsidR="00CB75C7">
        <w:rPr>
          <w:rFonts w:ascii="Times New Roman" w:hAnsi="Times New Roman"/>
          <w:color w:val="000000" w:themeColor="text1"/>
          <w:sz w:val="24"/>
          <w:szCs w:val="24"/>
        </w:rPr>
        <w:t>This allows the materiality test set out in section 4.7 to be used to determine whether the C mass of trees in a carbon estimation area reached a material level in the specified period.</w:t>
      </w:r>
    </w:p>
    <w:p w:rsidR="0095047E" w:rsidRDefault="0095047E" w:rsidP="00986D81">
      <w:pPr>
        <w:spacing w:after="120" w:line="240" w:lineRule="auto"/>
        <w:rPr>
          <w:rFonts w:ascii="Times New Roman" w:hAnsi="Times New Roman"/>
          <w:color w:val="000000" w:themeColor="text1"/>
          <w:sz w:val="24"/>
          <w:szCs w:val="24"/>
        </w:rPr>
      </w:pPr>
    </w:p>
    <w:p w:rsidR="009A1989" w:rsidRDefault="009A1989" w:rsidP="00986D81">
      <w:pPr>
        <w:spacing w:after="120" w:line="240" w:lineRule="auto"/>
        <w:rPr>
          <w:rFonts w:ascii="Times New Roman" w:hAnsi="Times New Roman"/>
          <w:b/>
          <w:color w:val="000000" w:themeColor="text1"/>
          <w:sz w:val="24"/>
          <w:szCs w:val="24"/>
        </w:rPr>
      </w:pPr>
      <w:r w:rsidRPr="009A1989">
        <w:rPr>
          <w:rFonts w:ascii="Times New Roman" w:hAnsi="Times New Roman"/>
          <w:b/>
          <w:color w:val="000000" w:themeColor="text1"/>
          <w:sz w:val="24"/>
          <w:szCs w:val="24"/>
        </w:rPr>
        <w:t xml:space="preserve">Subdivision 4.3.2 </w:t>
      </w:r>
      <w:r w:rsidRPr="009A1989">
        <w:rPr>
          <w:rFonts w:ascii="Times New Roman" w:hAnsi="Times New Roman"/>
          <w:b/>
          <w:color w:val="000000" w:themeColor="text1"/>
          <w:sz w:val="24"/>
          <w:szCs w:val="24"/>
        </w:rPr>
        <w:tab/>
        <w:t>Zero baseline</w:t>
      </w:r>
    </w:p>
    <w:p w:rsidR="00386C72" w:rsidRPr="00386C72" w:rsidRDefault="00386C72" w:rsidP="00986D81">
      <w:pPr>
        <w:spacing w:after="120" w:line="240" w:lineRule="auto"/>
        <w:rPr>
          <w:rFonts w:ascii="Times New Roman" w:hAnsi="Times New Roman"/>
          <w:color w:val="000000" w:themeColor="text1"/>
          <w:sz w:val="24"/>
          <w:szCs w:val="24"/>
        </w:rPr>
      </w:pPr>
      <w:r w:rsidRPr="00386C72">
        <w:rPr>
          <w:rFonts w:ascii="Times New Roman" w:hAnsi="Times New Roman"/>
          <w:color w:val="000000" w:themeColor="text1"/>
          <w:sz w:val="24"/>
          <w:szCs w:val="24"/>
        </w:rPr>
        <w:t xml:space="preserve">Subdivision 4.3.2 sets out the requirements for determining whether a zero baseline applies to </w:t>
      </w:r>
      <w:r w:rsidR="003060FC">
        <w:rPr>
          <w:rFonts w:ascii="Times New Roman" w:hAnsi="Times New Roman"/>
          <w:color w:val="000000" w:themeColor="text1"/>
          <w:sz w:val="24"/>
          <w:szCs w:val="24"/>
        </w:rPr>
        <w:t>a</w:t>
      </w:r>
      <w:r w:rsidRPr="00386C72">
        <w:rPr>
          <w:rFonts w:ascii="Times New Roman" w:hAnsi="Times New Roman"/>
          <w:color w:val="000000" w:themeColor="text1"/>
          <w:sz w:val="24"/>
          <w:szCs w:val="24"/>
        </w:rPr>
        <w:t xml:space="preserve"> </w:t>
      </w:r>
      <w:r w:rsidR="00B447D6">
        <w:rPr>
          <w:rFonts w:ascii="Times New Roman" w:hAnsi="Times New Roman"/>
          <w:color w:val="000000" w:themeColor="text1"/>
          <w:sz w:val="24"/>
          <w:szCs w:val="24"/>
        </w:rPr>
        <w:t>carbon estimation area</w:t>
      </w:r>
      <w:r w:rsidRPr="00386C72">
        <w:rPr>
          <w:rFonts w:ascii="Times New Roman" w:hAnsi="Times New Roman"/>
          <w:color w:val="000000" w:themeColor="text1"/>
          <w:sz w:val="24"/>
          <w:szCs w:val="24"/>
        </w:rPr>
        <w:t>.</w:t>
      </w:r>
    </w:p>
    <w:p w:rsidR="00320E4F" w:rsidRPr="00386C72" w:rsidRDefault="004C207F" w:rsidP="00986D81">
      <w:pPr>
        <w:keepNext/>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4.10</w:t>
      </w:r>
      <w:r w:rsidR="00320E4F" w:rsidRPr="00386C72">
        <w:rPr>
          <w:rFonts w:ascii="Times New Roman" w:hAnsi="Times New Roman"/>
          <w:color w:val="000000" w:themeColor="text1"/>
          <w:sz w:val="24"/>
          <w:szCs w:val="24"/>
          <w:u w:val="single"/>
        </w:rPr>
        <w:tab/>
      </w:r>
      <w:r w:rsidR="00386C72" w:rsidRPr="00386C72">
        <w:rPr>
          <w:rFonts w:ascii="Times New Roman" w:hAnsi="Times New Roman"/>
          <w:color w:val="000000" w:themeColor="text1"/>
          <w:sz w:val="24"/>
          <w:szCs w:val="24"/>
          <w:u w:val="single"/>
        </w:rPr>
        <w:t xml:space="preserve">Zero baseline </w:t>
      </w:r>
      <w:proofErr w:type="gramStart"/>
      <w:r w:rsidR="00386C72" w:rsidRPr="00386C72">
        <w:rPr>
          <w:rFonts w:ascii="Times New Roman" w:hAnsi="Times New Roman"/>
          <w:color w:val="000000" w:themeColor="text1"/>
          <w:sz w:val="24"/>
          <w:szCs w:val="24"/>
          <w:u w:val="single"/>
        </w:rPr>
        <w:t>scenario</w:t>
      </w:r>
      <w:proofErr w:type="gramEnd"/>
    </w:p>
    <w:p w:rsidR="00386C72" w:rsidRDefault="004C207F"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4.10</w:t>
      </w:r>
      <w:r w:rsidR="00D84A1C" w:rsidRPr="00D84A1C">
        <w:rPr>
          <w:rFonts w:ascii="Times New Roman" w:hAnsi="Times New Roman"/>
          <w:color w:val="000000" w:themeColor="text1"/>
          <w:sz w:val="24"/>
          <w:szCs w:val="24"/>
        </w:rPr>
        <w:t xml:space="preserve"> sets out the circumstances in which the baseline for a carbon estimation area in the project area is taken to be zero.</w:t>
      </w:r>
    </w:p>
    <w:p w:rsidR="00D06E76" w:rsidRDefault="001023CD" w:rsidP="004C207F">
      <w:pPr>
        <w:spacing w:after="120" w:line="240" w:lineRule="auto"/>
        <w:ind w:right="237"/>
        <w:rPr>
          <w:rFonts w:ascii="Times New Roman" w:hAnsi="Times New Roman"/>
          <w:color w:val="000000" w:themeColor="text1"/>
          <w:sz w:val="24"/>
          <w:szCs w:val="24"/>
        </w:rPr>
      </w:pPr>
      <w:r>
        <w:rPr>
          <w:rFonts w:ascii="Times New Roman" w:hAnsi="Times New Roman"/>
          <w:color w:val="000000" w:themeColor="text1"/>
          <w:sz w:val="24"/>
          <w:szCs w:val="24"/>
        </w:rPr>
        <w:t>A</w:t>
      </w:r>
      <w:r w:rsidR="004C207F" w:rsidRPr="00D84A1C">
        <w:rPr>
          <w:rFonts w:ascii="Times New Roman" w:hAnsi="Times New Roman"/>
          <w:color w:val="000000" w:themeColor="text1"/>
          <w:sz w:val="24"/>
          <w:szCs w:val="24"/>
        </w:rPr>
        <w:t xml:space="preserve"> </w:t>
      </w:r>
      <w:r w:rsidR="004C207F">
        <w:rPr>
          <w:rFonts w:ascii="Times New Roman" w:hAnsi="Times New Roman"/>
          <w:color w:val="000000" w:themeColor="text1"/>
          <w:sz w:val="24"/>
          <w:szCs w:val="24"/>
        </w:rPr>
        <w:t>carbon estimation area</w:t>
      </w:r>
      <w:r>
        <w:rPr>
          <w:rFonts w:ascii="Times New Roman" w:hAnsi="Times New Roman"/>
          <w:color w:val="000000" w:themeColor="text1"/>
          <w:sz w:val="24"/>
          <w:szCs w:val="24"/>
        </w:rPr>
        <w:t xml:space="preserve"> will have a zero baseline if</w:t>
      </w:r>
      <w:r w:rsidR="004C207F" w:rsidRPr="00D84A1C">
        <w:rPr>
          <w:rFonts w:ascii="Times New Roman" w:hAnsi="Times New Roman"/>
          <w:color w:val="000000" w:themeColor="text1"/>
          <w:sz w:val="24"/>
          <w:szCs w:val="24"/>
        </w:rPr>
        <w:t xml:space="preserve"> the C</w:t>
      </w:r>
      <w:r w:rsidR="004C207F">
        <w:rPr>
          <w:rFonts w:ascii="Times New Roman" w:hAnsi="Times New Roman"/>
          <w:color w:val="000000" w:themeColor="text1"/>
          <w:sz w:val="24"/>
          <w:szCs w:val="24"/>
        </w:rPr>
        <w:t xml:space="preserve"> </w:t>
      </w:r>
      <w:r w:rsidR="004C207F" w:rsidRPr="00D84A1C">
        <w:rPr>
          <w:rFonts w:ascii="Times New Roman" w:hAnsi="Times New Roman"/>
          <w:color w:val="000000" w:themeColor="text1"/>
          <w:sz w:val="24"/>
          <w:szCs w:val="24"/>
        </w:rPr>
        <w:t xml:space="preserve">mass </w:t>
      </w:r>
      <w:r w:rsidR="002F767F">
        <w:rPr>
          <w:rFonts w:ascii="Times New Roman" w:hAnsi="Times New Roman"/>
          <w:color w:val="000000" w:themeColor="text1"/>
          <w:sz w:val="24"/>
          <w:szCs w:val="24"/>
        </w:rPr>
        <w:t>of</w:t>
      </w:r>
      <w:r w:rsidR="004C207F" w:rsidRPr="00D84A1C">
        <w:rPr>
          <w:rFonts w:ascii="Times New Roman" w:hAnsi="Times New Roman"/>
          <w:color w:val="000000" w:themeColor="text1"/>
          <w:sz w:val="24"/>
          <w:szCs w:val="24"/>
        </w:rPr>
        <w:t xml:space="preserve"> trees </w:t>
      </w:r>
      <w:r>
        <w:rPr>
          <w:rFonts w:ascii="Times New Roman" w:hAnsi="Times New Roman"/>
          <w:color w:val="000000" w:themeColor="text1"/>
          <w:sz w:val="24"/>
          <w:szCs w:val="24"/>
        </w:rPr>
        <w:t>did not reach a material level</w:t>
      </w:r>
      <w:r w:rsidR="004C207F" w:rsidRPr="00D84A1C">
        <w:rPr>
          <w:rFonts w:ascii="Times New Roman" w:hAnsi="Times New Roman"/>
          <w:color w:val="000000" w:themeColor="text1"/>
          <w:sz w:val="24"/>
          <w:szCs w:val="24"/>
        </w:rPr>
        <w:t xml:space="preserve"> </w:t>
      </w:r>
      <w:r w:rsidR="004C207F">
        <w:rPr>
          <w:rFonts w:ascii="Times New Roman" w:hAnsi="Times New Roman"/>
          <w:color w:val="000000" w:themeColor="text1"/>
          <w:sz w:val="24"/>
          <w:szCs w:val="24"/>
        </w:rPr>
        <w:t>in</w:t>
      </w:r>
      <w:r w:rsidR="004C207F" w:rsidRPr="00D84A1C">
        <w:rPr>
          <w:rFonts w:ascii="Times New Roman" w:hAnsi="Times New Roman"/>
          <w:color w:val="000000" w:themeColor="text1"/>
          <w:sz w:val="24"/>
          <w:szCs w:val="24"/>
        </w:rPr>
        <w:t xml:space="preserve"> the </w:t>
      </w:r>
      <w:r w:rsidR="004C207F">
        <w:rPr>
          <w:rFonts w:ascii="Times New Roman" w:hAnsi="Times New Roman"/>
          <w:color w:val="000000" w:themeColor="text1"/>
          <w:sz w:val="24"/>
          <w:szCs w:val="24"/>
        </w:rPr>
        <w:t>10</w:t>
      </w:r>
      <w:r w:rsidR="004C207F" w:rsidRPr="00D84A1C">
        <w:rPr>
          <w:rFonts w:ascii="Times New Roman" w:hAnsi="Times New Roman"/>
          <w:color w:val="000000" w:themeColor="text1"/>
          <w:sz w:val="24"/>
          <w:szCs w:val="24"/>
        </w:rPr>
        <w:t xml:space="preserve"> years </w:t>
      </w:r>
      <w:r w:rsidR="00F94AB4">
        <w:rPr>
          <w:rFonts w:ascii="Times New Roman" w:hAnsi="Times New Roman"/>
          <w:color w:val="000000" w:themeColor="text1"/>
          <w:sz w:val="24"/>
          <w:szCs w:val="24"/>
        </w:rPr>
        <w:t>before</w:t>
      </w:r>
      <w:r w:rsidR="004C207F">
        <w:rPr>
          <w:rFonts w:ascii="Times New Roman" w:hAnsi="Times New Roman"/>
          <w:color w:val="000000" w:themeColor="text1"/>
          <w:sz w:val="24"/>
          <w:szCs w:val="24"/>
        </w:rPr>
        <w:t xml:space="preserve"> the date on which the project mechanism was implemented in the area</w:t>
      </w:r>
      <w:r w:rsidR="004C207F" w:rsidRPr="00D84A1C">
        <w:rPr>
          <w:rFonts w:ascii="Times New Roman" w:hAnsi="Times New Roman"/>
          <w:color w:val="000000" w:themeColor="text1"/>
          <w:sz w:val="24"/>
          <w:szCs w:val="24"/>
        </w:rPr>
        <w:t xml:space="preserve">. C mass </w:t>
      </w:r>
      <w:r w:rsidR="002F767F">
        <w:rPr>
          <w:rFonts w:ascii="Times New Roman" w:hAnsi="Times New Roman"/>
          <w:color w:val="000000" w:themeColor="text1"/>
          <w:sz w:val="24"/>
          <w:szCs w:val="24"/>
        </w:rPr>
        <w:t>of</w:t>
      </w:r>
      <w:r w:rsidR="004C207F" w:rsidRPr="00D84A1C">
        <w:rPr>
          <w:rFonts w:ascii="Times New Roman" w:hAnsi="Times New Roman"/>
          <w:color w:val="000000" w:themeColor="text1"/>
          <w:sz w:val="24"/>
          <w:szCs w:val="24"/>
        </w:rPr>
        <w:t xml:space="preserve"> trees includes only carbon in above</w:t>
      </w:r>
      <w:r w:rsidR="00F16085">
        <w:rPr>
          <w:rFonts w:ascii="Times New Roman" w:hAnsi="Times New Roman"/>
          <w:color w:val="000000" w:themeColor="text1"/>
          <w:sz w:val="24"/>
          <w:szCs w:val="24"/>
        </w:rPr>
        <w:t xml:space="preserve"> ground</w:t>
      </w:r>
      <w:r w:rsidR="004C207F" w:rsidRPr="00D84A1C">
        <w:rPr>
          <w:rFonts w:ascii="Times New Roman" w:hAnsi="Times New Roman"/>
          <w:color w:val="000000" w:themeColor="text1"/>
          <w:sz w:val="24"/>
          <w:szCs w:val="24"/>
        </w:rPr>
        <w:t xml:space="preserve"> and </w:t>
      </w:r>
      <w:r w:rsidR="004C207F">
        <w:rPr>
          <w:rFonts w:ascii="Times New Roman" w:hAnsi="Times New Roman"/>
          <w:color w:val="000000" w:themeColor="text1"/>
          <w:sz w:val="24"/>
          <w:szCs w:val="24"/>
        </w:rPr>
        <w:t xml:space="preserve">below ground </w:t>
      </w:r>
      <w:r w:rsidR="004C207F" w:rsidRPr="00D84A1C">
        <w:rPr>
          <w:rFonts w:ascii="Times New Roman" w:hAnsi="Times New Roman"/>
          <w:color w:val="000000" w:themeColor="text1"/>
          <w:sz w:val="24"/>
          <w:szCs w:val="24"/>
        </w:rPr>
        <w:t>tree biomass</w:t>
      </w:r>
      <w:r w:rsidR="004C207F">
        <w:rPr>
          <w:rFonts w:ascii="Times New Roman" w:hAnsi="Times New Roman"/>
          <w:color w:val="000000" w:themeColor="text1"/>
          <w:sz w:val="24"/>
          <w:szCs w:val="24"/>
        </w:rPr>
        <w:t xml:space="preserve">.  </w:t>
      </w:r>
    </w:p>
    <w:p w:rsidR="004C207F" w:rsidRPr="00D84A1C" w:rsidRDefault="00D06E76" w:rsidP="004C207F">
      <w:pPr>
        <w:spacing w:after="120" w:line="240" w:lineRule="auto"/>
        <w:ind w:right="237"/>
        <w:rPr>
          <w:rFonts w:ascii="Times New Roman" w:hAnsi="Times New Roman"/>
          <w:color w:val="000000" w:themeColor="text1"/>
          <w:sz w:val="24"/>
          <w:szCs w:val="24"/>
        </w:rPr>
      </w:pPr>
      <w:r>
        <w:rPr>
          <w:rFonts w:ascii="Times New Roman" w:hAnsi="Times New Roman"/>
          <w:color w:val="000000" w:themeColor="text1"/>
          <w:sz w:val="24"/>
          <w:szCs w:val="24"/>
        </w:rPr>
        <w:lastRenderedPageBreak/>
        <w:t>Subsection 4.10(2) specifies that t</w:t>
      </w:r>
      <w:r w:rsidRPr="00D84A1C">
        <w:rPr>
          <w:rFonts w:ascii="Times New Roman" w:hAnsi="Times New Roman"/>
          <w:color w:val="000000" w:themeColor="text1"/>
          <w:sz w:val="24"/>
          <w:szCs w:val="24"/>
        </w:rPr>
        <w:t>he C</w:t>
      </w:r>
      <w:r>
        <w:rPr>
          <w:rFonts w:ascii="Times New Roman" w:hAnsi="Times New Roman"/>
          <w:color w:val="000000" w:themeColor="text1"/>
          <w:sz w:val="24"/>
          <w:szCs w:val="24"/>
        </w:rPr>
        <w:t xml:space="preserve"> </w:t>
      </w:r>
      <w:r w:rsidRPr="00D84A1C">
        <w:rPr>
          <w:rFonts w:ascii="Times New Roman" w:hAnsi="Times New Roman"/>
          <w:color w:val="000000" w:themeColor="text1"/>
          <w:sz w:val="24"/>
          <w:szCs w:val="24"/>
        </w:rPr>
        <w:t xml:space="preserve">mass </w:t>
      </w:r>
      <w:r>
        <w:rPr>
          <w:rFonts w:ascii="Times New Roman" w:hAnsi="Times New Roman"/>
          <w:color w:val="000000" w:themeColor="text1"/>
          <w:sz w:val="24"/>
          <w:szCs w:val="24"/>
        </w:rPr>
        <w:t>of</w:t>
      </w:r>
      <w:r w:rsidRPr="00D84A1C">
        <w:rPr>
          <w:rFonts w:ascii="Times New Roman" w:hAnsi="Times New Roman"/>
          <w:color w:val="000000" w:themeColor="text1"/>
          <w:sz w:val="24"/>
          <w:szCs w:val="24"/>
        </w:rPr>
        <w:t xml:space="preserve"> trees </w:t>
      </w:r>
      <w:r w:rsidR="004C207F" w:rsidRPr="00D84A1C">
        <w:rPr>
          <w:rFonts w:ascii="Times New Roman" w:hAnsi="Times New Roman"/>
          <w:color w:val="000000" w:themeColor="text1"/>
          <w:sz w:val="24"/>
          <w:szCs w:val="24"/>
        </w:rPr>
        <w:t xml:space="preserve">is taken to have been immaterial </w:t>
      </w:r>
      <w:r w:rsidR="004C207F">
        <w:rPr>
          <w:rFonts w:ascii="Times New Roman" w:hAnsi="Times New Roman"/>
          <w:color w:val="000000" w:themeColor="text1"/>
          <w:sz w:val="24"/>
          <w:szCs w:val="24"/>
        </w:rPr>
        <w:t>if</w:t>
      </w:r>
      <w:r w:rsidR="004C207F" w:rsidRPr="00D84A1C">
        <w:rPr>
          <w:rFonts w:ascii="Times New Roman" w:hAnsi="Times New Roman"/>
          <w:color w:val="000000" w:themeColor="text1"/>
          <w:sz w:val="24"/>
          <w:szCs w:val="24"/>
        </w:rPr>
        <w:t>:</w:t>
      </w:r>
    </w:p>
    <w:p w:rsidR="004C207F" w:rsidRDefault="004C207F" w:rsidP="004C207F">
      <w:pPr>
        <w:pStyle w:val="ListParagraph"/>
        <w:numPr>
          <w:ilvl w:val="0"/>
          <w:numId w:val="8"/>
        </w:numPr>
        <w:spacing w:after="120" w:line="240" w:lineRule="auto"/>
        <w:ind w:right="237"/>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the C mass </w:t>
      </w:r>
      <w:r w:rsidR="00D06E76">
        <w:rPr>
          <w:rFonts w:ascii="Times New Roman" w:hAnsi="Times New Roman"/>
          <w:color w:val="000000" w:themeColor="text1"/>
          <w:sz w:val="24"/>
          <w:szCs w:val="24"/>
        </w:rPr>
        <w:t>of</w:t>
      </w:r>
      <w:r>
        <w:rPr>
          <w:rFonts w:ascii="Times New Roman" w:hAnsi="Times New Roman"/>
          <w:color w:val="000000" w:themeColor="text1"/>
          <w:sz w:val="24"/>
          <w:szCs w:val="24"/>
        </w:rPr>
        <w:t xml:space="preserve"> trees </w:t>
      </w:r>
      <w:r w:rsidRPr="00D84A1C">
        <w:rPr>
          <w:rFonts w:ascii="Times New Roman" w:hAnsi="Times New Roman"/>
          <w:color w:val="000000" w:themeColor="text1"/>
          <w:sz w:val="24"/>
          <w:szCs w:val="24"/>
        </w:rPr>
        <w:t>has not</w:t>
      </w:r>
      <w:r>
        <w:rPr>
          <w:rFonts w:ascii="Times New Roman" w:hAnsi="Times New Roman"/>
          <w:color w:val="000000" w:themeColor="text1"/>
          <w:sz w:val="24"/>
          <w:szCs w:val="24"/>
        </w:rPr>
        <w:t xml:space="preserve"> reached </w:t>
      </w:r>
      <w:r w:rsidR="000A00A9">
        <w:rPr>
          <w:rFonts w:ascii="Times New Roman" w:hAnsi="Times New Roman"/>
          <w:color w:val="000000" w:themeColor="text1"/>
          <w:sz w:val="24"/>
          <w:szCs w:val="24"/>
        </w:rPr>
        <w:t xml:space="preserve">a </w:t>
      </w:r>
      <w:r>
        <w:rPr>
          <w:rFonts w:ascii="Times New Roman" w:hAnsi="Times New Roman"/>
          <w:color w:val="000000" w:themeColor="text1"/>
          <w:sz w:val="24"/>
          <w:szCs w:val="24"/>
        </w:rPr>
        <w:t xml:space="preserve">material level </w:t>
      </w:r>
      <w:r w:rsidRPr="00D84A1C">
        <w:rPr>
          <w:rFonts w:ascii="Times New Roman" w:hAnsi="Times New Roman"/>
          <w:color w:val="000000" w:themeColor="text1"/>
          <w:sz w:val="24"/>
          <w:szCs w:val="24"/>
        </w:rPr>
        <w:t xml:space="preserve">during the </w:t>
      </w:r>
      <w:r>
        <w:rPr>
          <w:rFonts w:ascii="Times New Roman" w:hAnsi="Times New Roman"/>
          <w:color w:val="000000" w:themeColor="text1"/>
          <w:sz w:val="24"/>
          <w:szCs w:val="24"/>
        </w:rPr>
        <w:t>10 </w:t>
      </w:r>
      <w:r w:rsidRPr="00D84A1C">
        <w:rPr>
          <w:rFonts w:ascii="Times New Roman" w:hAnsi="Times New Roman"/>
          <w:color w:val="000000" w:themeColor="text1"/>
          <w:sz w:val="24"/>
          <w:szCs w:val="24"/>
        </w:rPr>
        <w:t xml:space="preserve">years </w:t>
      </w:r>
      <w:r>
        <w:rPr>
          <w:rFonts w:ascii="Times New Roman" w:hAnsi="Times New Roman"/>
          <w:color w:val="000000" w:themeColor="text1"/>
          <w:sz w:val="24"/>
          <w:szCs w:val="24"/>
        </w:rPr>
        <w:t xml:space="preserve">before </w:t>
      </w:r>
      <w:r w:rsidRPr="00D84A1C">
        <w:rPr>
          <w:rFonts w:ascii="Times New Roman" w:hAnsi="Times New Roman"/>
          <w:color w:val="000000" w:themeColor="text1"/>
          <w:sz w:val="24"/>
          <w:szCs w:val="24"/>
        </w:rPr>
        <w:t xml:space="preserve">the </w:t>
      </w:r>
      <w:r>
        <w:rPr>
          <w:rFonts w:ascii="Times New Roman" w:hAnsi="Times New Roman"/>
          <w:color w:val="000000" w:themeColor="text1"/>
          <w:sz w:val="24"/>
          <w:szCs w:val="24"/>
        </w:rPr>
        <w:t>project mechanism was implemented in the carbon estimation area;</w:t>
      </w:r>
      <w:r w:rsidRPr="00D84A1C">
        <w:rPr>
          <w:rFonts w:ascii="Times New Roman" w:hAnsi="Times New Roman"/>
          <w:color w:val="000000" w:themeColor="text1"/>
          <w:sz w:val="24"/>
          <w:szCs w:val="24"/>
        </w:rPr>
        <w:t xml:space="preserve"> </w:t>
      </w:r>
      <w:r w:rsidRPr="00BD2AC6">
        <w:rPr>
          <w:rFonts w:ascii="Times New Roman" w:hAnsi="Times New Roman"/>
          <w:color w:val="000000" w:themeColor="text1"/>
          <w:sz w:val="24"/>
          <w:szCs w:val="24"/>
        </w:rPr>
        <w:t>and</w:t>
      </w:r>
    </w:p>
    <w:p w:rsidR="00F16085" w:rsidRPr="00BD2AC6" w:rsidRDefault="00F16085" w:rsidP="00F16085">
      <w:pPr>
        <w:pStyle w:val="ListParagraph"/>
        <w:spacing w:after="120" w:line="240" w:lineRule="auto"/>
        <w:ind w:right="237"/>
        <w:contextualSpacing/>
        <w:rPr>
          <w:rFonts w:ascii="Times New Roman" w:hAnsi="Times New Roman"/>
          <w:color w:val="000000" w:themeColor="text1"/>
          <w:sz w:val="24"/>
          <w:szCs w:val="24"/>
        </w:rPr>
      </w:pPr>
    </w:p>
    <w:p w:rsidR="004C207F" w:rsidRPr="004C207F" w:rsidRDefault="004C207F" w:rsidP="00986D81">
      <w:pPr>
        <w:pStyle w:val="ListParagraph"/>
        <w:numPr>
          <w:ilvl w:val="0"/>
          <w:numId w:val="8"/>
        </w:numPr>
        <w:spacing w:after="120" w:line="240" w:lineRule="auto"/>
        <w:ind w:right="237"/>
        <w:contextualSpacing/>
        <w:rPr>
          <w:rFonts w:ascii="Times New Roman" w:hAnsi="Times New Roman"/>
          <w:color w:val="000000" w:themeColor="text1"/>
          <w:sz w:val="24"/>
          <w:szCs w:val="24"/>
        </w:rPr>
      </w:pPr>
      <w:r w:rsidRPr="004C207F">
        <w:rPr>
          <w:rFonts w:ascii="Times New Roman" w:hAnsi="Times New Roman"/>
          <w:color w:val="000000" w:themeColor="text1"/>
          <w:sz w:val="24"/>
          <w:szCs w:val="24"/>
        </w:rPr>
        <w:t xml:space="preserve">there is evidence that regrowth in the carbon estimation area has not exceeded 2 metres in height and 20% crown cover during that 10 year period. </w:t>
      </w:r>
    </w:p>
    <w:p w:rsidR="001B1E8D" w:rsidRPr="00427F27" w:rsidRDefault="001B1E8D" w:rsidP="001B1E8D">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In a zero baseline scenario t</w:t>
      </w:r>
      <w:r w:rsidRPr="00427F27">
        <w:rPr>
          <w:rFonts w:ascii="Times New Roman" w:hAnsi="Times New Roman"/>
          <w:color w:val="000000" w:themeColor="text1"/>
          <w:sz w:val="24"/>
          <w:szCs w:val="24"/>
        </w:rPr>
        <w:t xml:space="preserve">he baseline amount will not </w:t>
      </w:r>
      <w:r w:rsidR="00980849">
        <w:rPr>
          <w:rFonts w:ascii="Times New Roman" w:hAnsi="Times New Roman"/>
          <w:color w:val="000000" w:themeColor="text1"/>
          <w:sz w:val="24"/>
          <w:szCs w:val="24"/>
        </w:rPr>
        <w:t xml:space="preserve">in fact </w:t>
      </w:r>
      <w:r w:rsidRPr="00427F27">
        <w:rPr>
          <w:rFonts w:ascii="Times New Roman" w:hAnsi="Times New Roman"/>
          <w:color w:val="000000" w:themeColor="text1"/>
          <w:sz w:val="24"/>
          <w:szCs w:val="24"/>
        </w:rPr>
        <w:t>normally be precisely zero for</w:t>
      </w:r>
      <w:r>
        <w:rPr>
          <w:rFonts w:ascii="Times New Roman" w:hAnsi="Times New Roman"/>
          <w:color w:val="000000" w:themeColor="text1"/>
          <w:sz w:val="24"/>
          <w:szCs w:val="24"/>
        </w:rPr>
        <w:t xml:space="preserve"> land that has forest potential.  O</w:t>
      </w:r>
      <w:r w:rsidRPr="00427F27">
        <w:rPr>
          <w:rFonts w:ascii="Times New Roman" w:hAnsi="Times New Roman"/>
          <w:color w:val="000000" w:themeColor="text1"/>
          <w:sz w:val="24"/>
          <w:szCs w:val="24"/>
        </w:rPr>
        <w:t>ngoing suppression activities will</w:t>
      </w:r>
      <w:r>
        <w:rPr>
          <w:rFonts w:ascii="Times New Roman" w:hAnsi="Times New Roman"/>
          <w:color w:val="000000" w:themeColor="text1"/>
          <w:sz w:val="24"/>
          <w:szCs w:val="24"/>
        </w:rPr>
        <w:t>, however,</w:t>
      </w:r>
      <w:r w:rsidRPr="00427F27">
        <w:rPr>
          <w:rFonts w:ascii="Times New Roman" w:hAnsi="Times New Roman"/>
          <w:color w:val="000000" w:themeColor="text1"/>
          <w:sz w:val="24"/>
          <w:szCs w:val="24"/>
        </w:rPr>
        <w:t xml:space="preserve"> result in the baseline amount being small enough to be taken to be zero for the purposes of the Determination.</w:t>
      </w:r>
    </w:p>
    <w:p w:rsidR="00FA319A" w:rsidRDefault="00FA319A" w:rsidP="00986D81">
      <w:pPr>
        <w:keepNext/>
        <w:spacing w:after="120" w:line="240" w:lineRule="auto"/>
        <w:rPr>
          <w:rFonts w:ascii="Times New Roman" w:hAnsi="Times New Roman"/>
          <w:b/>
          <w:color w:val="000000" w:themeColor="text1"/>
          <w:sz w:val="24"/>
          <w:szCs w:val="24"/>
        </w:rPr>
      </w:pPr>
      <w:r w:rsidRPr="009A1989">
        <w:rPr>
          <w:rFonts w:ascii="Times New Roman" w:hAnsi="Times New Roman"/>
          <w:b/>
          <w:color w:val="000000" w:themeColor="text1"/>
          <w:sz w:val="24"/>
          <w:szCs w:val="24"/>
        </w:rPr>
        <w:t>Subdivision 4.3.</w:t>
      </w:r>
      <w:r>
        <w:rPr>
          <w:rFonts w:ascii="Times New Roman" w:hAnsi="Times New Roman"/>
          <w:b/>
          <w:color w:val="000000" w:themeColor="text1"/>
          <w:sz w:val="24"/>
          <w:szCs w:val="24"/>
        </w:rPr>
        <w:t>3</w:t>
      </w:r>
      <w:r w:rsidRPr="009A1989">
        <w:rPr>
          <w:rFonts w:ascii="Times New Roman" w:hAnsi="Times New Roman"/>
          <w:b/>
          <w:color w:val="000000" w:themeColor="text1"/>
          <w:sz w:val="24"/>
          <w:szCs w:val="24"/>
        </w:rPr>
        <w:t xml:space="preserve"> </w:t>
      </w:r>
      <w:r w:rsidRPr="009A1989">
        <w:rPr>
          <w:rFonts w:ascii="Times New Roman" w:hAnsi="Times New Roman"/>
          <w:b/>
          <w:color w:val="000000" w:themeColor="text1"/>
          <w:sz w:val="24"/>
          <w:szCs w:val="24"/>
        </w:rPr>
        <w:tab/>
      </w:r>
      <w:r>
        <w:rPr>
          <w:rFonts w:ascii="Times New Roman" w:hAnsi="Times New Roman"/>
          <w:b/>
          <w:color w:val="000000" w:themeColor="text1"/>
          <w:sz w:val="24"/>
          <w:szCs w:val="24"/>
        </w:rPr>
        <w:t>Non-z</w:t>
      </w:r>
      <w:r w:rsidRPr="009A1989">
        <w:rPr>
          <w:rFonts w:ascii="Times New Roman" w:hAnsi="Times New Roman"/>
          <w:b/>
          <w:color w:val="000000" w:themeColor="text1"/>
          <w:sz w:val="24"/>
          <w:szCs w:val="24"/>
        </w:rPr>
        <w:t>ero baseline</w:t>
      </w:r>
    </w:p>
    <w:p w:rsidR="00FA319A" w:rsidRDefault="00FA319A" w:rsidP="00986D81">
      <w:pPr>
        <w:keepNext/>
        <w:spacing w:after="120" w:line="240" w:lineRule="auto"/>
        <w:rPr>
          <w:rFonts w:ascii="Times New Roman" w:hAnsi="Times New Roman"/>
          <w:color w:val="000000" w:themeColor="text1"/>
          <w:sz w:val="24"/>
          <w:szCs w:val="24"/>
        </w:rPr>
      </w:pPr>
      <w:r w:rsidRPr="00386C72">
        <w:rPr>
          <w:rFonts w:ascii="Times New Roman" w:hAnsi="Times New Roman"/>
          <w:color w:val="000000" w:themeColor="text1"/>
          <w:sz w:val="24"/>
          <w:szCs w:val="24"/>
        </w:rPr>
        <w:t>Subdivision 4.3.</w:t>
      </w:r>
      <w:r>
        <w:rPr>
          <w:rFonts w:ascii="Times New Roman" w:hAnsi="Times New Roman"/>
          <w:color w:val="000000" w:themeColor="text1"/>
          <w:sz w:val="24"/>
          <w:szCs w:val="24"/>
        </w:rPr>
        <w:t>3</w:t>
      </w:r>
      <w:r w:rsidRPr="00386C72">
        <w:rPr>
          <w:rFonts w:ascii="Times New Roman" w:hAnsi="Times New Roman"/>
          <w:color w:val="000000" w:themeColor="text1"/>
          <w:sz w:val="24"/>
          <w:szCs w:val="24"/>
        </w:rPr>
        <w:t xml:space="preserve"> sets out the requirements for determining whether a</w:t>
      </w:r>
      <w:r w:rsidR="00EA6F84">
        <w:rPr>
          <w:rFonts w:ascii="Times New Roman" w:hAnsi="Times New Roman"/>
          <w:color w:val="000000" w:themeColor="text1"/>
          <w:sz w:val="24"/>
          <w:szCs w:val="24"/>
        </w:rPr>
        <w:t xml:space="preserve"> </w:t>
      </w:r>
      <w:r>
        <w:rPr>
          <w:rFonts w:ascii="Times New Roman" w:hAnsi="Times New Roman"/>
          <w:color w:val="000000" w:themeColor="text1"/>
          <w:sz w:val="24"/>
          <w:szCs w:val="24"/>
        </w:rPr>
        <w:t>n</w:t>
      </w:r>
      <w:r w:rsidR="00EA6F84">
        <w:rPr>
          <w:rFonts w:ascii="Times New Roman" w:hAnsi="Times New Roman"/>
          <w:color w:val="000000" w:themeColor="text1"/>
          <w:sz w:val="24"/>
          <w:szCs w:val="24"/>
        </w:rPr>
        <w:t>on-zero, or</w:t>
      </w:r>
      <w:r>
        <w:rPr>
          <w:rFonts w:ascii="Times New Roman" w:hAnsi="Times New Roman"/>
          <w:color w:val="000000" w:themeColor="text1"/>
          <w:sz w:val="24"/>
          <w:szCs w:val="24"/>
        </w:rPr>
        <w:t xml:space="preserve"> </w:t>
      </w:r>
      <w:r w:rsidR="006058D5">
        <w:rPr>
          <w:rFonts w:ascii="Times New Roman" w:hAnsi="Times New Roman"/>
          <w:color w:val="000000" w:themeColor="text1"/>
          <w:sz w:val="24"/>
          <w:szCs w:val="24"/>
        </w:rPr>
        <w:t>‘</w:t>
      </w:r>
      <w:r>
        <w:rPr>
          <w:rFonts w:ascii="Times New Roman" w:hAnsi="Times New Roman"/>
          <w:color w:val="000000" w:themeColor="text1"/>
          <w:sz w:val="24"/>
          <w:szCs w:val="24"/>
        </w:rPr>
        <w:t>average</w:t>
      </w:r>
      <w:r w:rsidR="006058D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386C72">
        <w:rPr>
          <w:rFonts w:ascii="Times New Roman" w:hAnsi="Times New Roman"/>
          <w:color w:val="000000" w:themeColor="text1"/>
          <w:sz w:val="24"/>
          <w:szCs w:val="24"/>
        </w:rPr>
        <w:t xml:space="preserve">baseline applies to </w:t>
      </w:r>
      <w:r w:rsidR="003060FC">
        <w:rPr>
          <w:rFonts w:ascii="Times New Roman" w:hAnsi="Times New Roman"/>
          <w:color w:val="000000" w:themeColor="text1"/>
          <w:sz w:val="24"/>
          <w:szCs w:val="24"/>
        </w:rPr>
        <w:t>a</w:t>
      </w:r>
      <w:r w:rsidRPr="00386C72">
        <w:rPr>
          <w:rFonts w:ascii="Times New Roman" w:hAnsi="Times New Roman"/>
          <w:color w:val="000000" w:themeColor="text1"/>
          <w:sz w:val="24"/>
          <w:szCs w:val="24"/>
        </w:rPr>
        <w:t xml:space="preserve"> </w:t>
      </w:r>
      <w:r w:rsidR="006058D5">
        <w:rPr>
          <w:rFonts w:ascii="Times New Roman" w:hAnsi="Times New Roman"/>
          <w:color w:val="000000" w:themeColor="text1"/>
          <w:sz w:val="24"/>
          <w:szCs w:val="24"/>
        </w:rPr>
        <w:t>carbon estimation area</w:t>
      </w:r>
      <w:r w:rsidRPr="00386C72">
        <w:rPr>
          <w:rFonts w:ascii="Times New Roman" w:hAnsi="Times New Roman"/>
          <w:color w:val="000000" w:themeColor="text1"/>
          <w:sz w:val="24"/>
          <w:szCs w:val="24"/>
        </w:rPr>
        <w:t>.</w:t>
      </w:r>
    </w:p>
    <w:p w:rsidR="00CA79AD" w:rsidRPr="00386C72" w:rsidRDefault="00CA79AD" w:rsidP="00986D81">
      <w:pPr>
        <w:keepNext/>
        <w:spacing w:after="120" w:line="240" w:lineRule="auto"/>
        <w:rPr>
          <w:rFonts w:ascii="Times New Roman" w:hAnsi="Times New Roman"/>
          <w:color w:val="000000" w:themeColor="text1"/>
          <w:sz w:val="24"/>
          <w:szCs w:val="24"/>
          <w:u w:val="single"/>
        </w:rPr>
      </w:pPr>
      <w:r w:rsidRPr="00386C72">
        <w:rPr>
          <w:rFonts w:ascii="Times New Roman" w:hAnsi="Times New Roman"/>
          <w:color w:val="000000" w:themeColor="text1"/>
          <w:sz w:val="24"/>
          <w:szCs w:val="24"/>
          <w:u w:val="single"/>
        </w:rPr>
        <w:t>4.</w:t>
      </w:r>
      <w:r w:rsidR="00AA294D">
        <w:rPr>
          <w:rFonts w:ascii="Times New Roman" w:hAnsi="Times New Roman"/>
          <w:color w:val="000000" w:themeColor="text1"/>
          <w:sz w:val="24"/>
          <w:szCs w:val="24"/>
          <w:u w:val="single"/>
        </w:rPr>
        <w:t>11</w:t>
      </w:r>
      <w:r w:rsidRPr="00386C72">
        <w:rPr>
          <w:rFonts w:ascii="Times New Roman" w:hAnsi="Times New Roman"/>
          <w:color w:val="000000" w:themeColor="text1"/>
          <w:sz w:val="24"/>
          <w:szCs w:val="24"/>
          <w:u w:val="single"/>
        </w:rPr>
        <w:tab/>
      </w:r>
      <w:r>
        <w:rPr>
          <w:rFonts w:ascii="Times New Roman" w:hAnsi="Times New Roman"/>
          <w:color w:val="000000" w:themeColor="text1"/>
          <w:sz w:val="24"/>
          <w:szCs w:val="24"/>
          <w:u w:val="single"/>
        </w:rPr>
        <w:t>Non-z</w:t>
      </w:r>
      <w:r w:rsidRPr="00386C72">
        <w:rPr>
          <w:rFonts w:ascii="Times New Roman" w:hAnsi="Times New Roman"/>
          <w:color w:val="000000" w:themeColor="text1"/>
          <w:sz w:val="24"/>
          <w:szCs w:val="24"/>
          <w:u w:val="single"/>
        </w:rPr>
        <w:t>ero baseline scenario</w:t>
      </w:r>
    </w:p>
    <w:p w:rsidR="003F731D" w:rsidRDefault="00154010"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If</w:t>
      </w:r>
      <w:r w:rsidRPr="00154010">
        <w:rPr>
          <w:rFonts w:ascii="Times New Roman" w:hAnsi="Times New Roman"/>
          <w:color w:val="000000" w:themeColor="text1"/>
          <w:sz w:val="24"/>
          <w:szCs w:val="24"/>
        </w:rPr>
        <w:t xml:space="preserve"> a zero baseline does not apply</w:t>
      </w:r>
      <w:r>
        <w:rPr>
          <w:rFonts w:ascii="Times New Roman" w:hAnsi="Times New Roman"/>
          <w:color w:val="000000" w:themeColor="text1"/>
          <w:sz w:val="24"/>
          <w:szCs w:val="24"/>
        </w:rPr>
        <w:t xml:space="preserve"> to a </w:t>
      </w:r>
      <w:r w:rsidR="006058D5">
        <w:rPr>
          <w:rFonts w:ascii="Times New Roman" w:hAnsi="Times New Roman"/>
          <w:color w:val="000000" w:themeColor="text1"/>
          <w:sz w:val="24"/>
          <w:szCs w:val="24"/>
        </w:rPr>
        <w:t>carbon estimation area</w:t>
      </w:r>
      <w:r w:rsidRPr="00154010">
        <w:rPr>
          <w:rFonts w:ascii="Times New Roman" w:hAnsi="Times New Roman"/>
          <w:color w:val="000000" w:themeColor="text1"/>
          <w:sz w:val="24"/>
          <w:szCs w:val="24"/>
        </w:rPr>
        <w:t xml:space="preserve">, </w:t>
      </w:r>
      <w:r w:rsidR="00CA79AD">
        <w:rPr>
          <w:rFonts w:ascii="Times New Roman" w:hAnsi="Times New Roman"/>
          <w:color w:val="000000" w:themeColor="text1"/>
          <w:sz w:val="24"/>
          <w:szCs w:val="24"/>
        </w:rPr>
        <w:t xml:space="preserve">the project proponent will need to calculate </w:t>
      </w:r>
      <w:r>
        <w:rPr>
          <w:rFonts w:ascii="Times New Roman" w:hAnsi="Times New Roman"/>
          <w:color w:val="000000" w:themeColor="text1"/>
          <w:sz w:val="24"/>
          <w:szCs w:val="24"/>
        </w:rPr>
        <w:t>the</w:t>
      </w:r>
      <w:r w:rsidRPr="00154010">
        <w:rPr>
          <w:rFonts w:ascii="Times New Roman" w:hAnsi="Times New Roman"/>
          <w:color w:val="000000" w:themeColor="text1"/>
          <w:sz w:val="24"/>
          <w:szCs w:val="24"/>
        </w:rPr>
        <w:t xml:space="preserve"> long-term average baseline level of carbon for </w:t>
      </w:r>
      <w:r w:rsidR="006058D5">
        <w:rPr>
          <w:rFonts w:ascii="Times New Roman" w:hAnsi="Times New Roman"/>
          <w:color w:val="000000" w:themeColor="text1"/>
          <w:sz w:val="24"/>
          <w:szCs w:val="24"/>
        </w:rPr>
        <w:t>the</w:t>
      </w:r>
      <w:r>
        <w:rPr>
          <w:rFonts w:ascii="Times New Roman" w:hAnsi="Times New Roman"/>
          <w:color w:val="000000" w:themeColor="text1"/>
          <w:sz w:val="24"/>
          <w:szCs w:val="24"/>
        </w:rPr>
        <w:t xml:space="preserve"> area</w:t>
      </w:r>
      <w:r w:rsidR="00CA79AD">
        <w:rPr>
          <w:rFonts w:ascii="Times New Roman" w:hAnsi="Times New Roman"/>
          <w:color w:val="000000" w:themeColor="text1"/>
          <w:sz w:val="24"/>
          <w:szCs w:val="24"/>
        </w:rPr>
        <w:t>.  This is</w:t>
      </w:r>
      <w:r w:rsidRPr="00154010">
        <w:rPr>
          <w:rFonts w:ascii="Times New Roman" w:hAnsi="Times New Roman"/>
          <w:color w:val="000000" w:themeColor="text1"/>
          <w:sz w:val="24"/>
          <w:szCs w:val="24"/>
        </w:rPr>
        <w:t xml:space="preserve"> calculated as the avera</w:t>
      </w:r>
      <w:r>
        <w:rPr>
          <w:rFonts w:ascii="Times New Roman" w:hAnsi="Times New Roman"/>
          <w:color w:val="000000" w:themeColor="text1"/>
          <w:sz w:val="24"/>
          <w:szCs w:val="24"/>
        </w:rPr>
        <w:t xml:space="preserve">ge carbon on </w:t>
      </w:r>
      <w:r w:rsidRPr="00154010">
        <w:rPr>
          <w:rFonts w:ascii="Times New Roman" w:hAnsi="Times New Roman"/>
          <w:color w:val="000000" w:themeColor="text1"/>
          <w:sz w:val="24"/>
          <w:szCs w:val="24"/>
        </w:rPr>
        <w:t>site (</w:t>
      </w:r>
      <w:r>
        <w:rPr>
          <w:rFonts w:ascii="Times New Roman" w:hAnsi="Times New Roman"/>
          <w:color w:val="000000" w:themeColor="text1"/>
          <w:sz w:val="24"/>
          <w:szCs w:val="24"/>
        </w:rPr>
        <w:t xml:space="preserve">being the </w:t>
      </w:r>
      <w:r w:rsidRPr="00154010">
        <w:rPr>
          <w:rFonts w:ascii="Times New Roman" w:hAnsi="Times New Roman"/>
          <w:color w:val="000000" w:themeColor="text1"/>
          <w:sz w:val="24"/>
          <w:szCs w:val="24"/>
        </w:rPr>
        <w:t>sum of above and below ground tree biomass</w:t>
      </w:r>
      <w:r w:rsidR="0023407C">
        <w:rPr>
          <w:rFonts w:ascii="Times New Roman" w:hAnsi="Times New Roman"/>
          <w:color w:val="000000" w:themeColor="text1"/>
          <w:sz w:val="24"/>
          <w:szCs w:val="24"/>
        </w:rPr>
        <w:t xml:space="preserve"> and</w:t>
      </w:r>
      <w:r w:rsidR="00BB2419">
        <w:rPr>
          <w:rFonts w:ascii="Times New Roman" w:hAnsi="Times New Roman"/>
          <w:color w:val="000000" w:themeColor="text1"/>
          <w:sz w:val="24"/>
          <w:szCs w:val="24"/>
        </w:rPr>
        <w:t xml:space="preserve"> debris) during a 100-</w:t>
      </w:r>
      <w:r w:rsidRPr="00154010">
        <w:rPr>
          <w:rFonts w:ascii="Times New Roman" w:hAnsi="Times New Roman"/>
          <w:color w:val="000000" w:themeColor="text1"/>
          <w:sz w:val="24"/>
          <w:szCs w:val="24"/>
        </w:rPr>
        <w:t xml:space="preserve">year </w:t>
      </w:r>
      <w:proofErr w:type="spellStart"/>
      <w:r w:rsidRPr="00154010">
        <w:rPr>
          <w:rFonts w:ascii="Times New Roman" w:hAnsi="Times New Roman"/>
          <w:color w:val="000000" w:themeColor="text1"/>
          <w:sz w:val="24"/>
          <w:szCs w:val="24"/>
        </w:rPr>
        <w:t>FullCAM</w:t>
      </w:r>
      <w:proofErr w:type="spellEnd"/>
      <w:r w:rsidRPr="00154010">
        <w:rPr>
          <w:rFonts w:ascii="Times New Roman" w:hAnsi="Times New Roman"/>
          <w:color w:val="000000" w:themeColor="text1"/>
          <w:sz w:val="24"/>
          <w:szCs w:val="24"/>
        </w:rPr>
        <w:t xml:space="preserve"> event queue based on </w:t>
      </w:r>
      <w:r w:rsidR="00CA79AD">
        <w:rPr>
          <w:rFonts w:ascii="Times New Roman" w:hAnsi="Times New Roman"/>
          <w:color w:val="000000" w:themeColor="text1"/>
          <w:sz w:val="24"/>
          <w:szCs w:val="24"/>
        </w:rPr>
        <w:t xml:space="preserve">the </w:t>
      </w:r>
      <w:r w:rsidRPr="00154010">
        <w:rPr>
          <w:rFonts w:ascii="Times New Roman" w:hAnsi="Times New Roman"/>
          <w:color w:val="000000" w:themeColor="text1"/>
          <w:sz w:val="24"/>
          <w:szCs w:val="24"/>
        </w:rPr>
        <w:t>repetition of a scenario of baseline management events</w:t>
      </w:r>
      <w:r w:rsidR="00CA79AD">
        <w:rPr>
          <w:rFonts w:ascii="Times New Roman" w:hAnsi="Times New Roman"/>
          <w:color w:val="000000" w:themeColor="text1"/>
          <w:sz w:val="24"/>
          <w:szCs w:val="24"/>
        </w:rPr>
        <w:t xml:space="preserve">. </w:t>
      </w:r>
      <w:r w:rsidR="006776B4">
        <w:rPr>
          <w:rFonts w:ascii="Times New Roman" w:hAnsi="Times New Roman"/>
          <w:color w:val="000000" w:themeColor="text1"/>
          <w:sz w:val="24"/>
          <w:szCs w:val="24"/>
        </w:rPr>
        <w:t xml:space="preserve"> The </w:t>
      </w:r>
      <w:r w:rsidR="00232D5B">
        <w:rPr>
          <w:rFonts w:ascii="Times New Roman" w:hAnsi="Times New Roman"/>
          <w:color w:val="000000" w:themeColor="text1"/>
          <w:sz w:val="24"/>
          <w:szCs w:val="24"/>
        </w:rPr>
        <w:t>various</w:t>
      </w:r>
      <w:r w:rsidR="006776B4">
        <w:rPr>
          <w:rFonts w:ascii="Times New Roman" w:hAnsi="Times New Roman"/>
          <w:color w:val="000000" w:themeColor="text1"/>
          <w:sz w:val="24"/>
          <w:szCs w:val="24"/>
        </w:rPr>
        <w:t xml:space="preserve"> baseline management event scena</w:t>
      </w:r>
      <w:r w:rsidR="003D2B5F">
        <w:rPr>
          <w:rFonts w:ascii="Times New Roman" w:hAnsi="Times New Roman"/>
          <w:color w:val="000000" w:themeColor="text1"/>
          <w:sz w:val="24"/>
          <w:szCs w:val="24"/>
        </w:rPr>
        <w:t>rios are set out in section 4.12</w:t>
      </w:r>
      <w:r w:rsidR="006776B4">
        <w:rPr>
          <w:rFonts w:ascii="Times New Roman" w:hAnsi="Times New Roman"/>
          <w:color w:val="000000" w:themeColor="text1"/>
          <w:sz w:val="24"/>
          <w:szCs w:val="24"/>
        </w:rPr>
        <w:t>.</w:t>
      </w:r>
    </w:p>
    <w:p w:rsidR="006776B4" w:rsidRPr="006776B4" w:rsidRDefault="00AA294D" w:rsidP="00986D81">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4.12</w:t>
      </w:r>
      <w:r w:rsidR="006776B4" w:rsidRPr="006776B4">
        <w:rPr>
          <w:rFonts w:ascii="Times New Roman" w:hAnsi="Times New Roman"/>
          <w:color w:val="000000" w:themeColor="text1"/>
          <w:sz w:val="24"/>
          <w:szCs w:val="24"/>
          <w:u w:val="single"/>
        </w:rPr>
        <w:tab/>
        <w:t>Baseline management event scenarios—general</w:t>
      </w:r>
    </w:p>
    <w:p w:rsidR="00AD7036" w:rsidRDefault="003D2B5F"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Section 4.12</w:t>
      </w:r>
      <w:r w:rsidR="006776B4">
        <w:rPr>
          <w:rFonts w:ascii="Times New Roman" w:hAnsi="Times New Roman"/>
          <w:color w:val="000000" w:themeColor="text1"/>
          <w:sz w:val="24"/>
          <w:szCs w:val="24"/>
        </w:rPr>
        <w:t xml:space="preserve"> </w:t>
      </w:r>
      <w:r w:rsidR="000B7F6A">
        <w:rPr>
          <w:rFonts w:ascii="Times New Roman" w:hAnsi="Times New Roman"/>
          <w:color w:val="000000" w:themeColor="text1"/>
          <w:sz w:val="24"/>
          <w:szCs w:val="24"/>
        </w:rPr>
        <w:t>details the requirements for the different types of baseline management event scenarios that can be used in the 100-year FullCAM event queue.</w:t>
      </w:r>
      <w:r w:rsidR="00AD7036">
        <w:rPr>
          <w:rFonts w:ascii="Times New Roman" w:hAnsi="Times New Roman"/>
          <w:color w:val="000000" w:themeColor="text1"/>
          <w:sz w:val="24"/>
          <w:szCs w:val="24"/>
        </w:rPr>
        <w:t xml:space="preserve"> </w:t>
      </w:r>
    </w:p>
    <w:p w:rsidR="00DF33DC" w:rsidRDefault="00DF33DC"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It is open to project proponents to select their preferred scenario for each carbon estimation area, provided the relevant evidentiary requi</w:t>
      </w:r>
      <w:r w:rsidR="003D2B5F">
        <w:rPr>
          <w:rFonts w:ascii="Times New Roman" w:hAnsi="Times New Roman"/>
          <w:color w:val="000000" w:themeColor="text1"/>
          <w:sz w:val="24"/>
          <w:szCs w:val="24"/>
        </w:rPr>
        <w:t>rements outlined in section 4.13</w:t>
      </w:r>
      <w:r>
        <w:rPr>
          <w:rFonts w:ascii="Times New Roman" w:hAnsi="Times New Roman"/>
          <w:color w:val="000000" w:themeColor="text1"/>
          <w:sz w:val="24"/>
          <w:szCs w:val="24"/>
        </w:rPr>
        <w:t xml:space="preserve"> can be met for that scenario.</w:t>
      </w:r>
    </w:p>
    <w:p w:rsidR="009800EF" w:rsidRDefault="00D60B3C" w:rsidP="00986D81">
      <w:pPr>
        <w:spacing w:after="120" w:line="240" w:lineRule="auto"/>
        <w:ind w:right="238"/>
        <w:rPr>
          <w:rFonts w:ascii="Times New Roman" w:hAnsi="Times New Roman"/>
          <w:color w:val="000000" w:themeColor="text1"/>
          <w:sz w:val="24"/>
          <w:szCs w:val="24"/>
        </w:rPr>
      </w:pPr>
      <w:r w:rsidRPr="00D60B3C">
        <w:rPr>
          <w:rFonts w:ascii="Times New Roman" w:hAnsi="Times New Roman"/>
          <w:color w:val="000000" w:themeColor="text1"/>
          <w:sz w:val="24"/>
          <w:szCs w:val="24"/>
        </w:rPr>
        <w:t>See Appendix A</w:t>
      </w:r>
      <w:r w:rsidR="009800EF" w:rsidRPr="00D60B3C">
        <w:rPr>
          <w:rFonts w:ascii="Times New Roman" w:hAnsi="Times New Roman"/>
          <w:color w:val="000000" w:themeColor="text1"/>
          <w:sz w:val="24"/>
          <w:szCs w:val="24"/>
        </w:rPr>
        <w:t xml:space="preserve"> for more information about the base</w:t>
      </w:r>
      <w:r w:rsidR="00F16085">
        <w:rPr>
          <w:rFonts w:ascii="Times New Roman" w:hAnsi="Times New Roman"/>
          <w:color w:val="000000" w:themeColor="text1"/>
          <w:sz w:val="24"/>
          <w:szCs w:val="24"/>
        </w:rPr>
        <w:t>line management event scenarios including diagrams of key management events.</w:t>
      </w:r>
    </w:p>
    <w:p w:rsidR="00E27CC9" w:rsidRPr="00E27CC9" w:rsidRDefault="00E27CC9" w:rsidP="00986D81">
      <w:pPr>
        <w:spacing w:after="120" w:line="240" w:lineRule="auto"/>
        <w:ind w:right="238"/>
        <w:rPr>
          <w:rFonts w:ascii="Times New Roman" w:hAnsi="Times New Roman"/>
          <w:i/>
          <w:color w:val="000000" w:themeColor="text1"/>
          <w:sz w:val="24"/>
          <w:szCs w:val="24"/>
        </w:rPr>
      </w:pPr>
      <w:r w:rsidRPr="00E27CC9">
        <w:rPr>
          <w:rFonts w:ascii="Times New Roman" w:hAnsi="Times New Roman"/>
          <w:i/>
          <w:color w:val="000000" w:themeColor="text1"/>
          <w:sz w:val="24"/>
          <w:szCs w:val="24"/>
        </w:rPr>
        <w:t>Default baseline management event scenario</w:t>
      </w:r>
    </w:p>
    <w:p w:rsidR="00FF3F5A" w:rsidRDefault="00CA79AD" w:rsidP="00986D81">
      <w:pPr>
        <w:spacing w:after="120" w:line="240" w:lineRule="auto"/>
        <w:ind w:right="238"/>
        <w:rPr>
          <w:rFonts w:ascii="Times New Roman" w:hAnsi="Times New Roman"/>
          <w:color w:val="000000" w:themeColor="text1"/>
          <w:sz w:val="24"/>
          <w:szCs w:val="24"/>
        </w:rPr>
      </w:pPr>
      <w:r w:rsidRPr="00CA79AD">
        <w:rPr>
          <w:rFonts w:ascii="Times New Roman" w:hAnsi="Times New Roman"/>
          <w:color w:val="000000" w:themeColor="text1"/>
          <w:sz w:val="24"/>
          <w:szCs w:val="24"/>
        </w:rPr>
        <w:t>Baseline events may be scheduled to</w:t>
      </w:r>
      <w:r w:rsidR="00F26950">
        <w:rPr>
          <w:rFonts w:ascii="Times New Roman" w:hAnsi="Times New Roman"/>
          <w:color w:val="000000" w:themeColor="text1"/>
          <w:sz w:val="24"/>
          <w:szCs w:val="24"/>
        </w:rPr>
        <w:t xml:space="preserve"> f</w:t>
      </w:r>
      <w:r w:rsidRPr="00F26950">
        <w:rPr>
          <w:rFonts w:ascii="Times New Roman" w:hAnsi="Times New Roman"/>
          <w:color w:val="000000" w:themeColor="text1"/>
          <w:sz w:val="24"/>
          <w:szCs w:val="24"/>
        </w:rPr>
        <w:t xml:space="preserve">ollow a default </w:t>
      </w:r>
      <w:r w:rsidR="000B7F6A">
        <w:rPr>
          <w:rFonts w:ascii="Times New Roman" w:hAnsi="Times New Roman"/>
          <w:color w:val="000000" w:themeColor="text1"/>
          <w:sz w:val="24"/>
          <w:szCs w:val="24"/>
        </w:rPr>
        <w:t>scenario of a</w:t>
      </w:r>
      <w:r w:rsidRPr="00F26950">
        <w:rPr>
          <w:rFonts w:ascii="Times New Roman" w:hAnsi="Times New Roman"/>
          <w:color w:val="000000" w:themeColor="text1"/>
          <w:sz w:val="24"/>
          <w:szCs w:val="24"/>
        </w:rPr>
        <w:t xml:space="preserve"> clearing </w:t>
      </w:r>
      <w:r w:rsidR="000B7F6A">
        <w:rPr>
          <w:rFonts w:ascii="Times New Roman" w:hAnsi="Times New Roman"/>
          <w:color w:val="000000" w:themeColor="text1"/>
          <w:sz w:val="24"/>
          <w:szCs w:val="24"/>
        </w:rPr>
        <w:t xml:space="preserve">every 15 years, </w:t>
      </w:r>
      <w:r w:rsidR="00252868">
        <w:rPr>
          <w:rFonts w:ascii="Times New Roman" w:hAnsi="Times New Roman"/>
          <w:color w:val="000000" w:themeColor="text1"/>
          <w:sz w:val="24"/>
          <w:szCs w:val="24"/>
        </w:rPr>
        <w:t xml:space="preserve">and forest </w:t>
      </w:r>
      <w:r w:rsidR="002F06E1">
        <w:rPr>
          <w:rFonts w:ascii="Times New Roman" w:hAnsi="Times New Roman"/>
          <w:color w:val="000000" w:themeColor="text1"/>
          <w:sz w:val="24"/>
          <w:szCs w:val="24"/>
        </w:rPr>
        <w:t>potential</w:t>
      </w:r>
      <w:r w:rsidR="00252868">
        <w:rPr>
          <w:rFonts w:ascii="Times New Roman" w:hAnsi="Times New Roman"/>
          <w:color w:val="000000" w:themeColor="text1"/>
          <w:sz w:val="24"/>
          <w:szCs w:val="24"/>
        </w:rPr>
        <w:t xml:space="preserve"> occurring</w:t>
      </w:r>
      <w:r w:rsidRPr="00F26950">
        <w:rPr>
          <w:rFonts w:ascii="Times New Roman" w:hAnsi="Times New Roman"/>
          <w:color w:val="000000" w:themeColor="text1"/>
          <w:sz w:val="24"/>
          <w:szCs w:val="24"/>
        </w:rPr>
        <w:t xml:space="preserve"> 12 months </w:t>
      </w:r>
      <w:r w:rsidR="00252868">
        <w:rPr>
          <w:rFonts w:ascii="Times New Roman" w:hAnsi="Times New Roman"/>
          <w:color w:val="000000" w:themeColor="text1"/>
          <w:sz w:val="24"/>
          <w:szCs w:val="24"/>
        </w:rPr>
        <w:t>after each clearing</w:t>
      </w:r>
      <w:r w:rsidR="00F26950" w:rsidRPr="00F26950">
        <w:rPr>
          <w:rFonts w:ascii="Times New Roman" w:hAnsi="Times New Roman"/>
          <w:color w:val="000000" w:themeColor="text1"/>
          <w:sz w:val="24"/>
          <w:szCs w:val="24"/>
        </w:rPr>
        <w:t xml:space="preserve">.  This </w:t>
      </w:r>
      <w:r w:rsidR="003821CE">
        <w:rPr>
          <w:rFonts w:ascii="Times New Roman" w:hAnsi="Times New Roman"/>
          <w:color w:val="000000" w:themeColor="text1"/>
          <w:sz w:val="24"/>
          <w:szCs w:val="24"/>
        </w:rPr>
        <w:t xml:space="preserve">scenario </w:t>
      </w:r>
      <w:r w:rsidR="00F26950" w:rsidRPr="00F26950">
        <w:rPr>
          <w:rFonts w:ascii="Times New Roman" w:hAnsi="Times New Roman"/>
          <w:color w:val="000000" w:themeColor="text1"/>
          <w:sz w:val="24"/>
          <w:szCs w:val="24"/>
        </w:rPr>
        <w:t xml:space="preserve">is referred to in the Determination as the </w:t>
      </w:r>
      <w:r w:rsidR="00F26950" w:rsidRPr="00F26950">
        <w:rPr>
          <w:rFonts w:ascii="Times New Roman" w:hAnsi="Times New Roman"/>
          <w:b/>
          <w:i/>
          <w:color w:val="000000" w:themeColor="text1"/>
          <w:sz w:val="24"/>
          <w:szCs w:val="24"/>
        </w:rPr>
        <w:t xml:space="preserve">default baseline </w:t>
      </w:r>
      <w:r w:rsidR="00A729DF">
        <w:rPr>
          <w:rFonts w:ascii="Times New Roman" w:hAnsi="Times New Roman"/>
          <w:b/>
          <w:i/>
          <w:color w:val="000000" w:themeColor="text1"/>
          <w:sz w:val="24"/>
          <w:szCs w:val="24"/>
        </w:rPr>
        <w:t xml:space="preserve">management </w:t>
      </w:r>
      <w:r w:rsidR="00F26950" w:rsidRPr="00F26950">
        <w:rPr>
          <w:rFonts w:ascii="Times New Roman" w:hAnsi="Times New Roman"/>
          <w:b/>
          <w:i/>
          <w:color w:val="000000" w:themeColor="text1"/>
          <w:sz w:val="24"/>
          <w:szCs w:val="24"/>
        </w:rPr>
        <w:t>event scenario</w:t>
      </w:r>
      <w:r w:rsidR="00104583">
        <w:rPr>
          <w:rFonts w:ascii="Times New Roman" w:hAnsi="Times New Roman"/>
          <w:color w:val="000000" w:themeColor="text1"/>
          <w:sz w:val="24"/>
          <w:szCs w:val="24"/>
        </w:rPr>
        <w:t xml:space="preserve">.  </w:t>
      </w:r>
    </w:p>
    <w:p w:rsidR="00A62FBD" w:rsidRDefault="00A729DF"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Subsection 4.12(</w:t>
      </w:r>
      <w:r w:rsidR="00DD6F14">
        <w:rPr>
          <w:rFonts w:ascii="Times New Roman" w:hAnsi="Times New Roman"/>
          <w:color w:val="000000" w:themeColor="text1"/>
          <w:sz w:val="24"/>
          <w:szCs w:val="24"/>
        </w:rPr>
        <w:t>5</w:t>
      </w:r>
      <w:r>
        <w:rPr>
          <w:rFonts w:ascii="Times New Roman" w:hAnsi="Times New Roman"/>
          <w:color w:val="000000" w:themeColor="text1"/>
          <w:sz w:val="24"/>
          <w:szCs w:val="24"/>
        </w:rPr>
        <w:t>) specifies that t</w:t>
      </w:r>
      <w:r w:rsidR="00104583">
        <w:rPr>
          <w:rFonts w:ascii="Times New Roman" w:hAnsi="Times New Roman"/>
          <w:color w:val="000000" w:themeColor="text1"/>
          <w:sz w:val="24"/>
          <w:szCs w:val="24"/>
        </w:rPr>
        <w:t>he</w:t>
      </w:r>
      <w:r w:rsidR="00FF3F5A">
        <w:rPr>
          <w:rFonts w:ascii="Times New Roman" w:hAnsi="Times New Roman"/>
          <w:color w:val="000000" w:themeColor="text1"/>
          <w:sz w:val="24"/>
          <w:szCs w:val="24"/>
        </w:rPr>
        <w:t xml:space="preserve"> default baseline event scenario</w:t>
      </w:r>
      <w:r w:rsidR="00104583">
        <w:rPr>
          <w:rFonts w:ascii="Times New Roman" w:hAnsi="Times New Roman"/>
          <w:color w:val="000000" w:themeColor="text1"/>
          <w:sz w:val="24"/>
          <w:szCs w:val="24"/>
        </w:rPr>
        <w:t xml:space="preserve"> may include a</w:t>
      </w:r>
      <w:r w:rsidR="00DD6F14">
        <w:rPr>
          <w:rFonts w:ascii="Times New Roman" w:hAnsi="Times New Roman"/>
          <w:color w:val="000000" w:themeColor="text1"/>
          <w:sz w:val="24"/>
          <w:szCs w:val="24"/>
        </w:rPr>
        <w:t xml:space="preserve"> </w:t>
      </w:r>
      <w:r w:rsidR="00104583">
        <w:rPr>
          <w:rFonts w:ascii="Times New Roman" w:hAnsi="Times New Roman"/>
          <w:color w:val="000000" w:themeColor="text1"/>
          <w:sz w:val="24"/>
          <w:szCs w:val="24"/>
        </w:rPr>
        <w:t>fire event</w:t>
      </w:r>
      <w:r w:rsidR="00A62FBD">
        <w:rPr>
          <w:rFonts w:ascii="Times New Roman" w:hAnsi="Times New Roman"/>
          <w:color w:val="000000" w:themeColor="text1"/>
          <w:sz w:val="24"/>
          <w:szCs w:val="24"/>
        </w:rPr>
        <w:t xml:space="preserve"> after each comprehensive clearing if the project proponent can provide evidence, to the satisfaction of the Regulator, that fire was used to suppress </w:t>
      </w:r>
      <w:r w:rsidR="009800EF">
        <w:rPr>
          <w:rFonts w:ascii="Times New Roman" w:hAnsi="Times New Roman"/>
          <w:color w:val="000000" w:themeColor="text1"/>
          <w:sz w:val="24"/>
          <w:szCs w:val="24"/>
        </w:rPr>
        <w:t>re</w:t>
      </w:r>
      <w:r w:rsidR="00A62FBD">
        <w:rPr>
          <w:rFonts w:ascii="Times New Roman" w:hAnsi="Times New Roman"/>
          <w:color w:val="000000" w:themeColor="text1"/>
          <w:sz w:val="24"/>
          <w:szCs w:val="24"/>
        </w:rPr>
        <w:t>growth on land that is part of the same pastoral property as the carbon estimation area.</w:t>
      </w:r>
      <w:r w:rsidR="009800EF">
        <w:rPr>
          <w:rFonts w:ascii="Times New Roman" w:hAnsi="Times New Roman"/>
          <w:color w:val="000000" w:themeColor="text1"/>
          <w:sz w:val="24"/>
          <w:szCs w:val="24"/>
        </w:rPr>
        <w:t xml:space="preserve"> </w:t>
      </w:r>
      <w:r w:rsidR="00625144">
        <w:rPr>
          <w:rFonts w:ascii="Times New Roman" w:hAnsi="Times New Roman"/>
          <w:color w:val="000000" w:themeColor="text1"/>
          <w:sz w:val="24"/>
          <w:szCs w:val="24"/>
        </w:rPr>
        <w:t xml:space="preserve"> </w:t>
      </w:r>
      <w:r w:rsidR="009800EF">
        <w:rPr>
          <w:rFonts w:ascii="Times New Roman" w:hAnsi="Times New Roman"/>
          <w:color w:val="000000" w:themeColor="text1"/>
          <w:sz w:val="24"/>
          <w:szCs w:val="24"/>
        </w:rPr>
        <w:t xml:space="preserve">The fire events may be included in the default baseline management event scenario only in accordance with the </w:t>
      </w:r>
      <w:proofErr w:type="spellStart"/>
      <w:r w:rsidR="009800EF">
        <w:rPr>
          <w:rFonts w:ascii="Times New Roman" w:hAnsi="Times New Roman"/>
          <w:color w:val="000000" w:themeColor="text1"/>
          <w:sz w:val="24"/>
          <w:szCs w:val="24"/>
        </w:rPr>
        <w:t>FullCAM</w:t>
      </w:r>
      <w:proofErr w:type="spellEnd"/>
      <w:r w:rsidR="009800EF">
        <w:rPr>
          <w:rFonts w:ascii="Times New Roman" w:hAnsi="Times New Roman"/>
          <w:color w:val="000000" w:themeColor="text1"/>
          <w:sz w:val="24"/>
          <w:szCs w:val="24"/>
        </w:rPr>
        <w:t xml:space="preserve"> Guidelines.</w:t>
      </w:r>
    </w:p>
    <w:p w:rsidR="00A62FBD" w:rsidRDefault="00A62FBD"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‘Pastoral property</w:t>
      </w:r>
      <w:r w:rsidR="00A729DF">
        <w:rPr>
          <w:rFonts w:ascii="Times New Roman" w:hAnsi="Times New Roman"/>
          <w:color w:val="000000" w:themeColor="text1"/>
          <w:sz w:val="24"/>
          <w:szCs w:val="24"/>
        </w:rPr>
        <w:t>’</w:t>
      </w:r>
      <w:r>
        <w:rPr>
          <w:rFonts w:ascii="Times New Roman" w:hAnsi="Times New Roman"/>
          <w:color w:val="000000" w:themeColor="text1"/>
          <w:sz w:val="24"/>
          <w:szCs w:val="24"/>
        </w:rPr>
        <w:t xml:space="preserve"> is defined in subsection 4.12(</w:t>
      </w:r>
      <w:r w:rsidR="00A729DF">
        <w:rPr>
          <w:rFonts w:ascii="Times New Roman" w:hAnsi="Times New Roman"/>
          <w:color w:val="000000" w:themeColor="text1"/>
          <w:sz w:val="24"/>
          <w:szCs w:val="24"/>
        </w:rPr>
        <w:t>1</w:t>
      </w:r>
      <w:r w:rsidR="009800EF">
        <w:rPr>
          <w:rFonts w:ascii="Times New Roman" w:hAnsi="Times New Roman"/>
          <w:color w:val="000000" w:themeColor="text1"/>
          <w:sz w:val="24"/>
          <w:szCs w:val="24"/>
        </w:rPr>
        <w:t>6</w:t>
      </w:r>
      <w:r>
        <w:rPr>
          <w:rFonts w:ascii="Times New Roman" w:hAnsi="Times New Roman"/>
          <w:color w:val="000000" w:themeColor="text1"/>
          <w:sz w:val="24"/>
          <w:szCs w:val="24"/>
        </w:rPr>
        <w:t xml:space="preserve">).  A pastoral property may be larger than the project area, and </w:t>
      </w:r>
      <w:r w:rsidRPr="00A729DF">
        <w:rPr>
          <w:rFonts w:ascii="Times New Roman" w:hAnsi="Times New Roman"/>
          <w:color w:val="000000" w:themeColor="text1"/>
          <w:sz w:val="24"/>
          <w:szCs w:val="24"/>
        </w:rPr>
        <w:t>encompass more than one land title</w:t>
      </w:r>
      <w:r>
        <w:rPr>
          <w:rFonts w:ascii="Times New Roman" w:hAnsi="Times New Roman"/>
          <w:color w:val="000000" w:themeColor="text1"/>
          <w:sz w:val="24"/>
          <w:szCs w:val="24"/>
        </w:rPr>
        <w:t>.</w:t>
      </w:r>
      <w:r w:rsidR="00104583">
        <w:rPr>
          <w:rFonts w:ascii="Times New Roman" w:hAnsi="Times New Roman"/>
          <w:color w:val="000000" w:themeColor="text1"/>
          <w:sz w:val="24"/>
          <w:szCs w:val="24"/>
        </w:rPr>
        <w:t xml:space="preserve"> </w:t>
      </w:r>
    </w:p>
    <w:p w:rsidR="00E27CC9" w:rsidRPr="00E27CC9" w:rsidRDefault="00E27CC9" w:rsidP="00E27CC9">
      <w:pPr>
        <w:spacing w:after="120" w:line="240" w:lineRule="auto"/>
        <w:ind w:right="238"/>
        <w:rPr>
          <w:rFonts w:ascii="Times New Roman" w:hAnsi="Times New Roman"/>
          <w:i/>
          <w:color w:val="000000" w:themeColor="text1"/>
          <w:sz w:val="24"/>
          <w:szCs w:val="24"/>
        </w:rPr>
      </w:pPr>
      <w:r>
        <w:rPr>
          <w:rFonts w:ascii="Times New Roman" w:hAnsi="Times New Roman"/>
          <w:i/>
          <w:color w:val="000000" w:themeColor="text1"/>
          <w:sz w:val="24"/>
          <w:szCs w:val="24"/>
        </w:rPr>
        <w:t>Hybrid</w:t>
      </w:r>
      <w:r w:rsidRPr="00E27CC9">
        <w:rPr>
          <w:rFonts w:ascii="Times New Roman" w:hAnsi="Times New Roman"/>
          <w:i/>
          <w:color w:val="000000" w:themeColor="text1"/>
          <w:sz w:val="24"/>
          <w:szCs w:val="24"/>
        </w:rPr>
        <w:t xml:space="preserve"> baseline management event scenario</w:t>
      </w:r>
    </w:p>
    <w:p w:rsidR="00E27CC9" w:rsidRDefault="00A62FBD"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If there is documented evidence for </w:t>
      </w:r>
      <w:r w:rsidR="00F16085">
        <w:rPr>
          <w:rFonts w:ascii="Times New Roman" w:hAnsi="Times New Roman"/>
          <w:color w:val="000000" w:themeColor="text1"/>
          <w:sz w:val="24"/>
          <w:szCs w:val="24"/>
        </w:rPr>
        <w:t xml:space="preserve">specified </w:t>
      </w:r>
      <w:r>
        <w:rPr>
          <w:rFonts w:ascii="Times New Roman" w:hAnsi="Times New Roman"/>
          <w:color w:val="000000" w:themeColor="text1"/>
          <w:sz w:val="24"/>
          <w:szCs w:val="24"/>
        </w:rPr>
        <w:t xml:space="preserve">management events </w:t>
      </w:r>
      <w:r w:rsidR="00070BEE">
        <w:rPr>
          <w:rFonts w:ascii="Times New Roman" w:hAnsi="Times New Roman"/>
          <w:color w:val="000000" w:themeColor="text1"/>
          <w:sz w:val="24"/>
          <w:szCs w:val="24"/>
        </w:rPr>
        <w:t>that occurred</w:t>
      </w:r>
      <w:r>
        <w:rPr>
          <w:rFonts w:ascii="Times New Roman" w:hAnsi="Times New Roman"/>
          <w:color w:val="000000" w:themeColor="text1"/>
          <w:sz w:val="24"/>
          <w:szCs w:val="24"/>
        </w:rPr>
        <w:t xml:space="preserve"> before the implementation date, then the b</w:t>
      </w:r>
      <w:r w:rsidRPr="00CA79AD">
        <w:rPr>
          <w:rFonts w:ascii="Times New Roman" w:hAnsi="Times New Roman"/>
          <w:color w:val="000000" w:themeColor="text1"/>
          <w:sz w:val="24"/>
          <w:szCs w:val="24"/>
        </w:rPr>
        <w:t xml:space="preserve">aseline </w:t>
      </w:r>
      <w:r>
        <w:rPr>
          <w:rFonts w:ascii="Times New Roman" w:hAnsi="Times New Roman"/>
          <w:color w:val="000000" w:themeColor="text1"/>
          <w:sz w:val="24"/>
          <w:szCs w:val="24"/>
        </w:rPr>
        <w:t>scenario</w:t>
      </w:r>
      <w:r w:rsidR="00FF3F5A">
        <w:rPr>
          <w:rFonts w:ascii="Times New Roman" w:hAnsi="Times New Roman"/>
          <w:color w:val="000000" w:themeColor="text1"/>
          <w:sz w:val="24"/>
          <w:szCs w:val="24"/>
        </w:rPr>
        <w:t xml:space="preserve"> may </w:t>
      </w:r>
      <w:r w:rsidR="000C415C">
        <w:rPr>
          <w:rFonts w:ascii="Times New Roman" w:hAnsi="Times New Roman"/>
          <w:color w:val="000000" w:themeColor="text1"/>
          <w:sz w:val="24"/>
          <w:szCs w:val="24"/>
        </w:rPr>
        <w:t>consist of</w:t>
      </w:r>
      <w:r>
        <w:rPr>
          <w:rFonts w:ascii="Times New Roman" w:hAnsi="Times New Roman"/>
          <w:color w:val="000000" w:themeColor="text1"/>
          <w:sz w:val="24"/>
          <w:szCs w:val="24"/>
        </w:rPr>
        <w:t xml:space="preserve"> </w:t>
      </w:r>
      <w:r w:rsidR="00E27CC9">
        <w:rPr>
          <w:rFonts w:ascii="Times New Roman" w:hAnsi="Times New Roman"/>
          <w:color w:val="000000" w:themeColor="text1"/>
          <w:sz w:val="24"/>
          <w:szCs w:val="24"/>
        </w:rPr>
        <w:t xml:space="preserve">intervals defined by </w:t>
      </w:r>
      <w:r>
        <w:rPr>
          <w:rFonts w:ascii="Times New Roman" w:hAnsi="Times New Roman"/>
          <w:color w:val="000000" w:themeColor="text1"/>
          <w:sz w:val="24"/>
          <w:szCs w:val="24"/>
        </w:rPr>
        <w:t xml:space="preserve">those historic </w:t>
      </w:r>
      <w:r w:rsidRPr="00CA79AD">
        <w:rPr>
          <w:rFonts w:ascii="Times New Roman" w:hAnsi="Times New Roman"/>
          <w:color w:val="000000" w:themeColor="text1"/>
          <w:sz w:val="24"/>
          <w:szCs w:val="24"/>
        </w:rPr>
        <w:t xml:space="preserve">management </w:t>
      </w:r>
      <w:r>
        <w:rPr>
          <w:rFonts w:ascii="Times New Roman" w:hAnsi="Times New Roman"/>
          <w:color w:val="000000" w:themeColor="text1"/>
          <w:sz w:val="24"/>
          <w:szCs w:val="24"/>
        </w:rPr>
        <w:t xml:space="preserve">events </w:t>
      </w:r>
      <w:r w:rsidR="00E27CC9">
        <w:rPr>
          <w:rFonts w:ascii="Times New Roman" w:hAnsi="Times New Roman"/>
          <w:color w:val="000000" w:themeColor="text1"/>
          <w:sz w:val="24"/>
          <w:szCs w:val="24"/>
        </w:rPr>
        <w:t>and</w:t>
      </w:r>
      <w:r>
        <w:rPr>
          <w:rFonts w:ascii="Times New Roman" w:hAnsi="Times New Roman"/>
          <w:color w:val="000000" w:themeColor="text1"/>
          <w:sz w:val="24"/>
          <w:szCs w:val="24"/>
        </w:rPr>
        <w:t xml:space="preserve"> </w:t>
      </w:r>
      <w:r w:rsidR="00070BEE">
        <w:rPr>
          <w:rFonts w:ascii="Times New Roman" w:hAnsi="Times New Roman"/>
          <w:color w:val="000000" w:themeColor="text1"/>
          <w:sz w:val="24"/>
          <w:szCs w:val="24"/>
        </w:rPr>
        <w:t xml:space="preserve">certain </w:t>
      </w:r>
      <w:r w:rsidR="00E27CC9">
        <w:rPr>
          <w:rFonts w:ascii="Times New Roman" w:hAnsi="Times New Roman"/>
          <w:color w:val="000000" w:themeColor="text1"/>
          <w:sz w:val="24"/>
          <w:szCs w:val="24"/>
        </w:rPr>
        <w:t xml:space="preserve">other </w:t>
      </w:r>
      <w:r>
        <w:rPr>
          <w:rFonts w:ascii="Times New Roman" w:hAnsi="Times New Roman"/>
          <w:color w:val="000000" w:themeColor="text1"/>
          <w:sz w:val="24"/>
          <w:szCs w:val="24"/>
        </w:rPr>
        <w:t xml:space="preserve">default events. </w:t>
      </w:r>
    </w:p>
    <w:p w:rsidR="00FF3F5A" w:rsidRDefault="00A62FBD" w:rsidP="00986D81">
      <w:pPr>
        <w:spacing w:after="120" w:line="240" w:lineRule="auto"/>
        <w:ind w:right="238"/>
        <w:rPr>
          <w:rFonts w:ascii="Times New Roman" w:hAnsi="Times New Roman"/>
          <w:color w:val="000000" w:themeColor="text1"/>
          <w:sz w:val="24"/>
          <w:szCs w:val="24"/>
        </w:rPr>
      </w:pPr>
      <w:r w:rsidRPr="00F26950">
        <w:rPr>
          <w:rFonts w:ascii="Times New Roman" w:hAnsi="Times New Roman"/>
          <w:color w:val="000000" w:themeColor="text1"/>
          <w:sz w:val="24"/>
          <w:szCs w:val="24"/>
        </w:rPr>
        <w:t>This</w:t>
      </w:r>
      <w:r>
        <w:rPr>
          <w:rFonts w:ascii="Times New Roman" w:hAnsi="Times New Roman"/>
          <w:color w:val="000000" w:themeColor="text1"/>
          <w:sz w:val="24"/>
          <w:szCs w:val="24"/>
        </w:rPr>
        <w:t xml:space="preserve"> scenario </w:t>
      </w:r>
      <w:r w:rsidRPr="00F26950">
        <w:rPr>
          <w:rFonts w:ascii="Times New Roman" w:hAnsi="Times New Roman"/>
          <w:color w:val="000000" w:themeColor="text1"/>
          <w:sz w:val="24"/>
          <w:szCs w:val="24"/>
        </w:rPr>
        <w:t xml:space="preserve">is referred to in the Determination as the </w:t>
      </w:r>
      <w:r w:rsidR="00DD6F14">
        <w:rPr>
          <w:rFonts w:ascii="Times New Roman" w:hAnsi="Times New Roman"/>
          <w:b/>
          <w:i/>
          <w:color w:val="000000" w:themeColor="text1"/>
          <w:sz w:val="24"/>
          <w:szCs w:val="24"/>
        </w:rPr>
        <w:t xml:space="preserve">hybrid baseline management </w:t>
      </w:r>
      <w:r>
        <w:rPr>
          <w:rFonts w:ascii="Times New Roman" w:hAnsi="Times New Roman"/>
          <w:b/>
          <w:i/>
          <w:color w:val="000000" w:themeColor="text1"/>
          <w:sz w:val="24"/>
          <w:szCs w:val="24"/>
        </w:rPr>
        <w:t>event scenario</w:t>
      </w:r>
      <w:r w:rsidRPr="00F26950">
        <w:rPr>
          <w:rFonts w:ascii="Times New Roman" w:hAnsi="Times New Roman"/>
          <w:color w:val="000000" w:themeColor="text1"/>
          <w:sz w:val="24"/>
          <w:szCs w:val="24"/>
        </w:rPr>
        <w:t>.</w:t>
      </w:r>
      <w:r w:rsidR="00DD6F14">
        <w:rPr>
          <w:rFonts w:ascii="Times New Roman" w:hAnsi="Times New Roman"/>
          <w:color w:val="000000" w:themeColor="text1"/>
          <w:sz w:val="24"/>
          <w:szCs w:val="24"/>
        </w:rPr>
        <w:t xml:space="preserve">  The requirements for this type of scenario a</w:t>
      </w:r>
      <w:r w:rsidR="009800EF">
        <w:rPr>
          <w:rFonts w:ascii="Times New Roman" w:hAnsi="Times New Roman"/>
          <w:color w:val="000000" w:themeColor="text1"/>
          <w:sz w:val="24"/>
          <w:szCs w:val="24"/>
        </w:rPr>
        <w:t>re set out in subsections 4.12(7</w:t>
      </w:r>
      <w:r w:rsidR="00DD6F14">
        <w:rPr>
          <w:rFonts w:ascii="Times New Roman" w:hAnsi="Times New Roman"/>
          <w:color w:val="000000" w:themeColor="text1"/>
          <w:sz w:val="24"/>
          <w:szCs w:val="24"/>
        </w:rPr>
        <w:t>) to</w:t>
      </w:r>
      <w:r w:rsidR="00E27CC9">
        <w:rPr>
          <w:rFonts w:ascii="Times New Roman" w:hAnsi="Times New Roman"/>
          <w:color w:val="000000" w:themeColor="text1"/>
          <w:sz w:val="24"/>
          <w:szCs w:val="24"/>
        </w:rPr>
        <w:t> </w:t>
      </w:r>
      <w:r w:rsidR="00DD6F14">
        <w:rPr>
          <w:rFonts w:ascii="Times New Roman" w:hAnsi="Times New Roman"/>
          <w:color w:val="000000" w:themeColor="text1"/>
          <w:sz w:val="24"/>
          <w:szCs w:val="24"/>
        </w:rPr>
        <w:t>(</w:t>
      </w:r>
      <w:r w:rsidR="009800EF">
        <w:rPr>
          <w:rFonts w:ascii="Times New Roman" w:hAnsi="Times New Roman"/>
          <w:color w:val="000000" w:themeColor="text1"/>
          <w:sz w:val="24"/>
          <w:szCs w:val="24"/>
        </w:rPr>
        <w:t>11</w:t>
      </w:r>
      <w:r w:rsidR="00DD6F14">
        <w:rPr>
          <w:rFonts w:ascii="Times New Roman" w:hAnsi="Times New Roman"/>
          <w:color w:val="000000" w:themeColor="text1"/>
          <w:sz w:val="24"/>
          <w:szCs w:val="24"/>
        </w:rPr>
        <w:t>).</w:t>
      </w:r>
    </w:p>
    <w:p w:rsidR="00625144" w:rsidRDefault="00625144"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 xml:space="preserve">The hybrid baseline management event scenario comprises two intervals. </w:t>
      </w:r>
    </w:p>
    <w:p w:rsidR="00155752" w:rsidRDefault="00155752"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The first interval is defined by</w:t>
      </w:r>
      <w:r w:rsidR="003021DA">
        <w:rPr>
          <w:rFonts w:ascii="Times New Roman" w:hAnsi="Times New Roman"/>
          <w:color w:val="000000" w:themeColor="text1"/>
          <w:sz w:val="24"/>
          <w:szCs w:val="24"/>
        </w:rPr>
        <w:t xml:space="preserve"> a default comprehensive clearing and</w:t>
      </w:r>
      <w:r>
        <w:rPr>
          <w:rFonts w:ascii="Times New Roman" w:hAnsi="Times New Roman"/>
          <w:color w:val="000000" w:themeColor="text1"/>
          <w:sz w:val="24"/>
          <w:szCs w:val="24"/>
        </w:rPr>
        <w:t xml:space="preserve"> the earlier of the two comp</w:t>
      </w:r>
      <w:r w:rsidR="003021DA">
        <w:rPr>
          <w:rFonts w:ascii="Times New Roman" w:hAnsi="Times New Roman"/>
          <w:color w:val="000000" w:themeColor="text1"/>
          <w:sz w:val="24"/>
          <w:szCs w:val="24"/>
        </w:rPr>
        <w:t>rehensive clearings that define</w:t>
      </w:r>
      <w:r>
        <w:rPr>
          <w:rFonts w:ascii="Times New Roman" w:hAnsi="Times New Roman"/>
          <w:color w:val="000000" w:themeColor="text1"/>
          <w:sz w:val="24"/>
          <w:szCs w:val="24"/>
        </w:rPr>
        <w:t xml:space="preserve"> the second interval (see below).  The length of the first interval is always 15 years.  </w:t>
      </w:r>
    </w:p>
    <w:p w:rsidR="00625144" w:rsidRDefault="00155752"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The second</w:t>
      </w:r>
      <w:r w:rsidR="00625144">
        <w:rPr>
          <w:rFonts w:ascii="Times New Roman" w:hAnsi="Times New Roman"/>
          <w:color w:val="000000" w:themeColor="text1"/>
          <w:sz w:val="24"/>
          <w:szCs w:val="24"/>
        </w:rPr>
        <w:t xml:space="preserve"> interval is defined by the two most recent comprehensive clearings to have occurred in the carbon estimation area before the implementation date.  Project proponents must be able to provide documentary evidence satisfying the Regulator that these comprehensive clearings oc</w:t>
      </w:r>
      <w:r>
        <w:rPr>
          <w:rFonts w:ascii="Times New Roman" w:hAnsi="Times New Roman"/>
          <w:color w:val="000000" w:themeColor="text1"/>
          <w:sz w:val="24"/>
          <w:szCs w:val="24"/>
        </w:rPr>
        <w:t>curred.  The length of the second</w:t>
      </w:r>
      <w:r w:rsidR="00625144">
        <w:rPr>
          <w:rFonts w:ascii="Times New Roman" w:hAnsi="Times New Roman"/>
          <w:color w:val="000000" w:themeColor="text1"/>
          <w:sz w:val="24"/>
          <w:szCs w:val="24"/>
        </w:rPr>
        <w:t xml:space="preserve"> interval is the period</w:t>
      </w:r>
      <w:r>
        <w:rPr>
          <w:rFonts w:ascii="Times New Roman" w:hAnsi="Times New Roman"/>
          <w:color w:val="000000" w:themeColor="text1"/>
          <w:sz w:val="24"/>
          <w:szCs w:val="24"/>
        </w:rPr>
        <w:t xml:space="preserve"> of time</w:t>
      </w:r>
      <w:r w:rsidR="00625144">
        <w:rPr>
          <w:rFonts w:ascii="Times New Roman" w:hAnsi="Times New Roman"/>
          <w:color w:val="000000" w:themeColor="text1"/>
          <w:sz w:val="24"/>
          <w:szCs w:val="24"/>
        </w:rPr>
        <w:t xml:space="preserve"> equivalent to the time between the two comprehensive clearings.  For example, if the comprehensive clearings occurred eight years apart, the interval is eight years.</w:t>
      </w:r>
    </w:p>
    <w:p w:rsidR="00155752" w:rsidRDefault="00D134BD"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Subsection 4.12(10) specifies that t</w:t>
      </w:r>
      <w:r w:rsidR="00FF3F5A" w:rsidRPr="00FF3F5A">
        <w:rPr>
          <w:rFonts w:ascii="Times New Roman" w:hAnsi="Times New Roman"/>
          <w:color w:val="000000" w:themeColor="text1"/>
          <w:sz w:val="24"/>
          <w:szCs w:val="24"/>
        </w:rPr>
        <w:t>he</w:t>
      </w:r>
      <w:r w:rsidR="00FF3F5A">
        <w:rPr>
          <w:rFonts w:ascii="Times New Roman" w:hAnsi="Times New Roman"/>
          <w:color w:val="000000" w:themeColor="text1"/>
          <w:sz w:val="24"/>
          <w:szCs w:val="24"/>
        </w:rPr>
        <w:t xml:space="preserve"> </w:t>
      </w:r>
      <w:r w:rsidR="00DD6F14">
        <w:rPr>
          <w:rFonts w:ascii="Times New Roman" w:hAnsi="Times New Roman"/>
          <w:color w:val="000000" w:themeColor="text1"/>
          <w:sz w:val="24"/>
          <w:szCs w:val="24"/>
        </w:rPr>
        <w:t>hybrid baseline management event</w:t>
      </w:r>
      <w:r w:rsidR="009800EF">
        <w:rPr>
          <w:rFonts w:ascii="Times New Roman" w:hAnsi="Times New Roman"/>
          <w:color w:val="000000" w:themeColor="text1"/>
          <w:sz w:val="24"/>
          <w:szCs w:val="24"/>
        </w:rPr>
        <w:t xml:space="preserve"> scenario may include a</w:t>
      </w:r>
      <w:r w:rsidR="00791757">
        <w:rPr>
          <w:rFonts w:ascii="Times New Roman" w:hAnsi="Times New Roman"/>
          <w:color w:val="000000" w:themeColor="text1"/>
          <w:sz w:val="24"/>
          <w:szCs w:val="24"/>
        </w:rPr>
        <w:t xml:space="preserve"> </w:t>
      </w:r>
      <w:r w:rsidR="00FF3F5A" w:rsidRPr="00FF3F5A">
        <w:rPr>
          <w:rFonts w:ascii="Times New Roman" w:hAnsi="Times New Roman"/>
          <w:color w:val="000000" w:themeColor="text1"/>
          <w:sz w:val="24"/>
          <w:szCs w:val="24"/>
        </w:rPr>
        <w:t>fire event</w:t>
      </w:r>
      <w:r w:rsidR="00155752">
        <w:rPr>
          <w:rFonts w:ascii="Times New Roman" w:hAnsi="Times New Roman"/>
          <w:color w:val="000000" w:themeColor="text1"/>
          <w:sz w:val="24"/>
          <w:szCs w:val="24"/>
        </w:rPr>
        <w:t xml:space="preserve"> in the first, default interval</w:t>
      </w:r>
      <w:r w:rsidR="00FF3F5A" w:rsidRPr="00FF3F5A">
        <w:rPr>
          <w:rFonts w:ascii="Times New Roman" w:hAnsi="Times New Roman"/>
          <w:color w:val="000000" w:themeColor="text1"/>
          <w:sz w:val="24"/>
          <w:szCs w:val="24"/>
        </w:rPr>
        <w:t xml:space="preserve"> if the project proponent can provide evidence, to the sati</w:t>
      </w:r>
      <w:r w:rsidR="00155752">
        <w:rPr>
          <w:rFonts w:ascii="Times New Roman" w:hAnsi="Times New Roman"/>
          <w:color w:val="000000" w:themeColor="text1"/>
          <w:sz w:val="24"/>
          <w:szCs w:val="24"/>
        </w:rPr>
        <w:t>sfaction of the Regulator, that</w:t>
      </w:r>
      <w:r w:rsidR="00791757">
        <w:rPr>
          <w:rFonts w:ascii="Times New Roman" w:hAnsi="Times New Roman"/>
          <w:color w:val="000000" w:themeColor="text1"/>
          <w:sz w:val="24"/>
          <w:szCs w:val="24"/>
        </w:rPr>
        <w:t xml:space="preserve"> </w:t>
      </w:r>
      <w:r w:rsidR="00FF3F5A" w:rsidRPr="00FF3F5A">
        <w:rPr>
          <w:rFonts w:ascii="Times New Roman" w:hAnsi="Times New Roman"/>
          <w:color w:val="000000" w:themeColor="text1"/>
          <w:sz w:val="24"/>
          <w:szCs w:val="24"/>
        </w:rPr>
        <w:t>fire was used to suppress growth on land that is part of the same pastoral property as the carbon estimation area.</w:t>
      </w:r>
      <w:r w:rsidR="00155752">
        <w:rPr>
          <w:rFonts w:ascii="Times New Roman" w:hAnsi="Times New Roman"/>
          <w:color w:val="000000" w:themeColor="text1"/>
          <w:sz w:val="24"/>
          <w:szCs w:val="24"/>
        </w:rPr>
        <w:t xml:space="preserve">  The fire event may be included in the interval only in accordance with the </w:t>
      </w:r>
      <w:proofErr w:type="spellStart"/>
      <w:r w:rsidR="00155752">
        <w:rPr>
          <w:rFonts w:ascii="Times New Roman" w:hAnsi="Times New Roman"/>
          <w:color w:val="000000" w:themeColor="text1"/>
          <w:sz w:val="24"/>
          <w:szCs w:val="24"/>
        </w:rPr>
        <w:t>FullCAM</w:t>
      </w:r>
      <w:proofErr w:type="spellEnd"/>
      <w:r w:rsidR="00155752">
        <w:rPr>
          <w:rFonts w:ascii="Times New Roman" w:hAnsi="Times New Roman"/>
          <w:color w:val="000000" w:themeColor="text1"/>
          <w:sz w:val="24"/>
          <w:szCs w:val="24"/>
        </w:rPr>
        <w:t xml:space="preserve"> Guidelines.</w:t>
      </w:r>
    </w:p>
    <w:p w:rsidR="00FF3F5A" w:rsidRPr="00F26950" w:rsidRDefault="00155752"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Subsection 4.12(11) specifies that the hybrid baseline management event scenario may include a management event (including fire) other than a comprehensive clearing in the second</w:t>
      </w:r>
      <w:r w:rsidR="00FF3F5A">
        <w:rPr>
          <w:rFonts w:ascii="Times New Roman" w:hAnsi="Times New Roman"/>
          <w:color w:val="000000" w:themeColor="text1"/>
          <w:sz w:val="24"/>
          <w:szCs w:val="24"/>
        </w:rPr>
        <w:t xml:space="preserve"> </w:t>
      </w:r>
      <w:r>
        <w:rPr>
          <w:rFonts w:ascii="Times New Roman" w:hAnsi="Times New Roman"/>
          <w:color w:val="000000" w:themeColor="text1"/>
          <w:sz w:val="24"/>
          <w:szCs w:val="24"/>
        </w:rPr>
        <w:t>interval if documentary evidence shows, to the satisfaction of the Regulator, that the management event occurred in the carbon estimation area.</w:t>
      </w:r>
    </w:p>
    <w:p w:rsidR="0050142D" w:rsidRPr="00E27CC9" w:rsidRDefault="0050142D" w:rsidP="0050142D">
      <w:pPr>
        <w:spacing w:after="120" w:line="240" w:lineRule="auto"/>
        <w:ind w:right="238"/>
        <w:rPr>
          <w:rFonts w:ascii="Times New Roman" w:hAnsi="Times New Roman"/>
          <w:i/>
          <w:color w:val="000000" w:themeColor="text1"/>
          <w:sz w:val="24"/>
          <w:szCs w:val="24"/>
        </w:rPr>
      </w:pPr>
      <w:r>
        <w:rPr>
          <w:rFonts w:ascii="Times New Roman" w:hAnsi="Times New Roman"/>
          <w:i/>
          <w:color w:val="000000" w:themeColor="text1"/>
          <w:sz w:val="24"/>
          <w:szCs w:val="24"/>
        </w:rPr>
        <w:t>Historic</w:t>
      </w:r>
      <w:r w:rsidRPr="00E27CC9">
        <w:rPr>
          <w:rFonts w:ascii="Times New Roman" w:hAnsi="Times New Roman"/>
          <w:i/>
          <w:color w:val="000000" w:themeColor="text1"/>
          <w:sz w:val="24"/>
          <w:szCs w:val="24"/>
        </w:rPr>
        <w:t xml:space="preserve"> baseline management event scenario</w:t>
      </w:r>
    </w:p>
    <w:p w:rsidR="00F90322" w:rsidRDefault="00F26950"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 xml:space="preserve">If </w:t>
      </w:r>
      <w:r w:rsidR="009E4F07">
        <w:rPr>
          <w:rFonts w:ascii="Times New Roman" w:hAnsi="Times New Roman"/>
          <w:color w:val="000000" w:themeColor="text1"/>
          <w:sz w:val="24"/>
          <w:szCs w:val="24"/>
        </w:rPr>
        <w:t xml:space="preserve">there is </w:t>
      </w:r>
      <w:r w:rsidRPr="00CA79AD">
        <w:rPr>
          <w:rFonts w:ascii="Times New Roman" w:hAnsi="Times New Roman"/>
          <w:color w:val="000000" w:themeColor="text1"/>
          <w:sz w:val="24"/>
          <w:szCs w:val="24"/>
        </w:rPr>
        <w:t xml:space="preserve">documented evidence of at least </w:t>
      </w:r>
      <w:r w:rsidR="006D075E">
        <w:rPr>
          <w:rFonts w:ascii="Times New Roman" w:hAnsi="Times New Roman"/>
          <w:color w:val="000000" w:themeColor="text1"/>
          <w:sz w:val="24"/>
          <w:szCs w:val="24"/>
        </w:rPr>
        <w:t xml:space="preserve">the </w:t>
      </w:r>
      <w:r>
        <w:rPr>
          <w:rFonts w:ascii="Times New Roman" w:hAnsi="Times New Roman"/>
          <w:color w:val="000000" w:themeColor="text1"/>
          <w:sz w:val="24"/>
          <w:szCs w:val="24"/>
        </w:rPr>
        <w:t>three</w:t>
      </w:r>
      <w:r w:rsidRPr="00CA79AD">
        <w:rPr>
          <w:rFonts w:ascii="Times New Roman" w:hAnsi="Times New Roman"/>
          <w:color w:val="000000" w:themeColor="text1"/>
          <w:sz w:val="24"/>
          <w:szCs w:val="24"/>
        </w:rPr>
        <w:t xml:space="preserve"> </w:t>
      </w:r>
      <w:r w:rsidR="006D075E">
        <w:rPr>
          <w:rFonts w:ascii="Times New Roman" w:hAnsi="Times New Roman"/>
          <w:color w:val="000000" w:themeColor="text1"/>
          <w:sz w:val="24"/>
          <w:szCs w:val="24"/>
        </w:rPr>
        <w:t xml:space="preserve">most recent </w:t>
      </w:r>
      <w:r w:rsidRPr="00CA79AD">
        <w:rPr>
          <w:rFonts w:ascii="Times New Roman" w:hAnsi="Times New Roman"/>
          <w:color w:val="000000" w:themeColor="text1"/>
          <w:sz w:val="24"/>
          <w:szCs w:val="24"/>
        </w:rPr>
        <w:t>comprehensive clearing</w:t>
      </w:r>
      <w:r w:rsidR="00F37597">
        <w:rPr>
          <w:rFonts w:ascii="Times New Roman" w:hAnsi="Times New Roman"/>
          <w:color w:val="000000" w:themeColor="text1"/>
          <w:sz w:val="24"/>
          <w:szCs w:val="24"/>
        </w:rPr>
        <w:t>s</w:t>
      </w:r>
      <w:r w:rsidRPr="00CA79A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that occurred before </w:t>
      </w:r>
      <w:r w:rsidR="009E4F07" w:rsidRPr="001C77A2">
        <w:rPr>
          <w:rFonts w:ascii="Times New Roman" w:hAnsi="Times New Roman"/>
          <w:color w:val="000000" w:themeColor="text1"/>
          <w:sz w:val="24"/>
          <w:szCs w:val="24"/>
        </w:rPr>
        <w:t>the project mechanism was implemented in the carbon estimation area</w:t>
      </w:r>
      <w:r>
        <w:rPr>
          <w:rFonts w:ascii="Times New Roman" w:hAnsi="Times New Roman"/>
          <w:color w:val="000000" w:themeColor="text1"/>
          <w:sz w:val="24"/>
          <w:szCs w:val="24"/>
        </w:rPr>
        <w:t>, then the b</w:t>
      </w:r>
      <w:r w:rsidRPr="00CA79AD">
        <w:rPr>
          <w:rFonts w:ascii="Times New Roman" w:hAnsi="Times New Roman"/>
          <w:color w:val="000000" w:themeColor="text1"/>
          <w:sz w:val="24"/>
          <w:szCs w:val="24"/>
        </w:rPr>
        <w:t xml:space="preserve">aseline </w:t>
      </w:r>
      <w:r w:rsidR="00C305AB">
        <w:rPr>
          <w:rFonts w:ascii="Times New Roman" w:hAnsi="Times New Roman"/>
          <w:color w:val="000000" w:themeColor="text1"/>
          <w:sz w:val="24"/>
          <w:szCs w:val="24"/>
        </w:rPr>
        <w:t>scenario</w:t>
      </w:r>
      <w:r w:rsidRPr="00CA79AD">
        <w:rPr>
          <w:rFonts w:ascii="Times New Roman" w:hAnsi="Times New Roman"/>
          <w:color w:val="000000" w:themeColor="text1"/>
          <w:sz w:val="24"/>
          <w:szCs w:val="24"/>
        </w:rPr>
        <w:t xml:space="preserve"> may be </w:t>
      </w:r>
      <w:r w:rsidR="00C305AB">
        <w:rPr>
          <w:rFonts w:ascii="Times New Roman" w:hAnsi="Times New Roman"/>
          <w:color w:val="000000" w:themeColor="text1"/>
          <w:sz w:val="24"/>
          <w:szCs w:val="24"/>
        </w:rPr>
        <w:t>based on</w:t>
      </w:r>
      <w:r>
        <w:rPr>
          <w:rFonts w:ascii="Times New Roman" w:hAnsi="Times New Roman"/>
          <w:color w:val="000000" w:themeColor="text1"/>
          <w:sz w:val="24"/>
          <w:szCs w:val="24"/>
        </w:rPr>
        <w:t xml:space="preserve"> those </w:t>
      </w:r>
      <w:r w:rsidR="00155752">
        <w:rPr>
          <w:rFonts w:ascii="Times New Roman" w:hAnsi="Times New Roman"/>
          <w:color w:val="000000" w:themeColor="text1"/>
          <w:sz w:val="24"/>
          <w:szCs w:val="24"/>
        </w:rPr>
        <w:t>comprehensive clearings</w:t>
      </w:r>
      <w:r w:rsidR="00C305AB">
        <w:rPr>
          <w:rFonts w:ascii="Times New Roman" w:hAnsi="Times New Roman"/>
          <w:color w:val="000000" w:themeColor="text1"/>
          <w:sz w:val="24"/>
          <w:szCs w:val="24"/>
        </w:rPr>
        <w:t xml:space="preserve">.  </w:t>
      </w:r>
      <w:r w:rsidR="00C305AB" w:rsidRPr="00F26950">
        <w:rPr>
          <w:rFonts w:ascii="Times New Roman" w:hAnsi="Times New Roman"/>
          <w:color w:val="000000" w:themeColor="text1"/>
          <w:sz w:val="24"/>
          <w:szCs w:val="24"/>
        </w:rPr>
        <w:t xml:space="preserve">This </w:t>
      </w:r>
      <w:r w:rsidR="003821CE">
        <w:rPr>
          <w:rFonts w:ascii="Times New Roman" w:hAnsi="Times New Roman"/>
          <w:color w:val="000000" w:themeColor="text1"/>
          <w:sz w:val="24"/>
          <w:szCs w:val="24"/>
        </w:rPr>
        <w:t xml:space="preserve">scenario </w:t>
      </w:r>
      <w:r w:rsidR="00C305AB" w:rsidRPr="00F26950">
        <w:rPr>
          <w:rFonts w:ascii="Times New Roman" w:hAnsi="Times New Roman"/>
          <w:color w:val="000000" w:themeColor="text1"/>
          <w:sz w:val="24"/>
          <w:szCs w:val="24"/>
        </w:rPr>
        <w:t xml:space="preserve">is referred to in the Determination as the </w:t>
      </w:r>
      <w:r w:rsidR="00C305AB">
        <w:rPr>
          <w:rFonts w:ascii="Times New Roman" w:hAnsi="Times New Roman"/>
          <w:b/>
          <w:i/>
          <w:color w:val="000000" w:themeColor="text1"/>
          <w:sz w:val="24"/>
          <w:szCs w:val="24"/>
        </w:rPr>
        <w:t>historic</w:t>
      </w:r>
      <w:r w:rsidR="00C305AB" w:rsidRPr="00F26950">
        <w:rPr>
          <w:rFonts w:ascii="Times New Roman" w:hAnsi="Times New Roman"/>
          <w:b/>
          <w:i/>
          <w:color w:val="000000" w:themeColor="text1"/>
          <w:sz w:val="24"/>
          <w:szCs w:val="24"/>
        </w:rPr>
        <w:t xml:space="preserve"> baseline </w:t>
      </w:r>
      <w:r w:rsidR="00070BEE">
        <w:rPr>
          <w:rFonts w:ascii="Times New Roman" w:hAnsi="Times New Roman"/>
          <w:b/>
          <w:i/>
          <w:color w:val="000000" w:themeColor="text1"/>
          <w:sz w:val="24"/>
          <w:szCs w:val="24"/>
        </w:rPr>
        <w:t xml:space="preserve">management </w:t>
      </w:r>
      <w:r w:rsidR="00C305AB" w:rsidRPr="00F26950">
        <w:rPr>
          <w:rFonts w:ascii="Times New Roman" w:hAnsi="Times New Roman"/>
          <w:b/>
          <w:i/>
          <w:color w:val="000000" w:themeColor="text1"/>
          <w:sz w:val="24"/>
          <w:szCs w:val="24"/>
        </w:rPr>
        <w:t>event scenario</w:t>
      </w:r>
      <w:r w:rsidR="00C305AB" w:rsidRPr="00F26950">
        <w:rPr>
          <w:rFonts w:ascii="Times New Roman" w:hAnsi="Times New Roman"/>
          <w:color w:val="000000" w:themeColor="text1"/>
          <w:sz w:val="24"/>
          <w:szCs w:val="24"/>
        </w:rPr>
        <w:t>.</w:t>
      </w:r>
      <w:r w:rsidR="00C305AB">
        <w:rPr>
          <w:rFonts w:ascii="Times New Roman" w:hAnsi="Times New Roman"/>
          <w:color w:val="000000" w:themeColor="text1"/>
          <w:sz w:val="24"/>
          <w:szCs w:val="24"/>
        </w:rPr>
        <w:t xml:space="preserve">  </w:t>
      </w:r>
    </w:p>
    <w:p w:rsidR="00F90322" w:rsidRDefault="00F90322"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The requirements for this scenario are set out in subsection</w:t>
      </w:r>
      <w:r w:rsidR="0050142D">
        <w:rPr>
          <w:rFonts w:ascii="Times New Roman" w:hAnsi="Times New Roman"/>
          <w:color w:val="000000" w:themeColor="text1"/>
          <w:sz w:val="24"/>
          <w:szCs w:val="24"/>
        </w:rPr>
        <w:t>s</w:t>
      </w:r>
      <w:r w:rsidR="006670FA">
        <w:rPr>
          <w:rFonts w:ascii="Times New Roman" w:hAnsi="Times New Roman"/>
          <w:color w:val="000000" w:themeColor="text1"/>
          <w:sz w:val="24"/>
          <w:szCs w:val="24"/>
        </w:rPr>
        <w:t xml:space="preserve"> 4.12(12</w:t>
      </w:r>
      <w:r>
        <w:rPr>
          <w:rFonts w:ascii="Times New Roman" w:hAnsi="Times New Roman"/>
          <w:color w:val="000000" w:themeColor="text1"/>
          <w:sz w:val="24"/>
          <w:szCs w:val="24"/>
        </w:rPr>
        <w:t>)</w:t>
      </w:r>
      <w:r w:rsidR="006670FA">
        <w:rPr>
          <w:rFonts w:ascii="Times New Roman" w:hAnsi="Times New Roman"/>
          <w:color w:val="000000" w:themeColor="text1"/>
          <w:sz w:val="24"/>
          <w:szCs w:val="24"/>
        </w:rPr>
        <w:t xml:space="preserve"> to (15</w:t>
      </w:r>
      <w:r w:rsidR="0050142D">
        <w:rPr>
          <w:rFonts w:ascii="Times New Roman" w:hAnsi="Times New Roman"/>
          <w:color w:val="000000" w:themeColor="text1"/>
          <w:sz w:val="24"/>
          <w:szCs w:val="24"/>
        </w:rPr>
        <w:t>)</w:t>
      </w:r>
      <w:r>
        <w:rPr>
          <w:rFonts w:ascii="Times New Roman" w:hAnsi="Times New Roman"/>
          <w:color w:val="000000" w:themeColor="text1"/>
          <w:sz w:val="24"/>
          <w:szCs w:val="24"/>
        </w:rPr>
        <w:t>.</w:t>
      </w:r>
      <w:r w:rsidR="006670FA">
        <w:rPr>
          <w:rFonts w:ascii="Times New Roman" w:hAnsi="Times New Roman"/>
          <w:color w:val="000000" w:themeColor="text1"/>
          <w:sz w:val="24"/>
          <w:szCs w:val="24"/>
        </w:rPr>
        <w:t xml:space="preserve">  Project proponents must have evidence for each event in the historic baseline management even</w:t>
      </w:r>
      <w:r w:rsidR="003021DA">
        <w:rPr>
          <w:rFonts w:ascii="Times New Roman" w:hAnsi="Times New Roman"/>
          <w:color w:val="000000" w:themeColor="text1"/>
          <w:sz w:val="24"/>
          <w:szCs w:val="24"/>
        </w:rPr>
        <w:t>t scenario (except for default</w:t>
      </w:r>
      <w:r w:rsidR="006670FA">
        <w:rPr>
          <w:rFonts w:ascii="Times New Roman" w:hAnsi="Times New Roman"/>
          <w:color w:val="000000" w:themeColor="text1"/>
          <w:sz w:val="24"/>
          <w:szCs w:val="24"/>
        </w:rPr>
        <w:t xml:space="preserve"> forest establishment).</w:t>
      </w:r>
    </w:p>
    <w:p w:rsidR="005D5026" w:rsidRDefault="005F78B3"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75430">
        <w:rPr>
          <w:rFonts w:ascii="Times New Roman" w:hAnsi="Times New Roman"/>
          <w:color w:val="000000" w:themeColor="text1"/>
          <w:sz w:val="24"/>
          <w:szCs w:val="24"/>
        </w:rPr>
        <w:t xml:space="preserve">scenario consists of the </w:t>
      </w:r>
      <w:r>
        <w:rPr>
          <w:rFonts w:ascii="Times New Roman" w:hAnsi="Times New Roman"/>
          <w:color w:val="000000" w:themeColor="text1"/>
          <w:sz w:val="24"/>
          <w:szCs w:val="24"/>
        </w:rPr>
        <w:t xml:space="preserve">intervals between </w:t>
      </w:r>
      <w:r w:rsidR="00E75430">
        <w:rPr>
          <w:rFonts w:ascii="Times New Roman" w:hAnsi="Times New Roman"/>
          <w:color w:val="000000" w:themeColor="text1"/>
          <w:sz w:val="24"/>
          <w:szCs w:val="24"/>
        </w:rPr>
        <w:t>the demonstrated consecutive comprehensive clearings</w:t>
      </w:r>
      <w:r>
        <w:rPr>
          <w:rFonts w:ascii="Times New Roman" w:hAnsi="Times New Roman"/>
          <w:color w:val="000000" w:themeColor="text1"/>
          <w:sz w:val="24"/>
          <w:szCs w:val="24"/>
        </w:rPr>
        <w:t>.</w:t>
      </w:r>
      <w:r w:rsidR="006670FA">
        <w:rPr>
          <w:rFonts w:ascii="Times New Roman" w:hAnsi="Times New Roman"/>
          <w:color w:val="000000" w:themeColor="text1"/>
          <w:sz w:val="24"/>
          <w:szCs w:val="24"/>
        </w:rPr>
        <w:t xml:space="preserve">  The comprehensive clearings must occur consecutively and include the most recent comprehensive clearing</w:t>
      </w:r>
      <w:r w:rsidR="006670FA" w:rsidRPr="00D60B3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986D81" w:rsidRDefault="0050142D"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6D075E">
        <w:rPr>
          <w:rFonts w:ascii="Times New Roman" w:hAnsi="Times New Roman"/>
          <w:color w:val="000000" w:themeColor="text1"/>
          <w:sz w:val="24"/>
          <w:szCs w:val="24"/>
        </w:rPr>
        <w:t xml:space="preserve"> 4.12(1</w:t>
      </w:r>
      <w:r w:rsidR="006670FA">
        <w:rPr>
          <w:rFonts w:ascii="Times New Roman" w:hAnsi="Times New Roman"/>
          <w:color w:val="000000" w:themeColor="text1"/>
          <w:sz w:val="24"/>
          <w:szCs w:val="24"/>
        </w:rPr>
        <w:t>4</w:t>
      </w:r>
      <w:r>
        <w:rPr>
          <w:rFonts w:ascii="Times New Roman" w:hAnsi="Times New Roman"/>
          <w:color w:val="000000" w:themeColor="text1"/>
          <w:sz w:val="24"/>
          <w:szCs w:val="24"/>
        </w:rPr>
        <w:t>)</w:t>
      </w:r>
      <w:r w:rsidR="006D075E">
        <w:rPr>
          <w:rFonts w:ascii="Times New Roman" w:hAnsi="Times New Roman"/>
          <w:color w:val="000000" w:themeColor="text1"/>
          <w:sz w:val="24"/>
          <w:szCs w:val="24"/>
        </w:rPr>
        <w:t xml:space="preserve"> specifies that t</w:t>
      </w:r>
      <w:r w:rsidR="00106090">
        <w:rPr>
          <w:rFonts w:ascii="Times New Roman" w:hAnsi="Times New Roman"/>
          <w:color w:val="000000" w:themeColor="text1"/>
          <w:sz w:val="24"/>
          <w:szCs w:val="24"/>
        </w:rPr>
        <w:t xml:space="preserve">he scenario may also </w:t>
      </w:r>
      <w:r w:rsidR="00C305AB">
        <w:rPr>
          <w:rFonts w:ascii="Times New Roman" w:hAnsi="Times New Roman"/>
          <w:color w:val="000000" w:themeColor="text1"/>
          <w:sz w:val="24"/>
          <w:szCs w:val="24"/>
        </w:rPr>
        <w:t>include any other management event</w:t>
      </w:r>
      <w:r w:rsidR="006670FA">
        <w:rPr>
          <w:rFonts w:ascii="Times New Roman" w:hAnsi="Times New Roman"/>
          <w:color w:val="000000" w:themeColor="text1"/>
          <w:sz w:val="24"/>
          <w:szCs w:val="24"/>
        </w:rPr>
        <w:t>, including fires,</w:t>
      </w:r>
      <w:r w:rsidR="00C305AB">
        <w:rPr>
          <w:rFonts w:ascii="Times New Roman" w:hAnsi="Times New Roman"/>
          <w:color w:val="000000" w:themeColor="text1"/>
          <w:sz w:val="24"/>
          <w:szCs w:val="24"/>
        </w:rPr>
        <w:t xml:space="preserve"> that occurred in the </w:t>
      </w:r>
      <w:r w:rsidR="00BA12F4">
        <w:rPr>
          <w:rFonts w:ascii="Times New Roman" w:hAnsi="Times New Roman"/>
          <w:color w:val="000000" w:themeColor="text1"/>
          <w:sz w:val="24"/>
          <w:szCs w:val="24"/>
        </w:rPr>
        <w:t>intervals</w:t>
      </w:r>
      <w:r w:rsidR="00106090">
        <w:rPr>
          <w:rFonts w:ascii="Times New Roman" w:hAnsi="Times New Roman"/>
          <w:color w:val="000000" w:themeColor="text1"/>
          <w:sz w:val="24"/>
          <w:szCs w:val="24"/>
        </w:rPr>
        <w:t>.</w:t>
      </w:r>
    </w:p>
    <w:p w:rsidR="00252868" w:rsidRDefault="00AA294D"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 xml:space="preserve">In both the </w:t>
      </w:r>
      <w:r w:rsidR="00F90322">
        <w:rPr>
          <w:rFonts w:ascii="Times New Roman" w:hAnsi="Times New Roman"/>
          <w:color w:val="000000" w:themeColor="text1"/>
          <w:sz w:val="24"/>
          <w:szCs w:val="24"/>
        </w:rPr>
        <w:t xml:space="preserve">hybrid and </w:t>
      </w:r>
      <w:r>
        <w:rPr>
          <w:rFonts w:ascii="Times New Roman" w:hAnsi="Times New Roman"/>
          <w:color w:val="000000" w:themeColor="text1"/>
          <w:sz w:val="24"/>
          <w:szCs w:val="24"/>
        </w:rPr>
        <w:t xml:space="preserve">historic </w:t>
      </w:r>
      <w:r w:rsidR="00F90322">
        <w:rPr>
          <w:rFonts w:ascii="Times New Roman" w:hAnsi="Times New Roman"/>
          <w:color w:val="000000" w:themeColor="text1"/>
          <w:sz w:val="24"/>
          <w:szCs w:val="24"/>
        </w:rPr>
        <w:t xml:space="preserve">management </w:t>
      </w:r>
      <w:r w:rsidR="00252868">
        <w:rPr>
          <w:rFonts w:ascii="Times New Roman" w:hAnsi="Times New Roman"/>
          <w:color w:val="000000" w:themeColor="text1"/>
          <w:sz w:val="24"/>
          <w:szCs w:val="24"/>
        </w:rPr>
        <w:t>event scenarios, forest establishm</w:t>
      </w:r>
      <w:r w:rsidR="003021DA">
        <w:rPr>
          <w:rFonts w:ascii="Times New Roman" w:hAnsi="Times New Roman"/>
          <w:color w:val="000000" w:themeColor="text1"/>
          <w:sz w:val="24"/>
          <w:szCs w:val="24"/>
        </w:rPr>
        <w:t>ent occurs either on a default</w:t>
      </w:r>
      <w:r w:rsidR="00252868">
        <w:rPr>
          <w:rFonts w:ascii="Times New Roman" w:hAnsi="Times New Roman"/>
          <w:color w:val="000000" w:themeColor="text1"/>
          <w:sz w:val="24"/>
          <w:szCs w:val="24"/>
        </w:rPr>
        <w:t xml:space="preserve"> date of 12 months after the last clearing, or on an actual date if evidence can be provided to demonstrate it occurred on that date.</w:t>
      </w:r>
    </w:p>
    <w:p w:rsidR="00144D47" w:rsidRDefault="00472C95"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u w:val="single"/>
        </w:rPr>
        <w:t>4.13</w:t>
      </w:r>
      <w:r w:rsidR="00252868" w:rsidRPr="00725CA7">
        <w:rPr>
          <w:rFonts w:ascii="Times New Roman" w:hAnsi="Times New Roman"/>
          <w:color w:val="000000" w:themeColor="text1"/>
          <w:sz w:val="24"/>
          <w:szCs w:val="24"/>
          <w:u w:val="single"/>
        </w:rPr>
        <w:tab/>
      </w:r>
      <w:r w:rsidR="00252868" w:rsidRPr="006776B4">
        <w:rPr>
          <w:rFonts w:ascii="Times New Roman" w:hAnsi="Times New Roman"/>
          <w:color w:val="000000" w:themeColor="text1"/>
          <w:sz w:val="24"/>
          <w:szCs w:val="24"/>
          <w:u w:val="single"/>
        </w:rPr>
        <w:t>Baseline management event scenarios—</w:t>
      </w:r>
      <w:r w:rsidR="00252868">
        <w:rPr>
          <w:rFonts w:ascii="Times New Roman" w:hAnsi="Times New Roman"/>
          <w:color w:val="000000" w:themeColor="text1"/>
          <w:sz w:val="24"/>
          <w:szCs w:val="24"/>
          <w:u w:val="single"/>
        </w:rPr>
        <w:t>evidentiary requirements</w:t>
      </w:r>
    </w:p>
    <w:p w:rsidR="00252868" w:rsidRDefault="00472C95"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Section 4.13</w:t>
      </w:r>
      <w:r w:rsidR="00A4116B">
        <w:rPr>
          <w:rFonts w:ascii="Times New Roman" w:hAnsi="Times New Roman"/>
          <w:color w:val="000000" w:themeColor="text1"/>
          <w:sz w:val="24"/>
          <w:szCs w:val="24"/>
        </w:rPr>
        <w:t xml:space="preserve"> </w:t>
      </w:r>
      <w:r w:rsidR="00DF33DC">
        <w:rPr>
          <w:rFonts w:ascii="Times New Roman" w:hAnsi="Times New Roman"/>
          <w:color w:val="000000" w:themeColor="text1"/>
          <w:sz w:val="24"/>
          <w:szCs w:val="24"/>
        </w:rPr>
        <w:t>sets out</w:t>
      </w:r>
      <w:r w:rsidR="00A4116B">
        <w:rPr>
          <w:rFonts w:ascii="Times New Roman" w:hAnsi="Times New Roman"/>
          <w:color w:val="000000" w:themeColor="text1"/>
          <w:sz w:val="24"/>
          <w:szCs w:val="24"/>
        </w:rPr>
        <w:t xml:space="preserve"> the types of evidence required to demonstrate the occurrence of events</w:t>
      </w:r>
      <w:r w:rsidR="00F90322">
        <w:rPr>
          <w:rFonts w:ascii="Times New Roman" w:hAnsi="Times New Roman"/>
          <w:color w:val="000000" w:themeColor="text1"/>
          <w:sz w:val="24"/>
          <w:szCs w:val="24"/>
        </w:rPr>
        <w:t xml:space="preserve"> used</w:t>
      </w:r>
      <w:r w:rsidR="00A4116B">
        <w:rPr>
          <w:rFonts w:ascii="Times New Roman" w:hAnsi="Times New Roman"/>
          <w:color w:val="000000" w:themeColor="text1"/>
          <w:sz w:val="24"/>
          <w:szCs w:val="24"/>
        </w:rPr>
        <w:t xml:space="preserve"> in </w:t>
      </w:r>
      <w:r w:rsidR="00F90322">
        <w:rPr>
          <w:rFonts w:ascii="Times New Roman" w:hAnsi="Times New Roman"/>
          <w:color w:val="000000" w:themeColor="text1"/>
          <w:sz w:val="24"/>
          <w:szCs w:val="24"/>
        </w:rPr>
        <w:t xml:space="preserve">the </w:t>
      </w:r>
      <w:r w:rsidR="00A4116B">
        <w:rPr>
          <w:rFonts w:ascii="Times New Roman" w:hAnsi="Times New Roman"/>
          <w:color w:val="000000" w:themeColor="text1"/>
          <w:sz w:val="24"/>
          <w:szCs w:val="24"/>
        </w:rPr>
        <w:t>baseline management event scenari</w:t>
      </w:r>
      <w:r w:rsidR="00DF33DC">
        <w:rPr>
          <w:rFonts w:ascii="Times New Roman" w:hAnsi="Times New Roman"/>
          <w:color w:val="000000" w:themeColor="text1"/>
          <w:sz w:val="24"/>
          <w:szCs w:val="24"/>
        </w:rPr>
        <w:t>os</w:t>
      </w:r>
      <w:r w:rsidR="00A4116B">
        <w:rPr>
          <w:rFonts w:ascii="Times New Roman" w:hAnsi="Times New Roman"/>
          <w:color w:val="000000" w:themeColor="text1"/>
          <w:sz w:val="24"/>
          <w:szCs w:val="24"/>
        </w:rPr>
        <w:t>.</w:t>
      </w:r>
    </w:p>
    <w:p w:rsidR="00B16154" w:rsidRDefault="001C2039" w:rsidP="00B16154">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lastRenderedPageBreak/>
        <w:t>E</w:t>
      </w:r>
      <w:r w:rsidR="00B16154">
        <w:rPr>
          <w:rFonts w:ascii="Times New Roman" w:hAnsi="Times New Roman"/>
          <w:color w:val="000000" w:themeColor="text1"/>
          <w:sz w:val="24"/>
          <w:szCs w:val="24"/>
        </w:rPr>
        <w:t xml:space="preserve">vidence to demonstrate the timing and extent of the clearings may include </w:t>
      </w:r>
      <w:r w:rsidR="00B16154" w:rsidRPr="00A4116B">
        <w:rPr>
          <w:rFonts w:ascii="Times New Roman" w:hAnsi="Times New Roman"/>
          <w:color w:val="000000" w:themeColor="text1"/>
          <w:sz w:val="24"/>
          <w:szCs w:val="24"/>
        </w:rPr>
        <w:t>date-stamped geo-referenced remote sensing data such as imagery or forest cover mapping</w:t>
      </w:r>
      <w:r w:rsidR="00B74C8C">
        <w:rPr>
          <w:rFonts w:ascii="Times New Roman" w:hAnsi="Times New Roman"/>
          <w:color w:val="000000" w:themeColor="text1"/>
          <w:sz w:val="24"/>
          <w:szCs w:val="24"/>
        </w:rPr>
        <w:t>, and fire scar maps</w:t>
      </w:r>
      <w:r w:rsidR="00B16154" w:rsidRPr="00A4116B">
        <w:rPr>
          <w:rFonts w:ascii="Times New Roman" w:hAnsi="Times New Roman"/>
          <w:color w:val="000000" w:themeColor="text1"/>
          <w:sz w:val="24"/>
          <w:szCs w:val="24"/>
        </w:rPr>
        <w:t xml:space="preserve"> (</w:t>
      </w:r>
      <w:r w:rsidR="00472C95">
        <w:rPr>
          <w:rFonts w:ascii="Times New Roman" w:hAnsi="Times New Roman"/>
          <w:color w:val="000000" w:themeColor="text1"/>
          <w:sz w:val="24"/>
          <w:szCs w:val="24"/>
        </w:rPr>
        <w:t>paragraph 4.13</w:t>
      </w:r>
      <w:r w:rsidR="00B16154">
        <w:rPr>
          <w:rFonts w:ascii="Times New Roman" w:hAnsi="Times New Roman"/>
          <w:color w:val="000000" w:themeColor="text1"/>
          <w:sz w:val="24"/>
          <w:szCs w:val="24"/>
        </w:rPr>
        <w:t>(2)(a)</w:t>
      </w:r>
      <w:r w:rsidR="00B16154" w:rsidRPr="00A4116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A4116B" w:rsidRDefault="001C2039" w:rsidP="00106090">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E</w:t>
      </w:r>
      <w:r w:rsidR="00A4116B">
        <w:rPr>
          <w:rFonts w:ascii="Times New Roman" w:hAnsi="Times New Roman"/>
          <w:color w:val="000000" w:themeColor="text1"/>
          <w:sz w:val="24"/>
          <w:szCs w:val="24"/>
        </w:rPr>
        <w:t xml:space="preserve">vidence to demonstrate the occurrence of comprehensive clearings may include </w:t>
      </w:r>
      <w:r w:rsidR="00A4116B" w:rsidRPr="00A4116B">
        <w:rPr>
          <w:rFonts w:ascii="Times New Roman" w:hAnsi="Times New Roman"/>
          <w:color w:val="000000" w:themeColor="text1"/>
          <w:sz w:val="24"/>
          <w:szCs w:val="24"/>
        </w:rPr>
        <w:t>records of fuel used, herbicide used or labour employed (</w:t>
      </w:r>
      <w:r w:rsidR="00A4116B">
        <w:rPr>
          <w:rFonts w:ascii="Times New Roman" w:hAnsi="Times New Roman"/>
          <w:color w:val="000000" w:themeColor="text1"/>
          <w:sz w:val="24"/>
          <w:szCs w:val="24"/>
        </w:rPr>
        <w:t>paragraph 4.1</w:t>
      </w:r>
      <w:r w:rsidR="00472C95">
        <w:rPr>
          <w:rFonts w:ascii="Times New Roman" w:hAnsi="Times New Roman"/>
          <w:color w:val="000000" w:themeColor="text1"/>
          <w:sz w:val="24"/>
          <w:szCs w:val="24"/>
        </w:rPr>
        <w:t>3</w:t>
      </w:r>
      <w:r w:rsidR="00A4116B">
        <w:rPr>
          <w:rFonts w:ascii="Times New Roman" w:hAnsi="Times New Roman"/>
          <w:color w:val="000000" w:themeColor="text1"/>
          <w:sz w:val="24"/>
          <w:szCs w:val="24"/>
        </w:rPr>
        <w:t>(2</w:t>
      </w:r>
      <w:proofErr w:type="gramStart"/>
      <w:r w:rsidR="00A4116B">
        <w:rPr>
          <w:rFonts w:ascii="Times New Roman" w:hAnsi="Times New Roman"/>
          <w:color w:val="000000" w:themeColor="text1"/>
          <w:sz w:val="24"/>
          <w:szCs w:val="24"/>
        </w:rPr>
        <w:t>)(</w:t>
      </w:r>
      <w:proofErr w:type="gramEnd"/>
      <w:r w:rsidR="00A4116B">
        <w:rPr>
          <w:rFonts w:ascii="Times New Roman" w:hAnsi="Times New Roman"/>
          <w:color w:val="000000" w:themeColor="text1"/>
          <w:sz w:val="24"/>
          <w:szCs w:val="24"/>
        </w:rPr>
        <w:t>b)</w:t>
      </w:r>
      <w:r w:rsidR="00A4116B" w:rsidRPr="00A4116B">
        <w:rPr>
          <w:rFonts w:ascii="Times New Roman" w:hAnsi="Times New Roman"/>
          <w:color w:val="000000" w:themeColor="text1"/>
          <w:sz w:val="24"/>
          <w:szCs w:val="24"/>
        </w:rPr>
        <w:t>).</w:t>
      </w:r>
    </w:p>
    <w:p w:rsidR="00144D47" w:rsidRPr="00106090" w:rsidRDefault="00144D47" w:rsidP="00106090">
      <w:pPr>
        <w:spacing w:after="120" w:line="240" w:lineRule="auto"/>
        <w:ind w:right="238"/>
        <w:rPr>
          <w:rFonts w:ascii="Times New Roman" w:hAnsi="Times New Roman"/>
          <w:color w:val="000000" w:themeColor="text1"/>
          <w:sz w:val="24"/>
          <w:szCs w:val="24"/>
        </w:rPr>
      </w:pPr>
    </w:p>
    <w:p w:rsidR="00F37597" w:rsidRDefault="00F37597" w:rsidP="00986D81">
      <w:pPr>
        <w:spacing w:after="120" w:line="240" w:lineRule="auto"/>
        <w:rPr>
          <w:rFonts w:ascii="Times New Roman" w:hAnsi="Times New Roman"/>
          <w:b/>
          <w:color w:val="000000" w:themeColor="text1"/>
          <w:sz w:val="24"/>
          <w:szCs w:val="24"/>
        </w:rPr>
      </w:pPr>
      <w:r w:rsidRPr="009A1989">
        <w:rPr>
          <w:rFonts w:ascii="Times New Roman" w:hAnsi="Times New Roman"/>
          <w:b/>
          <w:color w:val="000000" w:themeColor="text1"/>
          <w:sz w:val="24"/>
          <w:szCs w:val="24"/>
        </w:rPr>
        <w:t>Subdivision 4.3.</w:t>
      </w:r>
      <w:r>
        <w:rPr>
          <w:rFonts w:ascii="Times New Roman" w:hAnsi="Times New Roman"/>
          <w:b/>
          <w:color w:val="000000" w:themeColor="text1"/>
          <w:sz w:val="24"/>
          <w:szCs w:val="24"/>
        </w:rPr>
        <w:t>4</w:t>
      </w:r>
      <w:r w:rsidRPr="009A1989">
        <w:rPr>
          <w:rFonts w:ascii="Times New Roman" w:hAnsi="Times New Roman"/>
          <w:b/>
          <w:color w:val="000000" w:themeColor="text1"/>
          <w:sz w:val="24"/>
          <w:szCs w:val="24"/>
        </w:rPr>
        <w:t xml:space="preserve"> </w:t>
      </w:r>
      <w:r w:rsidRPr="009A1989">
        <w:rPr>
          <w:rFonts w:ascii="Times New Roman" w:hAnsi="Times New Roman"/>
          <w:b/>
          <w:color w:val="000000" w:themeColor="text1"/>
          <w:sz w:val="24"/>
          <w:szCs w:val="24"/>
        </w:rPr>
        <w:tab/>
      </w:r>
      <w:proofErr w:type="spellStart"/>
      <w:r w:rsidR="00F90322">
        <w:rPr>
          <w:rFonts w:ascii="Times New Roman" w:hAnsi="Times New Roman"/>
          <w:b/>
          <w:color w:val="000000" w:themeColor="text1"/>
          <w:sz w:val="24"/>
          <w:szCs w:val="24"/>
        </w:rPr>
        <w:t>FullCAM</w:t>
      </w:r>
      <w:proofErr w:type="spellEnd"/>
      <w:r w:rsidR="00F90322">
        <w:rPr>
          <w:rFonts w:ascii="Times New Roman" w:hAnsi="Times New Roman"/>
          <w:b/>
          <w:color w:val="000000" w:themeColor="text1"/>
          <w:sz w:val="24"/>
          <w:szCs w:val="24"/>
        </w:rPr>
        <w:t xml:space="preserve"> modelling—n</w:t>
      </w:r>
      <w:r>
        <w:rPr>
          <w:rFonts w:ascii="Times New Roman" w:hAnsi="Times New Roman"/>
          <w:b/>
          <w:color w:val="000000" w:themeColor="text1"/>
          <w:sz w:val="24"/>
          <w:szCs w:val="24"/>
        </w:rPr>
        <w:t>on-z</w:t>
      </w:r>
      <w:r w:rsidRPr="009A1989">
        <w:rPr>
          <w:rFonts w:ascii="Times New Roman" w:hAnsi="Times New Roman"/>
          <w:b/>
          <w:color w:val="000000" w:themeColor="text1"/>
          <w:sz w:val="24"/>
          <w:szCs w:val="24"/>
        </w:rPr>
        <w:t>ero baseline</w:t>
      </w:r>
      <w:r>
        <w:rPr>
          <w:rFonts w:ascii="Times New Roman" w:hAnsi="Times New Roman"/>
          <w:b/>
          <w:color w:val="000000" w:themeColor="text1"/>
          <w:sz w:val="24"/>
          <w:szCs w:val="24"/>
        </w:rPr>
        <w:t xml:space="preserve"> model</w:t>
      </w:r>
    </w:p>
    <w:p w:rsidR="00BC275A" w:rsidRPr="00386C72" w:rsidRDefault="00BC275A" w:rsidP="00986D81">
      <w:pPr>
        <w:keepNext/>
        <w:spacing w:after="120" w:line="240" w:lineRule="auto"/>
        <w:rPr>
          <w:rFonts w:ascii="Times New Roman" w:hAnsi="Times New Roman"/>
          <w:color w:val="000000" w:themeColor="text1"/>
          <w:sz w:val="24"/>
          <w:szCs w:val="24"/>
          <w:u w:val="single"/>
        </w:rPr>
      </w:pPr>
      <w:r w:rsidRPr="00386C72">
        <w:rPr>
          <w:rFonts w:ascii="Times New Roman" w:hAnsi="Times New Roman"/>
          <w:color w:val="000000" w:themeColor="text1"/>
          <w:sz w:val="24"/>
          <w:szCs w:val="24"/>
          <w:u w:val="single"/>
        </w:rPr>
        <w:t>4.</w:t>
      </w:r>
      <w:r>
        <w:rPr>
          <w:rFonts w:ascii="Times New Roman" w:hAnsi="Times New Roman"/>
          <w:color w:val="000000" w:themeColor="text1"/>
          <w:sz w:val="24"/>
          <w:szCs w:val="24"/>
          <w:u w:val="single"/>
        </w:rPr>
        <w:t>1</w:t>
      </w:r>
      <w:r w:rsidR="00472C95">
        <w:rPr>
          <w:rFonts w:ascii="Times New Roman" w:hAnsi="Times New Roman"/>
          <w:color w:val="000000" w:themeColor="text1"/>
          <w:sz w:val="24"/>
          <w:szCs w:val="24"/>
          <w:u w:val="single"/>
        </w:rPr>
        <w:t>4</w:t>
      </w:r>
      <w:r w:rsidRPr="00386C72">
        <w:rPr>
          <w:rFonts w:ascii="Times New Roman" w:hAnsi="Times New Roman"/>
          <w:color w:val="000000" w:themeColor="text1"/>
          <w:sz w:val="24"/>
          <w:szCs w:val="24"/>
          <w:u w:val="single"/>
        </w:rPr>
        <w:tab/>
      </w:r>
      <w:proofErr w:type="spellStart"/>
      <w:r>
        <w:rPr>
          <w:rFonts w:ascii="Times New Roman" w:hAnsi="Times New Roman"/>
          <w:color w:val="000000" w:themeColor="text1"/>
          <w:sz w:val="24"/>
          <w:szCs w:val="24"/>
          <w:u w:val="single"/>
        </w:rPr>
        <w:t>FullCAM</w:t>
      </w:r>
      <w:proofErr w:type="spellEnd"/>
      <w:r>
        <w:rPr>
          <w:rFonts w:ascii="Times New Roman" w:hAnsi="Times New Roman"/>
          <w:color w:val="000000" w:themeColor="text1"/>
          <w:sz w:val="24"/>
          <w:szCs w:val="24"/>
          <w:u w:val="single"/>
        </w:rPr>
        <w:t xml:space="preserve"> modelling—non-z</w:t>
      </w:r>
      <w:r w:rsidRPr="00386C72">
        <w:rPr>
          <w:rFonts w:ascii="Times New Roman" w:hAnsi="Times New Roman"/>
          <w:color w:val="000000" w:themeColor="text1"/>
          <w:sz w:val="24"/>
          <w:szCs w:val="24"/>
          <w:u w:val="single"/>
        </w:rPr>
        <w:t xml:space="preserve">ero baseline </w:t>
      </w:r>
      <w:r>
        <w:rPr>
          <w:rFonts w:ascii="Times New Roman" w:hAnsi="Times New Roman"/>
          <w:color w:val="000000" w:themeColor="text1"/>
          <w:sz w:val="24"/>
          <w:szCs w:val="24"/>
          <w:u w:val="single"/>
        </w:rPr>
        <w:t>model</w:t>
      </w:r>
    </w:p>
    <w:p w:rsidR="00AE0628" w:rsidRDefault="00BC275A" w:rsidP="00AE0628">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Section 4.1</w:t>
      </w:r>
      <w:r w:rsidR="00472C95">
        <w:rPr>
          <w:rFonts w:ascii="Times New Roman" w:hAnsi="Times New Roman"/>
          <w:color w:val="000000" w:themeColor="text1"/>
          <w:sz w:val="24"/>
          <w:szCs w:val="24"/>
        </w:rPr>
        <w:t>4</w:t>
      </w:r>
      <w:r>
        <w:rPr>
          <w:rFonts w:ascii="Times New Roman" w:hAnsi="Times New Roman"/>
          <w:color w:val="000000" w:themeColor="text1"/>
          <w:sz w:val="24"/>
          <w:szCs w:val="24"/>
        </w:rPr>
        <w:t xml:space="preserve"> sets out general requirements for modelling a non-zero </w:t>
      </w:r>
      <w:r w:rsidR="00AE0628">
        <w:rPr>
          <w:rFonts w:ascii="Times New Roman" w:hAnsi="Times New Roman"/>
          <w:color w:val="000000" w:themeColor="text1"/>
          <w:sz w:val="24"/>
          <w:szCs w:val="24"/>
        </w:rPr>
        <w:t xml:space="preserve">baseline model using FullCAM.  </w:t>
      </w:r>
    </w:p>
    <w:p w:rsidR="00D37C5D" w:rsidRPr="00386C72" w:rsidRDefault="00D37C5D" w:rsidP="00986D81">
      <w:pPr>
        <w:keepNext/>
        <w:spacing w:after="120" w:line="240" w:lineRule="auto"/>
        <w:rPr>
          <w:rFonts w:ascii="Times New Roman" w:hAnsi="Times New Roman"/>
          <w:color w:val="000000" w:themeColor="text1"/>
          <w:sz w:val="24"/>
          <w:szCs w:val="24"/>
          <w:u w:val="single"/>
        </w:rPr>
      </w:pPr>
      <w:r w:rsidRPr="00386C72">
        <w:rPr>
          <w:rFonts w:ascii="Times New Roman" w:hAnsi="Times New Roman"/>
          <w:color w:val="000000" w:themeColor="text1"/>
          <w:sz w:val="24"/>
          <w:szCs w:val="24"/>
          <w:u w:val="single"/>
        </w:rPr>
        <w:t>4.</w:t>
      </w:r>
      <w:r>
        <w:rPr>
          <w:rFonts w:ascii="Times New Roman" w:hAnsi="Times New Roman"/>
          <w:color w:val="000000" w:themeColor="text1"/>
          <w:sz w:val="24"/>
          <w:szCs w:val="24"/>
          <w:u w:val="single"/>
        </w:rPr>
        <w:t>1</w:t>
      </w:r>
      <w:r w:rsidR="00472C95">
        <w:rPr>
          <w:rFonts w:ascii="Times New Roman" w:hAnsi="Times New Roman"/>
          <w:color w:val="000000" w:themeColor="text1"/>
          <w:sz w:val="24"/>
          <w:szCs w:val="24"/>
          <w:u w:val="single"/>
        </w:rPr>
        <w:t>5</w:t>
      </w:r>
      <w:r w:rsidRPr="00386C72">
        <w:rPr>
          <w:rFonts w:ascii="Times New Roman" w:hAnsi="Times New Roman"/>
          <w:color w:val="000000" w:themeColor="text1"/>
          <w:sz w:val="24"/>
          <w:szCs w:val="24"/>
          <w:u w:val="single"/>
        </w:rPr>
        <w:tab/>
      </w:r>
      <w:proofErr w:type="spellStart"/>
      <w:r>
        <w:rPr>
          <w:rFonts w:ascii="Times New Roman" w:hAnsi="Times New Roman"/>
          <w:color w:val="000000" w:themeColor="text1"/>
          <w:sz w:val="24"/>
          <w:szCs w:val="24"/>
          <w:u w:val="single"/>
        </w:rPr>
        <w:t>FullCAM</w:t>
      </w:r>
      <w:proofErr w:type="spellEnd"/>
      <w:r>
        <w:rPr>
          <w:rFonts w:ascii="Times New Roman" w:hAnsi="Times New Roman"/>
          <w:color w:val="000000" w:themeColor="text1"/>
          <w:sz w:val="24"/>
          <w:szCs w:val="24"/>
          <w:u w:val="single"/>
        </w:rPr>
        <w:t xml:space="preserve"> modelling—</w:t>
      </w:r>
      <w:r w:rsidRPr="00386C72">
        <w:rPr>
          <w:rFonts w:ascii="Times New Roman" w:hAnsi="Times New Roman"/>
          <w:color w:val="000000" w:themeColor="text1"/>
          <w:sz w:val="24"/>
          <w:szCs w:val="24"/>
          <w:u w:val="single"/>
        </w:rPr>
        <w:t xml:space="preserve">baseline </w:t>
      </w:r>
      <w:r>
        <w:rPr>
          <w:rFonts w:ascii="Times New Roman" w:hAnsi="Times New Roman"/>
          <w:color w:val="000000" w:themeColor="text1"/>
          <w:sz w:val="24"/>
          <w:szCs w:val="24"/>
          <w:u w:val="single"/>
        </w:rPr>
        <w:t>forecast period</w:t>
      </w:r>
    </w:p>
    <w:p w:rsidR="00284FDA" w:rsidRDefault="00472C95" w:rsidP="00986D81">
      <w:pPr>
        <w:pStyle w:val="ListParagraph"/>
        <w:spacing w:after="120" w:line="240" w:lineRule="auto"/>
        <w:ind w:left="0" w:right="237"/>
        <w:rPr>
          <w:rFonts w:ascii="Times New Roman" w:hAnsi="Times New Roman"/>
          <w:color w:val="000000" w:themeColor="text1"/>
          <w:sz w:val="24"/>
          <w:szCs w:val="24"/>
        </w:rPr>
      </w:pPr>
      <w:r>
        <w:rPr>
          <w:rFonts w:ascii="Times New Roman" w:hAnsi="Times New Roman"/>
          <w:color w:val="000000" w:themeColor="text1"/>
          <w:sz w:val="24"/>
          <w:szCs w:val="24"/>
        </w:rPr>
        <w:t>Section 4.15</w:t>
      </w:r>
      <w:r w:rsidR="00284FDA">
        <w:rPr>
          <w:rFonts w:ascii="Times New Roman" w:hAnsi="Times New Roman"/>
          <w:color w:val="000000" w:themeColor="text1"/>
          <w:sz w:val="24"/>
          <w:szCs w:val="24"/>
        </w:rPr>
        <w:t xml:space="preserve"> sets out the general rules for modelling the baseline forecast period in FullCAM.</w:t>
      </w:r>
    </w:p>
    <w:p w:rsidR="002F4742" w:rsidRDefault="00284FDA" w:rsidP="00986D81">
      <w:pPr>
        <w:pStyle w:val="ListParagraph"/>
        <w:spacing w:after="120" w:line="240" w:lineRule="auto"/>
        <w:ind w:left="0" w:right="237"/>
        <w:rPr>
          <w:rFonts w:ascii="Times New Roman" w:hAnsi="Times New Roman"/>
          <w:color w:val="000000" w:themeColor="text1"/>
          <w:sz w:val="24"/>
          <w:szCs w:val="24"/>
        </w:rPr>
      </w:pPr>
      <w:r w:rsidRPr="00284FDA">
        <w:rPr>
          <w:rFonts w:ascii="Times New Roman" w:hAnsi="Times New Roman"/>
          <w:color w:val="000000" w:themeColor="text1"/>
          <w:sz w:val="24"/>
          <w:szCs w:val="24"/>
        </w:rPr>
        <w:t xml:space="preserve">The event queue for the model of the baseline forecast period for each carbon estimation area </w:t>
      </w:r>
      <w:r>
        <w:rPr>
          <w:rFonts w:ascii="Times New Roman" w:hAnsi="Times New Roman"/>
          <w:color w:val="000000" w:themeColor="text1"/>
          <w:sz w:val="24"/>
          <w:szCs w:val="24"/>
        </w:rPr>
        <w:t>must consist</w:t>
      </w:r>
      <w:r w:rsidRPr="00284FDA">
        <w:rPr>
          <w:rFonts w:ascii="Times New Roman" w:hAnsi="Times New Roman"/>
          <w:color w:val="000000" w:themeColor="text1"/>
          <w:sz w:val="24"/>
          <w:szCs w:val="24"/>
        </w:rPr>
        <w:t xml:space="preserve"> of </w:t>
      </w:r>
      <w:r w:rsidR="004E70ED">
        <w:rPr>
          <w:rFonts w:ascii="Times New Roman" w:hAnsi="Times New Roman"/>
          <w:color w:val="000000" w:themeColor="text1"/>
          <w:sz w:val="24"/>
          <w:szCs w:val="24"/>
        </w:rPr>
        <w:t>a</w:t>
      </w:r>
      <w:r w:rsidRPr="00284FDA">
        <w:rPr>
          <w:rFonts w:ascii="Times New Roman" w:hAnsi="Times New Roman"/>
          <w:color w:val="000000" w:themeColor="text1"/>
          <w:sz w:val="24"/>
          <w:szCs w:val="24"/>
        </w:rPr>
        <w:t xml:space="preserve"> </w:t>
      </w:r>
      <w:r w:rsidR="004E70ED">
        <w:rPr>
          <w:rFonts w:ascii="Times New Roman" w:hAnsi="Times New Roman"/>
          <w:color w:val="000000" w:themeColor="text1"/>
          <w:sz w:val="24"/>
          <w:szCs w:val="24"/>
        </w:rPr>
        <w:t xml:space="preserve">cycle of </w:t>
      </w:r>
      <w:r w:rsidRPr="00284FDA">
        <w:rPr>
          <w:rFonts w:ascii="Times New Roman" w:hAnsi="Times New Roman"/>
          <w:color w:val="000000" w:themeColor="text1"/>
          <w:sz w:val="24"/>
          <w:szCs w:val="24"/>
        </w:rPr>
        <w:t>regeneration event</w:t>
      </w:r>
      <w:r w:rsidR="004E70ED">
        <w:rPr>
          <w:rFonts w:ascii="Times New Roman" w:hAnsi="Times New Roman"/>
          <w:color w:val="000000" w:themeColor="text1"/>
          <w:sz w:val="24"/>
          <w:szCs w:val="24"/>
        </w:rPr>
        <w:t>s</w:t>
      </w:r>
      <w:r w:rsidRPr="00284FDA">
        <w:rPr>
          <w:rFonts w:ascii="Times New Roman" w:hAnsi="Times New Roman"/>
          <w:color w:val="000000" w:themeColor="text1"/>
          <w:sz w:val="24"/>
          <w:szCs w:val="24"/>
        </w:rPr>
        <w:t xml:space="preserve"> </w:t>
      </w:r>
      <w:r w:rsidR="004E70ED" w:rsidRPr="00284FDA">
        <w:rPr>
          <w:rFonts w:ascii="Times New Roman" w:hAnsi="Times New Roman"/>
          <w:color w:val="000000" w:themeColor="text1"/>
          <w:sz w:val="24"/>
          <w:szCs w:val="24"/>
        </w:rPr>
        <w:t>(</w:t>
      </w:r>
      <w:r w:rsidR="004E70ED">
        <w:rPr>
          <w:rFonts w:ascii="Times New Roman" w:hAnsi="Times New Roman"/>
          <w:color w:val="000000" w:themeColor="text1"/>
          <w:sz w:val="24"/>
          <w:szCs w:val="24"/>
        </w:rPr>
        <w:t>‘</w:t>
      </w:r>
      <w:r w:rsidR="004E70ED" w:rsidRPr="00284FDA">
        <w:rPr>
          <w:rFonts w:ascii="Times New Roman" w:hAnsi="Times New Roman"/>
          <w:color w:val="000000" w:themeColor="text1"/>
          <w:sz w:val="24"/>
          <w:szCs w:val="24"/>
        </w:rPr>
        <w:t>tree planting</w:t>
      </w:r>
      <w:r w:rsidR="004E70ED">
        <w:rPr>
          <w:rFonts w:ascii="Times New Roman" w:hAnsi="Times New Roman"/>
          <w:color w:val="000000" w:themeColor="text1"/>
          <w:sz w:val="24"/>
          <w:szCs w:val="24"/>
        </w:rPr>
        <w:t>’</w:t>
      </w:r>
      <w:r w:rsidR="004E70ED" w:rsidRPr="00284FDA">
        <w:rPr>
          <w:rFonts w:ascii="Times New Roman" w:hAnsi="Times New Roman"/>
          <w:color w:val="000000" w:themeColor="text1"/>
          <w:sz w:val="24"/>
          <w:szCs w:val="24"/>
        </w:rPr>
        <w:t>)</w:t>
      </w:r>
      <w:r w:rsidR="002F4742">
        <w:rPr>
          <w:rFonts w:ascii="Times New Roman" w:hAnsi="Times New Roman"/>
          <w:color w:val="000000" w:themeColor="text1"/>
          <w:sz w:val="24"/>
          <w:szCs w:val="24"/>
        </w:rPr>
        <w:t>,</w:t>
      </w:r>
      <w:r w:rsidR="004E70ED">
        <w:rPr>
          <w:rFonts w:ascii="Times New Roman" w:hAnsi="Times New Roman"/>
          <w:color w:val="000000" w:themeColor="text1"/>
          <w:sz w:val="24"/>
          <w:szCs w:val="24"/>
        </w:rPr>
        <w:t xml:space="preserve"> </w:t>
      </w:r>
      <w:r w:rsidRPr="00284FDA">
        <w:rPr>
          <w:rFonts w:ascii="Times New Roman" w:hAnsi="Times New Roman"/>
          <w:color w:val="000000" w:themeColor="text1"/>
          <w:sz w:val="24"/>
          <w:szCs w:val="24"/>
        </w:rPr>
        <w:t xml:space="preserve">clearing </w:t>
      </w:r>
      <w:r>
        <w:rPr>
          <w:rFonts w:ascii="Times New Roman" w:hAnsi="Times New Roman"/>
          <w:color w:val="000000" w:themeColor="text1"/>
          <w:sz w:val="24"/>
          <w:szCs w:val="24"/>
        </w:rPr>
        <w:t>events</w:t>
      </w:r>
      <w:r w:rsidR="004E70ED">
        <w:rPr>
          <w:rFonts w:ascii="Times New Roman" w:hAnsi="Times New Roman"/>
          <w:color w:val="000000" w:themeColor="text1"/>
          <w:sz w:val="24"/>
          <w:szCs w:val="24"/>
        </w:rPr>
        <w:t xml:space="preserve"> </w:t>
      </w:r>
      <w:r w:rsidR="004E70ED" w:rsidRPr="00284FDA">
        <w:rPr>
          <w:rFonts w:ascii="Times New Roman" w:hAnsi="Times New Roman"/>
          <w:color w:val="000000" w:themeColor="text1"/>
          <w:sz w:val="24"/>
          <w:szCs w:val="24"/>
        </w:rPr>
        <w:t>(</w:t>
      </w:r>
      <w:r w:rsidR="004E70ED">
        <w:rPr>
          <w:rFonts w:ascii="Times New Roman" w:hAnsi="Times New Roman"/>
          <w:color w:val="000000" w:themeColor="text1"/>
          <w:sz w:val="24"/>
          <w:szCs w:val="24"/>
        </w:rPr>
        <w:t>‘</w:t>
      </w:r>
      <w:r w:rsidR="004E70ED" w:rsidRPr="00284FDA">
        <w:rPr>
          <w:rFonts w:ascii="Times New Roman" w:hAnsi="Times New Roman"/>
          <w:color w:val="000000" w:themeColor="text1"/>
          <w:sz w:val="24"/>
          <w:szCs w:val="24"/>
        </w:rPr>
        <w:t>100%</w:t>
      </w:r>
      <w:r w:rsidR="004E70ED">
        <w:rPr>
          <w:rFonts w:ascii="Times New Roman" w:hAnsi="Times New Roman"/>
          <w:color w:val="000000" w:themeColor="text1"/>
          <w:sz w:val="24"/>
          <w:szCs w:val="24"/>
        </w:rPr>
        <w:t> </w:t>
      </w:r>
      <w:r w:rsidR="004E70ED" w:rsidRPr="00284FDA">
        <w:rPr>
          <w:rFonts w:ascii="Times New Roman" w:hAnsi="Times New Roman"/>
          <w:color w:val="000000" w:themeColor="text1"/>
          <w:sz w:val="24"/>
          <w:szCs w:val="24"/>
        </w:rPr>
        <w:t>thinning</w:t>
      </w:r>
      <w:r w:rsidR="004E70ED">
        <w:rPr>
          <w:rFonts w:ascii="Times New Roman" w:hAnsi="Times New Roman"/>
          <w:color w:val="000000" w:themeColor="text1"/>
          <w:sz w:val="24"/>
          <w:szCs w:val="24"/>
        </w:rPr>
        <w:t>’</w:t>
      </w:r>
      <w:r w:rsidR="004E70ED" w:rsidRPr="00284FDA">
        <w:rPr>
          <w:rFonts w:ascii="Times New Roman" w:hAnsi="Times New Roman"/>
          <w:color w:val="000000" w:themeColor="text1"/>
          <w:sz w:val="24"/>
          <w:szCs w:val="24"/>
        </w:rPr>
        <w:t>)</w:t>
      </w:r>
      <w:r w:rsidR="002F4742">
        <w:rPr>
          <w:rFonts w:ascii="Times New Roman" w:hAnsi="Times New Roman"/>
          <w:color w:val="000000" w:themeColor="text1"/>
          <w:sz w:val="24"/>
          <w:szCs w:val="24"/>
        </w:rPr>
        <w:t xml:space="preserve"> and, if relevant, fire events</w:t>
      </w:r>
      <w:r w:rsidRPr="00284FDA">
        <w:rPr>
          <w:rFonts w:ascii="Times New Roman" w:hAnsi="Times New Roman"/>
          <w:color w:val="000000" w:themeColor="text1"/>
          <w:sz w:val="24"/>
          <w:szCs w:val="24"/>
        </w:rPr>
        <w:t xml:space="preserve">.  </w:t>
      </w:r>
    </w:p>
    <w:p w:rsidR="00284FDA" w:rsidRPr="00284FDA" w:rsidRDefault="00284FDA" w:rsidP="00986D81">
      <w:pPr>
        <w:pStyle w:val="ListParagraph"/>
        <w:spacing w:after="120" w:line="240" w:lineRule="auto"/>
        <w:ind w:left="0" w:right="237"/>
        <w:rPr>
          <w:rFonts w:ascii="Times New Roman" w:hAnsi="Times New Roman"/>
          <w:color w:val="000000" w:themeColor="text1"/>
          <w:sz w:val="24"/>
          <w:szCs w:val="24"/>
        </w:rPr>
      </w:pPr>
      <w:r>
        <w:rPr>
          <w:rFonts w:ascii="Times New Roman" w:hAnsi="Times New Roman"/>
          <w:color w:val="000000" w:themeColor="text1"/>
          <w:sz w:val="24"/>
          <w:szCs w:val="24"/>
        </w:rPr>
        <w:t xml:space="preserve">The intervals between events are </w:t>
      </w:r>
      <w:r w:rsidR="00FC3217">
        <w:rPr>
          <w:rFonts w:ascii="Times New Roman" w:hAnsi="Times New Roman"/>
          <w:color w:val="000000" w:themeColor="text1"/>
          <w:sz w:val="24"/>
          <w:szCs w:val="24"/>
        </w:rPr>
        <w:t>determined by</w:t>
      </w:r>
      <w:r>
        <w:rPr>
          <w:rFonts w:ascii="Times New Roman" w:hAnsi="Times New Roman"/>
          <w:color w:val="000000" w:themeColor="text1"/>
          <w:sz w:val="24"/>
          <w:szCs w:val="24"/>
        </w:rPr>
        <w:t xml:space="preserve"> the type of baseline event scenario used.</w:t>
      </w:r>
    </w:p>
    <w:p w:rsidR="002A04C8" w:rsidRPr="00C021C9" w:rsidRDefault="00FC3217" w:rsidP="00986D81">
      <w:pPr>
        <w:spacing w:after="120" w:line="240" w:lineRule="auto"/>
        <w:rPr>
          <w:rFonts w:ascii="Times New Roman" w:hAnsi="Times New Roman"/>
          <w:color w:val="000000" w:themeColor="text1"/>
          <w:sz w:val="24"/>
          <w:szCs w:val="24"/>
          <w:u w:val="single"/>
        </w:rPr>
      </w:pPr>
      <w:r w:rsidRPr="00C021C9">
        <w:rPr>
          <w:rFonts w:ascii="Times New Roman" w:hAnsi="Times New Roman"/>
          <w:color w:val="000000" w:themeColor="text1"/>
          <w:sz w:val="24"/>
          <w:szCs w:val="24"/>
          <w:u w:val="single"/>
        </w:rPr>
        <w:t>4.1</w:t>
      </w:r>
      <w:r w:rsidR="00472C95" w:rsidRPr="00C021C9">
        <w:rPr>
          <w:rFonts w:ascii="Times New Roman" w:hAnsi="Times New Roman"/>
          <w:color w:val="000000" w:themeColor="text1"/>
          <w:sz w:val="24"/>
          <w:szCs w:val="24"/>
          <w:u w:val="single"/>
        </w:rPr>
        <w:t>6</w:t>
      </w:r>
      <w:r w:rsidRPr="00C021C9">
        <w:rPr>
          <w:rFonts w:ascii="Times New Roman" w:hAnsi="Times New Roman"/>
          <w:color w:val="000000" w:themeColor="text1"/>
          <w:sz w:val="24"/>
          <w:szCs w:val="24"/>
          <w:u w:val="single"/>
        </w:rPr>
        <w:tab/>
      </w:r>
      <w:proofErr w:type="spellStart"/>
      <w:r w:rsidRPr="00C021C9">
        <w:rPr>
          <w:rFonts w:ascii="Times New Roman" w:hAnsi="Times New Roman"/>
          <w:color w:val="000000" w:themeColor="text1"/>
          <w:sz w:val="24"/>
          <w:szCs w:val="24"/>
          <w:u w:val="single"/>
        </w:rPr>
        <w:t>FullCAM</w:t>
      </w:r>
      <w:proofErr w:type="spellEnd"/>
      <w:r w:rsidRPr="00C021C9">
        <w:rPr>
          <w:rFonts w:ascii="Times New Roman" w:hAnsi="Times New Roman"/>
          <w:color w:val="000000" w:themeColor="text1"/>
          <w:sz w:val="24"/>
          <w:szCs w:val="24"/>
          <w:u w:val="single"/>
        </w:rPr>
        <w:t xml:space="preserve"> modelling—fires in baseline model</w:t>
      </w:r>
    </w:p>
    <w:p w:rsidR="00FC3217" w:rsidRDefault="00FC3217" w:rsidP="00986D81">
      <w:pPr>
        <w:spacing w:after="120" w:line="240" w:lineRule="auto"/>
        <w:rPr>
          <w:rFonts w:ascii="Times New Roman" w:hAnsi="Times New Roman"/>
          <w:color w:val="000000" w:themeColor="text1"/>
          <w:sz w:val="24"/>
          <w:szCs w:val="24"/>
        </w:rPr>
      </w:pPr>
      <w:r w:rsidRPr="00C021C9">
        <w:rPr>
          <w:rFonts w:ascii="Times New Roman" w:hAnsi="Times New Roman"/>
          <w:color w:val="000000" w:themeColor="text1"/>
          <w:sz w:val="24"/>
          <w:szCs w:val="24"/>
        </w:rPr>
        <w:t>Section 4.1</w:t>
      </w:r>
      <w:r w:rsidR="00472C95" w:rsidRPr="00C021C9">
        <w:rPr>
          <w:rFonts w:ascii="Times New Roman" w:hAnsi="Times New Roman"/>
          <w:color w:val="000000" w:themeColor="text1"/>
          <w:sz w:val="24"/>
          <w:szCs w:val="24"/>
        </w:rPr>
        <w:t>6</w:t>
      </w:r>
      <w:r w:rsidRPr="00C021C9">
        <w:rPr>
          <w:rFonts w:ascii="Times New Roman" w:hAnsi="Times New Roman"/>
          <w:color w:val="000000" w:themeColor="text1"/>
          <w:sz w:val="24"/>
          <w:szCs w:val="24"/>
        </w:rPr>
        <w:t xml:space="preserve"> clarifies </w:t>
      </w:r>
      <w:r w:rsidR="00A46C48" w:rsidRPr="00C021C9">
        <w:rPr>
          <w:rFonts w:ascii="Times New Roman" w:hAnsi="Times New Roman"/>
          <w:color w:val="000000" w:themeColor="text1"/>
          <w:sz w:val="24"/>
          <w:szCs w:val="24"/>
        </w:rPr>
        <w:t>that</w:t>
      </w:r>
      <w:r w:rsidRPr="00C021C9">
        <w:rPr>
          <w:rFonts w:ascii="Times New Roman" w:hAnsi="Times New Roman"/>
          <w:color w:val="000000" w:themeColor="text1"/>
          <w:sz w:val="24"/>
          <w:szCs w:val="24"/>
        </w:rPr>
        <w:t xml:space="preserve"> a fire </w:t>
      </w:r>
      <w:r w:rsidR="00A46C48" w:rsidRPr="00C021C9">
        <w:rPr>
          <w:rFonts w:ascii="Times New Roman" w:hAnsi="Times New Roman"/>
          <w:color w:val="000000" w:themeColor="text1"/>
          <w:sz w:val="24"/>
          <w:szCs w:val="24"/>
        </w:rPr>
        <w:t>may</w:t>
      </w:r>
      <w:r w:rsidRPr="00C021C9">
        <w:rPr>
          <w:rFonts w:ascii="Times New Roman" w:hAnsi="Times New Roman"/>
          <w:color w:val="000000" w:themeColor="text1"/>
          <w:sz w:val="24"/>
          <w:szCs w:val="24"/>
        </w:rPr>
        <w:t xml:space="preserve"> be included in the baseline model</w:t>
      </w:r>
      <w:r w:rsidR="00A46C48" w:rsidRPr="00C021C9">
        <w:rPr>
          <w:rFonts w:ascii="Times New Roman" w:hAnsi="Times New Roman"/>
          <w:color w:val="000000" w:themeColor="text1"/>
          <w:sz w:val="24"/>
          <w:szCs w:val="24"/>
        </w:rPr>
        <w:t xml:space="preserve"> </w:t>
      </w:r>
      <w:r w:rsidR="00731D27" w:rsidRPr="00C021C9">
        <w:rPr>
          <w:rFonts w:ascii="Times New Roman" w:hAnsi="Times New Roman"/>
          <w:color w:val="000000" w:themeColor="text1"/>
          <w:sz w:val="24"/>
          <w:szCs w:val="24"/>
        </w:rPr>
        <w:t xml:space="preserve">only in accordance with the </w:t>
      </w:r>
      <w:proofErr w:type="spellStart"/>
      <w:r w:rsidR="00731D27" w:rsidRPr="00C021C9">
        <w:rPr>
          <w:rFonts w:ascii="Times New Roman" w:hAnsi="Times New Roman"/>
          <w:color w:val="000000" w:themeColor="text1"/>
          <w:sz w:val="24"/>
          <w:szCs w:val="24"/>
        </w:rPr>
        <w:t>FullCAM</w:t>
      </w:r>
      <w:proofErr w:type="spellEnd"/>
      <w:r w:rsidR="00731D27" w:rsidRPr="00C021C9">
        <w:rPr>
          <w:rFonts w:ascii="Times New Roman" w:hAnsi="Times New Roman"/>
          <w:color w:val="000000" w:themeColor="text1"/>
          <w:sz w:val="24"/>
          <w:szCs w:val="24"/>
        </w:rPr>
        <w:t xml:space="preserve"> Guidelines</w:t>
      </w:r>
      <w:r w:rsidR="00906542" w:rsidRPr="00C021C9">
        <w:rPr>
          <w:rFonts w:ascii="Times New Roman" w:hAnsi="Times New Roman"/>
          <w:color w:val="000000" w:themeColor="text1"/>
          <w:sz w:val="24"/>
          <w:szCs w:val="24"/>
        </w:rPr>
        <w:t xml:space="preserve"> and Subdivision 4.3.4</w:t>
      </w:r>
      <w:r w:rsidR="00731D27" w:rsidRPr="00C021C9">
        <w:rPr>
          <w:rFonts w:ascii="Times New Roman" w:hAnsi="Times New Roman"/>
          <w:color w:val="000000" w:themeColor="text1"/>
          <w:sz w:val="24"/>
          <w:szCs w:val="24"/>
        </w:rPr>
        <w:t>.</w:t>
      </w:r>
    </w:p>
    <w:p w:rsidR="00FC3217" w:rsidRPr="00FC3217" w:rsidRDefault="00FC3217" w:rsidP="00986D81">
      <w:pPr>
        <w:spacing w:after="120" w:line="240" w:lineRule="auto"/>
        <w:rPr>
          <w:rFonts w:ascii="Times New Roman" w:hAnsi="Times New Roman"/>
          <w:color w:val="000000" w:themeColor="text1"/>
          <w:sz w:val="24"/>
          <w:szCs w:val="24"/>
          <w:u w:val="single"/>
        </w:rPr>
      </w:pPr>
      <w:r w:rsidRPr="00FC3217">
        <w:rPr>
          <w:rFonts w:ascii="Times New Roman" w:hAnsi="Times New Roman"/>
          <w:color w:val="000000" w:themeColor="text1"/>
          <w:sz w:val="24"/>
          <w:szCs w:val="24"/>
          <w:u w:val="single"/>
        </w:rPr>
        <w:t>4.1</w:t>
      </w:r>
      <w:r w:rsidR="00472C95">
        <w:rPr>
          <w:rFonts w:ascii="Times New Roman" w:hAnsi="Times New Roman"/>
          <w:color w:val="000000" w:themeColor="text1"/>
          <w:sz w:val="24"/>
          <w:szCs w:val="24"/>
          <w:u w:val="single"/>
        </w:rPr>
        <w:t>7</w:t>
      </w:r>
      <w:r w:rsidRPr="00FC3217">
        <w:rPr>
          <w:rFonts w:ascii="Times New Roman" w:hAnsi="Times New Roman"/>
          <w:color w:val="000000" w:themeColor="text1"/>
          <w:sz w:val="24"/>
          <w:szCs w:val="24"/>
          <w:u w:val="single"/>
        </w:rPr>
        <w:tab/>
        <w:t>FullCAM modelling—estimating carbon stocks in baseline forecast period</w:t>
      </w:r>
    </w:p>
    <w:p w:rsidR="00FC3217" w:rsidRDefault="00FC3217" w:rsidP="00986D81">
      <w:pPr>
        <w:pStyle w:val="ListParagraph"/>
        <w:spacing w:after="120" w:line="240" w:lineRule="auto"/>
        <w:ind w:left="0" w:right="237"/>
        <w:rPr>
          <w:rFonts w:ascii="Times New Roman" w:hAnsi="Times New Roman"/>
          <w:color w:val="000000" w:themeColor="text1"/>
          <w:sz w:val="24"/>
          <w:szCs w:val="24"/>
        </w:rPr>
      </w:pPr>
      <w:r>
        <w:rPr>
          <w:rFonts w:ascii="Times New Roman" w:hAnsi="Times New Roman"/>
          <w:color w:val="000000" w:themeColor="text1"/>
          <w:sz w:val="24"/>
          <w:szCs w:val="24"/>
        </w:rPr>
        <w:t>S</w:t>
      </w:r>
      <w:r w:rsidR="007E6E86">
        <w:rPr>
          <w:rFonts w:ascii="Times New Roman" w:hAnsi="Times New Roman"/>
          <w:color w:val="000000" w:themeColor="text1"/>
          <w:sz w:val="24"/>
          <w:szCs w:val="24"/>
        </w:rPr>
        <w:t>ubs</w:t>
      </w:r>
      <w:r>
        <w:rPr>
          <w:rFonts w:ascii="Times New Roman" w:hAnsi="Times New Roman"/>
          <w:color w:val="000000" w:themeColor="text1"/>
          <w:sz w:val="24"/>
          <w:szCs w:val="24"/>
        </w:rPr>
        <w:t>ection 4.1</w:t>
      </w:r>
      <w:r w:rsidR="00472C95">
        <w:rPr>
          <w:rFonts w:ascii="Times New Roman" w:hAnsi="Times New Roman"/>
          <w:color w:val="000000" w:themeColor="text1"/>
          <w:sz w:val="24"/>
          <w:szCs w:val="24"/>
        </w:rPr>
        <w:t>7</w:t>
      </w:r>
      <w:r w:rsidR="007E6E86">
        <w:rPr>
          <w:rFonts w:ascii="Times New Roman" w:hAnsi="Times New Roman"/>
          <w:color w:val="000000" w:themeColor="text1"/>
          <w:sz w:val="24"/>
          <w:szCs w:val="24"/>
        </w:rPr>
        <w:t>(1)</w:t>
      </w:r>
      <w:r>
        <w:rPr>
          <w:rFonts w:ascii="Times New Roman" w:hAnsi="Times New Roman"/>
          <w:color w:val="000000" w:themeColor="text1"/>
          <w:sz w:val="24"/>
          <w:szCs w:val="24"/>
        </w:rPr>
        <w:t xml:space="preserve"> provides that </w:t>
      </w:r>
      <w:r w:rsidRPr="00284FDA">
        <w:rPr>
          <w:rFonts w:ascii="Times New Roman" w:hAnsi="Times New Roman"/>
          <w:color w:val="000000" w:themeColor="text1"/>
          <w:sz w:val="24"/>
          <w:szCs w:val="24"/>
        </w:rPr>
        <w:t xml:space="preserve">FullCAM </w:t>
      </w:r>
      <w:r>
        <w:rPr>
          <w:rFonts w:ascii="Times New Roman" w:hAnsi="Times New Roman"/>
          <w:color w:val="000000" w:themeColor="text1"/>
          <w:sz w:val="24"/>
          <w:szCs w:val="24"/>
        </w:rPr>
        <w:t>must</w:t>
      </w:r>
      <w:r w:rsidRPr="00284FDA">
        <w:rPr>
          <w:rFonts w:ascii="Times New Roman" w:hAnsi="Times New Roman"/>
          <w:color w:val="000000" w:themeColor="text1"/>
          <w:sz w:val="24"/>
          <w:szCs w:val="24"/>
        </w:rPr>
        <w:t xml:space="preserve"> be run to provide monthly estimates of carbon stocks (carbon in trees and debris) for the baseline forecast period. These </w:t>
      </w:r>
      <w:r w:rsidR="007E6E86">
        <w:rPr>
          <w:rFonts w:ascii="Times New Roman" w:hAnsi="Times New Roman"/>
          <w:color w:val="000000" w:themeColor="text1"/>
          <w:sz w:val="24"/>
          <w:szCs w:val="24"/>
        </w:rPr>
        <w:t>must be</w:t>
      </w:r>
      <w:r w:rsidRPr="00284FDA">
        <w:rPr>
          <w:rFonts w:ascii="Times New Roman" w:hAnsi="Times New Roman"/>
          <w:color w:val="000000" w:themeColor="text1"/>
          <w:sz w:val="24"/>
          <w:szCs w:val="24"/>
        </w:rPr>
        <w:t xml:space="preserve"> averaged to calculate a long-term average baseline carbon stock for each </w:t>
      </w:r>
      <w:r>
        <w:rPr>
          <w:rFonts w:ascii="Times New Roman" w:hAnsi="Times New Roman"/>
          <w:color w:val="000000" w:themeColor="text1"/>
          <w:sz w:val="24"/>
          <w:szCs w:val="24"/>
        </w:rPr>
        <w:t>carbon estimation area</w:t>
      </w:r>
      <w:r w:rsidRPr="00284FDA">
        <w:rPr>
          <w:rFonts w:ascii="Times New Roman" w:hAnsi="Times New Roman"/>
          <w:color w:val="000000" w:themeColor="text1"/>
          <w:sz w:val="24"/>
          <w:szCs w:val="24"/>
        </w:rPr>
        <w:t xml:space="preserve">. </w:t>
      </w:r>
    </w:p>
    <w:p w:rsidR="00FC3217" w:rsidRDefault="007E6E86"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4.1</w:t>
      </w:r>
      <w:r w:rsidR="00472C95">
        <w:rPr>
          <w:rFonts w:ascii="Times New Roman" w:hAnsi="Times New Roman"/>
          <w:color w:val="000000" w:themeColor="text1"/>
          <w:sz w:val="24"/>
          <w:szCs w:val="24"/>
        </w:rPr>
        <w:t>7</w:t>
      </w:r>
      <w:r>
        <w:rPr>
          <w:rFonts w:ascii="Times New Roman" w:hAnsi="Times New Roman"/>
          <w:color w:val="000000" w:themeColor="text1"/>
          <w:sz w:val="24"/>
          <w:szCs w:val="24"/>
        </w:rPr>
        <w:t xml:space="preserve">(2) requires that </w:t>
      </w:r>
      <w:r w:rsidR="00FC3217">
        <w:rPr>
          <w:rFonts w:ascii="Times New Roman" w:hAnsi="Times New Roman"/>
          <w:color w:val="000000" w:themeColor="text1"/>
          <w:sz w:val="24"/>
          <w:szCs w:val="24"/>
        </w:rPr>
        <w:t>t</w:t>
      </w:r>
      <w:r w:rsidR="00FC3217" w:rsidRPr="00284FDA">
        <w:rPr>
          <w:rFonts w:ascii="Times New Roman" w:hAnsi="Times New Roman"/>
          <w:color w:val="000000" w:themeColor="text1"/>
          <w:sz w:val="24"/>
          <w:szCs w:val="24"/>
        </w:rPr>
        <w:t>he model for the baseline forecast period must be re-run for each project report to calculate baseline stocks that reflect changes in data (</w:t>
      </w:r>
      <w:r w:rsidR="00FC3217">
        <w:rPr>
          <w:rFonts w:ascii="Times New Roman" w:hAnsi="Times New Roman"/>
          <w:color w:val="000000" w:themeColor="text1"/>
          <w:sz w:val="24"/>
          <w:szCs w:val="24"/>
        </w:rPr>
        <w:t>such as</w:t>
      </w:r>
      <w:r w:rsidR="00FC3217" w:rsidRPr="00284FDA">
        <w:rPr>
          <w:rFonts w:ascii="Times New Roman" w:hAnsi="Times New Roman"/>
          <w:color w:val="000000" w:themeColor="text1"/>
          <w:sz w:val="24"/>
          <w:szCs w:val="24"/>
        </w:rPr>
        <w:t xml:space="preserve"> observed climate) and modelling techniques.</w:t>
      </w:r>
    </w:p>
    <w:p w:rsidR="00986D81" w:rsidRDefault="00986D81" w:rsidP="00986D81">
      <w:pPr>
        <w:spacing w:after="120" w:line="240" w:lineRule="auto"/>
        <w:rPr>
          <w:rFonts w:ascii="Times New Roman" w:hAnsi="Times New Roman"/>
          <w:color w:val="000000" w:themeColor="text1"/>
          <w:sz w:val="24"/>
          <w:szCs w:val="24"/>
        </w:rPr>
      </w:pPr>
    </w:p>
    <w:p w:rsidR="00173DCB" w:rsidRDefault="00173DCB" w:rsidP="00986D81">
      <w:pPr>
        <w:spacing w:after="120" w:line="240" w:lineRule="auto"/>
        <w:rPr>
          <w:rFonts w:ascii="Times New Roman" w:hAnsi="Times New Roman"/>
          <w:b/>
          <w:color w:val="000000" w:themeColor="text1"/>
          <w:sz w:val="24"/>
          <w:szCs w:val="24"/>
        </w:rPr>
      </w:pPr>
      <w:r w:rsidRPr="009A1989">
        <w:rPr>
          <w:rFonts w:ascii="Times New Roman" w:hAnsi="Times New Roman"/>
          <w:b/>
          <w:color w:val="000000" w:themeColor="text1"/>
          <w:sz w:val="24"/>
          <w:szCs w:val="24"/>
        </w:rPr>
        <w:t>Subdivision 4.3.</w:t>
      </w:r>
      <w:r>
        <w:rPr>
          <w:rFonts w:ascii="Times New Roman" w:hAnsi="Times New Roman"/>
          <w:b/>
          <w:color w:val="000000" w:themeColor="text1"/>
          <w:sz w:val="24"/>
          <w:szCs w:val="24"/>
        </w:rPr>
        <w:t>5</w:t>
      </w:r>
      <w:r w:rsidRPr="009A1989">
        <w:rPr>
          <w:rFonts w:ascii="Times New Roman" w:hAnsi="Times New Roman"/>
          <w:b/>
          <w:color w:val="000000" w:themeColor="text1"/>
          <w:sz w:val="24"/>
          <w:szCs w:val="24"/>
        </w:rPr>
        <w:t xml:space="preserve"> </w:t>
      </w:r>
      <w:r w:rsidRPr="009A1989">
        <w:rPr>
          <w:rFonts w:ascii="Times New Roman" w:hAnsi="Times New Roman"/>
          <w:b/>
          <w:color w:val="000000" w:themeColor="text1"/>
          <w:sz w:val="24"/>
          <w:szCs w:val="24"/>
        </w:rPr>
        <w:tab/>
      </w:r>
      <w:r>
        <w:rPr>
          <w:rFonts w:ascii="Times New Roman" w:hAnsi="Times New Roman"/>
          <w:b/>
          <w:color w:val="000000" w:themeColor="text1"/>
          <w:sz w:val="24"/>
          <w:szCs w:val="24"/>
        </w:rPr>
        <w:t>FullCAM modelling—project model</w:t>
      </w:r>
    </w:p>
    <w:p w:rsidR="004E70ED" w:rsidRDefault="005E319E" w:rsidP="00986D81">
      <w:pPr>
        <w:spacing w:after="120" w:line="240" w:lineRule="auto"/>
        <w:rPr>
          <w:rFonts w:ascii="Times New Roman" w:hAnsi="Times New Roman"/>
          <w:color w:val="000000" w:themeColor="text1"/>
          <w:sz w:val="24"/>
          <w:szCs w:val="24"/>
        </w:rPr>
      </w:pPr>
      <w:r w:rsidRPr="005E319E">
        <w:rPr>
          <w:rFonts w:ascii="Times New Roman" w:hAnsi="Times New Roman"/>
          <w:color w:val="000000" w:themeColor="text1"/>
          <w:sz w:val="24"/>
          <w:szCs w:val="24"/>
        </w:rPr>
        <w:t xml:space="preserve">The most </w:t>
      </w:r>
      <w:r w:rsidR="00D7475A">
        <w:rPr>
          <w:rFonts w:ascii="Times New Roman" w:hAnsi="Times New Roman"/>
          <w:color w:val="000000" w:themeColor="text1"/>
          <w:sz w:val="24"/>
          <w:szCs w:val="24"/>
        </w:rPr>
        <w:t>recent</w:t>
      </w:r>
      <w:r w:rsidRPr="005E319E">
        <w:rPr>
          <w:rFonts w:ascii="Times New Roman" w:hAnsi="Times New Roman"/>
          <w:color w:val="000000" w:themeColor="text1"/>
          <w:sz w:val="24"/>
          <w:szCs w:val="24"/>
        </w:rPr>
        <w:t xml:space="preserve"> public release version of FullCAM must be used to develop a project model for each carbon estimation area in the project area. </w:t>
      </w:r>
      <w:r w:rsidR="004E70ED">
        <w:rPr>
          <w:rFonts w:ascii="Times New Roman" w:hAnsi="Times New Roman"/>
          <w:color w:val="000000" w:themeColor="text1"/>
          <w:sz w:val="24"/>
          <w:szCs w:val="24"/>
        </w:rPr>
        <w:t>T</w:t>
      </w:r>
      <w:r w:rsidRPr="005E319E">
        <w:rPr>
          <w:rFonts w:ascii="Times New Roman" w:hAnsi="Times New Roman"/>
          <w:color w:val="000000" w:themeColor="text1"/>
          <w:sz w:val="24"/>
          <w:szCs w:val="24"/>
        </w:rPr>
        <w:t xml:space="preserve">he instructions for setting up simulations in the FullCAM Guidelines for the Determination must </w:t>
      </w:r>
      <w:r w:rsidR="004E70ED">
        <w:rPr>
          <w:rFonts w:ascii="Times New Roman" w:hAnsi="Times New Roman"/>
          <w:color w:val="000000" w:themeColor="text1"/>
          <w:sz w:val="24"/>
          <w:szCs w:val="24"/>
        </w:rPr>
        <w:t xml:space="preserve">also </w:t>
      </w:r>
      <w:r w:rsidRPr="005E319E">
        <w:rPr>
          <w:rFonts w:ascii="Times New Roman" w:hAnsi="Times New Roman"/>
          <w:color w:val="000000" w:themeColor="text1"/>
          <w:sz w:val="24"/>
          <w:szCs w:val="24"/>
        </w:rPr>
        <w:t xml:space="preserve">be </w:t>
      </w:r>
      <w:r w:rsidR="000420F2">
        <w:rPr>
          <w:rFonts w:ascii="Times New Roman" w:hAnsi="Times New Roman"/>
          <w:color w:val="000000" w:themeColor="text1"/>
          <w:sz w:val="24"/>
          <w:szCs w:val="24"/>
        </w:rPr>
        <w:t>followed</w:t>
      </w:r>
      <w:r w:rsidRPr="005E319E">
        <w:rPr>
          <w:rFonts w:ascii="Times New Roman" w:hAnsi="Times New Roman"/>
          <w:color w:val="000000" w:themeColor="text1"/>
          <w:sz w:val="24"/>
          <w:szCs w:val="24"/>
        </w:rPr>
        <w:t xml:space="preserve">. </w:t>
      </w:r>
    </w:p>
    <w:p w:rsidR="00173DCB" w:rsidRPr="00386C72" w:rsidRDefault="00173DCB" w:rsidP="00986D81">
      <w:pPr>
        <w:keepNext/>
        <w:spacing w:after="120" w:line="240" w:lineRule="auto"/>
        <w:rPr>
          <w:rFonts w:ascii="Times New Roman" w:hAnsi="Times New Roman"/>
          <w:color w:val="000000" w:themeColor="text1"/>
          <w:sz w:val="24"/>
          <w:szCs w:val="24"/>
          <w:u w:val="single"/>
        </w:rPr>
      </w:pPr>
      <w:r w:rsidRPr="00386C72">
        <w:rPr>
          <w:rFonts w:ascii="Times New Roman" w:hAnsi="Times New Roman"/>
          <w:color w:val="000000" w:themeColor="text1"/>
          <w:sz w:val="24"/>
          <w:szCs w:val="24"/>
          <w:u w:val="single"/>
        </w:rPr>
        <w:t>4.</w:t>
      </w:r>
      <w:r>
        <w:rPr>
          <w:rFonts w:ascii="Times New Roman" w:hAnsi="Times New Roman"/>
          <w:color w:val="000000" w:themeColor="text1"/>
          <w:sz w:val="24"/>
          <w:szCs w:val="24"/>
          <w:u w:val="single"/>
        </w:rPr>
        <w:t>1</w:t>
      </w:r>
      <w:r w:rsidR="00472C95">
        <w:rPr>
          <w:rFonts w:ascii="Times New Roman" w:hAnsi="Times New Roman"/>
          <w:color w:val="000000" w:themeColor="text1"/>
          <w:sz w:val="24"/>
          <w:szCs w:val="24"/>
          <w:u w:val="single"/>
        </w:rPr>
        <w:t>8</w:t>
      </w:r>
      <w:r w:rsidRPr="00386C72">
        <w:rPr>
          <w:rFonts w:ascii="Times New Roman" w:hAnsi="Times New Roman"/>
          <w:color w:val="000000" w:themeColor="text1"/>
          <w:sz w:val="24"/>
          <w:szCs w:val="24"/>
          <w:u w:val="single"/>
        </w:rPr>
        <w:tab/>
      </w:r>
      <w:proofErr w:type="spellStart"/>
      <w:r>
        <w:rPr>
          <w:rFonts w:ascii="Times New Roman" w:hAnsi="Times New Roman"/>
          <w:color w:val="000000" w:themeColor="text1"/>
          <w:sz w:val="24"/>
          <w:szCs w:val="24"/>
          <w:u w:val="single"/>
        </w:rPr>
        <w:t>FullCAM</w:t>
      </w:r>
      <w:proofErr w:type="spellEnd"/>
      <w:r>
        <w:rPr>
          <w:rFonts w:ascii="Times New Roman" w:hAnsi="Times New Roman"/>
          <w:color w:val="000000" w:themeColor="text1"/>
          <w:sz w:val="24"/>
          <w:szCs w:val="24"/>
          <w:u w:val="single"/>
        </w:rPr>
        <w:t xml:space="preserve"> modelling—project</w:t>
      </w:r>
      <w:r w:rsidRPr="00386C72">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model</w:t>
      </w:r>
    </w:p>
    <w:p w:rsidR="00FC3217" w:rsidRDefault="00173DCB" w:rsidP="00986D81">
      <w:pPr>
        <w:spacing w:after="120" w:line="240" w:lineRule="auto"/>
        <w:ind w:right="238"/>
        <w:rPr>
          <w:rFonts w:ascii="Times New Roman" w:hAnsi="Times New Roman"/>
          <w:color w:val="000000" w:themeColor="text1"/>
          <w:sz w:val="24"/>
          <w:szCs w:val="24"/>
        </w:rPr>
      </w:pPr>
      <w:r>
        <w:rPr>
          <w:rFonts w:ascii="Times New Roman" w:hAnsi="Times New Roman"/>
          <w:color w:val="000000" w:themeColor="text1"/>
          <w:sz w:val="24"/>
          <w:szCs w:val="24"/>
        </w:rPr>
        <w:t>Section 4.1</w:t>
      </w:r>
      <w:r w:rsidR="00472C95">
        <w:rPr>
          <w:rFonts w:ascii="Times New Roman" w:hAnsi="Times New Roman"/>
          <w:color w:val="000000" w:themeColor="text1"/>
          <w:sz w:val="24"/>
          <w:szCs w:val="24"/>
        </w:rPr>
        <w:t>8</w:t>
      </w:r>
      <w:r>
        <w:rPr>
          <w:rFonts w:ascii="Times New Roman" w:hAnsi="Times New Roman"/>
          <w:color w:val="000000" w:themeColor="text1"/>
          <w:sz w:val="24"/>
          <w:szCs w:val="24"/>
        </w:rPr>
        <w:t xml:space="preserve"> sets out general requirements for modelling a project model using FullCAM.  </w:t>
      </w:r>
    </w:p>
    <w:p w:rsidR="005E319E" w:rsidRPr="00386C72" w:rsidRDefault="005E319E" w:rsidP="00986D81">
      <w:pPr>
        <w:keepNext/>
        <w:spacing w:after="120" w:line="240" w:lineRule="auto"/>
        <w:rPr>
          <w:rFonts w:ascii="Times New Roman" w:hAnsi="Times New Roman"/>
          <w:color w:val="000000" w:themeColor="text1"/>
          <w:sz w:val="24"/>
          <w:szCs w:val="24"/>
          <w:u w:val="single"/>
        </w:rPr>
      </w:pPr>
      <w:r w:rsidRPr="00386C72">
        <w:rPr>
          <w:rFonts w:ascii="Times New Roman" w:hAnsi="Times New Roman"/>
          <w:color w:val="000000" w:themeColor="text1"/>
          <w:sz w:val="24"/>
          <w:szCs w:val="24"/>
          <w:u w:val="single"/>
        </w:rPr>
        <w:t>4.</w:t>
      </w:r>
      <w:r>
        <w:rPr>
          <w:rFonts w:ascii="Times New Roman" w:hAnsi="Times New Roman"/>
          <w:color w:val="000000" w:themeColor="text1"/>
          <w:sz w:val="24"/>
          <w:szCs w:val="24"/>
          <w:u w:val="single"/>
        </w:rPr>
        <w:t>1</w:t>
      </w:r>
      <w:r w:rsidR="008E522C">
        <w:rPr>
          <w:rFonts w:ascii="Times New Roman" w:hAnsi="Times New Roman"/>
          <w:color w:val="000000" w:themeColor="text1"/>
          <w:sz w:val="24"/>
          <w:szCs w:val="24"/>
          <w:u w:val="single"/>
        </w:rPr>
        <w:t>9</w:t>
      </w:r>
      <w:r w:rsidRPr="00386C72">
        <w:rPr>
          <w:rFonts w:ascii="Times New Roman" w:hAnsi="Times New Roman"/>
          <w:color w:val="000000" w:themeColor="text1"/>
          <w:sz w:val="24"/>
          <w:szCs w:val="24"/>
          <w:u w:val="single"/>
        </w:rPr>
        <w:tab/>
      </w:r>
      <w:proofErr w:type="spellStart"/>
      <w:r>
        <w:rPr>
          <w:rFonts w:ascii="Times New Roman" w:hAnsi="Times New Roman"/>
          <w:color w:val="000000" w:themeColor="text1"/>
          <w:sz w:val="24"/>
          <w:szCs w:val="24"/>
          <w:u w:val="single"/>
        </w:rPr>
        <w:t>FullCAM</w:t>
      </w:r>
      <w:proofErr w:type="spellEnd"/>
      <w:r>
        <w:rPr>
          <w:rFonts w:ascii="Times New Roman" w:hAnsi="Times New Roman"/>
          <w:color w:val="000000" w:themeColor="text1"/>
          <w:sz w:val="24"/>
          <w:szCs w:val="24"/>
          <w:u w:val="single"/>
        </w:rPr>
        <w:t xml:space="preserve"> modelling—project period</w:t>
      </w:r>
    </w:p>
    <w:p w:rsidR="005E319E" w:rsidRDefault="005E319E" w:rsidP="00986D81">
      <w:pPr>
        <w:pStyle w:val="ListParagraph"/>
        <w:spacing w:after="120" w:line="240" w:lineRule="auto"/>
        <w:ind w:left="0" w:right="237"/>
        <w:rPr>
          <w:rFonts w:ascii="Times New Roman" w:hAnsi="Times New Roman"/>
          <w:color w:val="000000" w:themeColor="text1"/>
          <w:sz w:val="24"/>
          <w:szCs w:val="24"/>
        </w:rPr>
      </w:pPr>
      <w:r>
        <w:rPr>
          <w:rFonts w:ascii="Times New Roman" w:hAnsi="Times New Roman"/>
          <w:color w:val="000000" w:themeColor="text1"/>
          <w:sz w:val="24"/>
          <w:szCs w:val="24"/>
        </w:rPr>
        <w:t>Section 4.1</w:t>
      </w:r>
      <w:r w:rsidR="008E522C">
        <w:rPr>
          <w:rFonts w:ascii="Times New Roman" w:hAnsi="Times New Roman"/>
          <w:color w:val="000000" w:themeColor="text1"/>
          <w:sz w:val="24"/>
          <w:szCs w:val="24"/>
        </w:rPr>
        <w:t>9</w:t>
      </w:r>
      <w:r>
        <w:rPr>
          <w:rFonts w:ascii="Times New Roman" w:hAnsi="Times New Roman"/>
          <w:color w:val="000000" w:themeColor="text1"/>
          <w:sz w:val="24"/>
          <w:szCs w:val="24"/>
        </w:rPr>
        <w:t xml:space="preserve"> sets out the general rules for modelling the project period in FullCAM.</w:t>
      </w:r>
    </w:p>
    <w:p w:rsidR="00917F91" w:rsidRPr="00FC3217" w:rsidRDefault="00917F91" w:rsidP="00986D81">
      <w:pPr>
        <w:spacing w:after="120" w:line="240" w:lineRule="auto"/>
        <w:rPr>
          <w:rFonts w:ascii="Times New Roman" w:hAnsi="Times New Roman"/>
          <w:color w:val="000000" w:themeColor="text1"/>
          <w:sz w:val="24"/>
          <w:szCs w:val="24"/>
          <w:u w:val="single"/>
        </w:rPr>
      </w:pPr>
      <w:r w:rsidRPr="00FC3217">
        <w:rPr>
          <w:rFonts w:ascii="Times New Roman" w:hAnsi="Times New Roman"/>
          <w:color w:val="000000" w:themeColor="text1"/>
          <w:sz w:val="24"/>
          <w:szCs w:val="24"/>
          <w:u w:val="single"/>
        </w:rPr>
        <w:t>4.</w:t>
      </w:r>
      <w:r w:rsidR="008E522C">
        <w:rPr>
          <w:rFonts w:ascii="Times New Roman" w:hAnsi="Times New Roman"/>
          <w:color w:val="000000" w:themeColor="text1"/>
          <w:sz w:val="24"/>
          <w:szCs w:val="24"/>
          <w:u w:val="single"/>
        </w:rPr>
        <w:t>20</w:t>
      </w:r>
      <w:r w:rsidRPr="00FC3217">
        <w:rPr>
          <w:rFonts w:ascii="Times New Roman" w:hAnsi="Times New Roman"/>
          <w:color w:val="000000" w:themeColor="text1"/>
          <w:sz w:val="24"/>
          <w:szCs w:val="24"/>
          <w:u w:val="single"/>
        </w:rPr>
        <w:tab/>
        <w:t xml:space="preserve">FullCAM modelling—estimating carbon stocks in </w:t>
      </w:r>
      <w:r>
        <w:rPr>
          <w:rFonts w:ascii="Times New Roman" w:hAnsi="Times New Roman"/>
          <w:color w:val="000000" w:themeColor="text1"/>
          <w:sz w:val="24"/>
          <w:szCs w:val="24"/>
          <w:u w:val="single"/>
        </w:rPr>
        <w:t xml:space="preserve">project </w:t>
      </w:r>
      <w:r w:rsidRPr="00FC3217">
        <w:rPr>
          <w:rFonts w:ascii="Times New Roman" w:hAnsi="Times New Roman"/>
          <w:color w:val="000000" w:themeColor="text1"/>
          <w:sz w:val="24"/>
          <w:szCs w:val="24"/>
          <w:u w:val="single"/>
        </w:rPr>
        <w:t>period</w:t>
      </w:r>
    </w:p>
    <w:p w:rsidR="00917F91" w:rsidRDefault="00917F91" w:rsidP="00986D81">
      <w:pPr>
        <w:pStyle w:val="ListParagraph"/>
        <w:spacing w:after="120" w:line="240" w:lineRule="auto"/>
        <w:ind w:left="0" w:right="237"/>
        <w:rPr>
          <w:rFonts w:ascii="Times New Roman" w:hAnsi="Times New Roman"/>
          <w:color w:val="000000" w:themeColor="text1"/>
          <w:sz w:val="24"/>
          <w:szCs w:val="24"/>
        </w:rPr>
      </w:pPr>
      <w:r>
        <w:rPr>
          <w:rFonts w:ascii="Times New Roman" w:hAnsi="Times New Roman"/>
          <w:color w:val="000000" w:themeColor="text1"/>
          <w:sz w:val="24"/>
          <w:szCs w:val="24"/>
        </w:rPr>
        <w:lastRenderedPageBreak/>
        <w:t>Subsection 4.</w:t>
      </w:r>
      <w:r w:rsidR="008E522C">
        <w:rPr>
          <w:rFonts w:ascii="Times New Roman" w:hAnsi="Times New Roman"/>
          <w:color w:val="000000" w:themeColor="text1"/>
          <w:sz w:val="24"/>
          <w:szCs w:val="24"/>
        </w:rPr>
        <w:t>20</w:t>
      </w:r>
      <w:r>
        <w:rPr>
          <w:rFonts w:ascii="Times New Roman" w:hAnsi="Times New Roman"/>
          <w:color w:val="000000" w:themeColor="text1"/>
          <w:sz w:val="24"/>
          <w:szCs w:val="24"/>
        </w:rPr>
        <w:t xml:space="preserve">(1) provides that </w:t>
      </w:r>
      <w:r w:rsidRPr="00284FDA">
        <w:rPr>
          <w:rFonts w:ascii="Times New Roman" w:hAnsi="Times New Roman"/>
          <w:color w:val="000000" w:themeColor="text1"/>
          <w:sz w:val="24"/>
          <w:szCs w:val="24"/>
        </w:rPr>
        <w:t xml:space="preserve">FullCAM </w:t>
      </w:r>
      <w:r>
        <w:rPr>
          <w:rFonts w:ascii="Times New Roman" w:hAnsi="Times New Roman"/>
          <w:color w:val="000000" w:themeColor="text1"/>
          <w:sz w:val="24"/>
          <w:szCs w:val="24"/>
        </w:rPr>
        <w:t>must</w:t>
      </w:r>
      <w:r w:rsidRPr="00284FDA">
        <w:rPr>
          <w:rFonts w:ascii="Times New Roman" w:hAnsi="Times New Roman"/>
          <w:color w:val="000000" w:themeColor="text1"/>
          <w:sz w:val="24"/>
          <w:szCs w:val="24"/>
        </w:rPr>
        <w:t xml:space="preserve"> be run to provide monthly estimates of carbon stocks (carbon in trees and debris) for the </w:t>
      </w:r>
      <w:r>
        <w:rPr>
          <w:rFonts w:ascii="Times New Roman" w:hAnsi="Times New Roman"/>
          <w:color w:val="000000" w:themeColor="text1"/>
          <w:sz w:val="24"/>
          <w:szCs w:val="24"/>
        </w:rPr>
        <w:t>project</w:t>
      </w:r>
      <w:r w:rsidRPr="00284FDA">
        <w:rPr>
          <w:rFonts w:ascii="Times New Roman" w:hAnsi="Times New Roman"/>
          <w:color w:val="000000" w:themeColor="text1"/>
          <w:sz w:val="24"/>
          <w:szCs w:val="24"/>
        </w:rPr>
        <w:t xml:space="preserve"> period of 100 y</w:t>
      </w:r>
      <w:r>
        <w:rPr>
          <w:rFonts w:ascii="Times New Roman" w:hAnsi="Times New Roman"/>
          <w:color w:val="000000" w:themeColor="text1"/>
          <w:sz w:val="24"/>
          <w:szCs w:val="24"/>
        </w:rPr>
        <w:t xml:space="preserve">ears after </w:t>
      </w:r>
      <w:r w:rsidR="008E522C">
        <w:rPr>
          <w:rFonts w:ascii="Times New Roman" w:hAnsi="Times New Roman"/>
          <w:color w:val="000000" w:themeColor="text1"/>
          <w:sz w:val="24"/>
          <w:szCs w:val="24"/>
        </w:rPr>
        <w:t>the date the project mechanism is implemented in the carbon estimation area</w:t>
      </w:r>
      <w:r w:rsidRPr="00284FDA">
        <w:rPr>
          <w:rFonts w:ascii="Times New Roman" w:hAnsi="Times New Roman"/>
          <w:color w:val="000000" w:themeColor="text1"/>
          <w:sz w:val="24"/>
          <w:szCs w:val="24"/>
        </w:rPr>
        <w:t xml:space="preserve">. </w:t>
      </w:r>
    </w:p>
    <w:p w:rsidR="00917F91" w:rsidRDefault="00917F91"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Subsection 4.</w:t>
      </w:r>
      <w:r w:rsidR="008E522C">
        <w:rPr>
          <w:rFonts w:ascii="Times New Roman" w:hAnsi="Times New Roman"/>
          <w:color w:val="000000" w:themeColor="text1"/>
          <w:sz w:val="24"/>
          <w:szCs w:val="24"/>
        </w:rPr>
        <w:t>20</w:t>
      </w:r>
      <w:r>
        <w:rPr>
          <w:rFonts w:ascii="Times New Roman" w:hAnsi="Times New Roman"/>
          <w:color w:val="000000" w:themeColor="text1"/>
          <w:sz w:val="24"/>
          <w:szCs w:val="24"/>
        </w:rPr>
        <w:t>(2) requires that t</w:t>
      </w:r>
      <w:r w:rsidRPr="00284FDA">
        <w:rPr>
          <w:rFonts w:ascii="Times New Roman" w:hAnsi="Times New Roman"/>
          <w:color w:val="000000" w:themeColor="text1"/>
          <w:sz w:val="24"/>
          <w:szCs w:val="24"/>
        </w:rPr>
        <w:t xml:space="preserve">he estimates of carbon stocks for the </w:t>
      </w:r>
      <w:r>
        <w:rPr>
          <w:rFonts w:ascii="Times New Roman" w:hAnsi="Times New Roman"/>
          <w:color w:val="000000" w:themeColor="text1"/>
          <w:sz w:val="24"/>
          <w:szCs w:val="24"/>
        </w:rPr>
        <w:t>project</w:t>
      </w:r>
      <w:r w:rsidRPr="00284FDA">
        <w:rPr>
          <w:rFonts w:ascii="Times New Roman" w:hAnsi="Times New Roman"/>
          <w:color w:val="000000" w:themeColor="text1"/>
          <w:sz w:val="24"/>
          <w:szCs w:val="24"/>
        </w:rPr>
        <w:t xml:space="preserve"> period must be re-run for each </w:t>
      </w:r>
      <w:r w:rsidR="000420F2">
        <w:rPr>
          <w:rFonts w:ascii="Times New Roman" w:hAnsi="Times New Roman"/>
          <w:color w:val="000000" w:themeColor="text1"/>
          <w:sz w:val="24"/>
          <w:szCs w:val="24"/>
        </w:rPr>
        <w:t>offsets</w:t>
      </w:r>
      <w:r w:rsidRPr="00284FDA">
        <w:rPr>
          <w:rFonts w:ascii="Times New Roman" w:hAnsi="Times New Roman"/>
          <w:color w:val="000000" w:themeColor="text1"/>
          <w:sz w:val="24"/>
          <w:szCs w:val="24"/>
        </w:rPr>
        <w:t xml:space="preserve"> report.</w:t>
      </w:r>
    </w:p>
    <w:p w:rsidR="00173DCB" w:rsidRDefault="00173DCB" w:rsidP="00986D81">
      <w:pPr>
        <w:spacing w:after="120" w:line="240" w:lineRule="auto"/>
        <w:ind w:right="238"/>
        <w:contextualSpacing/>
        <w:rPr>
          <w:rFonts w:ascii="Times New Roman" w:hAnsi="Times New Roman"/>
          <w:color w:val="000000" w:themeColor="text1"/>
          <w:sz w:val="24"/>
          <w:szCs w:val="24"/>
        </w:rPr>
      </w:pPr>
    </w:p>
    <w:p w:rsidR="00173DCB" w:rsidRPr="002B677F" w:rsidRDefault="002B677F" w:rsidP="00986D81">
      <w:pPr>
        <w:spacing w:after="120" w:line="240" w:lineRule="auto"/>
        <w:rPr>
          <w:rFonts w:ascii="Times New Roman" w:hAnsi="Times New Roman"/>
          <w:b/>
          <w:color w:val="000000" w:themeColor="text1"/>
          <w:sz w:val="24"/>
          <w:szCs w:val="24"/>
        </w:rPr>
      </w:pPr>
      <w:r w:rsidRPr="001B2B87">
        <w:rPr>
          <w:rFonts w:ascii="Times New Roman" w:hAnsi="Times New Roman"/>
          <w:b/>
          <w:color w:val="000000" w:themeColor="text1"/>
          <w:sz w:val="24"/>
          <w:szCs w:val="24"/>
        </w:rPr>
        <w:t>Division 4.4</w:t>
      </w:r>
      <w:r w:rsidRPr="001B2B87">
        <w:rPr>
          <w:rFonts w:ascii="Times New Roman" w:hAnsi="Times New Roman"/>
          <w:b/>
          <w:color w:val="000000" w:themeColor="text1"/>
          <w:sz w:val="24"/>
          <w:szCs w:val="24"/>
        </w:rPr>
        <w:tab/>
        <w:t>Calculation of carbon stock change</w:t>
      </w:r>
    </w:p>
    <w:p w:rsidR="001B2B87" w:rsidRPr="00146DCD" w:rsidRDefault="00146DCD" w:rsidP="00986D81">
      <w:pPr>
        <w:spacing w:after="120" w:line="240" w:lineRule="auto"/>
        <w:rPr>
          <w:rFonts w:ascii="Times New Roman" w:hAnsi="Times New Roman"/>
          <w:color w:val="000000" w:themeColor="text1"/>
          <w:sz w:val="24"/>
          <w:szCs w:val="24"/>
          <w:u w:val="single"/>
        </w:rPr>
      </w:pPr>
      <w:r w:rsidRPr="00146DCD">
        <w:rPr>
          <w:rFonts w:ascii="Times New Roman" w:hAnsi="Times New Roman"/>
          <w:color w:val="000000" w:themeColor="text1"/>
          <w:sz w:val="24"/>
          <w:szCs w:val="24"/>
          <w:u w:val="single"/>
        </w:rPr>
        <w:t>4.</w:t>
      </w:r>
      <w:r w:rsidR="002D175E">
        <w:rPr>
          <w:rFonts w:ascii="Times New Roman" w:hAnsi="Times New Roman"/>
          <w:color w:val="000000" w:themeColor="text1"/>
          <w:sz w:val="24"/>
          <w:szCs w:val="24"/>
          <w:u w:val="single"/>
        </w:rPr>
        <w:t>21</w:t>
      </w:r>
      <w:r w:rsidRPr="00146DCD">
        <w:rPr>
          <w:rFonts w:ascii="Times New Roman" w:hAnsi="Times New Roman"/>
          <w:color w:val="000000" w:themeColor="text1"/>
          <w:sz w:val="24"/>
          <w:szCs w:val="24"/>
          <w:u w:val="single"/>
        </w:rPr>
        <w:tab/>
        <w:t xml:space="preserve">Calculating </w:t>
      </w:r>
      <w:r w:rsidR="00F16085">
        <w:rPr>
          <w:rFonts w:ascii="Times New Roman" w:hAnsi="Times New Roman"/>
          <w:color w:val="000000" w:themeColor="text1"/>
          <w:sz w:val="24"/>
          <w:szCs w:val="24"/>
          <w:u w:val="single"/>
        </w:rPr>
        <w:t xml:space="preserve">long-term </w:t>
      </w:r>
      <w:r w:rsidRPr="00146DCD">
        <w:rPr>
          <w:rFonts w:ascii="Times New Roman" w:hAnsi="Times New Roman"/>
          <w:color w:val="000000" w:themeColor="text1"/>
          <w:sz w:val="24"/>
          <w:szCs w:val="24"/>
          <w:u w:val="single"/>
        </w:rPr>
        <w:t>average baseline carbon stock for project area</w:t>
      </w:r>
    </w:p>
    <w:p w:rsidR="001B2B87" w:rsidRPr="00146DCD" w:rsidRDefault="00146DCD" w:rsidP="00986D81">
      <w:pPr>
        <w:spacing w:after="120" w:line="240" w:lineRule="auto"/>
        <w:rPr>
          <w:rFonts w:ascii="Times New Roman" w:eastAsia="Times New Roman" w:hAnsi="Times New Roman"/>
          <w:sz w:val="24"/>
          <w:szCs w:val="24"/>
          <w:lang w:eastAsia="en-AU"/>
        </w:rPr>
      </w:pPr>
      <w:r w:rsidRPr="00146DCD">
        <w:rPr>
          <w:rFonts w:ascii="Times New Roman" w:eastAsia="Times New Roman" w:hAnsi="Times New Roman"/>
          <w:sz w:val="24"/>
          <w:szCs w:val="24"/>
          <w:lang w:eastAsia="en-AU"/>
        </w:rPr>
        <w:t xml:space="preserve">The </w:t>
      </w:r>
      <w:r w:rsidR="00F16085">
        <w:rPr>
          <w:rFonts w:ascii="Times New Roman" w:eastAsia="Times New Roman" w:hAnsi="Times New Roman"/>
          <w:sz w:val="24"/>
          <w:szCs w:val="24"/>
          <w:lang w:eastAsia="en-AU"/>
        </w:rPr>
        <w:t xml:space="preserve">long-term </w:t>
      </w:r>
      <w:r w:rsidRPr="00146DCD">
        <w:rPr>
          <w:rFonts w:ascii="Times New Roman" w:eastAsia="Times New Roman" w:hAnsi="Times New Roman"/>
          <w:sz w:val="24"/>
          <w:szCs w:val="24"/>
          <w:lang w:eastAsia="en-AU"/>
        </w:rPr>
        <w:t>average baseline carbon stock for a project area is the sum of the average baseline carbon stock of all carbon estimation areas in the project area, and must be calculated using</w:t>
      </w:r>
      <w:r>
        <w:rPr>
          <w:rFonts w:ascii="Times New Roman" w:eastAsia="Times New Roman" w:hAnsi="Times New Roman"/>
          <w:sz w:val="24"/>
          <w:szCs w:val="24"/>
          <w:lang w:eastAsia="en-AU"/>
        </w:rPr>
        <w:t xml:space="preserve"> Equation </w:t>
      </w:r>
      <w:r w:rsidR="00472C95">
        <w:rPr>
          <w:rFonts w:ascii="Times New Roman" w:eastAsia="Times New Roman" w:hAnsi="Times New Roman"/>
          <w:sz w:val="24"/>
          <w:szCs w:val="24"/>
          <w:lang w:eastAsia="en-AU"/>
        </w:rPr>
        <w:t>1</w:t>
      </w:r>
      <w:r w:rsidRPr="00146DCD">
        <w:rPr>
          <w:rFonts w:ascii="Times New Roman" w:eastAsia="Times New Roman" w:hAnsi="Times New Roman"/>
          <w:sz w:val="24"/>
          <w:szCs w:val="24"/>
          <w:lang w:eastAsia="en-AU"/>
        </w:rPr>
        <w:t>.</w:t>
      </w:r>
    </w:p>
    <w:p w:rsidR="001B2B87" w:rsidRDefault="00B471EA" w:rsidP="00986D81">
      <w:pPr>
        <w:spacing w:after="120" w:line="240" w:lineRule="auto"/>
        <w:rPr>
          <w:rFonts w:ascii="Times New Roman" w:eastAsia="Times New Roman" w:hAnsi="Times New Roman"/>
          <w:sz w:val="24"/>
          <w:szCs w:val="24"/>
          <w:lang w:eastAsia="en-AU"/>
        </w:rPr>
      </w:pPr>
      <w:r w:rsidRPr="00B471EA">
        <w:rPr>
          <w:rFonts w:ascii="Times New Roman" w:eastAsia="Times New Roman" w:hAnsi="Times New Roman"/>
          <w:sz w:val="24"/>
          <w:szCs w:val="24"/>
          <w:lang w:eastAsia="en-AU"/>
        </w:rPr>
        <w:t>Unless applying a zero baseline to all carbon estimation areas the calculation of the</w:t>
      </w:r>
      <w:r w:rsidR="00F16085">
        <w:rPr>
          <w:rFonts w:ascii="Times New Roman" w:eastAsia="Times New Roman" w:hAnsi="Times New Roman"/>
          <w:sz w:val="24"/>
          <w:szCs w:val="24"/>
          <w:lang w:eastAsia="en-AU"/>
        </w:rPr>
        <w:t xml:space="preserve"> long-term</w:t>
      </w:r>
      <w:r w:rsidRPr="00B471EA">
        <w:rPr>
          <w:rFonts w:ascii="Times New Roman" w:eastAsia="Times New Roman" w:hAnsi="Times New Roman"/>
          <w:sz w:val="24"/>
          <w:szCs w:val="24"/>
          <w:lang w:eastAsia="en-AU"/>
        </w:rPr>
        <w:t xml:space="preserve"> average baseline carbon stock for a project must be done each time a report is submitted to the Regulator to ensure the modelling for project and baseline scenarios is based on consistent, actual data.</w:t>
      </w:r>
    </w:p>
    <w:p w:rsidR="00B471EA" w:rsidRPr="00146DCD" w:rsidRDefault="00B471EA" w:rsidP="00986D81">
      <w:pPr>
        <w:spacing w:after="120" w:line="240" w:lineRule="auto"/>
        <w:rPr>
          <w:rFonts w:ascii="Times New Roman" w:hAnsi="Times New Roman"/>
          <w:color w:val="000000" w:themeColor="text1"/>
          <w:sz w:val="24"/>
          <w:szCs w:val="24"/>
          <w:u w:val="single"/>
        </w:rPr>
      </w:pPr>
      <w:r w:rsidRPr="00146DCD">
        <w:rPr>
          <w:rFonts w:ascii="Times New Roman" w:hAnsi="Times New Roman"/>
          <w:color w:val="000000" w:themeColor="text1"/>
          <w:sz w:val="24"/>
          <w:szCs w:val="24"/>
          <w:u w:val="single"/>
        </w:rPr>
        <w:t>4.</w:t>
      </w:r>
      <w:r>
        <w:rPr>
          <w:rFonts w:ascii="Times New Roman" w:hAnsi="Times New Roman"/>
          <w:color w:val="000000" w:themeColor="text1"/>
          <w:sz w:val="24"/>
          <w:szCs w:val="24"/>
          <w:u w:val="single"/>
        </w:rPr>
        <w:t>2</w:t>
      </w:r>
      <w:r w:rsidR="002D175E">
        <w:rPr>
          <w:rFonts w:ascii="Times New Roman" w:hAnsi="Times New Roman"/>
          <w:color w:val="000000" w:themeColor="text1"/>
          <w:sz w:val="24"/>
          <w:szCs w:val="24"/>
          <w:u w:val="single"/>
        </w:rPr>
        <w:t>2</w:t>
      </w:r>
      <w:r w:rsidRPr="00146DCD">
        <w:rPr>
          <w:rFonts w:ascii="Times New Roman" w:hAnsi="Times New Roman"/>
          <w:color w:val="000000" w:themeColor="text1"/>
          <w:sz w:val="24"/>
          <w:szCs w:val="24"/>
          <w:u w:val="single"/>
        </w:rPr>
        <w:tab/>
        <w:t xml:space="preserve">Calculating </w:t>
      </w:r>
      <w:r w:rsidR="00B8694A">
        <w:rPr>
          <w:rFonts w:ascii="Times New Roman" w:hAnsi="Times New Roman"/>
          <w:color w:val="000000" w:themeColor="text1"/>
          <w:sz w:val="24"/>
          <w:szCs w:val="24"/>
          <w:u w:val="single"/>
        </w:rPr>
        <w:t>project</w:t>
      </w:r>
      <w:r w:rsidRPr="00146DCD">
        <w:rPr>
          <w:rFonts w:ascii="Times New Roman" w:hAnsi="Times New Roman"/>
          <w:color w:val="000000" w:themeColor="text1"/>
          <w:sz w:val="24"/>
          <w:szCs w:val="24"/>
          <w:u w:val="single"/>
        </w:rPr>
        <w:t xml:space="preserve"> </w:t>
      </w:r>
      <w:r w:rsidR="00B8694A">
        <w:rPr>
          <w:rFonts w:ascii="Times New Roman" w:hAnsi="Times New Roman"/>
          <w:color w:val="000000" w:themeColor="text1"/>
          <w:sz w:val="24"/>
          <w:szCs w:val="24"/>
          <w:u w:val="single"/>
        </w:rPr>
        <w:t xml:space="preserve">area </w:t>
      </w:r>
      <w:r w:rsidRPr="00146DCD">
        <w:rPr>
          <w:rFonts w:ascii="Times New Roman" w:hAnsi="Times New Roman"/>
          <w:color w:val="000000" w:themeColor="text1"/>
          <w:sz w:val="24"/>
          <w:szCs w:val="24"/>
          <w:u w:val="single"/>
        </w:rPr>
        <w:t xml:space="preserve">carbon stock </w:t>
      </w:r>
      <w:r w:rsidR="00B8694A">
        <w:rPr>
          <w:rFonts w:ascii="Times New Roman" w:hAnsi="Times New Roman"/>
          <w:color w:val="000000" w:themeColor="text1"/>
          <w:sz w:val="24"/>
          <w:szCs w:val="24"/>
          <w:u w:val="single"/>
        </w:rPr>
        <w:t>at end of reporting period</w:t>
      </w:r>
    </w:p>
    <w:p w:rsidR="00B471EA" w:rsidRDefault="002C6CBA" w:rsidP="00986D81">
      <w:pPr>
        <w:spacing w:after="120" w:line="240" w:lineRule="auto"/>
        <w:rPr>
          <w:rFonts w:ascii="Times New Roman" w:eastAsia="Times New Roman" w:hAnsi="Times New Roman"/>
          <w:sz w:val="24"/>
          <w:szCs w:val="24"/>
          <w:lang w:eastAsia="en-AU"/>
        </w:rPr>
      </w:pPr>
      <w:r w:rsidRPr="002C6CBA">
        <w:rPr>
          <w:rFonts w:ascii="Times New Roman" w:eastAsia="Times New Roman" w:hAnsi="Times New Roman"/>
          <w:sz w:val="24"/>
          <w:szCs w:val="24"/>
          <w:lang w:eastAsia="en-AU"/>
        </w:rPr>
        <w:t xml:space="preserve">The C mass </w:t>
      </w:r>
      <w:r w:rsidR="003D5D70">
        <w:rPr>
          <w:rFonts w:ascii="Times New Roman" w:eastAsia="Times New Roman" w:hAnsi="Times New Roman"/>
          <w:sz w:val="24"/>
          <w:szCs w:val="24"/>
          <w:lang w:eastAsia="en-AU"/>
        </w:rPr>
        <w:t xml:space="preserve">of biomass </w:t>
      </w:r>
      <w:r w:rsidRPr="002C6CBA">
        <w:rPr>
          <w:rFonts w:ascii="Times New Roman" w:eastAsia="Times New Roman" w:hAnsi="Times New Roman"/>
          <w:sz w:val="24"/>
          <w:szCs w:val="24"/>
          <w:lang w:eastAsia="en-AU"/>
        </w:rPr>
        <w:t>on-site for the project area must be calculated at the end of a re</w:t>
      </w:r>
      <w:r w:rsidR="00052FAD">
        <w:rPr>
          <w:rFonts w:ascii="Times New Roman" w:eastAsia="Times New Roman" w:hAnsi="Times New Roman"/>
          <w:sz w:val="24"/>
          <w:szCs w:val="24"/>
          <w:lang w:eastAsia="en-AU"/>
        </w:rPr>
        <w:t>porting period using Equation 2</w:t>
      </w:r>
      <w:r w:rsidRPr="002C6CBA">
        <w:rPr>
          <w:rFonts w:ascii="Times New Roman" w:eastAsia="Times New Roman" w:hAnsi="Times New Roman"/>
          <w:sz w:val="24"/>
          <w:szCs w:val="24"/>
          <w:lang w:eastAsia="en-AU"/>
        </w:rPr>
        <w:t>.</w:t>
      </w:r>
    </w:p>
    <w:p w:rsidR="002C6CBA" w:rsidRPr="00146DCD" w:rsidRDefault="002C6CBA" w:rsidP="00986D81">
      <w:pPr>
        <w:spacing w:after="120" w:line="240" w:lineRule="auto"/>
        <w:rPr>
          <w:rFonts w:ascii="Times New Roman" w:hAnsi="Times New Roman"/>
          <w:color w:val="000000" w:themeColor="text1"/>
          <w:sz w:val="24"/>
          <w:szCs w:val="24"/>
          <w:u w:val="single"/>
        </w:rPr>
      </w:pPr>
      <w:r w:rsidRPr="00146DCD">
        <w:rPr>
          <w:rFonts w:ascii="Times New Roman" w:hAnsi="Times New Roman"/>
          <w:color w:val="000000" w:themeColor="text1"/>
          <w:sz w:val="24"/>
          <w:szCs w:val="24"/>
          <w:u w:val="single"/>
        </w:rPr>
        <w:t>4.</w:t>
      </w:r>
      <w:r>
        <w:rPr>
          <w:rFonts w:ascii="Times New Roman" w:hAnsi="Times New Roman"/>
          <w:color w:val="000000" w:themeColor="text1"/>
          <w:sz w:val="24"/>
          <w:szCs w:val="24"/>
          <w:u w:val="single"/>
        </w:rPr>
        <w:t>2</w:t>
      </w:r>
      <w:r w:rsidR="004E3736">
        <w:rPr>
          <w:rFonts w:ascii="Times New Roman" w:hAnsi="Times New Roman"/>
          <w:color w:val="000000" w:themeColor="text1"/>
          <w:sz w:val="24"/>
          <w:szCs w:val="24"/>
          <w:u w:val="single"/>
        </w:rPr>
        <w:t>3</w:t>
      </w:r>
      <w:r w:rsidRPr="00146DCD">
        <w:rPr>
          <w:rFonts w:ascii="Times New Roman" w:hAnsi="Times New Roman"/>
          <w:color w:val="000000" w:themeColor="text1"/>
          <w:sz w:val="24"/>
          <w:szCs w:val="24"/>
          <w:u w:val="single"/>
        </w:rPr>
        <w:tab/>
        <w:t xml:space="preserve">Calculating carbon stock </w:t>
      </w:r>
      <w:r w:rsidR="0021677C">
        <w:rPr>
          <w:rFonts w:ascii="Times New Roman" w:hAnsi="Times New Roman"/>
          <w:color w:val="000000" w:themeColor="text1"/>
          <w:sz w:val="24"/>
          <w:szCs w:val="24"/>
          <w:u w:val="single"/>
        </w:rPr>
        <w:t>for</w:t>
      </w:r>
      <w:r>
        <w:rPr>
          <w:rFonts w:ascii="Times New Roman" w:hAnsi="Times New Roman"/>
          <w:color w:val="000000" w:themeColor="text1"/>
          <w:sz w:val="24"/>
          <w:szCs w:val="24"/>
          <w:u w:val="single"/>
        </w:rPr>
        <w:t xml:space="preserve"> carbon estimation area</w:t>
      </w:r>
    </w:p>
    <w:p w:rsidR="0021677C" w:rsidRPr="0021677C" w:rsidRDefault="0021677C" w:rsidP="00986D81">
      <w:pPr>
        <w:spacing w:after="120" w:line="240" w:lineRule="auto"/>
        <w:ind w:right="237"/>
        <w:rPr>
          <w:rFonts w:ascii="Times New Roman" w:eastAsia="Times New Roman" w:hAnsi="Times New Roman"/>
          <w:sz w:val="24"/>
          <w:szCs w:val="24"/>
          <w:lang w:eastAsia="en-AU"/>
        </w:rPr>
      </w:pPr>
      <w:r w:rsidRPr="0021677C">
        <w:rPr>
          <w:rFonts w:ascii="Times New Roman" w:eastAsia="Times New Roman" w:hAnsi="Times New Roman"/>
          <w:sz w:val="24"/>
          <w:szCs w:val="24"/>
          <w:lang w:eastAsia="en-AU"/>
        </w:rPr>
        <w:t xml:space="preserve">The C mass </w:t>
      </w:r>
      <w:r w:rsidR="003D5D70">
        <w:rPr>
          <w:rFonts w:ascii="Times New Roman" w:eastAsia="Times New Roman" w:hAnsi="Times New Roman"/>
          <w:sz w:val="24"/>
          <w:szCs w:val="24"/>
          <w:lang w:eastAsia="en-AU"/>
        </w:rPr>
        <w:t xml:space="preserve">of biomass </w:t>
      </w:r>
      <w:r w:rsidRPr="0021677C">
        <w:rPr>
          <w:rFonts w:ascii="Times New Roman" w:eastAsia="Times New Roman" w:hAnsi="Times New Roman"/>
          <w:sz w:val="24"/>
          <w:szCs w:val="24"/>
          <w:lang w:eastAsia="en-AU"/>
        </w:rPr>
        <w:t>on-site for a carbon estimation area is to be calculated as the sum of FullCAM outputs for carbon in tree and debris pools</w:t>
      </w:r>
      <w:r w:rsidR="00052FAD">
        <w:rPr>
          <w:rFonts w:ascii="Times New Roman" w:eastAsia="Times New Roman" w:hAnsi="Times New Roman"/>
          <w:sz w:val="24"/>
          <w:szCs w:val="24"/>
          <w:lang w:eastAsia="en-AU"/>
        </w:rPr>
        <w:t>, in accordance with Equation 3</w:t>
      </w:r>
      <w:r w:rsidRPr="0021677C">
        <w:rPr>
          <w:rFonts w:ascii="Times New Roman" w:eastAsia="Times New Roman" w:hAnsi="Times New Roman"/>
          <w:sz w:val="24"/>
          <w:szCs w:val="24"/>
          <w:lang w:eastAsia="en-AU"/>
        </w:rPr>
        <w:t xml:space="preserve">. </w:t>
      </w:r>
    </w:p>
    <w:p w:rsidR="002C6CBA" w:rsidRDefault="0021677C"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FullCAM output for C mass in debris pools is</w:t>
      </w:r>
      <w:r w:rsidR="00D94B22">
        <w:rPr>
          <w:rFonts w:ascii="Times New Roman" w:eastAsia="Times New Roman" w:hAnsi="Times New Roman"/>
          <w:sz w:val="24"/>
          <w:szCs w:val="24"/>
          <w:lang w:eastAsia="en-AU"/>
        </w:rPr>
        <w:t>: ‘</w:t>
      </w:r>
      <w:r w:rsidRPr="0021677C">
        <w:rPr>
          <w:rFonts w:ascii="Times New Roman" w:eastAsia="Times New Roman" w:hAnsi="Times New Roman"/>
          <w:sz w:val="24"/>
          <w:szCs w:val="24"/>
          <w:lang w:eastAsia="en-AU"/>
        </w:rPr>
        <w:t>Whole / Debris / C mass of debris</w:t>
      </w:r>
      <w:r w:rsidR="00D94B22">
        <w:rPr>
          <w:rFonts w:ascii="Times New Roman" w:eastAsia="Times New Roman" w:hAnsi="Times New Roman"/>
          <w:sz w:val="24"/>
          <w:szCs w:val="24"/>
          <w:lang w:eastAsia="en-AU"/>
        </w:rPr>
        <w:t>’.</w:t>
      </w:r>
    </w:p>
    <w:p w:rsidR="0021677C" w:rsidRPr="00B471EA" w:rsidRDefault="0021677C"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FullCAM output for C mass </w:t>
      </w:r>
      <w:r w:rsidR="002D175E">
        <w:rPr>
          <w:rFonts w:ascii="Times New Roman" w:eastAsia="Times New Roman" w:hAnsi="Times New Roman"/>
          <w:sz w:val="24"/>
          <w:szCs w:val="24"/>
          <w:lang w:eastAsia="en-AU"/>
        </w:rPr>
        <w:t>of</w:t>
      </w:r>
      <w:r>
        <w:rPr>
          <w:rFonts w:ascii="Times New Roman" w:eastAsia="Times New Roman" w:hAnsi="Times New Roman"/>
          <w:sz w:val="24"/>
          <w:szCs w:val="24"/>
          <w:lang w:eastAsia="en-AU"/>
        </w:rPr>
        <w:t xml:space="preserve"> trees is</w:t>
      </w:r>
      <w:r w:rsidR="00D94B22">
        <w:rPr>
          <w:rFonts w:ascii="Times New Roman" w:eastAsia="Times New Roman" w:hAnsi="Times New Roman"/>
          <w:sz w:val="24"/>
          <w:szCs w:val="24"/>
          <w:lang w:eastAsia="en-AU"/>
        </w:rPr>
        <w:t>: ‘</w:t>
      </w:r>
      <w:r w:rsidRPr="0021677C">
        <w:rPr>
          <w:rFonts w:ascii="Times New Roman" w:eastAsia="Times New Roman" w:hAnsi="Times New Roman"/>
          <w:sz w:val="24"/>
          <w:szCs w:val="24"/>
          <w:lang w:eastAsia="en-AU"/>
        </w:rPr>
        <w:t>Whole / Plant / C mass of plants</w:t>
      </w:r>
      <w:r w:rsidR="00D94B22">
        <w:rPr>
          <w:rFonts w:ascii="Times New Roman" w:eastAsia="Times New Roman" w:hAnsi="Times New Roman"/>
          <w:sz w:val="24"/>
          <w:szCs w:val="24"/>
          <w:lang w:eastAsia="en-AU"/>
        </w:rPr>
        <w:t>’.</w:t>
      </w:r>
    </w:p>
    <w:p w:rsidR="001B2B87" w:rsidRPr="0021677C" w:rsidRDefault="0021677C" w:rsidP="00986D81">
      <w:pPr>
        <w:spacing w:after="120" w:line="240" w:lineRule="auto"/>
        <w:rPr>
          <w:rFonts w:ascii="Times New Roman" w:hAnsi="Times New Roman"/>
          <w:color w:val="000000" w:themeColor="text1"/>
          <w:sz w:val="24"/>
          <w:szCs w:val="24"/>
          <w:u w:val="single"/>
        </w:rPr>
      </w:pPr>
      <w:r w:rsidRPr="0021677C">
        <w:rPr>
          <w:rFonts w:ascii="Times New Roman" w:hAnsi="Times New Roman"/>
          <w:color w:val="000000" w:themeColor="text1"/>
          <w:sz w:val="24"/>
          <w:szCs w:val="24"/>
          <w:u w:val="single"/>
        </w:rPr>
        <w:t>4.2</w:t>
      </w:r>
      <w:r w:rsidR="004E3736">
        <w:rPr>
          <w:rFonts w:ascii="Times New Roman" w:hAnsi="Times New Roman"/>
          <w:color w:val="000000" w:themeColor="text1"/>
          <w:sz w:val="24"/>
          <w:szCs w:val="24"/>
          <w:u w:val="single"/>
        </w:rPr>
        <w:t>4</w:t>
      </w:r>
      <w:r w:rsidRPr="0021677C">
        <w:rPr>
          <w:rFonts w:ascii="Times New Roman" w:hAnsi="Times New Roman"/>
          <w:color w:val="000000" w:themeColor="text1"/>
          <w:sz w:val="24"/>
          <w:szCs w:val="24"/>
          <w:u w:val="single"/>
        </w:rPr>
        <w:tab/>
        <w:t>Calculating average baseline carbon stock for carbon estimation area</w:t>
      </w:r>
    </w:p>
    <w:p w:rsidR="004E70ED" w:rsidRDefault="004E70ED"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Pr="0021677C">
        <w:rPr>
          <w:rFonts w:ascii="Times New Roman" w:eastAsia="Times New Roman" w:hAnsi="Times New Roman"/>
          <w:sz w:val="24"/>
          <w:szCs w:val="24"/>
          <w:lang w:eastAsia="en-AU"/>
        </w:rPr>
        <w:t xml:space="preserve">he average baseline carbon stock for each </w:t>
      </w:r>
      <w:r>
        <w:rPr>
          <w:rFonts w:ascii="Times New Roman" w:eastAsia="Times New Roman" w:hAnsi="Times New Roman"/>
          <w:sz w:val="24"/>
          <w:szCs w:val="24"/>
          <w:lang w:eastAsia="en-AU"/>
        </w:rPr>
        <w:t>carbon estimation area</w:t>
      </w:r>
      <w:r w:rsidRPr="0021677C">
        <w:rPr>
          <w:rFonts w:ascii="Times New Roman" w:eastAsia="Times New Roman" w:hAnsi="Times New Roman"/>
          <w:sz w:val="24"/>
          <w:szCs w:val="24"/>
          <w:lang w:eastAsia="en-AU"/>
        </w:rPr>
        <w:t xml:space="preserve"> must be calculate</w:t>
      </w:r>
      <w:r w:rsidR="00052FAD">
        <w:rPr>
          <w:rFonts w:ascii="Times New Roman" w:eastAsia="Times New Roman" w:hAnsi="Times New Roman"/>
          <w:sz w:val="24"/>
          <w:szCs w:val="24"/>
          <w:lang w:eastAsia="en-AU"/>
        </w:rPr>
        <w:t>d in accordance with Equation 4</w:t>
      </w:r>
      <w:r w:rsidRPr="0021677C">
        <w:rPr>
          <w:rFonts w:ascii="Times New Roman" w:eastAsia="Times New Roman" w:hAnsi="Times New Roman"/>
          <w:sz w:val="24"/>
          <w:szCs w:val="24"/>
          <w:lang w:eastAsia="en-AU"/>
        </w:rPr>
        <w:t>.</w:t>
      </w:r>
    </w:p>
    <w:p w:rsidR="0021677C" w:rsidRDefault="004E70ED"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21677C" w:rsidRPr="0021677C">
        <w:rPr>
          <w:rFonts w:ascii="Times New Roman" w:eastAsia="Times New Roman" w:hAnsi="Times New Roman"/>
          <w:sz w:val="24"/>
          <w:szCs w:val="24"/>
          <w:lang w:eastAsia="en-AU"/>
        </w:rPr>
        <w:t xml:space="preserve">he average baseline carbon stock for each </w:t>
      </w:r>
      <w:r w:rsidR="00791BFB">
        <w:rPr>
          <w:rFonts w:ascii="Times New Roman" w:eastAsia="Times New Roman" w:hAnsi="Times New Roman"/>
          <w:sz w:val="24"/>
          <w:szCs w:val="24"/>
          <w:lang w:eastAsia="en-AU"/>
        </w:rPr>
        <w:t>carbon estimation area</w:t>
      </w:r>
      <w:r w:rsidR="0021677C" w:rsidRPr="0021677C">
        <w:rPr>
          <w:rFonts w:ascii="Times New Roman" w:eastAsia="Times New Roman" w:hAnsi="Times New Roman"/>
          <w:sz w:val="24"/>
          <w:szCs w:val="24"/>
          <w:lang w:eastAsia="en-AU"/>
        </w:rPr>
        <w:t xml:space="preserve"> is calculated as the average of monthly values for C mass </w:t>
      </w:r>
      <w:r>
        <w:rPr>
          <w:rFonts w:ascii="Times New Roman" w:eastAsia="Times New Roman" w:hAnsi="Times New Roman"/>
          <w:sz w:val="24"/>
          <w:szCs w:val="24"/>
          <w:lang w:eastAsia="en-AU"/>
        </w:rPr>
        <w:t xml:space="preserve">of biomass </w:t>
      </w:r>
      <w:r w:rsidR="0021677C" w:rsidRPr="0021677C">
        <w:rPr>
          <w:rFonts w:ascii="Times New Roman" w:eastAsia="Times New Roman" w:hAnsi="Times New Roman"/>
          <w:sz w:val="24"/>
          <w:szCs w:val="24"/>
          <w:lang w:eastAsia="en-AU"/>
        </w:rPr>
        <w:t>on-site (trees plus debris) for 100</w:t>
      </w:r>
      <w:r w:rsidR="00791BFB">
        <w:rPr>
          <w:rFonts w:ascii="Times New Roman" w:eastAsia="Times New Roman" w:hAnsi="Times New Roman"/>
          <w:sz w:val="24"/>
          <w:szCs w:val="24"/>
          <w:lang w:eastAsia="en-AU"/>
        </w:rPr>
        <w:t> </w:t>
      </w:r>
      <w:r w:rsidR="0021677C" w:rsidRPr="0021677C">
        <w:rPr>
          <w:rFonts w:ascii="Times New Roman" w:eastAsia="Times New Roman" w:hAnsi="Times New Roman"/>
          <w:sz w:val="24"/>
          <w:szCs w:val="24"/>
          <w:lang w:eastAsia="en-AU"/>
        </w:rPr>
        <w:t xml:space="preserve">years (100 x 12 months) from </w:t>
      </w:r>
      <w:r w:rsidR="004E3736">
        <w:rPr>
          <w:rFonts w:ascii="Times New Roman" w:eastAsia="Times New Roman" w:hAnsi="Times New Roman"/>
          <w:sz w:val="24"/>
          <w:szCs w:val="24"/>
          <w:lang w:eastAsia="en-AU"/>
        </w:rPr>
        <w:t>the date the project mechanism was implemented in the area</w:t>
      </w:r>
      <w:r w:rsidR="0021677C" w:rsidRPr="0021677C">
        <w:rPr>
          <w:rFonts w:ascii="Times New Roman" w:eastAsia="Times New Roman" w:hAnsi="Times New Roman"/>
          <w:sz w:val="24"/>
          <w:szCs w:val="24"/>
          <w:lang w:eastAsia="en-AU"/>
        </w:rPr>
        <w:t xml:space="preserve">, multiplied by the area of the </w:t>
      </w:r>
      <w:r w:rsidR="00791BFB">
        <w:rPr>
          <w:rFonts w:ascii="Times New Roman" w:eastAsia="Times New Roman" w:hAnsi="Times New Roman"/>
          <w:sz w:val="24"/>
          <w:szCs w:val="24"/>
          <w:lang w:eastAsia="en-AU"/>
        </w:rPr>
        <w:t>carbon estimation area</w:t>
      </w:r>
      <w:r w:rsidR="0021677C" w:rsidRPr="0021677C">
        <w:rPr>
          <w:rFonts w:ascii="Times New Roman" w:eastAsia="Times New Roman" w:hAnsi="Times New Roman"/>
          <w:sz w:val="24"/>
          <w:szCs w:val="24"/>
          <w:lang w:eastAsia="en-AU"/>
        </w:rPr>
        <w:t xml:space="preserve">. </w:t>
      </w:r>
      <w:r w:rsidR="00791BFB">
        <w:rPr>
          <w:rFonts w:ascii="Times New Roman" w:eastAsia="Times New Roman" w:hAnsi="Times New Roman"/>
          <w:sz w:val="24"/>
          <w:szCs w:val="24"/>
          <w:lang w:eastAsia="en-AU"/>
        </w:rPr>
        <w:t xml:space="preserve"> </w:t>
      </w:r>
    </w:p>
    <w:p w:rsidR="00705AEA" w:rsidRPr="0021677C" w:rsidRDefault="00705AEA"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For carbon estimation areas where a zero baseline is applied, the average baseline carbon stock is zero and is not recalculated </w:t>
      </w:r>
      <w:r w:rsidR="00AA4F7E">
        <w:rPr>
          <w:rFonts w:ascii="Times New Roman" w:eastAsia="Times New Roman" w:hAnsi="Times New Roman"/>
          <w:sz w:val="24"/>
          <w:szCs w:val="24"/>
          <w:lang w:eastAsia="en-AU"/>
        </w:rPr>
        <w:t>during the project (see section 4.10</w:t>
      </w:r>
      <w:r>
        <w:rPr>
          <w:rFonts w:ascii="Times New Roman" w:eastAsia="Times New Roman" w:hAnsi="Times New Roman"/>
          <w:sz w:val="24"/>
          <w:szCs w:val="24"/>
          <w:lang w:eastAsia="en-AU"/>
        </w:rPr>
        <w:t>).</w:t>
      </w:r>
    </w:p>
    <w:p w:rsidR="00791BFB" w:rsidRPr="00146DCD" w:rsidRDefault="00791BFB" w:rsidP="00986D81">
      <w:pPr>
        <w:spacing w:after="120" w:line="240" w:lineRule="auto"/>
        <w:rPr>
          <w:rFonts w:ascii="Times New Roman" w:hAnsi="Times New Roman"/>
          <w:color w:val="000000" w:themeColor="text1"/>
          <w:sz w:val="24"/>
          <w:szCs w:val="24"/>
          <w:u w:val="single"/>
        </w:rPr>
      </w:pPr>
      <w:r w:rsidRPr="00B66536">
        <w:rPr>
          <w:rFonts w:ascii="Times New Roman" w:hAnsi="Times New Roman"/>
          <w:color w:val="000000" w:themeColor="text1"/>
          <w:sz w:val="24"/>
          <w:szCs w:val="24"/>
          <w:u w:val="single"/>
        </w:rPr>
        <w:t>4.2</w:t>
      </w:r>
      <w:r w:rsidR="004E3736">
        <w:rPr>
          <w:rFonts w:ascii="Times New Roman" w:hAnsi="Times New Roman"/>
          <w:color w:val="000000" w:themeColor="text1"/>
          <w:sz w:val="24"/>
          <w:szCs w:val="24"/>
          <w:u w:val="single"/>
        </w:rPr>
        <w:t>5</w:t>
      </w:r>
      <w:r w:rsidRPr="00B66536">
        <w:rPr>
          <w:rFonts w:ascii="Times New Roman" w:hAnsi="Times New Roman"/>
          <w:color w:val="000000" w:themeColor="text1"/>
          <w:sz w:val="24"/>
          <w:szCs w:val="24"/>
          <w:u w:val="single"/>
        </w:rPr>
        <w:tab/>
        <w:t>Calculating carbon stock change for project area</w:t>
      </w:r>
    </w:p>
    <w:p w:rsidR="0021677C" w:rsidRDefault="00B66536" w:rsidP="00986D81">
      <w:pPr>
        <w:spacing w:after="120" w:line="240" w:lineRule="auto"/>
        <w:rPr>
          <w:rFonts w:ascii="Times New Roman" w:eastAsia="Times New Roman" w:hAnsi="Times New Roman"/>
          <w:sz w:val="24"/>
          <w:szCs w:val="24"/>
          <w:lang w:eastAsia="en-AU"/>
        </w:rPr>
      </w:pPr>
      <w:r w:rsidRPr="00B66536">
        <w:rPr>
          <w:rFonts w:ascii="Times New Roman" w:eastAsia="Times New Roman" w:hAnsi="Times New Roman"/>
          <w:sz w:val="24"/>
          <w:szCs w:val="24"/>
          <w:lang w:eastAsia="en-AU"/>
        </w:rPr>
        <w:t xml:space="preserve">The </w:t>
      </w:r>
      <w:r w:rsidR="00387CB0" w:rsidRPr="00B66536">
        <w:rPr>
          <w:rFonts w:ascii="Times New Roman" w:eastAsia="Times New Roman" w:hAnsi="Times New Roman"/>
          <w:sz w:val="24"/>
          <w:szCs w:val="24"/>
          <w:lang w:eastAsia="en-AU"/>
        </w:rPr>
        <w:t xml:space="preserve">change </w:t>
      </w:r>
      <w:r w:rsidR="00387CB0">
        <w:rPr>
          <w:rFonts w:ascii="Times New Roman" w:eastAsia="Times New Roman" w:hAnsi="Times New Roman"/>
          <w:sz w:val="24"/>
          <w:szCs w:val="24"/>
          <w:lang w:eastAsia="en-AU"/>
        </w:rPr>
        <w:t xml:space="preserve">in </w:t>
      </w:r>
      <w:r w:rsidRPr="00B66536">
        <w:rPr>
          <w:rFonts w:ascii="Times New Roman" w:eastAsia="Times New Roman" w:hAnsi="Times New Roman"/>
          <w:sz w:val="24"/>
          <w:szCs w:val="24"/>
          <w:lang w:eastAsia="en-AU"/>
        </w:rPr>
        <w:t xml:space="preserve">C mass </w:t>
      </w:r>
      <w:r w:rsidR="003D5D70">
        <w:rPr>
          <w:rFonts w:ascii="Times New Roman" w:eastAsia="Times New Roman" w:hAnsi="Times New Roman"/>
          <w:sz w:val="24"/>
          <w:szCs w:val="24"/>
          <w:lang w:eastAsia="en-AU"/>
        </w:rPr>
        <w:t xml:space="preserve">of biomass </w:t>
      </w:r>
      <w:r w:rsidRPr="00B66536">
        <w:rPr>
          <w:rFonts w:ascii="Times New Roman" w:eastAsia="Times New Roman" w:hAnsi="Times New Roman"/>
          <w:sz w:val="24"/>
          <w:szCs w:val="24"/>
          <w:lang w:eastAsia="en-AU"/>
        </w:rPr>
        <w:t xml:space="preserve">on-site for the project area must be calculated using Equation </w:t>
      </w:r>
      <w:r w:rsidR="00052FAD">
        <w:rPr>
          <w:rFonts w:ascii="Times New Roman" w:eastAsia="Times New Roman" w:hAnsi="Times New Roman"/>
          <w:sz w:val="24"/>
          <w:szCs w:val="24"/>
          <w:lang w:eastAsia="en-AU"/>
        </w:rPr>
        <w:t>5</w:t>
      </w:r>
      <w:r w:rsidRPr="00B66536">
        <w:rPr>
          <w:rFonts w:ascii="Times New Roman" w:eastAsia="Times New Roman" w:hAnsi="Times New Roman"/>
          <w:sz w:val="24"/>
          <w:szCs w:val="24"/>
          <w:lang w:eastAsia="en-AU"/>
        </w:rPr>
        <w:t>.</w:t>
      </w:r>
    </w:p>
    <w:p w:rsidR="00B66536" w:rsidRPr="00B66536" w:rsidRDefault="00B66536" w:rsidP="00986D81">
      <w:pPr>
        <w:spacing w:after="120" w:line="240" w:lineRule="auto"/>
        <w:rPr>
          <w:rFonts w:ascii="Times New Roman" w:eastAsia="Times New Roman" w:hAnsi="Times New Roman"/>
          <w:sz w:val="24"/>
          <w:szCs w:val="24"/>
          <w:lang w:eastAsia="en-AU"/>
        </w:rPr>
      </w:pPr>
      <w:r w:rsidRPr="00B66536">
        <w:rPr>
          <w:rFonts w:ascii="Times New Roman" w:eastAsia="Times New Roman" w:hAnsi="Times New Roman"/>
          <w:sz w:val="24"/>
          <w:szCs w:val="24"/>
          <w:lang w:eastAsia="en-AU"/>
        </w:rPr>
        <w:t>Recalculating the baseline before calculating carbon stock change f</w:t>
      </w:r>
      <w:r>
        <w:rPr>
          <w:rFonts w:ascii="Times New Roman" w:eastAsia="Times New Roman" w:hAnsi="Times New Roman"/>
          <w:sz w:val="24"/>
          <w:szCs w:val="24"/>
          <w:lang w:eastAsia="en-AU"/>
        </w:rPr>
        <w:t xml:space="preserve">or the project for each report </w:t>
      </w:r>
      <w:r w:rsidRPr="00B66536">
        <w:rPr>
          <w:rFonts w:ascii="Times New Roman" w:eastAsia="Times New Roman" w:hAnsi="Times New Roman"/>
          <w:sz w:val="24"/>
          <w:szCs w:val="24"/>
          <w:lang w:eastAsia="en-AU"/>
        </w:rPr>
        <w:t xml:space="preserve">enables changes to the underlying datasets of FullCAM to be incorporated into the carbon stock change calculation. It also adjusts the baseline to reflect observed weather rather than average climate. This ensures </w:t>
      </w:r>
      <w:r>
        <w:rPr>
          <w:rFonts w:ascii="Times New Roman" w:eastAsia="Times New Roman" w:hAnsi="Times New Roman"/>
          <w:sz w:val="24"/>
          <w:szCs w:val="24"/>
          <w:lang w:eastAsia="en-AU"/>
        </w:rPr>
        <w:t xml:space="preserve">project </w:t>
      </w:r>
      <w:r w:rsidRPr="00B66536">
        <w:rPr>
          <w:rFonts w:ascii="Times New Roman" w:eastAsia="Times New Roman" w:hAnsi="Times New Roman"/>
          <w:sz w:val="24"/>
          <w:szCs w:val="24"/>
          <w:lang w:eastAsia="en-AU"/>
        </w:rPr>
        <w:t xml:space="preserve">proponents are credited according to estimates generated using the most recent data. </w:t>
      </w:r>
    </w:p>
    <w:p w:rsidR="00B66536" w:rsidRPr="00B66536" w:rsidRDefault="00052FAD"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If Equation 5</w:t>
      </w:r>
      <w:r w:rsidR="00B66536" w:rsidRPr="00B66536">
        <w:rPr>
          <w:rFonts w:ascii="Times New Roman" w:eastAsia="Times New Roman" w:hAnsi="Times New Roman"/>
          <w:sz w:val="24"/>
          <w:szCs w:val="24"/>
          <w:lang w:eastAsia="en-AU"/>
        </w:rPr>
        <w:t xml:space="preserve"> result</w:t>
      </w:r>
      <w:r w:rsidR="00B66536">
        <w:rPr>
          <w:rFonts w:ascii="Times New Roman" w:eastAsia="Times New Roman" w:hAnsi="Times New Roman"/>
          <w:sz w:val="24"/>
          <w:szCs w:val="24"/>
          <w:lang w:eastAsia="en-AU"/>
        </w:rPr>
        <w:t>s</w:t>
      </w:r>
      <w:r w:rsidR="00B66536" w:rsidRPr="00B66536">
        <w:rPr>
          <w:rFonts w:ascii="Times New Roman" w:eastAsia="Times New Roman" w:hAnsi="Times New Roman"/>
          <w:sz w:val="24"/>
          <w:szCs w:val="24"/>
          <w:lang w:eastAsia="en-AU"/>
        </w:rPr>
        <w:t xml:space="preserve"> in a negative value, the project </w:t>
      </w:r>
      <w:r w:rsidR="00B66536">
        <w:rPr>
          <w:rFonts w:ascii="Times New Roman" w:eastAsia="Times New Roman" w:hAnsi="Times New Roman"/>
          <w:sz w:val="24"/>
          <w:szCs w:val="24"/>
          <w:lang w:eastAsia="en-AU"/>
        </w:rPr>
        <w:t>carbon</w:t>
      </w:r>
      <w:r w:rsidR="00B66536" w:rsidRPr="00B66536">
        <w:rPr>
          <w:rFonts w:ascii="Times New Roman" w:eastAsia="Times New Roman" w:hAnsi="Times New Roman"/>
          <w:sz w:val="24"/>
          <w:szCs w:val="24"/>
          <w:lang w:eastAsia="en-AU"/>
        </w:rPr>
        <w:t xml:space="preserve"> stock is less than the long term average baseline carbon stock, and </w:t>
      </w:r>
      <w:r w:rsidR="00B66536">
        <w:rPr>
          <w:rFonts w:ascii="Times New Roman" w:eastAsia="Times New Roman" w:hAnsi="Times New Roman"/>
          <w:sz w:val="24"/>
          <w:szCs w:val="24"/>
          <w:lang w:eastAsia="en-AU"/>
        </w:rPr>
        <w:t>ACCUs</w:t>
      </w:r>
      <w:r w:rsidR="00B66536" w:rsidRPr="00B66536">
        <w:rPr>
          <w:rFonts w:ascii="Times New Roman" w:eastAsia="Times New Roman" w:hAnsi="Times New Roman"/>
          <w:sz w:val="24"/>
          <w:szCs w:val="24"/>
          <w:lang w:eastAsia="en-AU"/>
        </w:rPr>
        <w:t xml:space="preserve"> cannot be issued.</w:t>
      </w:r>
    </w:p>
    <w:p w:rsidR="00B66536" w:rsidRPr="00757239" w:rsidRDefault="00B66536" w:rsidP="00986D81">
      <w:pPr>
        <w:spacing w:after="120" w:line="240" w:lineRule="auto"/>
        <w:ind w:left="709" w:hanging="709"/>
        <w:rPr>
          <w:rFonts w:ascii="Times New Roman" w:eastAsia="Times New Roman" w:hAnsi="Times New Roman"/>
          <w:sz w:val="24"/>
          <w:szCs w:val="24"/>
          <w:u w:val="single"/>
          <w:lang w:eastAsia="en-AU"/>
        </w:rPr>
      </w:pPr>
      <w:r w:rsidRPr="00757239">
        <w:rPr>
          <w:rFonts w:ascii="Times New Roman" w:eastAsia="Times New Roman" w:hAnsi="Times New Roman"/>
          <w:sz w:val="24"/>
          <w:szCs w:val="24"/>
          <w:u w:val="single"/>
          <w:lang w:eastAsia="en-AU"/>
        </w:rPr>
        <w:lastRenderedPageBreak/>
        <w:t>4.2</w:t>
      </w:r>
      <w:r w:rsidR="00BC7D56">
        <w:rPr>
          <w:rFonts w:ascii="Times New Roman" w:eastAsia="Times New Roman" w:hAnsi="Times New Roman"/>
          <w:sz w:val="24"/>
          <w:szCs w:val="24"/>
          <w:u w:val="single"/>
          <w:lang w:eastAsia="en-AU"/>
        </w:rPr>
        <w:t>6</w:t>
      </w:r>
      <w:r w:rsidRPr="00757239">
        <w:rPr>
          <w:rFonts w:ascii="Times New Roman" w:eastAsia="Times New Roman" w:hAnsi="Times New Roman"/>
          <w:sz w:val="24"/>
          <w:szCs w:val="24"/>
          <w:u w:val="single"/>
          <w:lang w:eastAsia="en-AU"/>
        </w:rPr>
        <w:tab/>
        <w:t xml:space="preserve">Converting carbon stock change to </w:t>
      </w:r>
      <w:r w:rsidR="00757239" w:rsidRPr="00757239">
        <w:rPr>
          <w:rFonts w:ascii="Times New Roman" w:eastAsia="Times New Roman" w:hAnsi="Times New Roman"/>
          <w:sz w:val="24"/>
          <w:szCs w:val="24"/>
          <w:u w:val="single"/>
          <w:lang w:eastAsia="en-AU"/>
        </w:rPr>
        <w:t xml:space="preserve">carbon dioxide </w:t>
      </w:r>
      <w:r w:rsidRPr="00757239">
        <w:rPr>
          <w:rFonts w:ascii="Times New Roman" w:eastAsia="Times New Roman" w:hAnsi="Times New Roman"/>
          <w:sz w:val="24"/>
          <w:szCs w:val="24"/>
          <w:u w:val="single"/>
          <w:lang w:eastAsia="en-AU"/>
        </w:rPr>
        <w:t>equivalent (CO</w:t>
      </w:r>
      <w:r w:rsidRPr="00757239">
        <w:rPr>
          <w:rFonts w:ascii="Times New Roman" w:eastAsia="Times New Roman" w:hAnsi="Times New Roman"/>
          <w:sz w:val="24"/>
          <w:szCs w:val="24"/>
          <w:u w:val="single"/>
          <w:vertAlign w:val="subscript"/>
          <w:lang w:eastAsia="en-AU"/>
        </w:rPr>
        <w:t>2</w:t>
      </w:r>
      <w:r w:rsidRPr="00757239">
        <w:rPr>
          <w:rFonts w:ascii="Times New Roman" w:eastAsia="Times New Roman" w:hAnsi="Times New Roman"/>
          <w:sz w:val="24"/>
          <w:szCs w:val="24"/>
          <w:u w:val="single"/>
          <w:lang w:eastAsia="en-AU"/>
        </w:rPr>
        <w:t>-e)</w:t>
      </w:r>
    </w:p>
    <w:p w:rsidR="00757239" w:rsidRDefault="00757239" w:rsidP="00986D81">
      <w:pPr>
        <w:spacing w:after="120" w:line="240" w:lineRule="auto"/>
        <w:rPr>
          <w:rFonts w:ascii="Times New Roman" w:eastAsia="Times New Roman" w:hAnsi="Times New Roman"/>
          <w:sz w:val="24"/>
          <w:szCs w:val="24"/>
          <w:lang w:eastAsia="en-AU"/>
        </w:rPr>
      </w:pPr>
      <w:r w:rsidRPr="00757239">
        <w:rPr>
          <w:rFonts w:ascii="Times New Roman" w:eastAsia="Times New Roman" w:hAnsi="Times New Roman"/>
          <w:sz w:val="24"/>
          <w:szCs w:val="24"/>
          <w:lang w:eastAsia="en-AU"/>
        </w:rPr>
        <w:t>FullCAM provides cumulative monthly time step outputs in mass of carbon (C) which must be converted to carbon dioxide equivalent (CO</w:t>
      </w:r>
      <w:r w:rsidRPr="00757239">
        <w:rPr>
          <w:rFonts w:ascii="Times New Roman" w:eastAsia="Times New Roman" w:hAnsi="Times New Roman"/>
          <w:sz w:val="24"/>
          <w:szCs w:val="24"/>
          <w:vertAlign w:val="subscript"/>
          <w:lang w:eastAsia="en-AU"/>
        </w:rPr>
        <w:t>2</w:t>
      </w:r>
      <w:r w:rsidRPr="00757239">
        <w:rPr>
          <w:rFonts w:ascii="Times New Roman" w:eastAsia="Times New Roman" w:hAnsi="Times New Roman"/>
          <w:sz w:val="24"/>
          <w:szCs w:val="24"/>
          <w:lang w:eastAsia="en-AU"/>
        </w:rPr>
        <w:t xml:space="preserve">-e) using </w:t>
      </w:r>
      <w:r>
        <w:rPr>
          <w:rFonts w:ascii="Times New Roman" w:eastAsia="Times New Roman" w:hAnsi="Times New Roman"/>
          <w:sz w:val="24"/>
          <w:szCs w:val="24"/>
          <w:lang w:eastAsia="en-AU"/>
        </w:rPr>
        <w:t>E</w:t>
      </w:r>
      <w:r w:rsidR="00052FAD">
        <w:rPr>
          <w:rFonts w:ascii="Times New Roman" w:eastAsia="Times New Roman" w:hAnsi="Times New Roman"/>
          <w:sz w:val="24"/>
          <w:szCs w:val="24"/>
          <w:lang w:eastAsia="en-AU"/>
        </w:rPr>
        <w:t>quation 6</w:t>
      </w:r>
      <w:r w:rsidRPr="00757239">
        <w:rPr>
          <w:rFonts w:ascii="Times New Roman" w:eastAsia="Times New Roman" w:hAnsi="Times New Roman"/>
          <w:sz w:val="24"/>
          <w:szCs w:val="24"/>
          <w:lang w:eastAsia="en-AU"/>
        </w:rPr>
        <w:t xml:space="preserve"> for use in subsequent equations.</w:t>
      </w:r>
    </w:p>
    <w:p w:rsidR="00986D81" w:rsidRPr="00757239" w:rsidRDefault="00986D81" w:rsidP="00986D81">
      <w:pPr>
        <w:spacing w:after="120" w:line="240" w:lineRule="auto"/>
        <w:rPr>
          <w:rFonts w:ascii="Times New Roman" w:eastAsia="Times New Roman" w:hAnsi="Times New Roman"/>
          <w:sz w:val="24"/>
          <w:szCs w:val="24"/>
          <w:lang w:eastAsia="en-AU"/>
        </w:rPr>
      </w:pPr>
    </w:p>
    <w:p w:rsidR="00757239" w:rsidRPr="002B677F" w:rsidRDefault="00757239" w:rsidP="009A0FA8">
      <w:pPr>
        <w:keepNext/>
        <w:spacing w:after="120" w:line="240" w:lineRule="auto"/>
        <w:rPr>
          <w:rFonts w:ascii="Times New Roman" w:hAnsi="Times New Roman"/>
          <w:b/>
          <w:color w:val="000000" w:themeColor="text1"/>
          <w:sz w:val="24"/>
          <w:szCs w:val="24"/>
        </w:rPr>
      </w:pPr>
      <w:r w:rsidRPr="001B2B87">
        <w:rPr>
          <w:rFonts w:ascii="Times New Roman" w:hAnsi="Times New Roman"/>
          <w:b/>
          <w:color w:val="000000" w:themeColor="text1"/>
          <w:sz w:val="24"/>
          <w:szCs w:val="24"/>
        </w:rPr>
        <w:t>Division 4.</w:t>
      </w:r>
      <w:r>
        <w:rPr>
          <w:rFonts w:ascii="Times New Roman" w:hAnsi="Times New Roman"/>
          <w:b/>
          <w:color w:val="000000" w:themeColor="text1"/>
          <w:sz w:val="24"/>
          <w:szCs w:val="24"/>
        </w:rPr>
        <w:t>5</w:t>
      </w:r>
      <w:r w:rsidRPr="001B2B87">
        <w:rPr>
          <w:rFonts w:ascii="Times New Roman" w:hAnsi="Times New Roman"/>
          <w:b/>
          <w:color w:val="000000" w:themeColor="text1"/>
          <w:sz w:val="24"/>
          <w:szCs w:val="24"/>
        </w:rPr>
        <w:tab/>
        <w:t xml:space="preserve">Calculation of </w:t>
      </w:r>
      <w:r w:rsidR="009A0FA8">
        <w:rPr>
          <w:rFonts w:ascii="Times New Roman" w:hAnsi="Times New Roman"/>
          <w:b/>
          <w:color w:val="000000" w:themeColor="text1"/>
          <w:sz w:val="24"/>
          <w:szCs w:val="24"/>
        </w:rPr>
        <w:t>project</w:t>
      </w:r>
      <w:r w:rsidR="00052FAD">
        <w:rPr>
          <w:rFonts w:ascii="Times New Roman" w:hAnsi="Times New Roman"/>
          <w:b/>
          <w:color w:val="000000" w:themeColor="text1"/>
          <w:sz w:val="24"/>
          <w:szCs w:val="24"/>
        </w:rPr>
        <w:t xml:space="preserve"> emissions</w:t>
      </w:r>
    </w:p>
    <w:p w:rsidR="00B66536" w:rsidRPr="00757239" w:rsidRDefault="00757239" w:rsidP="009A0FA8">
      <w:pPr>
        <w:keepNext/>
        <w:spacing w:after="120" w:line="240" w:lineRule="auto"/>
        <w:rPr>
          <w:rFonts w:ascii="Times New Roman" w:eastAsia="Times New Roman" w:hAnsi="Times New Roman"/>
          <w:sz w:val="24"/>
          <w:szCs w:val="24"/>
          <w:u w:val="single"/>
          <w:lang w:eastAsia="en-AU"/>
        </w:rPr>
      </w:pPr>
      <w:r w:rsidRPr="00757239">
        <w:rPr>
          <w:rFonts w:ascii="Times New Roman" w:eastAsia="Times New Roman" w:hAnsi="Times New Roman"/>
          <w:sz w:val="24"/>
          <w:szCs w:val="24"/>
          <w:u w:val="single"/>
          <w:lang w:eastAsia="en-AU"/>
        </w:rPr>
        <w:t>4.2</w:t>
      </w:r>
      <w:r w:rsidR="00BC7D56">
        <w:rPr>
          <w:rFonts w:ascii="Times New Roman" w:eastAsia="Times New Roman" w:hAnsi="Times New Roman"/>
          <w:sz w:val="24"/>
          <w:szCs w:val="24"/>
          <w:u w:val="single"/>
          <w:lang w:eastAsia="en-AU"/>
        </w:rPr>
        <w:t>7</w:t>
      </w:r>
      <w:r w:rsidRPr="00757239">
        <w:rPr>
          <w:rFonts w:ascii="Times New Roman" w:eastAsia="Times New Roman" w:hAnsi="Times New Roman"/>
          <w:sz w:val="24"/>
          <w:szCs w:val="24"/>
          <w:u w:val="single"/>
          <w:lang w:eastAsia="en-AU"/>
        </w:rPr>
        <w:tab/>
        <w:t>Calculating</w:t>
      </w:r>
      <w:r w:rsidR="00052FAD">
        <w:rPr>
          <w:rFonts w:ascii="Times New Roman" w:eastAsia="Times New Roman" w:hAnsi="Times New Roman"/>
          <w:sz w:val="24"/>
          <w:szCs w:val="24"/>
          <w:u w:val="single"/>
          <w:lang w:eastAsia="en-AU"/>
        </w:rPr>
        <w:t xml:space="preserve"> </w:t>
      </w:r>
      <w:r w:rsidRPr="00757239">
        <w:rPr>
          <w:rFonts w:ascii="Times New Roman" w:eastAsia="Times New Roman" w:hAnsi="Times New Roman"/>
          <w:sz w:val="24"/>
          <w:szCs w:val="24"/>
          <w:u w:val="single"/>
          <w:lang w:eastAsia="en-AU"/>
        </w:rPr>
        <w:t>methane and nitrous oxide emissions from biomass burning</w:t>
      </w:r>
    </w:p>
    <w:p w:rsidR="0021677C" w:rsidRPr="00D94B22" w:rsidRDefault="00757239" w:rsidP="009A0FA8">
      <w:pPr>
        <w:keepNext/>
        <w:spacing w:after="120" w:line="240" w:lineRule="auto"/>
        <w:rPr>
          <w:rFonts w:ascii="Times New Roman" w:eastAsia="Times New Roman" w:hAnsi="Times New Roman"/>
          <w:sz w:val="24"/>
          <w:szCs w:val="24"/>
          <w:lang w:eastAsia="en-AU"/>
        </w:rPr>
      </w:pPr>
      <w:r w:rsidRPr="00D94B22">
        <w:rPr>
          <w:rFonts w:ascii="Times New Roman" w:eastAsia="Times New Roman" w:hAnsi="Times New Roman"/>
          <w:sz w:val="24"/>
          <w:szCs w:val="24"/>
          <w:lang w:eastAsia="en-AU"/>
        </w:rPr>
        <w:t>The</w:t>
      </w:r>
      <w:r w:rsidR="00052FAD">
        <w:rPr>
          <w:rFonts w:ascii="Times New Roman" w:eastAsia="Times New Roman" w:hAnsi="Times New Roman"/>
          <w:sz w:val="24"/>
          <w:szCs w:val="24"/>
          <w:lang w:eastAsia="en-AU"/>
        </w:rPr>
        <w:t xml:space="preserve"> </w:t>
      </w:r>
      <w:r w:rsidRPr="00D94B22">
        <w:rPr>
          <w:rFonts w:ascii="Times New Roman" w:eastAsia="Times New Roman" w:hAnsi="Times New Roman"/>
          <w:sz w:val="24"/>
          <w:szCs w:val="24"/>
          <w:lang w:eastAsia="en-AU"/>
        </w:rPr>
        <w:t>emission</w:t>
      </w:r>
      <w:r w:rsidR="00052FAD">
        <w:rPr>
          <w:rFonts w:ascii="Times New Roman" w:eastAsia="Times New Roman" w:hAnsi="Times New Roman"/>
          <w:sz w:val="24"/>
          <w:szCs w:val="24"/>
          <w:lang w:eastAsia="en-AU"/>
        </w:rPr>
        <w:t>s</w:t>
      </w:r>
      <w:r w:rsidRPr="00D94B22">
        <w:rPr>
          <w:rFonts w:ascii="Times New Roman" w:eastAsia="Times New Roman" w:hAnsi="Times New Roman"/>
          <w:sz w:val="24"/>
          <w:szCs w:val="24"/>
          <w:lang w:eastAsia="en-AU"/>
        </w:rPr>
        <w:t xml:space="preserve"> of methane due to biomass </w:t>
      </w:r>
      <w:r w:rsidR="00052FAD">
        <w:rPr>
          <w:rFonts w:ascii="Times New Roman" w:eastAsia="Times New Roman" w:hAnsi="Times New Roman"/>
          <w:sz w:val="24"/>
          <w:szCs w:val="24"/>
          <w:lang w:eastAsia="en-AU"/>
        </w:rPr>
        <w:t>burning for the baseline forecast period</w:t>
      </w:r>
      <w:r w:rsidRPr="00D94B22">
        <w:rPr>
          <w:rFonts w:ascii="Times New Roman" w:eastAsia="Times New Roman" w:hAnsi="Times New Roman"/>
          <w:sz w:val="24"/>
          <w:szCs w:val="24"/>
          <w:lang w:eastAsia="en-AU"/>
        </w:rPr>
        <w:t xml:space="preserve"> must</w:t>
      </w:r>
      <w:r w:rsidR="00052FAD">
        <w:rPr>
          <w:rFonts w:ascii="Times New Roman" w:eastAsia="Times New Roman" w:hAnsi="Times New Roman"/>
          <w:sz w:val="24"/>
          <w:szCs w:val="24"/>
          <w:lang w:eastAsia="en-AU"/>
        </w:rPr>
        <w:t xml:space="preserve"> be calculated using Equation 7.</w:t>
      </w:r>
    </w:p>
    <w:p w:rsidR="00757239" w:rsidRDefault="00757239"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D94B22">
        <w:rPr>
          <w:rFonts w:ascii="Times New Roman" w:eastAsia="Times New Roman" w:hAnsi="Times New Roman"/>
          <w:sz w:val="24"/>
          <w:szCs w:val="24"/>
          <w:lang w:eastAsia="en-AU"/>
        </w:rPr>
        <w:t xml:space="preserve">relevant </w:t>
      </w:r>
      <w:r>
        <w:rPr>
          <w:rFonts w:ascii="Times New Roman" w:eastAsia="Times New Roman" w:hAnsi="Times New Roman"/>
          <w:sz w:val="24"/>
          <w:szCs w:val="24"/>
          <w:lang w:eastAsia="en-AU"/>
        </w:rPr>
        <w:t>FullCAM output is</w:t>
      </w:r>
      <w:r w:rsidR="00D94B22">
        <w:rPr>
          <w:rFonts w:ascii="Times New Roman" w:eastAsia="Times New Roman" w:hAnsi="Times New Roman"/>
          <w:sz w:val="24"/>
          <w:szCs w:val="24"/>
          <w:lang w:eastAsia="en-AU"/>
        </w:rPr>
        <w:t>: ‘</w:t>
      </w:r>
      <w:r w:rsidRPr="0021677C">
        <w:rPr>
          <w:rFonts w:ascii="Times New Roman" w:eastAsia="Times New Roman" w:hAnsi="Times New Roman"/>
          <w:sz w:val="24"/>
          <w:szCs w:val="24"/>
          <w:lang w:eastAsia="en-AU"/>
        </w:rPr>
        <w:t xml:space="preserve">Whole / </w:t>
      </w:r>
      <w:r w:rsidR="00D94B22">
        <w:rPr>
          <w:rFonts w:ascii="Times New Roman" w:eastAsia="Times New Roman" w:hAnsi="Times New Roman"/>
          <w:sz w:val="24"/>
          <w:szCs w:val="24"/>
          <w:lang w:eastAsia="en-AU"/>
        </w:rPr>
        <w:t>Emissions</w:t>
      </w:r>
      <w:r w:rsidRPr="0021677C">
        <w:rPr>
          <w:rFonts w:ascii="Times New Roman" w:eastAsia="Times New Roman" w:hAnsi="Times New Roman"/>
          <w:sz w:val="24"/>
          <w:szCs w:val="24"/>
          <w:lang w:eastAsia="en-AU"/>
        </w:rPr>
        <w:t xml:space="preserve"> / C</w:t>
      </w:r>
      <w:r w:rsidR="00D94B22">
        <w:rPr>
          <w:rFonts w:ascii="Times New Roman" w:eastAsia="Times New Roman" w:hAnsi="Times New Roman"/>
          <w:sz w:val="24"/>
          <w:szCs w:val="24"/>
          <w:lang w:eastAsia="en-AU"/>
        </w:rPr>
        <w:t>H4</w:t>
      </w:r>
      <w:r w:rsidRPr="0021677C">
        <w:rPr>
          <w:rFonts w:ascii="Times New Roman" w:eastAsia="Times New Roman" w:hAnsi="Times New Roman"/>
          <w:sz w:val="24"/>
          <w:szCs w:val="24"/>
          <w:lang w:eastAsia="en-AU"/>
        </w:rPr>
        <w:t xml:space="preserve"> </w:t>
      </w:r>
      <w:r w:rsidR="00D94B22">
        <w:rPr>
          <w:rFonts w:ascii="Times New Roman" w:eastAsia="Times New Roman" w:hAnsi="Times New Roman"/>
          <w:sz w:val="24"/>
          <w:szCs w:val="24"/>
          <w:lang w:eastAsia="en-AU"/>
        </w:rPr>
        <w:t>emitted due to fire’.</w:t>
      </w:r>
    </w:p>
    <w:p w:rsidR="00757239" w:rsidRPr="000B1A2F" w:rsidRDefault="000B1A2F" w:rsidP="00986D81">
      <w:pPr>
        <w:spacing w:after="120" w:line="240" w:lineRule="auto"/>
        <w:rPr>
          <w:rFonts w:ascii="Times New Roman" w:eastAsia="Times New Roman" w:hAnsi="Times New Roman"/>
          <w:sz w:val="24"/>
          <w:szCs w:val="24"/>
          <w:lang w:eastAsia="en-AU"/>
        </w:rPr>
      </w:pPr>
      <w:r w:rsidRPr="000B1A2F">
        <w:rPr>
          <w:rFonts w:ascii="Times New Roman" w:eastAsia="Times New Roman" w:hAnsi="Times New Roman"/>
          <w:sz w:val="24"/>
          <w:szCs w:val="24"/>
          <w:lang w:eastAsia="en-AU"/>
        </w:rPr>
        <w:t>The</w:t>
      </w:r>
      <w:r w:rsidR="00052FAD">
        <w:rPr>
          <w:rFonts w:ascii="Times New Roman" w:eastAsia="Times New Roman" w:hAnsi="Times New Roman"/>
          <w:sz w:val="24"/>
          <w:szCs w:val="24"/>
          <w:lang w:eastAsia="en-AU"/>
        </w:rPr>
        <w:t xml:space="preserve"> </w:t>
      </w:r>
      <w:r w:rsidRPr="000B1A2F">
        <w:rPr>
          <w:rFonts w:ascii="Times New Roman" w:eastAsia="Times New Roman" w:hAnsi="Times New Roman"/>
          <w:sz w:val="24"/>
          <w:szCs w:val="24"/>
          <w:lang w:eastAsia="en-AU"/>
        </w:rPr>
        <w:t xml:space="preserve">emissions of nitrous oxide due to biomass </w:t>
      </w:r>
      <w:r w:rsidR="00052FAD">
        <w:rPr>
          <w:rFonts w:ascii="Times New Roman" w:eastAsia="Times New Roman" w:hAnsi="Times New Roman"/>
          <w:sz w:val="24"/>
          <w:szCs w:val="24"/>
          <w:lang w:eastAsia="en-AU"/>
        </w:rPr>
        <w:t>burning for the baseline forecast period</w:t>
      </w:r>
      <w:r w:rsidRPr="000B1A2F">
        <w:rPr>
          <w:rFonts w:ascii="Times New Roman" w:eastAsia="Times New Roman" w:hAnsi="Times New Roman"/>
          <w:sz w:val="24"/>
          <w:szCs w:val="24"/>
          <w:lang w:eastAsia="en-AU"/>
        </w:rPr>
        <w:t xml:space="preserve"> mus</w:t>
      </w:r>
      <w:r w:rsidR="00052FAD">
        <w:rPr>
          <w:rFonts w:ascii="Times New Roman" w:eastAsia="Times New Roman" w:hAnsi="Times New Roman"/>
          <w:sz w:val="24"/>
          <w:szCs w:val="24"/>
          <w:lang w:eastAsia="en-AU"/>
        </w:rPr>
        <w:t>t be calculated using Equation 8</w:t>
      </w:r>
      <w:r w:rsidRPr="000B1A2F">
        <w:rPr>
          <w:rFonts w:ascii="Times New Roman" w:eastAsia="Times New Roman" w:hAnsi="Times New Roman"/>
          <w:sz w:val="24"/>
          <w:szCs w:val="24"/>
          <w:lang w:eastAsia="en-AU"/>
        </w:rPr>
        <w:t>.</w:t>
      </w:r>
    </w:p>
    <w:p w:rsidR="000B1A2F" w:rsidRDefault="000B1A2F" w:rsidP="00986D81">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relevant FullCAM output is: ‘</w:t>
      </w:r>
      <w:r w:rsidRPr="0021677C">
        <w:rPr>
          <w:rFonts w:ascii="Times New Roman" w:eastAsia="Times New Roman" w:hAnsi="Times New Roman"/>
          <w:sz w:val="24"/>
          <w:szCs w:val="24"/>
          <w:lang w:eastAsia="en-AU"/>
        </w:rPr>
        <w:t xml:space="preserve">Whole / </w:t>
      </w:r>
      <w:r>
        <w:rPr>
          <w:rFonts w:ascii="Times New Roman" w:eastAsia="Times New Roman" w:hAnsi="Times New Roman"/>
          <w:sz w:val="24"/>
          <w:szCs w:val="24"/>
          <w:lang w:eastAsia="en-AU"/>
        </w:rPr>
        <w:t>Emissions</w:t>
      </w:r>
      <w:r w:rsidRPr="0021677C">
        <w:rPr>
          <w:rFonts w:ascii="Times New Roman" w:eastAsia="Times New Roman" w:hAnsi="Times New Roman"/>
          <w:sz w:val="24"/>
          <w:szCs w:val="24"/>
          <w:lang w:eastAsia="en-AU"/>
        </w:rPr>
        <w:t xml:space="preserve"> / </w:t>
      </w:r>
      <w:r>
        <w:rPr>
          <w:rFonts w:ascii="Times New Roman" w:eastAsia="Times New Roman" w:hAnsi="Times New Roman"/>
          <w:sz w:val="24"/>
          <w:szCs w:val="24"/>
          <w:lang w:eastAsia="en-AU"/>
        </w:rPr>
        <w:t>N2O</w:t>
      </w:r>
      <w:r w:rsidRPr="0021677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emitted due to fire’.</w:t>
      </w:r>
    </w:p>
    <w:p w:rsidR="00757239" w:rsidRDefault="000B1A2F" w:rsidP="00986D81">
      <w:pPr>
        <w:spacing w:after="120" w:line="240" w:lineRule="auto"/>
        <w:rPr>
          <w:rFonts w:ascii="Times New Roman" w:eastAsia="Times New Roman" w:hAnsi="Times New Roman"/>
          <w:sz w:val="24"/>
          <w:szCs w:val="24"/>
          <w:lang w:eastAsia="en-AU"/>
        </w:rPr>
      </w:pPr>
      <w:r w:rsidRPr="000B1A2F">
        <w:rPr>
          <w:rFonts w:ascii="Times New Roman" w:eastAsia="Times New Roman" w:hAnsi="Times New Roman"/>
          <w:sz w:val="24"/>
          <w:szCs w:val="24"/>
          <w:lang w:eastAsia="en-AU"/>
        </w:rPr>
        <w:t>T</w:t>
      </w:r>
      <w:r w:rsidR="00D91D89">
        <w:rPr>
          <w:rFonts w:ascii="Times New Roman" w:eastAsia="Times New Roman" w:hAnsi="Times New Roman"/>
          <w:sz w:val="24"/>
          <w:szCs w:val="24"/>
          <w:lang w:eastAsia="en-AU"/>
        </w:rPr>
        <w:t>he outcomes from Equations 7 and 8</w:t>
      </w:r>
      <w:r>
        <w:rPr>
          <w:rFonts w:ascii="Times New Roman" w:eastAsia="Times New Roman" w:hAnsi="Times New Roman"/>
          <w:sz w:val="24"/>
          <w:szCs w:val="24"/>
          <w:lang w:eastAsia="en-AU"/>
        </w:rPr>
        <w:t xml:space="preserve"> are then added together to determine t</w:t>
      </w:r>
      <w:r w:rsidRPr="000B1A2F">
        <w:rPr>
          <w:rFonts w:ascii="Times New Roman" w:eastAsia="Times New Roman" w:hAnsi="Times New Roman"/>
          <w:sz w:val="24"/>
          <w:szCs w:val="24"/>
          <w:lang w:eastAsia="en-AU"/>
        </w:rPr>
        <w:t xml:space="preserve">otal emissions due to biomass </w:t>
      </w:r>
      <w:r w:rsidR="00D91D89">
        <w:rPr>
          <w:rFonts w:ascii="Times New Roman" w:eastAsia="Times New Roman" w:hAnsi="Times New Roman"/>
          <w:sz w:val="24"/>
          <w:szCs w:val="24"/>
          <w:lang w:eastAsia="en-AU"/>
        </w:rPr>
        <w:t>burning for the baseline forecast period</w:t>
      </w:r>
      <w:r>
        <w:rPr>
          <w:rFonts w:ascii="Times New Roman" w:eastAsia="Times New Roman" w:hAnsi="Times New Roman"/>
          <w:sz w:val="24"/>
          <w:szCs w:val="24"/>
          <w:lang w:eastAsia="en-AU"/>
        </w:rPr>
        <w:t>.  This is c</w:t>
      </w:r>
      <w:r w:rsidRPr="000B1A2F">
        <w:rPr>
          <w:rFonts w:ascii="Times New Roman" w:eastAsia="Times New Roman" w:hAnsi="Times New Roman"/>
          <w:sz w:val="24"/>
          <w:szCs w:val="24"/>
          <w:lang w:eastAsia="en-AU"/>
        </w:rPr>
        <w:t xml:space="preserve">alculated using Equation </w:t>
      </w:r>
      <w:r w:rsidR="00D91D89">
        <w:rPr>
          <w:rFonts w:ascii="Times New Roman" w:eastAsia="Times New Roman" w:hAnsi="Times New Roman"/>
          <w:sz w:val="24"/>
          <w:szCs w:val="24"/>
          <w:lang w:eastAsia="en-AU"/>
        </w:rPr>
        <w:t>9</w:t>
      </w:r>
      <w:r w:rsidRPr="000B1A2F">
        <w:rPr>
          <w:rFonts w:ascii="Times New Roman" w:eastAsia="Times New Roman" w:hAnsi="Times New Roman"/>
          <w:sz w:val="24"/>
          <w:szCs w:val="24"/>
          <w:lang w:eastAsia="en-AU"/>
        </w:rPr>
        <w:t>.</w:t>
      </w:r>
    </w:p>
    <w:p w:rsidR="000B1A2F" w:rsidRPr="000B1A2F" w:rsidRDefault="00D91D89" w:rsidP="00CA5EAF">
      <w:pPr>
        <w:spacing w:after="120" w:line="240" w:lineRule="auto"/>
        <w:rPr>
          <w:rFonts w:ascii="Times New Roman" w:hAnsi="Times New Roman"/>
          <w:bCs/>
          <w:color w:val="000000" w:themeColor="text1"/>
          <w:sz w:val="24"/>
          <w:szCs w:val="24"/>
          <w:u w:val="single"/>
        </w:rPr>
      </w:pPr>
      <w:r w:rsidRPr="00757239">
        <w:rPr>
          <w:rFonts w:ascii="Times New Roman" w:eastAsia="Times New Roman" w:hAnsi="Times New Roman"/>
          <w:sz w:val="24"/>
          <w:szCs w:val="24"/>
          <w:u w:val="single"/>
          <w:lang w:eastAsia="en-AU"/>
        </w:rPr>
        <w:t>4.2</w:t>
      </w:r>
      <w:r w:rsidR="003D2B5F">
        <w:rPr>
          <w:rFonts w:ascii="Times New Roman" w:eastAsia="Times New Roman" w:hAnsi="Times New Roman"/>
          <w:sz w:val="24"/>
          <w:szCs w:val="24"/>
          <w:u w:val="single"/>
          <w:lang w:eastAsia="en-AU"/>
        </w:rPr>
        <w:t>8</w:t>
      </w:r>
      <w:r w:rsidRPr="00757239">
        <w:rPr>
          <w:rFonts w:ascii="Times New Roman" w:eastAsia="Times New Roman" w:hAnsi="Times New Roman"/>
          <w:sz w:val="24"/>
          <w:szCs w:val="24"/>
          <w:u w:val="single"/>
          <w:lang w:eastAsia="en-AU"/>
        </w:rPr>
        <w:tab/>
      </w:r>
      <w:r w:rsidR="000B1A2F" w:rsidRPr="000B1A2F">
        <w:rPr>
          <w:rFonts w:ascii="Times New Roman" w:hAnsi="Times New Roman"/>
          <w:bCs/>
          <w:color w:val="000000" w:themeColor="text1"/>
          <w:sz w:val="24"/>
          <w:szCs w:val="24"/>
          <w:u w:val="single"/>
        </w:rPr>
        <w:t>Calculat</w:t>
      </w:r>
      <w:r w:rsidR="000B1A2F">
        <w:rPr>
          <w:rFonts w:ascii="Times New Roman" w:hAnsi="Times New Roman"/>
          <w:bCs/>
          <w:color w:val="000000" w:themeColor="text1"/>
          <w:sz w:val="24"/>
          <w:szCs w:val="24"/>
          <w:u w:val="single"/>
        </w:rPr>
        <w:t>ing</w:t>
      </w:r>
      <w:r w:rsidR="000B1A2F" w:rsidRPr="000B1A2F">
        <w:rPr>
          <w:rFonts w:ascii="Times New Roman" w:hAnsi="Times New Roman"/>
          <w:bCs/>
          <w:color w:val="000000" w:themeColor="text1"/>
          <w:sz w:val="24"/>
          <w:szCs w:val="24"/>
          <w:u w:val="single"/>
        </w:rPr>
        <w:t xml:space="preserve"> emissions from fuel use</w:t>
      </w:r>
    </w:p>
    <w:p w:rsidR="000B1A2F" w:rsidRDefault="000B1A2F" w:rsidP="00986D81">
      <w:pPr>
        <w:spacing w:after="120" w:line="240" w:lineRule="auto"/>
        <w:ind w:right="237"/>
        <w:rPr>
          <w:rFonts w:ascii="Times New Roman" w:eastAsia="Times New Roman" w:hAnsi="Times New Roman"/>
          <w:sz w:val="24"/>
          <w:szCs w:val="24"/>
          <w:lang w:eastAsia="en-AU"/>
        </w:rPr>
      </w:pPr>
      <w:proofErr w:type="gramStart"/>
      <w:r w:rsidRPr="000B1A2F">
        <w:rPr>
          <w:rFonts w:ascii="Times New Roman" w:eastAsia="Times New Roman" w:hAnsi="Times New Roman"/>
          <w:sz w:val="24"/>
          <w:szCs w:val="24"/>
          <w:lang w:eastAsia="en-AU"/>
        </w:rPr>
        <w:t>Emissions from fuel use from the prev</w:t>
      </w:r>
      <w:r w:rsidR="00D91D89">
        <w:rPr>
          <w:rFonts w:ascii="Times New Roman" w:eastAsia="Times New Roman" w:hAnsi="Times New Roman"/>
          <w:sz w:val="24"/>
          <w:szCs w:val="24"/>
          <w:lang w:eastAsia="en-AU"/>
        </w:rPr>
        <w:t>ious reporting period to the last</w:t>
      </w:r>
      <w:r w:rsidRPr="000B1A2F">
        <w:rPr>
          <w:rFonts w:ascii="Times New Roman" w:eastAsia="Times New Roman" w:hAnsi="Times New Roman"/>
          <w:sz w:val="24"/>
          <w:szCs w:val="24"/>
          <w:lang w:eastAsia="en-AU"/>
        </w:rPr>
        <w:t xml:space="preserve"> month of the current reporting period must be calculated from raw data or from estimates for quantities and types of fuel used.</w:t>
      </w:r>
      <w:proofErr w:type="gramEnd"/>
      <w:r w:rsidRPr="000B1A2F">
        <w:rPr>
          <w:rFonts w:ascii="Times New Roman" w:eastAsia="Times New Roman" w:hAnsi="Times New Roman"/>
          <w:sz w:val="24"/>
          <w:szCs w:val="24"/>
          <w:lang w:eastAsia="en-AU"/>
        </w:rPr>
        <w:t xml:space="preserve">  The </w:t>
      </w:r>
      <w:r w:rsidR="00CD37C0">
        <w:rPr>
          <w:rFonts w:ascii="Times New Roman" w:eastAsia="Times New Roman" w:hAnsi="Times New Roman"/>
          <w:sz w:val="24"/>
          <w:szCs w:val="24"/>
          <w:lang w:eastAsia="en-AU"/>
        </w:rPr>
        <w:t xml:space="preserve">relevant </w:t>
      </w:r>
      <w:r w:rsidRPr="000B1A2F">
        <w:rPr>
          <w:rFonts w:ascii="Times New Roman" w:eastAsia="Times New Roman" w:hAnsi="Times New Roman"/>
          <w:sz w:val="24"/>
          <w:szCs w:val="24"/>
          <w:lang w:eastAsia="en-AU"/>
        </w:rPr>
        <w:t>calculation</w:t>
      </w:r>
      <w:r w:rsidR="00CD37C0">
        <w:rPr>
          <w:rFonts w:ascii="Times New Roman" w:eastAsia="Times New Roman" w:hAnsi="Times New Roman"/>
          <w:sz w:val="24"/>
          <w:szCs w:val="24"/>
          <w:lang w:eastAsia="en-AU"/>
        </w:rPr>
        <w:t>s</w:t>
      </w:r>
      <w:r w:rsidRPr="000B1A2F">
        <w:rPr>
          <w:rFonts w:ascii="Times New Roman" w:eastAsia="Times New Roman" w:hAnsi="Times New Roman"/>
          <w:sz w:val="24"/>
          <w:szCs w:val="24"/>
          <w:lang w:eastAsia="en-AU"/>
        </w:rPr>
        <w:t xml:space="preserve"> </w:t>
      </w:r>
      <w:r w:rsidR="00CD37C0">
        <w:rPr>
          <w:rFonts w:ascii="Times New Roman" w:eastAsia="Times New Roman" w:hAnsi="Times New Roman"/>
          <w:sz w:val="24"/>
          <w:szCs w:val="24"/>
          <w:lang w:eastAsia="en-AU"/>
        </w:rPr>
        <w:t>are</w:t>
      </w:r>
      <w:r w:rsidRPr="000B1A2F">
        <w:rPr>
          <w:rFonts w:ascii="Times New Roman" w:eastAsia="Times New Roman" w:hAnsi="Times New Roman"/>
          <w:sz w:val="24"/>
          <w:szCs w:val="24"/>
          <w:lang w:eastAsia="en-AU"/>
        </w:rPr>
        <w:t xml:space="preserve"> </w:t>
      </w:r>
      <w:r w:rsidR="00CD37C0">
        <w:rPr>
          <w:rFonts w:ascii="Times New Roman" w:eastAsia="Times New Roman" w:hAnsi="Times New Roman"/>
          <w:sz w:val="24"/>
          <w:szCs w:val="24"/>
          <w:lang w:eastAsia="en-AU"/>
        </w:rPr>
        <w:t>set out in section 4.2</w:t>
      </w:r>
      <w:r w:rsidR="00CA5EAF">
        <w:rPr>
          <w:rFonts w:ascii="Times New Roman" w:eastAsia="Times New Roman" w:hAnsi="Times New Roman"/>
          <w:sz w:val="24"/>
          <w:szCs w:val="24"/>
          <w:lang w:eastAsia="en-AU"/>
        </w:rPr>
        <w:t>8</w:t>
      </w:r>
      <w:r w:rsidRPr="000B1A2F">
        <w:rPr>
          <w:rFonts w:ascii="Times New Roman" w:eastAsia="Times New Roman" w:hAnsi="Times New Roman"/>
          <w:sz w:val="24"/>
          <w:szCs w:val="24"/>
          <w:lang w:eastAsia="en-AU"/>
        </w:rPr>
        <w:t xml:space="preserve"> and </w:t>
      </w:r>
      <w:r w:rsidR="00CD37C0">
        <w:rPr>
          <w:rFonts w:ascii="Times New Roman" w:eastAsia="Times New Roman" w:hAnsi="Times New Roman"/>
          <w:sz w:val="24"/>
          <w:szCs w:val="24"/>
          <w:lang w:eastAsia="en-AU"/>
        </w:rPr>
        <w:t xml:space="preserve">the relevant </w:t>
      </w:r>
      <w:r w:rsidRPr="000B1A2F">
        <w:rPr>
          <w:rFonts w:ascii="Times New Roman" w:eastAsia="Times New Roman" w:hAnsi="Times New Roman"/>
          <w:sz w:val="24"/>
          <w:szCs w:val="24"/>
          <w:lang w:eastAsia="en-AU"/>
        </w:rPr>
        <w:t xml:space="preserve">data collection </w:t>
      </w:r>
      <w:r w:rsidR="00CD37C0">
        <w:rPr>
          <w:rFonts w:ascii="Times New Roman" w:eastAsia="Times New Roman" w:hAnsi="Times New Roman"/>
          <w:sz w:val="24"/>
          <w:szCs w:val="24"/>
          <w:lang w:eastAsia="en-AU"/>
        </w:rPr>
        <w:t>rules</w:t>
      </w:r>
      <w:r w:rsidRPr="000B1A2F">
        <w:rPr>
          <w:rFonts w:ascii="Times New Roman" w:eastAsia="Times New Roman" w:hAnsi="Times New Roman"/>
          <w:sz w:val="24"/>
          <w:szCs w:val="24"/>
          <w:lang w:eastAsia="en-AU"/>
        </w:rPr>
        <w:t xml:space="preserve"> are </w:t>
      </w:r>
      <w:r w:rsidR="00CD37C0">
        <w:rPr>
          <w:rFonts w:ascii="Times New Roman" w:eastAsia="Times New Roman" w:hAnsi="Times New Roman"/>
          <w:sz w:val="24"/>
          <w:szCs w:val="24"/>
          <w:lang w:eastAsia="en-AU"/>
        </w:rPr>
        <w:t>set out</w:t>
      </w:r>
      <w:r w:rsidRPr="000B1A2F">
        <w:rPr>
          <w:rFonts w:ascii="Times New Roman" w:eastAsia="Times New Roman" w:hAnsi="Times New Roman"/>
          <w:sz w:val="24"/>
          <w:szCs w:val="24"/>
          <w:lang w:eastAsia="en-AU"/>
        </w:rPr>
        <w:t xml:space="preserve"> in </w:t>
      </w:r>
      <w:r w:rsidR="003D2B5F" w:rsidRPr="00AA4F7E">
        <w:rPr>
          <w:rFonts w:ascii="Times New Roman" w:eastAsia="Times New Roman" w:hAnsi="Times New Roman"/>
          <w:sz w:val="24"/>
          <w:szCs w:val="24"/>
          <w:lang w:eastAsia="en-AU"/>
        </w:rPr>
        <w:t>Division 4.</w:t>
      </w:r>
      <w:r w:rsidR="00CA5EAF">
        <w:rPr>
          <w:rFonts w:ascii="Times New Roman" w:eastAsia="Times New Roman" w:hAnsi="Times New Roman"/>
          <w:sz w:val="24"/>
          <w:szCs w:val="24"/>
          <w:lang w:eastAsia="en-AU"/>
        </w:rPr>
        <w:t>7</w:t>
      </w:r>
      <w:r w:rsidRPr="000B1A2F">
        <w:rPr>
          <w:rFonts w:ascii="Times New Roman" w:eastAsia="Times New Roman" w:hAnsi="Times New Roman"/>
          <w:sz w:val="24"/>
          <w:szCs w:val="24"/>
          <w:lang w:eastAsia="en-AU"/>
        </w:rPr>
        <w:t xml:space="preserve">.  </w:t>
      </w:r>
    </w:p>
    <w:p w:rsidR="00052FAD" w:rsidRDefault="006A3C84" w:rsidP="00986D81">
      <w:pPr>
        <w:spacing w:after="120" w:line="240" w:lineRule="auto"/>
        <w:rPr>
          <w:rFonts w:ascii="Times New Roman" w:hAnsi="Times New Roman"/>
          <w:color w:val="000000" w:themeColor="text1"/>
          <w:sz w:val="24"/>
          <w:szCs w:val="24"/>
        </w:rPr>
      </w:pPr>
      <w:r w:rsidRPr="006A3C84">
        <w:rPr>
          <w:rFonts w:ascii="Times New Roman" w:hAnsi="Times New Roman"/>
          <w:color w:val="000000" w:themeColor="text1"/>
          <w:sz w:val="24"/>
          <w:szCs w:val="24"/>
        </w:rPr>
        <w:t>The project emissions in</w:t>
      </w:r>
      <w:r w:rsidR="00F16085">
        <w:rPr>
          <w:rFonts w:ascii="Times New Roman" w:hAnsi="Times New Roman"/>
          <w:color w:val="000000" w:themeColor="text1"/>
          <w:sz w:val="24"/>
          <w:szCs w:val="24"/>
        </w:rPr>
        <w:t xml:space="preserve"> tonnes of</w:t>
      </w:r>
      <w:r w:rsidRPr="006A3C84">
        <w:rPr>
          <w:rFonts w:ascii="Times New Roman" w:hAnsi="Times New Roman"/>
          <w:color w:val="000000" w:themeColor="text1"/>
          <w:sz w:val="24"/>
          <w:szCs w:val="24"/>
        </w:rPr>
        <w:t xml:space="preserve"> CO</w:t>
      </w:r>
      <w:r w:rsidRPr="006A3C84">
        <w:rPr>
          <w:rFonts w:ascii="Times New Roman" w:hAnsi="Times New Roman"/>
          <w:color w:val="000000" w:themeColor="text1"/>
          <w:sz w:val="24"/>
          <w:szCs w:val="24"/>
          <w:vertAlign w:val="subscript"/>
        </w:rPr>
        <w:t>2</w:t>
      </w:r>
      <w:r w:rsidRPr="006A3C84">
        <w:rPr>
          <w:rFonts w:ascii="Times New Roman" w:hAnsi="Times New Roman"/>
          <w:color w:val="000000" w:themeColor="text1"/>
          <w:sz w:val="24"/>
          <w:szCs w:val="24"/>
        </w:rPr>
        <w:t>-e for the project for a reporting period is the sum of the total emissions due to biomass burn</w:t>
      </w:r>
      <w:r w:rsidR="00D91D89">
        <w:rPr>
          <w:rFonts w:ascii="Times New Roman" w:hAnsi="Times New Roman"/>
          <w:color w:val="000000" w:themeColor="text1"/>
          <w:sz w:val="24"/>
          <w:szCs w:val="24"/>
        </w:rPr>
        <w:t xml:space="preserve">ing (calculated using Equation </w:t>
      </w:r>
      <w:r w:rsidR="00CA5EAF">
        <w:rPr>
          <w:rFonts w:ascii="Times New Roman" w:hAnsi="Times New Roman"/>
          <w:color w:val="000000" w:themeColor="text1"/>
          <w:sz w:val="24"/>
          <w:szCs w:val="24"/>
        </w:rPr>
        <w:t>9</w:t>
      </w:r>
      <w:r w:rsidRPr="006A3C84">
        <w:rPr>
          <w:rFonts w:ascii="Times New Roman" w:hAnsi="Times New Roman"/>
          <w:color w:val="000000" w:themeColor="text1"/>
          <w:sz w:val="24"/>
          <w:szCs w:val="24"/>
        </w:rPr>
        <w:t xml:space="preserve">) and the total emissions from fuel </w:t>
      </w:r>
      <w:r w:rsidR="00D91D89">
        <w:rPr>
          <w:rFonts w:ascii="Times New Roman" w:hAnsi="Times New Roman"/>
          <w:color w:val="000000" w:themeColor="text1"/>
          <w:sz w:val="24"/>
          <w:szCs w:val="24"/>
        </w:rPr>
        <w:t>u</w:t>
      </w:r>
      <w:r w:rsidR="003D2B5F">
        <w:rPr>
          <w:rFonts w:ascii="Times New Roman" w:hAnsi="Times New Roman"/>
          <w:color w:val="000000" w:themeColor="text1"/>
          <w:sz w:val="24"/>
          <w:szCs w:val="24"/>
        </w:rPr>
        <w:t>se (calculated using Equation 1</w:t>
      </w:r>
      <w:r w:rsidR="00CA5EAF">
        <w:rPr>
          <w:rFonts w:ascii="Times New Roman" w:hAnsi="Times New Roman"/>
          <w:color w:val="000000" w:themeColor="text1"/>
          <w:sz w:val="24"/>
          <w:szCs w:val="24"/>
        </w:rPr>
        <w:t>1</w:t>
      </w:r>
      <w:r w:rsidRPr="006A3C84">
        <w:rPr>
          <w:rFonts w:ascii="Times New Roman" w:hAnsi="Times New Roman"/>
          <w:color w:val="000000" w:themeColor="text1"/>
          <w:sz w:val="24"/>
          <w:szCs w:val="24"/>
        </w:rPr>
        <w:t>).</w:t>
      </w:r>
    </w:p>
    <w:p w:rsidR="006A3C84" w:rsidRPr="006A3C84" w:rsidRDefault="006A3C84" w:rsidP="00986D81">
      <w:pPr>
        <w:spacing w:after="120" w:line="240" w:lineRule="auto"/>
        <w:rPr>
          <w:rFonts w:ascii="Times New Roman" w:hAnsi="Times New Roman"/>
          <w:color w:val="000000" w:themeColor="text1"/>
          <w:sz w:val="24"/>
          <w:szCs w:val="24"/>
        </w:rPr>
      </w:pPr>
    </w:p>
    <w:p w:rsidR="00D26FD2" w:rsidRPr="00D26FD2" w:rsidRDefault="00D26FD2" w:rsidP="00986D81">
      <w:pPr>
        <w:spacing w:after="120" w:line="240" w:lineRule="auto"/>
        <w:rPr>
          <w:color w:val="000000" w:themeColor="text1"/>
          <w:sz w:val="24"/>
          <w:szCs w:val="24"/>
        </w:rPr>
      </w:pPr>
      <w:r w:rsidRPr="00D26FD2">
        <w:rPr>
          <w:rFonts w:ascii="Times New Roman" w:hAnsi="Times New Roman"/>
          <w:b/>
          <w:color w:val="000000" w:themeColor="text1"/>
          <w:sz w:val="24"/>
          <w:szCs w:val="24"/>
        </w:rPr>
        <w:t>Division 4.</w:t>
      </w:r>
      <w:r w:rsidR="00CA5EAF">
        <w:rPr>
          <w:rFonts w:ascii="Times New Roman" w:hAnsi="Times New Roman"/>
          <w:b/>
          <w:color w:val="000000" w:themeColor="text1"/>
          <w:sz w:val="24"/>
          <w:szCs w:val="24"/>
        </w:rPr>
        <w:t>6</w:t>
      </w:r>
      <w:r w:rsidRPr="00D26FD2">
        <w:rPr>
          <w:rFonts w:ascii="Times New Roman" w:hAnsi="Times New Roman"/>
          <w:b/>
          <w:color w:val="000000" w:themeColor="text1"/>
          <w:sz w:val="24"/>
          <w:szCs w:val="24"/>
        </w:rPr>
        <w:tab/>
        <w:t>Calculat</w:t>
      </w:r>
      <w:r>
        <w:rPr>
          <w:rFonts w:ascii="Times New Roman" w:hAnsi="Times New Roman"/>
          <w:b/>
          <w:color w:val="000000" w:themeColor="text1"/>
          <w:sz w:val="24"/>
          <w:szCs w:val="24"/>
        </w:rPr>
        <w:t>ion of</w:t>
      </w:r>
      <w:r w:rsidRPr="00D26FD2">
        <w:rPr>
          <w:rFonts w:ascii="Times New Roman" w:hAnsi="Times New Roman"/>
          <w:b/>
          <w:color w:val="000000" w:themeColor="text1"/>
          <w:sz w:val="24"/>
          <w:szCs w:val="24"/>
        </w:rPr>
        <w:t xml:space="preserve"> the carbon dioxide equivalent net abatement amount</w:t>
      </w:r>
    </w:p>
    <w:p w:rsidR="00637F76" w:rsidRPr="00637F76" w:rsidRDefault="00637F76" w:rsidP="00986D81">
      <w:pPr>
        <w:keepNext/>
        <w:spacing w:after="120" w:line="240" w:lineRule="auto"/>
        <w:ind w:left="709" w:hanging="709"/>
        <w:rPr>
          <w:rFonts w:ascii="Times New Roman" w:hAnsi="Times New Roman"/>
          <w:bCs/>
          <w:color w:val="000000" w:themeColor="text1"/>
          <w:sz w:val="24"/>
          <w:szCs w:val="24"/>
          <w:u w:val="single"/>
        </w:rPr>
      </w:pPr>
      <w:r w:rsidRPr="00637F76">
        <w:rPr>
          <w:rFonts w:ascii="Times New Roman" w:hAnsi="Times New Roman"/>
          <w:bCs/>
          <w:color w:val="000000" w:themeColor="text1"/>
          <w:sz w:val="24"/>
          <w:szCs w:val="24"/>
          <w:u w:val="single"/>
        </w:rPr>
        <w:t>4.</w:t>
      </w:r>
      <w:r w:rsidR="00CA5EAF">
        <w:rPr>
          <w:rFonts w:ascii="Times New Roman" w:hAnsi="Times New Roman"/>
          <w:bCs/>
          <w:color w:val="000000" w:themeColor="text1"/>
          <w:sz w:val="24"/>
          <w:szCs w:val="24"/>
          <w:u w:val="single"/>
        </w:rPr>
        <w:t>2</w:t>
      </w:r>
      <w:r w:rsidR="00EA1574">
        <w:rPr>
          <w:rFonts w:ascii="Times New Roman" w:hAnsi="Times New Roman"/>
          <w:bCs/>
          <w:color w:val="000000" w:themeColor="text1"/>
          <w:sz w:val="24"/>
          <w:szCs w:val="24"/>
          <w:u w:val="single"/>
        </w:rPr>
        <w:t>9</w:t>
      </w:r>
      <w:r w:rsidRPr="00637F76">
        <w:rPr>
          <w:rFonts w:ascii="Times New Roman" w:hAnsi="Times New Roman"/>
          <w:bCs/>
          <w:color w:val="000000" w:themeColor="text1"/>
          <w:sz w:val="24"/>
          <w:szCs w:val="24"/>
          <w:u w:val="single"/>
        </w:rPr>
        <w:t xml:space="preserve"> </w:t>
      </w:r>
      <w:r w:rsidRPr="00637F76">
        <w:rPr>
          <w:rFonts w:ascii="Times New Roman" w:hAnsi="Times New Roman"/>
          <w:bCs/>
          <w:color w:val="000000" w:themeColor="text1"/>
          <w:sz w:val="24"/>
          <w:szCs w:val="24"/>
          <w:u w:val="single"/>
        </w:rPr>
        <w:tab/>
        <w:t xml:space="preserve">Calculating the carbon dioxide equivalent net abatement amount for a project </w:t>
      </w:r>
    </w:p>
    <w:p w:rsidR="00637F76" w:rsidRPr="00637F76" w:rsidRDefault="00637F76" w:rsidP="00986D81">
      <w:pPr>
        <w:spacing w:after="120" w:line="240" w:lineRule="auto"/>
        <w:rPr>
          <w:rFonts w:ascii="Times New Roman" w:eastAsia="Times New Roman" w:hAnsi="Times New Roman"/>
          <w:sz w:val="24"/>
          <w:szCs w:val="24"/>
          <w:lang w:eastAsia="en-AU"/>
        </w:rPr>
      </w:pPr>
      <w:r w:rsidRPr="00637F76">
        <w:rPr>
          <w:rFonts w:ascii="Times New Roman" w:eastAsia="Times New Roman" w:hAnsi="Times New Roman"/>
          <w:sz w:val="24"/>
          <w:szCs w:val="24"/>
          <w:lang w:eastAsia="en-AU"/>
        </w:rPr>
        <w:t xml:space="preserve">The carbon dioxide equivalent net abatement amount for an offsets project to which </w:t>
      </w:r>
      <w:r>
        <w:rPr>
          <w:rFonts w:ascii="Times New Roman" w:eastAsia="Times New Roman" w:hAnsi="Times New Roman"/>
          <w:sz w:val="24"/>
          <w:szCs w:val="24"/>
          <w:lang w:eastAsia="en-AU"/>
        </w:rPr>
        <w:t>the Determination</w:t>
      </w:r>
      <w:r w:rsidRPr="00637F76">
        <w:rPr>
          <w:rFonts w:ascii="Times New Roman" w:eastAsia="Times New Roman" w:hAnsi="Times New Roman"/>
          <w:sz w:val="24"/>
          <w:szCs w:val="24"/>
          <w:lang w:eastAsia="en-AU"/>
        </w:rPr>
        <w:t xml:space="preserve"> applies must be calculated using Equation </w:t>
      </w:r>
      <w:r w:rsidR="00D91D89">
        <w:rPr>
          <w:rFonts w:ascii="Times New Roman" w:eastAsia="Times New Roman" w:hAnsi="Times New Roman"/>
          <w:sz w:val="24"/>
          <w:szCs w:val="24"/>
          <w:lang w:eastAsia="en-AU"/>
        </w:rPr>
        <w:t>1</w:t>
      </w:r>
      <w:r w:rsidR="00CA5EAF">
        <w:rPr>
          <w:rFonts w:ascii="Times New Roman" w:eastAsia="Times New Roman" w:hAnsi="Times New Roman"/>
          <w:sz w:val="24"/>
          <w:szCs w:val="24"/>
          <w:lang w:eastAsia="en-AU"/>
        </w:rPr>
        <w:t>2</w:t>
      </w:r>
      <w:r w:rsidRPr="00637F76">
        <w:rPr>
          <w:rFonts w:ascii="Times New Roman" w:eastAsia="Times New Roman" w:hAnsi="Times New Roman"/>
          <w:sz w:val="24"/>
          <w:szCs w:val="24"/>
          <w:lang w:eastAsia="en-AU"/>
        </w:rPr>
        <w:t>.</w:t>
      </w:r>
    </w:p>
    <w:p w:rsidR="00757239" w:rsidRDefault="00D91D89" w:rsidP="00986D81">
      <w:pPr>
        <w:spacing w:after="120" w:line="240" w:lineRule="auto"/>
        <w:rPr>
          <w:rFonts w:ascii="Times New Roman" w:eastAsia="Times New Roman" w:hAnsi="Times New Roman"/>
          <w:sz w:val="24"/>
          <w:szCs w:val="24"/>
          <w:lang w:eastAsia="en-AU"/>
        </w:rPr>
      </w:pPr>
      <w:r w:rsidRPr="00EA1574">
        <w:rPr>
          <w:rFonts w:ascii="Times New Roman" w:eastAsia="Times New Roman" w:hAnsi="Times New Roman"/>
          <w:sz w:val="24"/>
          <w:szCs w:val="24"/>
          <w:lang w:eastAsia="en-AU"/>
        </w:rPr>
        <w:t>If Equation 1</w:t>
      </w:r>
      <w:r w:rsidR="00CA5EAF" w:rsidRPr="00EA1574">
        <w:rPr>
          <w:rFonts w:ascii="Times New Roman" w:eastAsia="Times New Roman" w:hAnsi="Times New Roman"/>
          <w:sz w:val="24"/>
          <w:szCs w:val="24"/>
          <w:lang w:eastAsia="en-AU"/>
        </w:rPr>
        <w:t>2</w:t>
      </w:r>
      <w:r w:rsidR="00637F76" w:rsidRPr="00EA1574">
        <w:rPr>
          <w:rFonts w:ascii="Times New Roman" w:eastAsia="Times New Roman" w:hAnsi="Times New Roman"/>
          <w:sz w:val="24"/>
          <w:szCs w:val="24"/>
          <w:lang w:eastAsia="en-AU"/>
        </w:rPr>
        <w:t xml:space="preserve"> results in a negative value</w:t>
      </w:r>
      <w:r w:rsidR="009B2334" w:rsidRPr="00EA1574">
        <w:rPr>
          <w:rFonts w:ascii="Times New Roman" w:eastAsia="Times New Roman" w:hAnsi="Times New Roman"/>
          <w:sz w:val="24"/>
          <w:szCs w:val="24"/>
          <w:lang w:eastAsia="en-AU"/>
        </w:rPr>
        <w:t xml:space="preserve"> for a reporting period</w:t>
      </w:r>
      <w:r w:rsidR="00F16085">
        <w:rPr>
          <w:rFonts w:ascii="Times New Roman" w:eastAsia="Times New Roman" w:hAnsi="Times New Roman"/>
          <w:sz w:val="24"/>
          <w:szCs w:val="24"/>
          <w:lang w:eastAsia="en-AU"/>
        </w:rPr>
        <w:t>, the</w:t>
      </w:r>
      <w:r w:rsidR="00637F76" w:rsidRPr="00EA1574">
        <w:rPr>
          <w:rFonts w:ascii="Times New Roman" w:eastAsia="Times New Roman" w:hAnsi="Times New Roman"/>
          <w:sz w:val="24"/>
          <w:szCs w:val="24"/>
          <w:lang w:eastAsia="en-AU"/>
        </w:rPr>
        <w:t xml:space="preserve"> net abatement</w:t>
      </w:r>
      <w:r w:rsidR="00F16085">
        <w:rPr>
          <w:rFonts w:ascii="Times New Roman" w:eastAsia="Times New Roman" w:hAnsi="Times New Roman"/>
          <w:sz w:val="24"/>
          <w:szCs w:val="24"/>
          <w:lang w:eastAsia="en-AU"/>
        </w:rPr>
        <w:t xml:space="preserve"> from the project</w:t>
      </w:r>
      <w:r w:rsidR="00637F76" w:rsidRPr="00EA1574">
        <w:rPr>
          <w:rFonts w:ascii="Times New Roman" w:eastAsia="Times New Roman" w:hAnsi="Times New Roman"/>
          <w:sz w:val="24"/>
          <w:szCs w:val="24"/>
          <w:lang w:eastAsia="en-AU"/>
        </w:rPr>
        <w:t xml:space="preserve"> will be insufficient for further ACCUs to be issued.</w:t>
      </w:r>
      <w:r w:rsidR="00875F10" w:rsidRPr="00E352EC">
        <w:rPr>
          <w:rFonts w:ascii="Times New Roman" w:eastAsia="Times New Roman" w:hAnsi="Times New Roman"/>
          <w:sz w:val="24"/>
          <w:szCs w:val="24"/>
          <w:highlight w:val="yellow"/>
          <w:lang w:eastAsia="en-AU"/>
        </w:rPr>
        <w:t xml:space="preserve"> </w:t>
      </w:r>
    </w:p>
    <w:p w:rsidR="00496E0E" w:rsidRPr="00637F76" w:rsidRDefault="00496E0E" w:rsidP="00986D81">
      <w:pPr>
        <w:spacing w:after="120" w:line="240" w:lineRule="auto"/>
        <w:rPr>
          <w:rFonts w:ascii="Times New Roman" w:eastAsia="Times New Roman" w:hAnsi="Times New Roman"/>
          <w:sz w:val="24"/>
          <w:szCs w:val="24"/>
          <w:lang w:eastAsia="en-AU"/>
        </w:rPr>
      </w:pPr>
    </w:p>
    <w:p w:rsidR="006A3C84" w:rsidRPr="00D26FD2" w:rsidRDefault="006A3C84" w:rsidP="00986D81">
      <w:pPr>
        <w:spacing w:after="120" w:line="240" w:lineRule="auto"/>
        <w:rPr>
          <w:color w:val="000000" w:themeColor="text1"/>
          <w:sz w:val="24"/>
          <w:szCs w:val="24"/>
        </w:rPr>
      </w:pPr>
      <w:r w:rsidRPr="00D26FD2">
        <w:rPr>
          <w:rFonts w:ascii="Times New Roman" w:hAnsi="Times New Roman"/>
          <w:b/>
          <w:color w:val="000000" w:themeColor="text1"/>
          <w:sz w:val="24"/>
          <w:szCs w:val="24"/>
        </w:rPr>
        <w:t>Division 4.</w:t>
      </w:r>
      <w:r w:rsidR="00CA5EAF">
        <w:rPr>
          <w:rFonts w:ascii="Times New Roman" w:hAnsi="Times New Roman"/>
          <w:b/>
          <w:color w:val="000000" w:themeColor="text1"/>
          <w:sz w:val="24"/>
          <w:szCs w:val="24"/>
        </w:rPr>
        <w:t>7</w:t>
      </w:r>
      <w:r w:rsidRPr="00D26FD2">
        <w:rPr>
          <w:rFonts w:ascii="Times New Roman" w:hAnsi="Times New Roman"/>
          <w:b/>
          <w:color w:val="000000" w:themeColor="text1"/>
          <w:sz w:val="24"/>
          <w:szCs w:val="24"/>
        </w:rPr>
        <w:tab/>
      </w:r>
      <w:r>
        <w:rPr>
          <w:rFonts w:ascii="Times New Roman" w:hAnsi="Times New Roman"/>
          <w:b/>
          <w:color w:val="000000" w:themeColor="text1"/>
          <w:sz w:val="24"/>
          <w:szCs w:val="24"/>
        </w:rPr>
        <w:t>Data collection</w:t>
      </w:r>
    </w:p>
    <w:p w:rsidR="006A3C84" w:rsidRPr="00637F76" w:rsidRDefault="006A3C84" w:rsidP="00986D81">
      <w:pPr>
        <w:keepNext/>
        <w:spacing w:after="120" w:line="240" w:lineRule="auto"/>
        <w:ind w:left="709" w:hanging="709"/>
        <w:rPr>
          <w:rFonts w:ascii="Times New Roman" w:hAnsi="Times New Roman"/>
          <w:bCs/>
          <w:color w:val="000000" w:themeColor="text1"/>
          <w:sz w:val="24"/>
          <w:szCs w:val="24"/>
          <w:u w:val="single"/>
        </w:rPr>
      </w:pPr>
      <w:r w:rsidRPr="00637F76">
        <w:rPr>
          <w:rFonts w:ascii="Times New Roman" w:hAnsi="Times New Roman"/>
          <w:bCs/>
          <w:color w:val="000000" w:themeColor="text1"/>
          <w:sz w:val="24"/>
          <w:szCs w:val="24"/>
          <w:u w:val="single"/>
        </w:rPr>
        <w:t>4.</w:t>
      </w:r>
      <w:r w:rsidR="00496E0E">
        <w:rPr>
          <w:rFonts w:ascii="Times New Roman" w:hAnsi="Times New Roman"/>
          <w:bCs/>
          <w:color w:val="000000" w:themeColor="text1"/>
          <w:sz w:val="24"/>
          <w:szCs w:val="24"/>
          <w:u w:val="single"/>
        </w:rPr>
        <w:t>3</w:t>
      </w:r>
      <w:r w:rsidR="00CA5EAF">
        <w:rPr>
          <w:rFonts w:ascii="Times New Roman" w:hAnsi="Times New Roman"/>
          <w:bCs/>
          <w:color w:val="000000" w:themeColor="text1"/>
          <w:sz w:val="24"/>
          <w:szCs w:val="24"/>
          <w:u w:val="single"/>
        </w:rPr>
        <w:t>0</w:t>
      </w:r>
      <w:r w:rsidRPr="00637F76">
        <w:rPr>
          <w:rFonts w:ascii="Times New Roman" w:hAnsi="Times New Roman"/>
          <w:bCs/>
          <w:color w:val="000000" w:themeColor="text1"/>
          <w:sz w:val="24"/>
          <w:szCs w:val="24"/>
          <w:u w:val="single"/>
        </w:rPr>
        <w:t xml:space="preserve"> </w:t>
      </w:r>
      <w:r w:rsidRPr="00637F76">
        <w:rPr>
          <w:rFonts w:ascii="Times New Roman" w:hAnsi="Times New Roman"/>
          <w:bCs/>
          <w:color w:val="000000" w:themeColor="text1"/>
          <w:sz w:val="24"/>
          <w:szCs w:val="24"/>
          <w:u w:val="single"/>
        </w:rPr>
        <w:tab/>
      </w:r>
      <w:proofErr w:type="spellStart"/>
      <w:r>
        <w:rPr>
          <w:rFonts w:ascii="Times New Roman" w:hAnsi="Times New Roman"/>
          <w:bCs/>
          <w:color w:val="000000" w:themeColor="text1"/>
          <w:sz w:val="24"/>
          <w:szCs w:val="24"/>
          <w:u w:val="single"/>
        </w:rPr>
        <w:t>FullCAM</w:t>
      </w:r>
      <w:proofErr w:type="spellEnd"/>
      <w:r>
        <w:rPr>
          <w:rFonts w:ascii="Times New Roman" w:hAnsi="Times New Roman"/>
          <w:bCs/>
          <w:color w:val="000000" w:themeColor="text1"/>
          <w:sz w:val="24"/>
          <w:szCs w:val="24"/>
          <w:u w:val="single"/>
        </w:rPr>
        <w:t xml:space="preserve"> inputs</w:t>
      </w:r>
      <w:r w:rsidRPr="00637F76">
        <w:rPr>
          <w:rFonts w:ascii="Times New Roman" w:hAnsi="Times New Roman"/>
          <w:bCs/>
          <w:color w:val="000000" w:themeColor="text1"/>
          <w:sz w:val="24"/>
          <w:szCs w:val="24"/>
          <w:u w:val="single"/>
        </w:rPr>
        <w:t xml:space="preserve"> </w:t>
      </w:r>
    </w:p>
    <w:p w:rsidR="006A3C84" w:rsidRPr="006A3C84" w:rsidRDefault="006A3C84" w:rsidP="00986D81">
      <w:pPr>
        <w:spacing w:after="120" w:line="240" w:lineRule="auto"/>
        <w:rPr>
          <w:rFonts w:ascii="Times New Roman" w:eastAsia="Times New Roman" w:hAnsi="Times New Roman"/>
          <w:sz w:val="24"/>
          <w:szCs w:val="24"/>
          <w:lang w:eastAsia="en-AU"/>
        </w:rPr>
      </w:pPr>
      <w:r w:rsidRPr="006A3C84">
        <w:rPr>
          <w:rFonts w:ascii="Times New Roman" w:eastAsia="Times New Roman" w:hAnsi="Times New Roman"/>
          <w:sz w:val="24"/>
          <w:szCs w:val="24"/>
          <w:lang w:eastAsia="en-AU"/>
        </w:rPr>
        <w:t>Project proponents must collect area and point location (latitude and longitude) data for each carbon estimation area as specified in subsection 4.</w:t>
      </w:r>
      <w:r w:rsidR="007549D6">
        <w:rPr>
          <w:rFonts w:ascii="Times New Roman" w:eastAsia="Times New Roman" w:hAnsi="Times New Roman"/>
          <w:sz w:val="24"/>
          <w:szCs w:val="24"/>
          <w:lang w:eastAsia="en-AU"/>
        </w:rPr>
        <w:t>3</w:t>
      </w:r>
      <w:r w:rsidR="00CA5EAF">
        <w:rPr>
          <w:rFonts w:ascii="Times New Roman" w:eastAsia="Times New Roman" w:hAnsi="Times New Roman"/>
          <w:sz w:val="24"/>
          <w:szCs w:val="24"/>
          <w:lang w:eastAsia="en-AU"/>
        </w:rPr>
        <w:t>0</w:t>
      </w:r>
      <w:r w:rsidRPr="006A3C84">
        <w:rPr>
          <w:rFonts w:ascii="Times New Roman" w:eastAsia="Times New Roman" w:hAnsi="Times New Roman"/>
          <w:sz w:val="24"/>
          <w:szCs w:val="24"/>
          <w:lang w:eastAsia="en-AU"/>
        </w:rPr>
        <w:t xml:space="preserve">(1). </w:t>
      </w:r>
    </w:p>
    <w:p w:rsidR="00637F76" w:rsidRPr="0061659C" w:rsidRDefault="006A3C84" w:rsidP="00986D81">
      <w:pPr>
        <w:spacing w:after="120" w:line="240" w:lineRule="auto"/>
        <w:rPr>
          <w:rFonts w:ascii="Times New Roman" w:eastAsia="Times New Roman" w:hAnsi="Times New Roman"/>
          <w:sz w:val="24"/>
          <w:szCs w:val="24"/>
          <w:lang w:eastAsia="en-AU"/>
        </w:rPr>
      </w:pPr>
      <w:r w:rsidRPr="0061659C">
        <w:rPr>
          <w:rFonts w:ascii="Times New Roman" w:eastAsia="Times New Roman" w:hAnsi="Times New Roman"/>
          <w:sz w:val="24"/>
          <w:szCs w:val="24"/>
          <w:lang w:eastAsia="en-AU"/>
        </w:rPr>
        <w:t xml:space="preserve">Data and information regarding management and disturbance events must be entered into FullCAM to generate estimates for each </w:t>
      </w:r>
      <w:r w:rsidR="0061659C" w:rsidRPr="0061659C">
        <w:rPr>
          <w:rFonts w:ascii="Times New Roman" w:eastAsia="Times New Roman" w:hAnsi="Times New Roman"/>
          <w:sz w:val="24"/>
          <w:szCs w:val="24"/>
          <w:lang w:eastAsia="en-AU"/>
        </w:rPr>
        <w:t>carbon estimation area.</w:t>
      </w:r>
      <w:r w:rsidRPr="0061659C">
        <w:rPr>
          <w:rFonts w:ascii="Times New Roman" w:eastAsia="Times New Roman" w:hAnsi="Times New Roman"/>
          <w:sz w:val="24"/>
          <w:szCs w:val="24"/>
          <w:lang w:eastAsia="en-AU"/>
        </w:rPr>
        <w:t xml:space="preserve">  Further guidance on how FullCAM should be used for </w:t>
      </w:r>
      <w:r w:rsidR="0061659C" w:rsidRPr="0061659C">
        <w:rPr>
          <w:rFonts w:ascii="Times New Roman" w:eastAsia="Times New Roman" w:hAnsi="Times New Roman"/>
          <w:sz w:val="24"/>
          <w:szCs w:val="24"/>
          <w:lang w:eastAsia="en-AU"/>
        </w:rPr>
        <w:t>the Determination</w:t>
      </w:r>
      <w:r w:rsidRPr="0061659C">
        <w:rPr>
          <w:rFonts w:ascii="Times New Roman" w:eastAsia="Times New Roman" w:hAnsi="Times New Roman"/>
          <w:sz w:val="24"/>
          <w:szCs w:val="24"/>
          <w:lang w:eastAsia="en-AU"/>
        </w:rPr>
        <w:t xml:space="preserve"> is provided in </w:t>
      </w:r>
      <w:r w:rsidR="0061659C" w:rsidRPr="0061659C">
        <w:rPr>
          <w:rFonts w:ascii="Times New Roman" w:eastAsia="Times New Roman" w:hAnsi="Times New Roman"/>
          <w:sz w:val="24"/>
          <w:szCs w:val="24"/>
          <w:lang w:eastAsia="en-AU"/>
        </w:rPr>
        <w:t>the FullCAM Guidelines.</w:t>
      </w:r>
    </w:p>
    <w:p w:rsidR="006A3C84" w:rsidRPr="0061659C" w:rsidRDefault="0061659C" w:rsidP="00986D81">
      <w:pPr>
        <w:spacing w:after="120" w:line="240" w:lineRule="auto"/>
        <w:rPr>
          <w:rFonts w:ascii="Times New Roman" w:hAnsi="Times New Roman"/>
          <w:color w:val="000000" w:themeColor="text1"/>
          <w:sz w:val="24"/>
          <w:szCs w:val="24"/>
          <w:u w:val="single"/>
        </w:rPr>
      </w:pPr>
      <w:r w:rsidRPr="0061659C">
        <w:rPr>
          <w:rFonts w:ascii="Times New Roman" w:hAnsi="Times New Roman"/>
          <w:color w:val="000000" w:themeColor="text1"/>
          <w:sz w:val="24"/>
          <w:szCs w:val="24"/>
          <w:u w:val="single"/>
        </w:rPr>
        <w:t>4.</w:t>
      </w:r>
      <w:r w:rsidR="007549D6">
        <w:rPr>
          <w:rFonts w:ascii="Times New Roman" w:hAnsi="Times New Roman"/>
          <w:color w:val="000000" w:themeColor="text1"/>
          <w:sz w:val="24"/>
          <w:szCs w:val="24"/>
          <w:u w:val="single"/>
        </w:rPr>
        <w:t>3</w:t>
      </w:r>
      <w:r w:rsidR="00CA5EAF">
        <w:rPr>
          <w:rFonts w:ascii="Times New Roman" w:hAnsi="Times New Roman"/>
          <w:color w:val="000000" w:themeColor="text1"/>
          <w:sz w:val="24"/>
          <w:szCs w:val="24"/>
          <w:u w:val="single"/>
        </w:rPr>
        <w:t>1</w:t>
      </w:r>
      <w:r w:rsidRPr="0061659C">
        <w:rPr>
          <w:rFonts w:ascii="Times New Roman" w:hAnsi="Times New Roman"/>
          <w:color w:val="000000" w:themeColor="text1"/>
          <w:sz w:val="24"/>
          <w:szCs w:val="24"/>
          <w:u w:val="single"/>
        </w:rPr>
        <w:tab/>
      </w:r>
      <w:proofErr w:type="spellStart"/>
      <w:r w:rsidRPr="0061659C">
        <w:rPr>
          <w:rFonts w:ascii="Times New Roman" w:hAnsi="Times New Roman"/>
          <w:color w:val="000000" w:themeColor="text1"/>
          <w:sz w:val="24"/>
          <w:szCs w:val="24"/>
          <w:u w:val="single"/>
        </w:rPr>
        <w:t>FullCAM</w:t>
      </w:r>
      <w:proofErr w:type="spellEnd"/>
      <w:r w:rsidRPr="0061659C">
        <w:rPr>
          <w:rFonts w:ascii="Times New Roman" w:hAnsi="Times New Roman"/>
          <w:color w:val="000000" w:themeColor="text1"/>
          <w:sz w:val="24"/>
          <w:szCs w:val="24"/>
          <w:u w:val="single"/>
        </w:rPr>
        <w:t xml:space="preserve"> outputs</w:t>
      </w:r>
    </w:p>
    <w:p w:rsidR="006A3C84" w:rsidRDefault="0061659C" w:rsidP="00986D81">
      <w:pPr>
        <w:spacing w:after="120" w:line="240" w:lineRule="auto"/>
        <w:rPr>
          <w:rFonts w:ascii="Times New Roman" w:eastAsia="Times New Roman" w:hAnsi="Times New Roman"/>
          <w:sz w:val="24"/>
          <w:szCs w:val="24"/>
          <w:lang w:eastAsia="en-AU"/>
        </w:rPr>
      </w:pPr>
      <w:r w:rsidRPr="0061659C">
        <w:rPr>
          <w:rFonts w:ascii="Times New Roman" w:eastAsia="Times New Roman" w:hAnsi="Times New Roman"/>
          <w:sz w:val="24"/>
          <w:szCs w:val="24"/>
          <w:lang w:eastAsia="en-AU"/>
        </w:rPr>
        <w:lastRenderedPageBreak/>
        <w:t xml:space="preserve">FullCAM generates output data for emissions and removals from tree and debris pools, as set out in </w:t>
      </w:r>
      <w:r w:rsidRPr="00592D42">
        <w:rPr>
          <w:rFonts w:ascii="Times New Roman" w:eastAsia="Times New Roman" w:hAnsi="Times New Roman"/>
          <w:sz w:val="24"/>
          <w:szCs w:val="24"/>
          <w:lang w:eastAsia="en-AU"/>
        </w:rPr>
        <w:t>Table 2</w:t>
      </w:r>
      <w:r w:rsidRPr="0061659C">
        <w:rPr>
          <w:rFonts w:ascii="Times New Roman" w:eastAsia="Times New Roman" w:hAnsi="Times New Roman"/>
          <w:sz w:val="24"/>
          <w:szCs w:val="24"/>
          <w:lang w:eastAsia="en-AU"/>
        </w:rPr>
        <w:t>.</w:t>
      </w:r>
    </w:p>
    <w:p w:rsidR="0061659C" w:rsidRPr="0061659C" w:rsidRDefault="0061659C" w:rsidP="00986D81">
      <w:pPr>
        <w:widowControl w:val="0"/>
        <w:spacing w:after="120" w:line="240" w:lineRule="auto"/>
        <w:ind w:right="237"/>
        <w:rPr>
          <w:rFonts w:ascii="Times New Roman" w:hAnsi="Times New Roman"/>
          <w:sz w:val="24"/>
        </w:rPr>
      </w:pPr>
      <w:r w:rsidRPr="0061659C">
        <w:rPr>
          <w:rFonts w:ascii="Times New Roman" w:hAnsi="Times New Roman"/>
          <w:sz w:val="24"/>
        </w:rPr>
        <w:t xml:space="preserve">The </w:t>
      </w:r>
      <w:r w:rsidR="00FE1D24">
        <w:rPr>
          <w:rFonts w:ascii="Times New Roman" w:hAnsi="Times New Roman"/>
          <w:sz w:val="24"/>
        </w:rPr>
        <w:t>E</w:t>
      </w:r>
      <w:r w:rsidRPr="0061659C">
        <w:rPr>
          <w:rFonts w:ascii="Times New Roman" w:hAnsi="Times New Roman"/>
          <w:sz w:val="24"/>
        </w:rPr>
        <w:t xml:space="preserve">quations in </w:t>
      </w:r>
      <w:r w:rsidRPr="00592D42">
        <w:rPr>
          <w:rFonts w:ascii="Times New Roman" w:hAnsi="Times New Roman"/>
          <w:sz w:val="24"/>
        </w:rPr>
        <w:t>Part 4</w:t>
      </w:r>
      <w:r w:rsidRPr="0061659C">
        <w:rPr>
          <w:rFonts w:ascii="Times New Roman" w:hAnsi="Times New Roman"/>
          <w:sz w:val="24"/>
        </w:rPr>
        <w:t xml:space="preserve"> take account of the form of FullCAM outputs, including that:</w:t>
      </w:r>
    </w:p>
    <w:p w:rsidR="0061659C" w:rsidRPr="0061659C" w:rsidRDefault="0061659C" w:rsidP="00AE7A3E">
      <w:pPr>
        <w:pStyle w:val="Bullet"/>
        <w:widowControl w:val="0"/>
        <w:numPr>
          <w:ilvl w:val="0"/>
          <w:numId w:val="13"/>
        </w:numPr>
        <w:spacing w:before="0" w:line="240" w:lineRule="auto"/>
        <w:rPr>
          <w:rFonts w:ascii="Times New Roman" w:hAnsi="Times New Roman"/>
          <w:sz w:val="24"/>
        </w:rPr>
      </w:pPr>
      <w:r w:rsidRPr="0061659C">
        <w:rPr>
          <w:rFonts w:ascii="Times New Roman" w:hAnsi="Times New Roman"/>
          <w:sz w:val="24"/>
        </w:rPr>
        <w:t>carbon stock is the cumulative total, while emissions due to fire</w:t>
      </w:r>
      <w:r w:rsidR="00FC573C">
        <w:rPr>
          <w:rFonts w:ascii="Times New Roman" w:hAnsi="Times New Roman"/>
          <w:sz w:val="24"/>
        </w:rPr>
        <w:t xml:space="preserve"> are presented as per </w:t>
      </w:r>
      <w:r w:rsidRPr="0061659C">
        <w:rPr>
          <w:rFonts w:ascii="Times New Roman" w:hAnsi="Times New Roman"/>
          <w:sz w:val="24"/>
        </w:rPr>
        <w:t>month estimates; and</w:t>
      </w:r>
    </w:p>
    <w:p w:rsidR="0061659C" w:rsidRPr="0061659C" w:rsidRDefault="0061659C" w:rsidP="00AE7A3E">
      <w:pPr>
        <w:pStyle w:val="Bullet"/>
        <w:widowControl w:val="0"/>
        <w:numPr>
          <w:ilvl w:val="0"/>
          <w:numId w:val="13"/>
        </w:numPr>
        <w:spacing w:before="0" w:line="240" w:lineRule="auto"/>
        <w:rPr>
          <w:rFonts w:ascii="Times New Roman" w:hAnsi="Times New Roman"/>
          <w:sz w:val="24"/>
        </w:rPr>
      </w:pPr>
      <w:r w:rsidRPr="0061659C">
        <w:rPr>
          <w:rFonts w:ascii="Times New Roman" w:hAnsi="Times New Roman"/>
          <w:sz w:val="24"/>
        </w:rPr>
        <w:t>FullCAM outputs are presented in masses of carbon, methane or nitrous oxide per hectare and must be converted to tonnes of CO</w:t>
      </w:r>
      <w:r w:rsidRPr="0061659C">
        <w:rPr>
          <w:rFonts w:ascii="Times New Roman" w:hAnsi="Times New Roman"/>
          <w:sz w:val="24"/>
          <w:vertAlign w:val="subscript"/>
        </w:rPr>
        <w:t>2</w:t>
      </w:r>
      <w:r w:rsidRPr="0061659C">
        <w:rPr>
          <w:rFonts w:ascii="Times New Roman" w:hAnsi="Times New Roman"/>
          <w:sz w:val="24"/>
        </w:rPr>
        <w:t>-e.</w:t>
      </w:r>
    </w:p>
    <w:p w:rsidR="0061659C" w:rsidRDefault="0061659C" w:rsidP="00592D42">
      <w:pPr>
        <w:keepNext/>
        <w:widowControl w:val="0"/>
        <w:spacing w:after="120" w:line="240" w:lineRule="auto"/>
        <w:ind w:right="238"/>
        <w:rPr>
          <w:rFonts w:ascii="Times New Roman" w:hAnsi="Times New Roman"/>
          <w:sz w:val="24"/>
        </w:rPr>
      </w:pPr>
      <w:r>
        <w:rPr>
          <w:rFonts w:ascii="Times New Roman" w:hAnsi="Times New Roman"/>
          <w:sz w:val="24"/>
        </w:rPr>
        <w:t>Under the Determination project p</w:t>
      </w:r>
      <w:r w:rsidRPr="0061659C">
        <w:rPr>
          <w:rFonts w:ascii="Times New Roman" w:hAnsi="Times New Roman"/>
          <w:sz w:val="24"/>
        </w:rPr>
        <w:t xml:space="preserve">roponents </w:t>
      </w:r>
      <w:r>
        <w:rPr>
          <w:rFonts w:ascii="Times New Roman" w:hAnsi="Times New Roman"/>
          <w:sz w:val="24"/>
        </w:rPr>
        <w:t xml:space="preserve">are required to </w:t>
      </w:r>
      <w:r w:rsidRPr="0061659C">
        <w:rPr>
          <w:rFonts w:ascii="Times New Roman" w:hAnsi="Times New Roman"/>
          <w:sz w:val="24"/>
        </w:rPr>
        <w:t xml:space="preserve">estimate fuel use for the purpose of calculating project emissions. </w:t>
      </w:r>
      <w:r>
        <w:rPr>
          <w:rFonts w:ascii="Times New Roman" w:hAnsi="Times New Roman"/>
          <w:sz w:val="24"/>
        </w:rPr>
        <w:t>The following t</w:t>
      </w:r>
      <w:r w:rsidRPr="0061659C">
        <w:rPr>
          <w:rFonts w:ascii="Times New Roman" w:hAnsi="Times New Roman"/>
          <w:sz w:val="24"/>
        </w:rPr>
        <w:t>able may be used as a guide for data collection and monitoring purposes.</w:t>
      </w:r>
    </w:p>
    <w:p w:rsidR="00B64584" w:rsidRPr="00B64584" w:rsidRDefault="00B64584" w:rsidP="00592D42">
      <w:pPr>
        <w:pStyle w:val="Caption"/>
        <w:keepNext/>
        <w:spacing w:before="0"/>
        <w:rPr>
          <w:rFonts w:eastAsia="Calibri"/>
          <w:b w:val="0"/>
          <w:bCs w:val="0"/>
          <w:i/>
          <w:sz w:val="24"/>
          <w:szCs w:val="22"/>
          <w:lang w:eastAsia="en-US"/>
        </w:rPr>
      </w:pPr>
      <w:bookmarkStart w:id="3" w:name="_Toc294604178"/>
      <w:r>
        <w:rPr>
          <w:rFonts w:eastAsia="Calibri"/>
          <w:b w:val="0"/>
          <w:bCs w:val="0"/>
          <w:i/>
          <w:sz w:val="24"/>
          <w:szCs w:val="22"/>
          <w:lang w:eastAsia="en-US"/>
        </w:rPr>
        <w:t>Table</w:t>
      </w:r>
      <w:r w:rsidR="00C3384E">
        <w:rPr>
          <w:rFonts w:eastAsia="Calibri"/>
          <w:b w:val="0"/>
          <w:bCs w:val="0"/>
          <w:i/>
          <w:sz w:val="24"/>
          <w:szCs w:val="22"/>
          <w:lang w:eastAsia="en-US"/>
        </w:rPr>
        <w:t xml:space="preserve"> 4—</w:t>
      </w:r>
      <w:r w:rsidRPr="00B64584">
        <w:rPr>
          <w:rFonts w:eastAsia="Calibri"/>
          <w:b w:val="0"/>
          <w:bCs w:val="0"/>
          <w:i/>
          <w:sz w:val="24"/>
          <w:szCs w:val="22"/>
          <w:lang w:eastAsia="en-US"/>
        </w:rPr>
        <w:t>Form for use in monitoring fuel use</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693"/>
        <w:gridCol w:w="1155"/>
        <w:gridCol w:w="1488"/>
        <w:gridCol w:w="1943"/>
        <w:gridCol w:w="3655"/>
      </w:tblGrid>
      <w:tr w:rsidR="00B64584" w:rsidRPr="00B64584" w:rsidTr="00F74858">
        <w:tc>
          <w:tcPr>
            <w:tcW w:w="0" w:type="auto"/>
            <w:tcBorders>
              <w:top w:val="single" w:sz="4" w:space="0" w:color="000000"/>
              <w:left w:val="single" w:sz="4" w:space="0" w:color="000000"/>
              <w:bottom w:val="single" w:sz="4" w:space="0" w:color="000000"/>
              <w:right w:val="single" w:sz="4" w:space="0" w:color="000000"/>
            </w:tcBorders>
            <w:shd w:val="clear" w:color="auto" w:fill="C6D9F1"/>
          </w:tcPr>
          <w:p w:rsidR="00B64584" w:rsidRPr="00B64584" w:rsidRDefault="00B64584" w:rsidP="00592D42">
            <w:pPr>
              <w:keepNext/>
              <w:widowControl w:val="0"/>
              <w:spacing w:after="120" w:line="240" w:lineRule="auto"/>
              <w:ind w:right="237"/>
              <w:jc w:val="center"/>
              <w:rPr>
                <w:rFonts w:ascii="Times New Roman" w:hAnsi="Times New Roman"/>
                <w:b/>
                <w:sz w:val="20"/>
              </w:rPr>
            </w:pPr>
            <w:r w:rsidRPr="00B64584">
              <w:rPr>
                <w:rFonts w:ascii="Times New Roman" w:hAnsi="Times New Roman"/>
                <w:b/>
                <w:sz w:val="20"/>
              </w:rPr>
              <w:t>Date</w:t>
            </w:r>
          </w:p>
        </w:tc>
        <w:tc>
          <w:tcPr>
            <w:tcW w:w="0" w:type="auto"/>
            <w:tcBorders>
              <w:top w:val="single" w:sz="4" w:space="0" w:color="000000"/>
              <w:left w:val="single" w:sz="4" w:space="0" w:color="000000"/>
              <w:bottom w:val="single" w:sz="4" w:space="0" w:color="000000"/>
              <w:right w:val="single" w:sz="4" w:space="0" w:color="000000"/>
            </w:tcBorders>
            <w:shd w:val="clear" w:color="auto" w:fill="C6D9F1"/>
          </w:tcPr>
          <w:p w:rsidR="00B64584" w:rsidRPr="00B64584" w:rsidRDefault="00B64584" w:rsidP="00592D42">
            <w:pPr>
              <w:keepNext/>
              <w:widowControl w:val="0"/>
              <w:spacing w:after="120" w:line="240" w:lineRule="auto"/>
              <w:ind w:right="237"/>
              <w:jc w:val="center"/>
              <w:rPr>
                <w:rFonts w:ascii="Times New Roman" w:hAnsi="Times New Roman"/>
                <w:b/>
                <w:sz w:val="20"/>
              </w:rPr>
            </w:pPr>
            <w:r w:rsidRPr="00B64584">
              <w:rPr>
                <w:rFonts w:ascii="Times New Roman" w:hAnsi="Times New Roman"/>
                <w:b/>
                <w:sz w:val="20"/>
              </w:rPr>
              <w:t>Fuel Type</w:t>
            </w:r>
          </w:p>
        </w:tc>
        <w:tc>
          <w:tcPr>
            <w:tcW w:w="0" w:type="auto"/>
            <w:tcBorders>
              <w:top w:val="single" w:sz="4" w:space="0" w:color="000000"/>
              <w:left w:val="single" w:sz="4" w:space="0" w:color="000000"/>
              <w:bottom w:val="single" w:sz="4" w:space="0" w:color="000000"/>
              <w:right w:val="single" w:sz="4" w:space="0" w:color="000000"/>
            </w:tcBorders>
            <w:shd w:val="clear" w:color="auto" w:fill="C6D9F1"/>
          </w:tcPr>
          <w:p w:rsidR="00B64584" w:rsidRPr="00B64584" w:rsidRDefault="00B64584" w:rsidP="00592D42">
            <w:pPr>
              <w:keepNext/>
              <w:widowControl w:val="0"/>
              <w:spacing w:after="120" w:line="240" w:lineRule="auto"/>
              <w:ind w:right="237"/>
              <w:jc w:val="center"/>
              <w:rPr>
                <w:rFonts w:ascii="Times New Roman" w:hAnsi="Times New Roman"/>
                <w:b/>
                <w:sz w:val="20"/>
              </w:rPr>
            </w:pPr>
            <w:r w:rsidRPr="00B64584">
              <w:rPr>
                <w:rFonts w:ascii="Times New Roman" w:hAnsi="Times New Roman"/>
                <w:b/>
                <w:sz w:val="20"/>
              </w:rPr>
              <w:t>Quantity (</w:t>
            </w:r>
            <w:proofErr w:type="spellStart"/>
            <w:r w:rsidRPr="00B64584">
              <w:rPr>
                <w:rFonts w:ascii="Times New Roman" w:hAnsi="Times New Roman"/>
                <w:b/>
                <w:sz w:val="20"/>
              </w:rPr>
              <w:t>kL</w:t>
            </w:r>
            <w:proofErr w:type="spellEnd"/>
            <w:r w:rsidRPr="00B64584">
              <w:rPr>
                <w:rFonts w:ascii="Times New Roman" w:hAnsi="Times New Roman"/>
                <w:b/>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C6D9F1"/>
          </w:tcPr>
          <w:p w:rsidR="00B64584" w:rsidRPr="00B64584" w:rsidRDefault="00B64584" w:rsidP="00592D42">
            <w:pPr>
              <w:keepNext/>
              <w:widowControl w:val="0"/>
              <w:spacing w:after="120" w:line="240" w:lineRule="auto"/>
              <w:ind w:right="237"/>
              <w:jc w:val="center"/>
              <w:rPr>
                <w:rFonts w:ascii="Times New Roman" w:hAnsi="Times New Roman"/>
                <w:b/>
                <w:sz w:val="20"/>
              </w:rPr>
            </w:pPr>
            <w:r w:rsidRPr="00B64584">
              <w:rPr>
                <w:rFonts w:ascii="Times New Roman" w:hAnsi="Times New Roman"/>
                <w:b/>
                <w:sz w:val="20"/>
              </w:rPr>
              <w:t>Project/CEA Name</w:t>
            </w:r>
          </w:p>
        </w:tc>
        <w:tc>
          <w:tcPr>
            <w:tcW w:w="3655" w:type="dxa"/>
            <w:tcBorders>
              <w:top w:val="single" w:sz="4" w:space="0" w:color="000000"/>
              <w:left w:val="single" w:sz="4" w:space="0" w:color="000000"/>
              <w:bottom w:val="single" w:sz="4" w:space="0" w:color="000000"/>
              <w:right w:val="single" w:sz="4" w:space="0" w:color="000000"/>
            </w:tcBorders>
            <w:shd w:val="clear" w:color="auto" w:fill="C6D9F1"/>
          </w:tcPr>
          <w:p w:rsidR="00B64584" w:rsidRPr="00B64584" w:rsidRDefault="00B64584" w:rsidP="00592D42">
            <w:pPr>
              <w:keepNext/>
              <w:widowControl w:val="0"/>
              <w:spacing w:after="120" w:line="240" w:lineRule="auto"/>
              <w:ind w:right="237"/>
              <w:jc w:val="center"/>
              <w:rPr>
                <w:rFonts w:ascii="Times New Roman" w:hAnsi="Times New Roman"/>
                <w:b/>
                <w:sz w:val="20"/>
              </w:rPr>
            </w:pPr>
            <w:r w:rsidRPr="00B64584">
              <w:rPr>
                <w:rFonts w:ascii="Times New Roman" w:hAnsi="Times New Roman"/>
                <w:b/>
                <w:sz w:val="20"/>
              </w:rPr>
              <w:t>Purpose</w:t>
            </w:r>
          </w:p>
        </w:tc>
      </w:tr>
      <w:tr w:rsidR="00B64584" w:rsidRPr="00902479" w:rsidTr="00F74858">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3655" w:type="dxa"/>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r>
      <w:tr w:rsidR="00B64584" w:rsidRPr="00B420F3" w:rsidTr="00F74858">
        <w:trPr>
          <w:trHeight w:val="688"/>
        </w:trPr>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0" w:type="auto"/>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c>
          <w:tcPr>
            <w:tcW w:w="3655" w:type="dxa"/>
            <w:tcBorders>
              <w:top w:val="single" w:sz="4" w:space="0" w:color="000000"/>
              <w:left w:val="single" w:sz="4" w:space="0" w:color="000000"/>
              <w:bottom w:val="single" w:sz="4" w:space="0" w:color="000000"/>
              <w:right w:val="single" w:sz="4" w:space="0" w:color="000000"/>
            </w:tcBorders>
          </w:tcPr>
          <w:p w:rsidR="00B64584" w:rsidRPr="00D43003" w:rsidRDefault="00B64584" w:rsidP="00592D42">
            <w:pPr>
              <w:keepNext/>
              <w:widowControl w:val="0"/>
              <w:spacing w:after="120" w:line="240" w:lineRule="auto"/>
              <w:ind w:right="237"/>
              <w:rPr>
                <w:sz w:val="20"/>
              </w:rPr>
            </w:pPr>
          </w:p>
        </w:tc>
      </w:tr>
    </w:tbl>
    <w:p w:rsidR="0061659C" w:rsidRDefault="0061659C" w:rsidP="00986D81">
      <w:pPr>
        <w:widowControl w:val="0"/>
        <w:spacing w:after="120" w:line="240" w:lineRule="auto"/>
        <w:ind w:right="238"/>
        <w:rPr>
          <w:rFonts w:ascii="Times New Roman" w:hAnsi="Times New Roman"/>
          <w:sz w:val="24"/>
        </w:rPr>
      </w:pPr>
    </w:p>
    <w:p w:rsidR="00915BEF" w:rsidRPr="00DD6F62" w:rsidRDefault="00915BEF" w:rsidP="00986D81">
      <w:pPr>
        <w:spacing w:after="120" w:line="240" w:lineRule="auto"/>
        <w:rPr>
          <w:rFonts w:ascii="Times New Roman" w:hAnsi="Times New Roman"/>
          <w:iCs/>
          <w:color w:val="808080" w:themeColor="background1" w:themeShade="80"/>
          <w:sz w:val="24"/>
          <w:szCs w:val="24"/>
        </w:rPr>
      </w:pPr>
    </w:p>
    <w:p w:rsidR="00915BEF" w:rsidRPr="002E0A43" w:rsidRDefault="00EA009E" w:rsidP="00986D81">
      <w:pPr>
        <w:spacing w:after="120" w:line="240" w:lineRule="auto"/>
        <w:rPr>
          <w:rFonts w:ascii="Times New Roman" w:hAnsi="Times New Roman"/>
          <w:b/>
          <w:color w:val="000000" w:themeColor="text1"/>
          <w:sz w:val="24"/>
          <w:szCs w:val="24"/>
        </w:rPr>
      </w:pPr>
      <w:r w:rsidRPr="00DD6F62">
        <w:rPr>
          <w:rFonts w:ascii="Times New Roman" w:hAnsi="Times New Roman"/>
          <w:b/>
          <w:color w:val="808080" w:themeColor="background1" w:themeShade="80"/>
          <w:sz w:val="24"/>
          <w:szCs w:val="24"/>
        </w:rPr>
        <w:br w:type="page"/>
      </w:r>
      <w:r w:rsidR="0002096F" w:rsidRPr="002E0A43">
        <w:rPr>
          <w:rFonts w:ascii="Times New Roman" w:hAnsi="Times New Roman"/>
          <w:b/>
          <w:color w:val="000000" w:themeColor="text1"/>
          <w:sz w:val="24"/>
          <w:szCs w:val="24"/>
        </w:rPr>
        <w:lastRenderedPageBreak/>
        <w:t>Part 5</w:t>
      </w:r>
      <w:r w:rsidR="00915BEF" w:rsidRPr="002E0A43">
        <w:rPr>
          <w:rFonts w:ascii="Times New Roman" w:hAnsi="Times New Roman"/>
          <w:b/>
          <w:color w:val="000000" w:themeColor="text1"/>
          <w:sz w:val="24"/>
          <w:szCs w:val="24"/>
        </w:rPr>
        <w:t xml:space="preserve"> </w:t>
      </w:r>
      <w:r w:rsidR="00915BEF" w:rsidRPr="002E0A43">
        <w:rPr>
          <w:rFonts w:ascii="Times New Roman" w:hAnsi="Times New Roman"/>
          <w:b/>
          <w:color w:val="000000" w:themeColor="text1"/>
          <w:sz w:val="24"/>
          <w:szCs w:val="24"/>
        </w:rPr>
        <w:tab/>
      </w:r>
      <w:r w:rsidR="00915BEF" w:rsidRPr="002E0A43">
        <w:rPr>
          <w:rFonts w:ascii="Times New Roman" w:hAnsi="Times New Roman"/>
          <w:b/>
          <w:color w:val="000000" w:themeColor="text1"/>
          <w:sz w:val="24"/>
          <w:szCs w:val="24"/>
        </w:rPr>
        <w:tab/>
        <w:t xml:space="preserve">Monitoring, </w:t>
      </w:r>
      <w:r w:rsidR="0002096F" w:rsidRPr="002E0A43">
        <w:rPr>
          <w:rFonts w:ascii="Times New Roman" w:hAnsi="Times New Roman"/>
          <w:b/>
          <w:color w:val="000000" w:themeColor="text1"/>
          <w:sz w:val="24"/>
          <w:szCs w:val="24"/>
        </w:rPr>
        <w:t>r</w:t>
      </w:r>
      <w:r w:rsidR="00915BEF" w:rsidRPr="002E0A43">
        <w:rPr>
          <w:rFonts w:ascii="Times New Roman" w:hAnsi="Times New Roman"/>
          <w:b/>
          <w:color w:val="000000" w:themeColor="text1"/>
          <w:sz w:val="24"/>
          <w:szCs w:val="24"/>
        </w:rPr>
        <w:t xml:space="preserve">ecord-keeping and </w:t>
      </w:r>
      <w:r w:rsidR="0002096F" w:rsidRPr="002E0A43">
        <w:rPr>
          <w:rFonts w:ascii="Times New Roman" w:hAnsi="Times New Roman"/>
          <w:b/>
          <w:color w:val="000000" w:themeColor="text1"/>
          <w:sz w:val="24"/>
          <w:szCs w:val="24"/>
        </w:rPr>
        <w:t>r</w:t>
      </w:r>
      <w:r w:rsidR="00915BEF" w:rsidRPr="002E0A43">
        <w:rPr>
          <w:rFonts w:ascii="Times New Roman" w:hAnsi="Times New Roman"/>
          <w:b/>
          <w:color w:val="000000" w:themeColor="text1"/>
          <w:sz w:val="24"/>
          <w:szCs w:val="24"/>
        </w:rPr>
        <w:t xml:space="preserve">eporting </w:t>
      </w:r>
      <w:r w:rsidR="0002096F" w:rsidRPr="002E0A43">
        <w:rPr>
          <w:rFonts w:ascii="Times New Roman" w:hAnsi="Times New Roman"/>
          <w:b/>
          <w:color w:val="000000" w:themeColor="text1"/>
          <w:sz w:val="24"/>
          <w:szCs w:val="24"/>
        </w:rPr>
        <w:t>r</w:t>
      </w:r>
      <w:r w:rsidR="00915BEF" w:rsidRPr="002E0A43">
        <w:rPr>
          <w:rFonts w:ascii="Times New Roman" w:hAnsi="Times New Roman"/>
          <w:b/>
          <w:color w:val="000000" w:themeColor="text1"/>
          <w:sz w:val="24"/>
          <w:szCs w:val="24"/>
        </w:rPr>
        <w:t>equirements</w:t>
      </w:r>
    </w:p>
    <w:p w:rsidR="00C1306E" w:rsidRPr="00DD6F62" w:rsidRDefault="00C1306E" w:rsidP="00986D81">
      <w:pPr>
        <w:keepNext/>
        <w:spacing w:after="120" w:line="240" w:lineRule="auto"/>
        <w:rPr>
          <w:rFonts w:ascii="Times New Roman" w:hAnsi="Times New Roman"/>
          <w:b/>
          <w:color w:val="808080" w:themeColor="background1" w:themeShade="80"/>
          <w:sz w:val="24"/>
          <w:szCs w:val="24"/>
        </w:rPr>
      </w:pPr>
    </w:p>
    <w:p w:rsidR="00915BEF" w:rsidRPr="002E0A43" w:rsidRDefault="0002096F" w:rsidP="00986D81">
      <w:pPr>
        <w:keepNext/>
        <w:spacing w:after="120" w:line="240" w:lineRule="auto"/>
        <w:rPr>
          <w:rFonts w:ascii="Times New Roman" w:hAnsi="Times New Roman"/>
          <w:b/>
          <w:color w:val="000000" w:themeColor="text1"/>
          <w:sz w:val="24"/>
          <w:szCs w:val="24"/>
        </w:rPr>
      </w:pPr>
      <w:r w:rsidRPr="002E0A43">
        <w:rPr>
          <w:rFonts w:ascii="Times New Roman" w:hAnsi="Times New Roman"/>
          <w:b/>
          <w:color w:val="000000" w:themeColor="text1"/>
          <w:sz w:val="24"/>
          <w:szCs w:val="24"/>
        </w:rPr>
        <w:t>Division 5</w:t>
      </w:r>
      <w:r w:rsidR="00915BEF" w:rsidRPr="002E0A43">
        <w:rPr>
          <w:rFonts w:ascii="Times New Roman" w:hAnsi="Times New Roman"/>
          <w:b/>
          <w:color w:val="000000" w:themeColor="text1"/>
          <w:sz w:val="24"/>
          <w:szCs w:val="24"/>
        </w:rPr>
        <w:t>.1</w:t>
      </w:r>
      <w:r w:rsidR="00915BEF" w:rsidRPr="002E0A43">
        <w:rPr>
          <w:rFonts w:ascii="Times New Roman" w:hAnsi="Times New Roman"/>
          <w:b/>
          <w:color w:val="000000" w:themeColor="text1"/>
          <w:sz w:val="24"/>
          <w:szCs w:val="24"/>
        </w:rPr>
        <w:tab/>
        <w:t>General</w:t>
      </w:r>
    </w:p>
    <w:p w:rsidR="00915BEF" w:rsidRPr="002E0A43" w:rsidRDefault="0002096F" w:rsidP="00986D81">
      <w:pPr>
        <w:keepNext/>
        <w:spacing w:after="120" w:line="240" w:lineRule="auto"/>
        <w:rPr>
          <w:rFonts w:ascii="Times New Roman" w:hAnsi="Times New Roman"/>
          <w:color w:val="000000" w:themeColor="text1"/>
          <w:sz w:val="24"/>
          <w:szCs w:val="24"/>
          <w:u w:val="single"/>
        </w:rPr>
      </w:pPr>
      <w:r w:rsidRPr="002E0A43">
        <w:rPr>
          <w:rFonts w:ascii="Times New Roman" w:hAnsi="Times New Roman"/>
          <w:color w:val="000000" w:themeColor="text1"/>
          <w:sz w:val="24"/>
          <w:szCs w:val="24"/>
          <w:u w:val="single"/>
        </w:rPr>
        <w:t>5</w:t>
      </w:r>
      <w:r w:rsidR="00915BEF" w:rsidRPr="002E0A43">
        <w:rPr>
          <w:rFonts w:ascii="Times New Roman" w:hAnsi="Times New Roman"/>
          <w:color w:val="000000" w:themeColor="text1"/>
          <w:sz w:val="24"/>
          <w:szCs w:val="24"/>
          <w:u w:val="single"/>
        </w:rPr>
        <w:t>.1</w:t>
      </w:r>
      <w:r w:rsidR="00915BEF" w:rsidRPr="002E0A43">
        <w:rPr>
          <w:rFonts w:ascii="Times New Roman" w:hAnsi="Times New Roman"/>
          <w:color w:val="000000" w:themeColor="text1"/>
          <w:sz w:val="24"/>
          <w:szCs w:val="24"/>
          <w:u w:val="single"/>
        </w:rPr>
        <w:tab/>
        <w:t>Application</w:t>
      </w:r>
    </w:p>
    <w:p w:rsidR="009B79DB" w:rsidRPr="002E0A43" w:rsidRDefault="009B2334" w:rsidP="00986D81">
      <w:pPr>
        <w:keepNext/>
        <w:spacing w:after="120" w:line="240" w:lineRule="auto"/>
        <w:rPr>
          <w:rFonts w:ascii="Times New Roman" w:eastAsia="Times New Roman" w:hAnsi="Times New Roman"/>
          <w:color w:val="000000" w:themeColor="text1"/>
          <w:sz w:val="24"/>
          <w:szCs w:val="24"/>
          <w:lang w:eastAsia="en-AU"/>
        </w:rPr>
      </w:pPr>
      <w:r>
        <w:rPr>
          <w:rFonts w:ascii="Times New Roman" w:eastAsia="Times New Roman" w:hAnsi="Times New Roman"/>
          <w:color w:val="000000" w:themeColor="text1"/>
          <w:sz w:val="24"/>
          <w:szCs w:val="24"/>
          <w:lang w:eastAsia="en-AU"/>
        </w:rPr>
        <w:t>S</w:t>
      </w:r>
      <w:r w:rsidR="009B79DB" w:rsidRPr="002E0A43">
        <w:rPr>
          <w:rFonts w:ascii="Times New Roman" w:eastAsia="Times New Roman" w:hAnsi="Times New Roman"/>
          <w:color w:val="000000" w:themeColor="text1"/>
          <w:sz w:val="24"/>
          <w:szCs w:val="24"/>
          <w:lang w:eastAsia="en-AU"/>
        </w:rPr>
        <w:t xml:space="preserve">ubsection 106(3) of the Act </w:t>
      </w:r>
      <w:r>
        <w:rPr>
          <w:rFonts w:ascii="Times New Roman" w:eastAsia="Times New Roman" w:hAnsi="Times New Roman"/>
          <w:color w:val="000000" w:themeColor="text1"/>
          <w:sz w:val="24"/>
          <w:szCs w:val="24"/>
          <w:lang w:eastAsia="en-AU"/>
        </w:rPr>
        <w:t>provides</w:t>
      </w:r>
      <w:r w:rsidR="009B79DB" w:rsidRPr="002E0A43">
        <w:rPr>
          <w:rFonts w:ascii="Times New Roman" w:eastAsia="Times New Roman" w:hAnsi="Times New Roman"/>
          <w:color w:val="000000" w:themeColor="text1"/>
          <w:sz w:val="24"/>
          <w:szCs w:val="24"/>
          <w:lang w:eastAsia="en-AU"/>
        </w:rPr>
        <w:t xml:space="preserve"> that a methodology determination may require the project proponent of an eligible offsets project to comply with specified monitoring, record</w:t>
      </w:r>
      <w:r w:rsidR="00CA5EAF">
        <w:rPr>
          <w:rFonts w:ascii="Times New Roman" w:eastAsia="Times New Roman" w:hAnsi="Times New Roman"/>
          <w:color w:val="000000" w:themeColor="text1"/>
          <w:sz w:val="24"/>
          <w:szCs w:val="24"/>
          <w:lang w:eastAsia="en-AU"/>
        </w:rPr>
        <w:noBreakHyphen/>
      </w:r>
      <w:r w:rsidR="009B79DB" w:rsidRPr="002E0A43">
        <w:rPr>
          <w:rFonts w:ascii="Times New Roman" w:eastAsia="Times New Roman" w:hAnsi="Times New Roman"/>
          <w:color w:val="000000" w:themeColor="text1"/>
          <w:sz w:val="24"/>
          <w:szCs w:val="24"/>
          <w:lang w:eastAsia="en-AU"/>
        </w:rPr>
        <w:t xml:space="preserve">keeping and reporting requirements. </w:t>
      </w:r>
    </w:p>
    <w:p w:rsidR="009B79DB" w:rsidRPr="002E0A43" w:rsidRDefault="009B79DB" w:rsidP="00986D81">
      <w:pPr>
        <w:spacing w:after="120" w:line="240" w:lineRule="auto"/>
        <w:rPr>
          <w:rFonts w:ascii="Times New Roman" w:eastAsia="Times New Roman" w:hAnsi="Times New Roman"/>
          <w:color w:val="000000" w:themeColor="text1"/>
          <w:sz w:val="24"/>
          <w:szCs w:val="24"/>
          <w:lang w:eastAsia="en-AU"/>
        </w:rPr>
      </w:pPr>
      <w:r w:rsidRPr="002E0A43">
        <w:rPr>
          <w:rFonts w:ascii="Times New Roman" w:eastAsia="Times New Roman" w:hAnsi="Times New Roman"/>
          <w:color w:val="000000" w:themeColor="text1"/>
          <w:sz w:val="24"/>
          <w:szCs w:val="24"/>
          <w:lang w:eastAsia="en-AU"/>
        </w:rPr>
        <w:t>Under Parts 17 and 21 of the Act, a failure to comply with these requirements may constitute a breach of a civil penalty provision, and a financial penalty may be payable.</w:t>
      </w:r>
    </w:p>
    <w:p w:rsidR="00915BEF" w:rsidRPr="002E0A43" w:rsidRDefault="00915BEF" w:rsidP="00986D81">
      <w:pPr>
        <w:spacing w:after="120" w:line="240" w:lineRule="auto"/>
        <w:rPr>
          <w:rFonts w:ascii="Times New Roman" w:hAnsi="Times New Roman"/>
          <w:color w:val="000000" w:themeColor="text1"/>
          <w:sz w:val="24"/>
          <w:szCs w:val="24"/>
        </w:rPr>
      </w:pPr>
      <w:r w:rsidRPr="002E0A43">
        <w:rPr>
          <w:rFonts w:ascii="Times New Roman" w:hAnsi="Times New Roman"/>
          <w:color w:val="000000" w:themeColor="text1"/>
          <w:sz w:val="24"/>
          <w:szCs w:val="24"/>
        </w:rPr>
        <w:t xml:space="preserve">The monitoring, record-keeping and reporting requirements specified in </w:t>
      </w:r>
      <w:r w:rsidR="00D85B8C" w:rsidRPr="002E0A43">
        <w:rPr>
          <w:rFonts w:ascii="Times New Roman" w:hAnsi="Times New Roman"/>
          <w:color w:val="000000" w:themeColor="text1"/>
          <w:sz w:val="24"/>
          <w:szCs w:val="24"/>
        </w:rPr>
        <w:t>P</w:t>
      </w:r>
      <w:r w:rsidRPr="002E0A43">
        <w:rPr>
          <w:rFonts w:ascii="Times New Roman" w:hAnsi="Times New Roman"/>
          <w:color w:val="000000" w:themeColor="text1"/>
          <w:sz w:val="24"/>
          <w:szCs w:val="24"/>
        </w:rPr>
        <w:t xml:space="preserve">art </w:t>
      </w:r>
      <w:r w:rsidR="007D4F43" w:rsidRPr="002E0A43">
        <w:rPr>
          <w:rFonts w:ascii="Times New Roman" w:hAnsi="Times New Roman"/>
          <w:color w:val="000000" w:themeColor="text1"/>
          <w:sz w:val="24"/>
          <w:szCs w:val="24"/>
        </w:rPr>
        <w:t xml:space="preserve">5 of the Determination </w:t>
      </w:r>
      <w:r w:rsidRPr="002E0A43">
        <w:rPr>
          <w:rFonts w:ascii="Times New Roman" w:hAnsi="Times New Roman"/>
          <w:color w:val="000000" w:themeColor="text1"/>
          <w:sz w:val="24"/>
          <w:szCs w:val="24"/>
        </w:rPr>
        <w:t>are</w:t>
      </w:r>
      <w:r w:rsidR="00D85B8C" w:rsidRPr="002E0A43">
        <w:rPr>
          <w:rFonts w:ascii="Times New Roman" w:hAnsi="Times New Roman"/>
          <w:color w:val="000000" w:themeColor="text1"/>
          <w:sz w:val="24"/>
          <w:szCs w:val="24"/>
        </w:rPr>
        <w:t xml:space="preserve"> in</w:t>
      </w:r>
      <w:r w:rsidRPr="002E0A43">
        <w:rPr>
          <w:rFonts w:ascii="Times New Roman" w:hAnsi="Times New Roman"/>
          <w:color w:val="000000" w:themeColor="text1"/>
          <w:sz w:val="24"/>
          <w:szCs w:val="24"/>
        </w:rPr>
        <w:t xml:space="preserve"> addition to any requirements specified in the Regulations.</w:t>
      </w:r>
    </w:p>
    <w:p w:rsidR="00915BEF" w:rsidRPr="002E0A43" w:rsidRDefault="0002096F" w:rsidP="00986D81">
      <w:pPr>
        <w:keepNext/>
        <w:spacing w:after="120" w:line="240" w:lineRule="auto"/>
        <w:rPr>
          <w:rFonts w:ascii="Times New Roman" w:hAnsi="Times New Roman"/>
          <w:color w:val="000000" w:themeColor="text1"/>
          <w:sz w:val="24"/>
          <w:szCs w:val="24"/>
          <w:u w:val="single"/>
        </w:rPr>
      </w:pPr>
      <w:bookmarkStart w:id="4" w:name="_Toc319521135"/>
      <w:r w:rsidRPr="002E0A43">
        <w:rPr>
          <w:rFonts w:ascii="Times New Roman" w:hAnsi="Times New Roman"/>
          <w:color w:val="000000" w:themeColor="text1"/>
          <w:sz w:val="24"/>
          <w:szCs w:val="24"/>
          <w:u w:val="single"/>
        </w:rPr>
        <w:t>5</w:t>
      </w:r>
      <w:r w:rsidR="00915BEF" w:rsidRPr="002E0A43">
        <w:rPr>
          <w:rFonts w:ascii="Times New Roman" w:hAnsi="Times New Roman"/>
          <w:color w:val="000000" w:themeColor="text1"/>
          <w:sz w:val="24"/>
          <w:szCs w:val="24"/>
          <w:u w:val="single"/>
        </w:rPr>
        <w:t>.2</w:t>
      </w:r>
      <w:r w:rsidR="00915BEF" w:rsidRPr="002E0A43">
        <w:rPr>
          <w:rFonts w:ascii="Times New Roman" w:hAnsi="Times New Roman"/>
          <w:color w:val="000000" w:themeColor="text1"/>
          <w:sz w:val="24"/>
          <w:szCs w:val="24"/>
          <w:u w:val="single"/>
        </w:rPr>
        <w:tab/>
        <w:t>Geospatial information requirements</w:t>
      </w:r>
      <w:bookmarkEnd w:id="4"/>
    </w:p>
    <w:p w:rsidR="00915BEF" w:rsidRPr="002E0A43" w:rsidRDefault="00D85B8C" w:rsidP="00986D81">
      <w:pPr>
        <w:keepNext/>
        <w:spacing w:after="120" w:line="240" w:lineRule="auto"/>
        <w:rPr>
          <w:rFonts w:ascii="Times New Roman" w:hAnsi="Times New Roman"/>
          <w:color w:val="000000" w:themeColor="text1"/>
          <w:sz w:val="24"/>
          <w:szCs w:val="24"/>
        </w:rPr>
      </w:pPr>
      <w:r w:rsidRPr="002E0A43">
        <w:rPr>
          <w:rFonts w:ascii="Times New Roman" w:hAnsi="Times New Roman"/>
          <w:color w:val="000000" w:themeColor="text1"/>
          <w:sz w:val="24"/>
          <w:szCs w:val="24"/>
        </w:rPr>
        <w:t>Section 5.2</w:t>
      </w:r>
      <w:r w:rsidR="00915BEF" w:rsidRPr="002E0A43">
        <w:rPr>
          <w:rFonts w:ascii="Times New Roman" w:hAnsi="Times New Roman"/>
          <w:color w:val="000000" w:themeColor="text1"/>
          <w:sz w:val="24"/>
          <w:szCs w:val="24"/>
        </w:rPr>
        <w:t xml:space="preserve"> </w:t>
      </w:r>
      <w:r w:rsidR="002E0A43">
        <w:rPr>
          <w:rFonts w:ascii="Times New Roman" w:hAnsi="Times New Roman"/>
          <w:color w:val="000000" w:themeColor="text1"/>
          <w:sz w:val="24"/>
          <w:szCs w:val="24"/>
        </w:rPr>
        <w:t>specifies</w:t>
      </w:r>
      <w:r w:rsidR="00915BEF" w:rsidRPr="002E0A43">
        <w:rPr>
          <w:rFonts w:ascii="Times New Roman" w:hAnsi="Times New Roman"/>
          <w:color w:val="000000" w:themeColor="text1"/>
          <w:sz w:val="24"/>
          <w:szCs w:val="24"/>
        </w:rPr>
        <w:t xml:space="preserve"> that </w:t>
      </w:r>
      <w:r w:rsidR="00AA4B6D" w:rsidRPr="002E0A43">
        <w:rPr>
          <w:rFonts w:ascii="Times New Roman" w:hAnsi="Times New Roman"/>
          <w:color w:val="000000" w:themeColor="text1"/>
          <w:sz w:val="24"/>
          <w:szCs w:val="24"/>
        </w:rPr>
        <w:t xml:space="preserve">a project </w:t>
      </w:r>
      <w:r w:rsidR="00915BEF" w:rsidRPr="002E0A43">
        <w:rPr>
          <w:rFonts w:ascii="Times New Roman" w:hAnsi="Times New Roman"/>
          <w:color w:val="000000" w:themeColor="text1"/>
          <w:sz w:val="24"/>
          <w:szCs w:val="24"/>
        </w:rPr>
        <w:t xml:space="preserve">proponent must use either the CFI Mapping Tool or an alternative geographic information system to monitor and report on </w:t>
      </w:r>
      <w:r w:rsidR="00AA4B6D" w:rsidRPr="002E0A43">
        <w:rPr>
          <w:rFonts w:ascii="Times New Roman" w:hAnsi="Times New Roman"/>
          <w:color w:val="000000" w:themeColor="text1"/>
          <w:sz w:val="24"/>
          <w:szCs w:val="24"/>
        </w:rPr>
        <w:t>geo</w:t>
      </w:r>
      <w:r w:rsidR="00915BEF" w:rsidRPr="002E0A43">
        <w:rPr>
          <w:rFonts w:ascii="Times New Roman" w:hAnsi="Times New Roman"/>
          <w:color w:val="000000" w:themeColor="text1"/>
          <w:sz w:val="24"/>
          <w:szCs w:val="24"/>
        </w:rPr>
        <w:t xml:space="preserve">spatial information concerning the offsets project. The boundaries of the project area, </w:t>
      </w:r>
      <w:r w:rsidR="00DD4F76">
        <w:rPr>
          <w:rFonts w:ascii="Times New Roman" w:hAnsi="Times New Roman"/>
          <w:color w:val="000000" w:themeColor="text1"/>
          <w:sz w:val="24"/>
          <w:szCs w:val="24"/>
        </w:rPr>
        <w:t xml:space="preserve">and the </w:t>
      </w:r>
      <w:r w:rsidR="00B14742" w:rsidRPr="002E0A43">
        <w:rPr>
          <w:rFonts w:ascii="Times New Roman" w:hAnsi="Times New Roman"/>
          <w:color w:val="000000" w:themeColor="text1"/>
          <w:sz w:val="24"/>
          <w:szCs w:val="24"/>
        </w:rPr>
        <w:t xml:space="preserve">carbon estimation areas </w:t>
      </w:r>
      <w:r w:rsidR="00915BEF" w:rsidRPr="002E0A43">
        <w:rPr>
          <w:rFonts w:ascii="Times New Roman" w:hAnsi="Times New Roman"/>
          <w:color w:val="000000" w:themeColor="text1"/>
          <w:sz w:val="24"/>
          <w:szCs w:val="24"/>
        </w:rPr>
        <w:t xml:space="preserve">and exclusion areas within </w:t>
      </w:r>
      <w:r w:rsidR="00DD4F76">
        <w:rPr>
          <w:rFonts w:ascii="Times New Roman" w:hAnsi="Times New Roman"/>
          <w:color w:val="000000" w:themeColor="text1"/>
          <w:sz w:val="24"/>
          <w:szCs w:val="24"/>
        </w:rPr>
        <w:t>the</w:t>
      </w:r>
      <w:r w:rsidR="00915BEF" w:rsidRPr="002E0A43">
        <w:rPr>
          <w:rFonts w:ascii="Times New Roman" w:hAnsi="Times New Roman"/>
          <w:color w:val="000000" w:themeColor="text1"/>
          <w:sz w:val="24"/>
          <w:szCs w:val="24"/>
        </w:rPr>
        <w:t xml:space="preserve"> project area</w:t>
      </w:r>
      <w:r w:rsidR="00DD4F76">
        <w:rPr>
          <w:rFonts w:ascii="Times New Roman" w:hAnsi="Times New Roman"/>
          <w:color w:val="000000" w:themeColor="text1"/>
          <w:sz w:val="24"/>
          <w:szCs w:val="24"/>
        </w:rPr>
        <w:t>,</w:t>
      </w:r>
      <w:r w:rsidR="00915BEF" w:rsidRPr="002E0A43">
        <w:rPr>
          <w:rFonts w:ascii="Times New Roman" w:hAnsi="Times New Roman"/>
          <w:color w:val="000000" w:themeColor="text1"/>
          <w:sz w:val="24"/>
          <w:szCs w:val="24"/>
        </w:rPr>
        <w:t xml:space="preserve"> must be defined in accordance with the CFI</w:t>
      </w:r>
      <w:r w:rsidR="009E761B">
        <w:rPr>
          <w:rFonts w:ascii="Times New Roman" w:hAnsi="Times New Roman"/>
          <w:color w:val="000000" w:themeColor="text1"/>
          <w:sz w:val="24"/>
          <w:szCs w:val="24"/>
        </w:rPr>
        <w:t> </w:t>
      </w:r>
      <w:r w:rsidR="00915BEF" w:rsidRPr="002E0A43">
        <w:rPr>
          <w:rFonts w:ascii="Times New Roman" w:hAnsi="Times New Roman"/>
          <w:color w:val="000000" w:themeColor="text1"/>
          <w:sz w:val="24"/>
          <w:szCs w:val="24"/>
        </w:rPr>
        <w:t>Mapping Guidelines.</w:t>
      </w:r>
    </w:p>
    <w:p w:rsidR="002400BD" w:rsidRPr="00DD6F62" w:rsidRDefault="002400BD" w:rsidP="00986D81">
      <w:pPr>
        <w:keepNext/>
        <w:spacing w:after="120" w:line="240" w:lineRule="auto"/>
        <w:rPr>
          <w:rFonts w:ascii="Times New Roman" w:hAnsi="Times New Roman"/>
          <w:color w:val="808080" w:themeColor="background1" w:themeShade="80"/>
          <w:sz w:val="24"/>
          <w:szCs w:val="24"/>
        </w:rPr>
      </w:pPr>
    </w:p>
    <w:p w:rsidR="00915BEF" w:rsidRPr="002E0A43" w:rsidRDefault="0002096F" w:rsidP="00986D81">
      <w:pPr>
        <w:spacing w:after="120" w:line="240" w:lineRule="auto"/>
        <w:rPr>
          <w:rFonts w:ascii="Times New Roman" w:hAnsi="Times New Roman"/>
          <w:b/>
          <w:color w:val="000000" w:themeColor="text1"/>
          <w:sz w:val="24"/>
          <w:szCs w:val="24"/>
        </w:rPr>
      </w:pPr>
      <w:bookmarkStart w:id="5" w:name="_Toc318098665"/>
      <w:bookmarkStart w:id="6" w:name="_Toc319521136"/>
      <w:r w:rsidRPr="002E0A43">
        <w:rPr>
          <w:rFonts w:ascii="Times New Roman" w:hAnsi="Times New Roman"/>
          <w:b/>
          <w:color w:val="000000" w:themeColor="text1"/>
          <w:sz w:val="24"/>
          <w:szCs w:val="24"/>
        </w:rPr>
        <w:t>Division 5</w:t>
      </w:r>
      <w:r w:rsidR="00915BEF" w:rsidRPr="002E0A43">
        <w:rPr>
          <w:rFonts w:ascii="Times New Roman" w:hAnsi="Times New Roman"/>
          <w:b/>
          <w:color w:val="000000" w:themeColor="text1"/>
          <w:sz w:val="24"/>
          <w:szCs w:val="24"/>
        </w:rPr>
        <w:t>.2</w:t>
      </w:r>
      <w:r w:rsidR="00915BEF" w:rsidRPr="002E0A43">
        <w:rPr>
          <w:rFonts w:ascii="Times New Roman" w:hAnsi="Times New Roman"/>
          <w:b/>
          <w:color w:val="000000" w:themeColor="text1"/>
          <w:sz w:val="24"/>
          <w:szCs w:val="24"/>
        </w:rPr>
        <w:tab/>
        <w:t>Monitoring requirements</w:t>
      </w:r>
      <w:bookmarkEnd w:id="5"/>
      <w:bookmarkEnd w:id="6"/>
    </w:p>
    <w:p w:rsidR="00915BEF" w:rsidRPr="002E0A43" w:rsidRDefault="0002096F" w:rsidP="00986D81">
      <w:pPr>
        <w:spacing w:after="120" w:line="240" w:lineRule="auto"/>
        <w:rPr>
          <w:rFonts w:ascii="Times New Roman" w:hAnsi="Times New Roman"/>
          <w:color w:val="000000" w:themeColor="text1"/>
          <w:sz w:val="24"/>
          <w:szCs w:val="24"/>
          <w:u w:val="single"/>
        </w:rPr>
      </w:pPr>
      <w:bookmarkStart w:id="7" w:name="_Toc318098666"/>
      <w:bookmarkStart w:id="8" w:name="_Toc319521137"/>
      <w:r w:rsidRPr="002E0A43">
        <w:rPr>
          <w:rFonts w:ascii="Times New Roman" w:hAnsi="Times New Roman"/>
          <w:color w:val="000000" w:themeColor="text1"/>
          <w:sz w:val="24"/>
          <w:szCs w:val="24"/>
          <w:u w:val="single"/>
        </w:rPr>
        <w:t>5</w:t>
      </w:r>
      <w:r w:rsidR="00915BEF" w:rsidRPr="002E0A43">
        <w:rPr>
          <w:rFonts w:ascii="Times New Roman" w:hAnsi="Times New Roman"/>
          <w:color w:val="000000" w:themeColor="text1"/>
          <w:sz w:val="24"/>
          <w:szCs w:val="24"/>
          <w:u w:val="single"/>
        </w:rPr>
        <w:t>.3</w:t>
      </w:r>
      <w:r w:rsidR="00915BEF" w:rsidRPr="002E0A43">
        <w:rPr>
          <w:rFonts w:ascii="Times New Roman" w:hAnsi="Times New Roman"/>
          <w:color w:val="000000" w:themeColor="text1"/>
          <w:sz w:val="24"/>
          <w:szCs w:val="24"/>
          <w:u w:val="single"/>
        </w:rPr>
        <w:tab/>
        <w:t>Project monitoring</w:t>
      </w:r>
      <w:bookmarkEnd w:id="7"/>
      <w:bookmarkEnd w:id="8"/>
    </w:p>
    <w:p w:rsidR="00915BEF" w:rsidRPr="002E0A43" w:rsidRDefault="003F7F09" w:rsidP="00986D81">
      <w:pPr>
        <w:spacing w:after="120" w:line="240" w:lineRule="auto"/>
        <w:rPr>
          <w:rFonts w:ascii="Times New Roman" w:hAnsi="Times New Roman"/>
          <w:color w:val="000000" w:themeColor="text1"/>
          <w:sz w:val="24"/>
          <w:szCs w:val="24"/>
        </w:rPr>
      </w:pPr>
      <w:r w:rsidRPr="002E0A43">
        <w:rPr>
          <w:rFonts w:ascii="Times New Roman" w:hAnsi="Times New Roman"/>
          <w:color w:val="000000" w:themeColor="text1"/>
          <w:sz w:val="24"/>
          <w:szCs w:val="24"/>
        </w:rPr>
        <w:t>A p</w:t>
      </w:r>
      <w:r w:rsidR="00915BEF" w:rsidRPr="002E0A43">
        <w:rPr>
          <w:rFonts w:ascii="Times New Roman" w:hAnsi="Times New Roman"/>
          <w:color w:val="000000" w:themeColor="text1"/>
          <w:sz w:val="24"/>
          <w:szCs w:val="24"/>
        </w:rPr>
        <w:t xml:space="preserve">roject </w:t>
      </w:r>
      <w:r w:rsidRPr="002E0A43">
        <w:rPr>
          <w:rFonts w:ascii="Times New Roman" w:hAnsi="Times New Roman"/>
          <w:color w:val="000000" w:themeColor="text1"/>
          <w:sz w:val="24"/>
          <w:szCs w:val="24"/>
        </w:rPr>
        <w:t>p</w:t>
      </w:r>
      <w:r w:rsidR="00915BEF" w:rsidRPr="002E0A43">
        <w:rPr>
          <w:rFonts w:ascii="Times New Roman" w:hAnsi="Times New Roman"/>
          <w:color w:val="000000" w:themeColor="text1"/>
          <w:sz w:val="24"/>
          <w:szCs w:val="24"/>
        </w:rPr>
        <w:t xml:space="preserve">roponent must monitor </w:t>
      </w:r>
      <w:r w:rsidR="00DD4F76">
        <w:rPr>
          <w:rFonts w:ascii="Times New Roman" w:hAnsi="Times New Roman"/>
          <w:color w:val="000000" w:themeColor="text1"/>
          <w:sz w:val="24"/>
          <w:szCs w:val="24"/>
        </w:rPr>
        <w:t xml:space="preserve">the </w:t>
      </w:r>
      <w:r w:rsidR="00915BEF" w:rsidRPr="002E0A43">
        <w:rPr>
          <w:rFonts w:ascii="Times New Roman" w:hAnsi="Times New Roman"/>
          <w:color w:val="000000" w:themeColor="text1"/>
          <w:sz w:val="24"/>
          <w:szCs w:val="24"/>
        </w:rPr>
        <w:t>project area and</w:t>
      </w:r>
      <w:r w:rsidR="009B2334">
        <w:rPr>
          <w:rFonts w:ascii="Times New Roman" w:hAnsi="Times New Roman"/>
          <w:color w:val="000000" w:themeColor="text1"/>
          <w:sz w:val="24"/>
          <w:szCs w:val="24"/>
        </w:rPr>
        <w:t>, in accordance with Part 3 of the Determination,</w:t>
      </w:r>
      <w:r w:rsidR="00915BEF" w:rsidRPr="002E0A43">
        <w:rPr>
          <w:rFonts w:ascii="Times New Roman" w:hAnsi="Times New Roman"/>
          <w:color w:val="000000" w:themeColor="text1"/>
          <w:sz w:val="24"/>
          <w:szCs w:val="24"/>
        </w:rPr>
        <w:t xml:space="preserve"> adjust the boundaries of areas within the project area if the</w:t>
      </w:r>
      <w:r w:rsidR="008311E2">
        <w:rPr>
          <w:rFonts w:ascii="Times New Roman" w:hAnsi="Times New Roman"/>
          <w:color w:val="000000" w:themeColor="text1"/>
          <w:sz w:val="24"/>
          <w:szCs w:val="24"/>
        </w:rPr>
        <w:t xml:space="preserve"> areas</w:t>
      </w:r>
      <w:r w:rsidR="00915BEF" w:rsidRPr="002E0A43">
        <w:rPr>
          <w:rFonts w:ascii="Times New Roman" w:hAnsi="Times New Roman"/>
          <w:color w:val="000000" w:themeColor="text1"/>
          <w:sz w:val="24"/>
          <w:szCs w:val="24"/>
        </w:rPr>
        <w:t xml:space="preserve"> no longer meet the requirements of the Determination or</w:t>
      </w:r>
      <w:r w:rsidR="004B1347" w:rsidRPr="002E0A43">
        <w:rPr>
          <w:rFonts w:ascii="Times New Roman" w:hAnsi="Times New Roman"/>
          <w:color w:val="000000" w:themeColor="text1"/>
          <w:sz w:val="24"/>
          <w:szCs w:val="24"/>
        </w:rPr>
        <w:t xml:space="preserve"> require further stratification</w:t>
      </w:r>
      <w:r w:rsidR="00915BEF" w:rsidRPr="002E0A43">
        <w:rPr>
          <w:rFonts w:ascii="Times New Roman" w:hAnsi="Times New Roman"/>
          <w:color w:val="000000" w:themeColor="text1"/>
          <w:sz w:val="24"/>
          <w:szCs w:val="24"/>
        </w:rPr>
        <w:t>.</w:t>
      </w:r>
    </w:p>
    <w:p w:rsidR="003F41A7" w:rsidRDefault="003F7F09" w:rsidP="00986D81">
      <w:pPr>
        <w:spacing w:after="120" w:line="240" w:lineRule="auto"/>
        <w:rPr>
          <w:rFonts w:ascii="Times New Roman" w:hAnsi="Times New Roman"/>
          <w:color w:val="000000" w:themeColor="text1"/>
          <w:sz w:val="24"/>
          <w:szCs w:val="24"/>
        </w:rPr>
      </w:pPr>
      <w:r w:rsidRPr="002E0A43">
        <w:rPr>
          <w:rFonts w:ascii="Times New Roman" w:hAnsi="Times New Roman"/>
          <w:color w:val="000000" w:themeColor="text1"/>
          <w:sz w:val="24"/>
          <w:szCs w:val="24"/>
        </w:rPr>
        <w:t>A p</w:t>
      </w:r>
      <w:r w:rsidR="00915BEF" w:rsidRPr="002E0A43">
        <w:rPr>
          <w:rFonts w:ascii="Times New Roman" w:hAnsi="Times New Roman"/>
          <w:color w:val="000000" w:themeColor="text1"/>
          <w:sz w:val="24"/>
          <w:szCs w:val="24"/>
        </w:rPr>
        <w:t xml:space="preserve">roject proponent must monitor disturbances in </w:t>
      </w:r>
      <w:r w:rsidR="00DD4F76">
        <w:rPr>
          <w:rFonts w:ascii="Times New Roman" w:hAnsi="Times New Roman"/>
          <w:color w:val="000000" w:themeColor="text1"/>
          <w:sz w:val="24"/>
          <w:szCs w:val="24"/>
        </w:rPr>
        <w:t>the</w:t>
      </w:r>
      <w:r w:rsidR="00915BEF" w:rsidRPr="002E0A43">
        <w:rPr>
          <w:rFonts w:ascii="Times New Roman" w:hAnsi="Times New Roman"/>
          <w:color w:val="000000" w:themeColor="text1"/>
          <w:sz w:val="24"/>
          <w:szCs w:val="24"/>
        </w:rPr>
        <w:t xml:space="preserve"> project area and </w:t>
      </w:r>
      <w:r w:rsidR="002E0A43" w:rsidRPr="002E0A43">
        <w:rPr>
          <w:rFonts w:ascii="Times New Roman" w:hAnsi="Times New Roman"/>
          <w:color w:val="000000" w:themeColor="text1"/>
          <w:sz w:val="24"/>
          <w:szCs w:val="24"/>
        </w:rPr>
        <w:t>enter</w:t>
      </w:r>
      <w:r w:rsidR="00915BEF" w:rsidRPr="002E0A43">
        <w:rPr>
          <w:rFonts w:ascii="Times New Roman" w:hAnsi="Times New Roman"/>
          <w:color w:val="000000" w:themeColor="text1"/>
          <w:sz w:val="24"/>
          <w:szCs w:val="24"/>
        </w:rPr>
        <w:t xml:space="preserve"> this information </w:t>
      </w:r>
      <w:r w:rsidR="002E0A43" w:rsidRPr="002E0A43">
        <w:rPr>
          <w:rFonts w:ascii="Times New Roman" w:hAnsi="Times New Roman"/>
          <w:color w:val="000000" w:themeColor="text1"/>
          <w:sz w:val="24"/>
          <w:szCs w:val="24"/>
        </w:rPr>
        <w:t>into the FullCAM event queue</w:t>
      </w:r>
      <w:r w:rsidR="00915BEF" w:rsidRPr="002E0A43">
        <w:rPr>
          <w:rFonts w:ascii="Times New Roman" w:hAnsi="Times New Roman"/>
          <w:color w:val="000000" w:themeColor="text1"/>
          <w:sz w:val="24"/>
          <w:szCs w:val="24"/>
        </w:rPr>
        <w:t xml:space="preserve">. </w:t>
      </w:r>
    </w:p>
    <w:p w:rsidR="00AA4B6D" w:rsidRPr="003F41A7" w:rsidRDefault="00915BEF" w:rsidP="00986D81">
      <w:pPr>
        <w:spacing w:after="120" w:line="240" w:lineRule="auto"/>
        <w:rPr>
          <w:rFonts w:ascii="Times New Roman" w:hAnsi="Times New Roman"/>
          <w:color w:val="000000" w:themeColor="text1"/>
          <w:sz w:val="24"/>
          <w:szCs w:val="24"/>
        </w:rPr>
      </w:pPr>
      <w:r w:rsidRPr="003F41A7">
        <w:rPr>
          <w:rFonts w:ascii="Times New Roman" w:hAnsi="Times New Roman"/>
          <w:color w:val="000000" w:themeColor="text1"/>
          <w:sz w:val="24"/>
          <w:szCs w:val="24"/>
        </w:rPr>
        <w:t xml:space="preserve">On-ground observation or </w:t>
      </w:r>
      <w:r w:rsidR="00D85B8C" w:rsidRPr="003F41A7">
        <w:rPr>
          <w:rFonts w:ascii="Times New Roman" w:hAnsi="Times New Roman"/>
          <w:color w:val="000000" w:themeColor="text1"/>
          <w:sz w:val="24"/>
          <w:szCs w:val="24"/>
        </w:rPr>
        <w:t>remotely-sensed</w:t>
      </w:r>
      <w:r w:rsidRPr="003F41A7">
        <w:rPr>
          <w:rFonts w:ascii="Times New Roman" w:hAnsi="Times New Roman"/>
          <w:color w:val="000000" w:themeColor="text1"/>
          <w:sz w:val="24"/>
          <w:szCs w:val="24"/>
        </w:rPr>
        <w:t xml:space="preserve"> imagery</w:t>
      </w:r>
      <w:r w:rsidR="003F41A7">
        <w:rPr>
          <w:rFonts w:ascii="Times New Roman" w:hAnsi="Times New Roman"/>
          <w:color w:val="000000" w:themeColor="text1"/>
          <w:sz w:val="24"/>
          <w:szCs w:val="24"/>
        </w:rPr>
        <w:t>,</w:t>
      </w:r>
      <w:r w:rsidRPr="003F41A7">
        <w:rPr>
          <w:rFonts w:ascii="Times New Roman" w:hAnsi="Times New Roman"/>
          <w:color w:val="000000" w:themeColor="text1"/>
          <w:sz w:val="24"/>
          <w:szCs w:val="24"/>
        </w:rPr>
        <w:t xml:space="preserve"> or both</w:t>
      </w:r>
      <w:r w:rsidR="003F41A7">
        <w:rPr>
          <w:rFonts w:ascii="Times New Roman" w:hAnsi="Times New Roman"/>
          <w:color w:val="000000" w:themeColor="text1"/>
          <w:sz w:val="24"/>
          <w:szCs w:val="24"/>
        </w:rPr>
        <w:t>,</w:t>
      </w:r>
      <w:r w:rsidRPr="003F41A7">
        <w:rPr>
          <w:rFonts w:ascii="Times New Roman" w:hAnsi="Times New Roman"/>
          <w:color w:val="000000" w:themeColor="text1"/>
          <w:sz w:val="24"/>
          <w:szCs w:val="24"/>
        </w:rPr>
        <w:t xml:space="preserve"> </w:t>
      </w:r>
      <w:r w:rsidR="003F41A7">
        <w:rPr>
          <w:rFonts w:ascii="Times New Roman" w:hAnsi="Times New Roman"/>
          <w:color w:val="000000" w:themeColor="text1"/>
          <w:sz w:val="24"/>
          <w:szCs w:val="24"/>
        </w:rPr>
        <w:t>must</w:t>
      </w:r>
      <w:r w:rsidRPr="003F41A7">
        <w:rPr>
          <w:rFonts w:ascii="Times New Roman" w:hAnsi="Times New Roman"/>
          <w:color w:val="000000" w:themeColor="text1"/>
          <w:sz w:val="24"/>
          <w:szCs w:val="24"/>
        </w:rPr>
        <w:t xml:space="preserve"> be used to monitor projects. </w:t>
      </w:r>
    </w:p>
    <w:p w:rsidR="00F13FEE" w:rsidRPr="00DD6F62" w:rsidRDefault="00F13FEE" w:rsidP="00986D81">
      <w:pPr>
        <w:spacing w:after="120" w:line="240" w:lineRule="auto"/>
        <w:rPr>
          <w:rFonts w:ascii="Times New Roman" w:hAnsi="Times New Roman"/>
          <w:color w:val="808080" w:themeColor="background1" w:themeShade="80"/>
          <w:sz w:val="24"/>
          <w:szCs w:val="24"/>
        </w:rPr>
      </w:pPr>
    </w:p>
    <w:p w:rsidR="00915BEF" w:rsidRPr="003F41A7" w:rsidRDefault="0002096F" w:rsidP="00986D81">
      <w:pPr>
        <w:keepNext/>
        <w:spacing w:after="120" w:line="240" w:lineRule="auto"/>
        <w:rPr>
          <w:rFonts w:ascii="Times New Roman" w:hAnsi="Times New Roman"/>
          <w:b/>
          <w:color w:val="000000" w:themeColor="text1"/>
          <w:sz w:val="24"/>
          <w:szCs w:val="24"/>
        </w:rPr>
      </w:pPr>
      <w:bookmarkStart w:id="9" w:name="_Toc318098668"/>
      <w:bookmarkStart w:id="10" w:name="_Toc319521138"/>
      <w:r w:rsidRPr="003F41A7">
        <w:rPr>
          <w:rFonts w:ascii="Times New Roman" w:hAnsi="Times New Roman"/>
          <w:b/>
          <w:color w:val="000000" w:themeColor="text1"/>
          <w:sz w:val="24"/>
          <w:szCs w:val="24"/>
        </w:rPr>
        <w:t>Division 5</w:t>
      </w:r>
      <w:r w:rsidR="00915BEF" w:rsidRPr="003F41A7">
        <w:rPr>
          <w:rFonts w:ascii="Times New Roman" w:hAnsi="Times New Roman"/>
          <w:b/>
          <w:color w:val="000000" w:themeColor="text1"/>
          <w:sz w:val="24"/>
          <w:szCs w:val="24"/>
        </w:rPr>
        <w:t>.3</w:t>
      </w:r>
      <w:r w:rsidR="00915BEF" w:rsidRPr="003F41A7">
        <w:rPr>
          <w:rFonts w:ascii="Times New Roman" w:hAnsi="Times New Roman"/>
          <w:b/>
          <w:color w:val="000000" w:themeColor="text1"/>
          <w:sz w:val="24"/>
          <w:szCs w:val="24"/>
        </w:rPr>
        <w:tab/>
        <w:t>Record-keeping requirements</w:t>
      </w:r>
      <w:bookmarkEnd w:id="9"/>
      <w:bookmarkEnd w:id="10"/>
    </w:p>
    <w:p w:rsidR="0078484F" w:rsidRPr="00BB0132" w:rsidRDefault="000F6000" w:rsidP="00986D81">
      <w:pPr>
        <w:keepNext/>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5.4</w:t>
      </w:r>
      <w:r w:rsidR="0078484F" w:rsidRPr="00BB0132">
        <w:rPr>
          <w:rFonts w:ascii="Times New Roman" w:hAnsi="Times New Roman"/>
          <w:color w:val="000000" w:themeColor="text1"/>
          <w:sz w:val="24"/>
          <w:szCs w:val="24"/>
          <w:u w:val="single"/>
        </w:rPr>
        <w:tab/>
        <w:t>Records that must be kept</w:t>
      </w:r>
    </w:p>
    <w:p w:rsidR="000774C1" w:rsidRDefault="004B6DDE" w:rsidP="00986D81">
      <w:pPr>
        <w:spacing w:after="120" w:line="240" w:lineRule="auto"/>
        <w:rPr>
          <w:rFonts w:ascii="Times New Roman" w:hAnsi="Times New Roman"/>
          <w:color w:val="000000" w:themeColor="text1"/>
          <w:sz w:val="24"/>
          <w:szCs w:val="24"/>
        </w:rPr>
      </w:pPr>
      <w:r w:rsidRPr="00BB0132">
        <w:rPr>
          <w:rFonts w:ascii="Times New Roman" w:hAnsi="Times New Roman"/>
          <w:color w:val="000000" w:themeColor="text1"/>
          <w:sz w:val="24"/>
          <w:szCs w:val="24"/>
        </w:rPr>
        <w:t>Section 5.</w:t>
      </w:r>
      <w:r w:rsidR="000F6000">
        <w:rPr>
          <w:rFonts w:ascii="Times New Roman" w:hAnsi="Times New Roman"/>
          <w:color w:val="000000" w:themeColor="text1"/>
          <w:sz w:val="24"/>
          <w:szCs w:val="24"/>
        </w:rPr>
        <w:t>4</w:t>
      </w:r>
      <w:r w:rsidR="00915BEF" w:rsidRPr="00BB0132">
        <w:rPr>
          <w:rFonts w:ascii="Times New Roman" w:hAnsi="Times New Roman"/>
          <w:color w:val="000000" w:themeColor="text1"/>
          <w:sz w:val="24"/>
          <w:szCs w:val="24"/>
        </w:rPr>
        <w:t xml:space="preserve"> specifies the records that must be </w:t>
      </w:r>
      <w:r w:rsidRPr="00BB0132">
        <w:rPr>
          <w:rFonts w:ascii="Times New Roman" w:hAnsi="Times New Roman"/>
          <w:color w:val="000000" w:themeColor="text1"/>
          <w:sz w:val="24"/>
          <w:szCs w:val="24"/>
        </w:rPr>
        <w:t xml:space="preserve">created and maintained </w:t>
      </w:r>
      <w:r w:rsidR="00915BEF" w:rsidRPr="00BB0132">
        <w:rPr>
          <w:rFonts w:ascii="Times New Roman" w:hAnsi="Times New Roman"/>
          <w:color w:val="000000" w:themeColor="text1"/>
          <w:sz w:val="24"/>
          <w:szCs w:val="24"/>
        </w:rPr>
        <w:t>in re</w:t>
      </w:r>
      <w:r w:rsidRPr="00BB0132">
        <w:rPr>
          <w:rFonts w:ascii="Times New Roman" w:hAnsi="Times New Roman"/>
          <w:color w:val="000000" w:themeColor="text1"/>
          <w:sz w:val="24"/>
          <w:szCs w:val="24"/>
        </w:rPr>
        <w:t>lation to the project.</w:t>
      </w:r>
    </w:p>
    <w:p w:rsidR="00F16085" w:rsidRDefault="00F16085" w:rsidP="00986D81">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Other sections of the Determination also specify particular information which must be kept in relation to those sections.</w:t>
      </w:r>
    </w:p>
    <w:p w:rsidR="002161AE" w:rsidRDefault="000774C1" w:rsidP="00DD4F76">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5.</w:t>
      </w:r>
      <w:r w:rsidR="000F6000">
        <w:rPr>
          <w:rFonts w:ascii="Times New Roman" w:hAnsi="Times New Roman"/>
          <w:color w:val="000000" w:themeColor="text1"/>
          <w:sz w:val="24"/>
          <w:szCs w:val="24"/>
        </w:rPr>
        <w:t>4</w:t>
      </w:r>
      <w:r>
        <w:rPr>
          <w:rFonts w:ascii="Times New Roman" w:hAnsi="Times New Roman"/>
          <w:color w:val="000000" w:themeColor="text1"/>
          <w:sz w:val="24"/>
          <w:szCs w:val="24"/>
        </w:rPr>
        <w:t>(c)</w:t>
      </w:r>
      <w:r w:rsidR="002161AE">
        <w:rPr>
          <w:rFonts w:ascii="Times New Roman" w:hAnsi="Times New Roman"/>
          <w:color w:val="000000" w:themeColor="text1"/>
          <w:sz w:val="24"/>
          <w:szCs w:val="24"/>
        </w:rPr>
        <w:t xml:space="preserve"> requires evidence that the land on which the project mechanism is implemented was cleared from forest so as to be used for pasture.  Evidence that could be provided to meet this requirement </w:t>
      </w:r>
      <w:r w:rsidR="006478CC">
        <w:rPr>
          <w:rFonts w:ascii="Times New Roman" w:hAnsi="Times New Roman"/>
          <w:color w:val="000000" w:themeColor="text1"/>
          <w:sz w:val="24"/>
          <w:szCs w:val="24"/>
        </w:rPr>
        <w:t>may</w:t>
      </w:r>
      <w:r w:rsidR="002161AE">
        <w:rPr>
          <w:rFonts w:ascii="Times New Roman" w:hAnsi="Times New Roman"/>
          <w:color w:val="000000" w:themeColor="text1"/>
          <w:sz w:val="24"/>
          <w:szCs w:val="24"/>
        </w:rPr>
        <w:t xml:space="preserve"> include:</w:t>
      </w:r>
    </w:p>
    <w:p w:rsidR="002161AE" w:rsidRPr="00DD4F76" w:rsidRDefault="002161AE" w:rsidP="00AE7A3E">
      <w:pPr>
        <w:pStyle w:val="noteSubpara"/>
        <w:numPr>
          <w:ilvl w:val="0"/>
          <w:numId w:val="14"/>
        </w:numPr>
        <w:spacing w:after="120" w:line="240" w:lineRule="auto"/>
        <w:rPr>
          <w:rFonts w:eastAsia="Calibri"/>
          <w:color w:val="000000" w:themeColor="text1"/>
          <w:sz w:val="24"/>
          <w:lang w:eastAsia="en-US"/>
        </w:rPr>
      </w:pPr>
      <w:r w:rsidRPr="00DD4F76">
        <w:rPr>
          <w:rFonts w:eastAsia="Calibri"/>
          <w:color w:val="000000" w:themeColor="text1"/>
          <w:sz w:val="24"/>
          <w:lang w:eastAsia="en-US"/>
        </w:rPr>
        <w:t xml:space="preserve">clearing permits; </w:t>
      </w:r>
    </w:p>
    <w:p w:rsidR="002161AE" w:rsidRPr="00DD4F76" w:rsidRDefault="002161AE" w:rsidP="00AE7A3E">
      <w:pPr>
        <w:pStyle w:val="noteSubpara"/>
        <w:numPr>
          <w:ilvl w:val="0"/>
          <w:numId w:val="14"/>
        </w:numPr>
        <w:spacing w:after="120" w:line="240" w:lineRule="auto"/>
        <w:rPr>
          <w:rFonts w:eastAsia="Calibri"/>
          <w:color w:val="000000" w:themeColor="text1"/>
          <w:sz w:val="24"/>
          <w:lang w:eastAsia="en-US"/>
        </w:rPr>
      </w:pPr>
      <w:r w:rsidRPr="00DD4F76">
        <w:rPr>
          <w:rFonts w:eastAsia="Calibri"/>
          <w:color w:val="000000" w:themeColor="text1"/>
          <w:sz w:val="24"/>
          <w:lang w:eastAsia="en-US"/>
        </w:rPr>
        <w:t xml:space="preserve">farm management records of forest clearance or the chemical or mechanical suppression of regrowth; </w:t>
      </w:r>
    </w:p>
    <w:p w:rsidR="002161AE" w:rsidRPr="00DD4F76" w:rsidRDefault="002161AE" w:rsidP="00AE7A3E">
      <w:pPr>
        <w:pStyle w:val="noteSubpara"/>
        <w:numPr>
          <w:ilvl w:val="0"/>
          <w:numId w:val="14"/>
        </w:numPr>
        <w:spacing w:after="120" w:line="240" w:lineRule="auto"/>
        <w:rPr>
          <w:rFonts w:eastAsia="Calibri"/>
          <w:color w:val="000000" w:themeColor="text1"/>
          <w:sz w:val="24"/>
          <w:lang w:eastAsia="en-US"/>
        </w:rPr>
      </w:pPr>
      <w:r w:rsidRPr="00DD4F76">
        <w:rPr>
          <w:rFonts w:eastAsia="Calibri"/>
          <w:color w:val="000000" w:themeColor="text1"/>
          <w:sz w:val="24"/>
          <w:lang w:eastAsia="en-US"/>
        </w:rPr>
        <w:lastRenderedPageBreak/>
        <w:t>aerial photography or other date stamped remote sensing showing changes from forest; or</w:t>
      </w:r>
    </w:p>
    <w:p w:rsidR="002161AE" w:rsidRPr="00DD4F76" w:rsidRDefault="002161AE" w:rsidP="00AE7A3E">
      <w:pPr>
        <w:pStyle w:val="noteSubpara"/>
        <w:numPr>
          <w:ilvl w:val="0"/>
          <w:numId w:val="14"/>
        </w:numPr>
        <w:spacing w:after="120" w:line="240" w:lineRule="auto"/>
        <w:rPr>
          <w:rFonts w:eastAsia="Calibri"/>
          <w:color w:val="000000" w:themeColor="text1"/>
          <w:sz w:val="24"/>
          <w:lang w:eastAsia="en-US"/>
        </w:rPr>
      </w:pPr>
      <w:proofErr w:type="gramStart"/>
      <w:r w:rsidRPr="00DD4F76">
        <w:rPr>
          <w:rFonts w:eastAsia="Calibri"/>
          <w:color w:val="000000" w:themeColor="text1"/>
          <w:sz w:val="24"/>
          <w:lang w:eastAsia="en-US"/>
        </w:rPr>
        <w:t>published</w:t>
      </w:r>
      <w:proofErr w:type="gramEnd"/>
      <w:r w:rsidRPr="00DD4F76">
        <w:rPr>
          <w:rFonts w:eastAsia="Calibri"/>
          <w:color w:val="000000" w:themeColor="text1"/>
          <w:sz w:val="24"/>
          <w:lang w:eastAsia="en-US"/>
        </w:rPr>
        <w:t xml:space="preserve"> vegetation mapping indicating the presence of forest vegetation on the land prior to clearing.</w:t>
      </w:r>
    </w:p>
    <w:p w:rsidR="004B6DDE" w:rsidRDefault="002161AE" w:rsidP="00DD4F76">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Paragraph 5.</w:t>
      </w:r>
      <w:r w:rsidR="000F6000">
        <w:rPr>
          <w:rFonts w:ascii="Times New Roman" w:hAnsi="Times New Roman"/>
          <w:color w:val="000000" w:themeColor="text1"/>
          <w:sz w:val="24"/>
          <w:szCs w:val="24"/>
        </w:rPr>
        <w:t>4</w:t>
      </w:r>
      <w:r>
        <w:rPr>
          <w:rFonts w:ascii="Times New Roman" w:hAnsi="Times New Roman"/>
          <w:color w:val="000000" w:themeColor="text1"/>
          <w:sz w:val="24"/>
          <w:szCs w:val="24"/>
        </w:rPr>
        <w:t xml:space="preserve">(d) requires evidence that </w:t>
      </w:r>
      <w:r w:rsidRPr="002161AE">
        <w:rPr>
          <w:rFonts w:ascii="Times New Roman" w:hAnsi="Times New Roman"/>
          <w:color w:val="000000" w:themeColor="text1"/>
          <w:sz w:val="24"/>
          <w:szCs w:val="24"/>
        </w:rPr>
        <w:t>comprehensive clearing of regrowth on land in the project area was authorised by law</w:t>
      </w:r>
      <w:r>
        <w:rPr>
          <w:rFonts w:ascii="Times New Roman" w:hAnsi="Times New Roman"/>
          <w:color w:val="000000" w:themeColor="text1"/>
          <w:sz w:val="24"/>
          <w:szCs w:val="24"/>
        </w:rPr>
        <w:t>.  E</w:t>
      </w:r>
      <w:r w:rsidR="006478CC">
        <w:rPr>
          <w:rFonts w:ascii="Times New Roman" w:hAnsi="Times New Roman"/>
          <w:color w:val="000000" w:themeColor="text1"/>
          <w:sz w:val="24"/>
          <w:szCs w:val="24"/>
        </w:rPr>
        <w:t>xamples of e</w:t>
      </w:r>
      <w:r>
        <w:rPr>
          <w:rFonts w:ascii="Times New Roman" w:hAnsi="Times New Roman"/>
          <w:color w:val="000000" w:themeColor="text1"/>
          <w:sz w:val="24"/>
          <w:szCs w:val="24"/>
        </w:rPr>
        <w:t>vidence that could be provided to meet this requirement include:</w:t>
      </w:r>
    </w:p>
    <w:p w:rsidR="005B666D" w:rsidRDefault="002161AE" w:rsidP="00AE7A3E">
      <w:pPr>
        <w:pStyle w:val="noteSubpara"/>
        <w:numPr>
          <w:ilvl w:val="0"/>
          <w:numId w:val="15"/>
        </w:numPr>
        <w:spacing w:after="120" w:line="240" w:lineRule="auto"/>
        <w:rPr>
          <w:rFonts w:eastAsia="Calibri"/>
          <w:color w:val="000000" w:themeColor="text1"/>
          <w:sz w:val="24"/>
          <w:lang w:eastAsia="en-US"/>
        </w:rPr>
      </w:pPr>
      <w:r w:rsidRPr="00DD4F76">
        <w:rPr>
          <w:rFonts w:eastAsia="Calibri"/>
          <w:color w:val="000000" w:themeColor="text1"/>
          <w:sz w:val="24"/>
          <w:lang w:eastAsia="en-US"/>
        </w:rPr>
        <w:t xml:space="preserve">Property Map of Assessable Vegetation (Queensland); </w:t>
      </w:r>
    </w:p>
    <w:p w:rsidR="002161AE" w:rsidRPr="00DD4F76" w:rsidRDefault="005B666D" w:rsidP="00AE7A3E">
      <w:pPr>
        <w:pStyle w:val="noteSubpara"/>
        <w:numPr>
          <w:ilvl w:val="0"/>
          <w:numId w:val="15"/>
        </w:numPr>
        <w:spacing w:after="120" w:line="240" w:lineRule="auto"/>
        <w:rPr>
          <w:rFonts w:eastAsia="Calibri"/>
          <w:color w:val="000000" w:themeColor="text1"/>
          <w:sz w:val="24"/>
          <w:lang w:eastAsia="en-US"/>
        </w:rPr>
      </w:pPr>
      <w:r w:rsidRPr="00E11AEE">
        <w:rPr>
          <w:rFonts w:eastAsia="Calibri"/>
          <w:color w:val="000000" w:themeColor="text1"/>
          <w:sz w:val="24"/>
          <w:lang w:eastAsia="en-US"/>
        </w:rPr>
        <w:t xml:space="preserve">Regional Ecosystem and Remnant Map </w:t>
      </w:r>
      <w:r>
        <w:rPr>
          <w:rFonts w:eastAsia="Calibri"/>
          <w:color w:val="000000" w:themeColor="text1"/>
          <w:sz w:val="24"/>
          <w:lang w:eastAsia="en-US"/>
        </w:rPr>
        <w:t xml:space="preserve">(Queensland); </w:t>
      </w:r>
      <w:r w:rsidR="002161AE" w:rsidRPr="00DD4F76">
        <w:rPr>
          <w:rFonts w:eastAsia="Calibri"/>
          <w:color w:val="000000" w:themeColor="text1"/>
          <w:sz w:val="24"/>
          <w:lang w:eastAsia="en-US"/>
        </w:rPr>
        <w:t>or</w:t>
      </w:r>
    </w:p>
    <w:p w:rsidR="008311E2" w:rsidRPr="00DD4F76" w:rsidRDefault="002161AE" w:rsidP="00AE7A3E">
      <w:pPr>
        <w:pStyle w:val="noteSubpara"/>
        <w:numPr>
          <w:ilvl w:val="0"/>
          <w:numId w:val="15"/>
        </w:numPr>
        <w:spacing w:after="120" w:line="240" w:lineRule="auto"/>
        <w:rPr>
          <w:rFonts w:eastAsia="Calibri"/>
          <w:color w:val="000000" w:themeColor="text1"/>
          <w:sz w:val="24"/>
          <w:lang w:eastAsia="en-US"/>
        </w:rPr>
      </w:pPr>
      <w:r w:rsidRPr="00DD4F76">
        <w:rPr>
          <w:rFonts w:eastAsia="Calibri"/>
          <w:color w:val="000000" w:themeColor="text1"/>
          <w:sz w:val="24"/>
          <w:lang w:eastAsia="en-US"/>
        </w:rPr>
        <w:t>Property Vegetation Management Plan (NSW).</w:t>
      </w:r>
    </w:p>
    <w:p w:rsidR="008311E2" w:rsidRPr="002161AE" w:rsidRDefault="00E202EC" w:rsidP="00E202EC">
      <w:pPr>
        <w:spacing w:after="120" w:line="240" w:lineRule="auto"/>
      </w:pPr>
      <w:r>
        <w:rPr>
          <w:rFonts w:ascii="Times New Roman" w:hAnsi="Times New Roman"/>
          <w:color w:val="000000" w:themeColor="text1"/>
          <w:sz w:val="24"/>
          <w:szCs w:val="24"/>
        </w:rPr>
        <w:t>Paragraph 5.</w:t>
      </w:r>
      <w:r w:rsidR="000F6000">
        <w:rPr>
          <w:rFonts w:ascii="Times New Roman" w:hAnsi="Times New Roman"/>
          <w:color w:val="000000" w:themeColor="text1"/>
          <w:sz w:val="24"/>
          <w:szCs w:val="24"/>
        </w:rPr>
        <w:t>4</w:t>
      </w:r>
      <w:r>
        <w:rPr>
          <w:rFonts w:ascii="Times New Roman" w:hAnsi="Times New Roman"/>
          <w:color w:val="000000" w:themeColor="text1"/>
          <w:sz w:val="24"/>
          <w:szCs w:val="24"/>
        </w:rPr>
        <w:t>(</w:t>
      </w:r>
      <w:r w:rsidR="000F6000">
        <w:rPr>
          <w:rFonts w:ascii="Times New Roman" w:hAnsi="Times New Roman"/>
          <w:color w:val="000000" w:themeColor="text1"/>
          <w:sz w:val="24"/>
          <w:szCs w:val="24"/>
        </w:rPr>
        <w:t>o</w:t>
      </w:r>
      <w:r>
        <w:rPr>
          <w:rFonts w:ascii="Times New Roman" w:hAnsi="Times New Roman"/>
          <w:color w:val="000000" w:themeColor="text1"/>
          <w:sz w:val="24"/>
          <w:szCs w:val="24"/>
        </w:rPr>
        <w:t xml:space="preserve">) specifies the records that must be kept in relation to fires occurring in the project area.  </w:t>
      </w:r>
      <w:r w:rsidR="008311E2" w:rsidRPr="00E202EC">
        <w:rPr>
          <w:rFonts w:ascii="Times New Roman" w:hAnsi="Times New Roman"/>
          <w:color w:val="000000" w:themeColor="text1"/>
          <w:sz w:val="24"/>
          <w:szCs w:val="24"/>
        </w:rPr>
        <w:t xml:space="preserve">The </w:t>
      </w:r>
      <w:r w:rsidRPr="00E202EC">
        <w:rPr>
          <w:rFonts w:ascii="Times New Roman" w:hAnsi="Times New Roman"/>
          <w:color w:val="000000" w:themeColor="text1"/>
          <w:sz w:val="24"/>
          <w:szCs w:val="24"/>
        </w:rPr>
        <w:t xml:space="preserve">information </w:t>
      </w:r>
      <w:r w:rsidR="006478CC">
        <w:rPr>
          <w:rFonts w:ascii="Times New Roman" w:hAnsi="Times New Roman"/>
          <w:color w:val="000000" w:themeColor="text1"/>
          <w:sz w:val="24"/>
          <w:szCs w:val="24"/>
        </w:rPr>
        <w:t xml:space="preserve">that must be kept </w:t>
      </w:r>
      <w:r w:rsidRPr="00E202EC">
        <w:rPr>
          <w:rFonts w:ascii="Times New Roman" w:hAnsi="Times New Roman"/>
          <w:color w:val="000000" w:themeColor="text1"/>
          <w:sz w:val="24"/>
          <w:szCs w:val="24"/>
        </w:rPr>
        <w:t xml:space="preserve">includes the </w:t>
      </w:r>
      <w:r w:rsidR="008311E2" w:rsidRPr="00E202EC">
        <w:rPr>
          <w:rFonts w:ascii="Times New Roman" w:hAnsi="Times New Roman"/>
          <w:color w:val="000000" w:themeColor="text1"/>
          <w:sz w:val="24"/>
          <w:szCs w:val="24"/>
        </w:rPr>
        <w:t xml:space="preserve">carbon estimation area affected by the </w:t>
      </w:r>
      <w:r>
        <w:rPr>
          <w:rFonts w:ascii="Times New Roman" w:hAnsi="Times New Roman"/>
          <w:color w:val="000000" w:themeColor="text1"/>
          <w:sz w:val="24"/>
          <w:szCs w:val="24"/>
        </w:rPr>
        <w:t>fire</w:t>
      </w:r>
      <w:r w:rsidR="008311E2" w:rsidRPr="00E202EC">
        <w:rPr>
          <w:rFonts w:ascii="Times New Roman" w:hAnsi="Times New Roman"/>
          <w:color w:val="000000" w:themeColor="text1"/>
          <w:sz w:val="24"/>
          <w:szCs w:val="24"/>
        </w:rPr>
        <w:t xml:space="preserve">, the timing of the event, the area affected (proportion of carbon estimation areas), and the extent to which trees in the affected area have been killed. </w:t>
      </w:r>
    </w:p>
    <w:p w:rsidR="0078484F" w:rsidRPr="00254FAB" w:rsidRDefault="0078484F" w:rsidP="00986D81">
      <w:pPr>
        <w:keepNext/>
        <w:spacing w:after="120" w:line="240" w:lineRule="auto"/>
        <w:rPr>
          <w:rFonts w:ascii="Times New Roman" w:hAnsi="Times New Roman"/>
          <w:color w:val="000000" w:themeColor="text1"/>
          <w:sz w:val="24"/>
          <w:szCs w:val="24"/>
          <w:u w:val="single"/>
        </w:rPr>
      </w:pPr>
      <w:r w:rsidRPr="00254FAB">
        <w:rPr>
          <w:rFonts w:ascii="Times New Roman" w:hAnsi="Times New Roman"/>
          <w:color w:val="000000" w:themeColor="text1"/>
          <w:sz w:val="24"/>
          <w:szCs w:val="24"/>
          <w:u w:val="single"/>
        </w:rPr>
        <w:t>5.</w:t>
      </w:r>
      <w:r w:rsidR="000F6000">
        <w:rPr>
          <w:rFonts w:ascii="Times New Roman" w:hAnsi="Times New Roman"/>
          <w:color w:val="000000" w:themeColor="text1"/>
          <w:sz w:val="24"/>
          <w:szCs w:val="24"/>
          <w:u w:val="single"/>
        </w:rPr>
        <w:t>5</w:t>
      </w:r>
      <w:r w:rsidRPr="00254FAB">
        <w:rPr>
          <w:rFonts w:ascii="Times New Roman" w:hAnsi="Times New Roman"/>
          <w:color w:val="000000" w:themeColor="text1"/>
          <w:sz w:val="24"/>
          <w:szCs w:val="24"/>
          <w:u w:val="single"/>
        </w:rPr>
        <w:tab/>
        <w:t>Forest management information</w:t>
      </w:r>
    </w:p>
    <w:p w:rsidR="004B6DDE" w:rsidRPr="00254FAB" w:rsidRDefault="004B6DDE" w:rsidP="00986D81">
      <w:pPr>
        <w:spacing w:after="120" w:line="240" w:lineRule="auto"/>
        <w:rPr>
          <w:rFonts w:ascii="Times New Roman" w:hAnsi="Times New Roman"/>
          <w:color w:val="000000" w:themeColor="text1"/>
          <w:sz w:val="24"/>
          <w:szCs w:val="24"/>
        </w:rPr>
      </w:pPr>
      <w:r w:rsidRPr="00254FAB">
        <w:rPr>
          <w:rFonts w:ascii="Times New Roman" w:hAnsi="Times New Roman"/>
          <w:color w:val="000000" w:themeColor="text1"/>
          <w:sz w:val="24"/>
          <w:szCs w:val="24"/>
        </w:rPr>
        <w:t>Section 5</w:t>
      </w:r>
      <w:r w:rsidR="000F6000">
        <w:rPr>
          <w:rFonts w:ascii="Times New Roman" w:hAnsi="Times New Roman"/>
          <w:color w:val="000000" w:themeColor="text1"/>
          <w:sz w:val="24"/>
          <w:szCs w:val="24"/>
        </w:rPr>
        <w:t>.5</w:t>
      </w:r>
      <w:r w:rsidR="00915BEF" w:rsidRPr="00254FAB">
        <w:rPr>
          <w:rFonts w:ascii="Times New Roman" w:hAnsi="Times New Roman"/>
          <w:color w:val="000000" w:themeColor="text1"/>
          <w:sz w:val="24"/>
          <w:szCs w:val="24"/>
        </w:rPr>
        <w:t xml:space="preserve"> specifies the records that</w:t>
      </w:r>
      <w:r w:rsidR="009B79DB" w:rsidRPr="00254FAB">
        <w:rPr>
          <w:rFonts w:ascii="Times New Roman" w:hAnsi="Times New Roman"/>
          <w:color w:val="000000" w:themeColor="text1"/>
          <w:sz w:val="24"/>
          <w:szCs w:val="24"/>
        </w:rPr>
        <w:t xml:space="preserve"> </w:t>
      </w:r>
      <w:r w:rsidR="00915BEF" w:rsidRPr="00254FAB">
        <w:rPr>
          <w:rFonts w:ascii="Times New Roman" w:hAnsi="Times New Roman"/>
          <w:color w:val="000000" w:themeColor="text1"/>
          <w:sz w:val="24"/>
          <w:szCs w:val="24"/>
        </w:rPr>
        <w:t xml:space="preserve">constitute forest management information. </w:t>
      </w:r>
    </w:p>
    <w:p w:rsidR="0078484F" w:rsidRPr="00254FAB" w:rsidRDefault="0078484F" w:rsidP="00986D81">
      <w:pPr>
        <w:keepNext/>
        <w:spacing w:after="120" w:line="240" w:lineRule="auto"/>
        <w:rPr>
          <w:rFonts w:ascii="Times New Roman" w:hAnsi="Times New Roman"/>
          <w:color w:val="000000" w:themeColor="text1"/>
          <w:sz w:val="24"/>
          <w:szCs w:val="24"/>
          <w:u w:val="single"/>
        </w:rPr>
      </w:pPr>
      <w:r w:rsidRPr="00254FAB">
        <w:rPr>
          <w:rFonts w:ascii="Times New Roman" w:hAnsi="Times New Roman"/>
          <w:color w:val="000000" w:themeColor="text1"/>
          <w:sz w:val="24"/>
          <w:szCs w:val="24"/>
          <w:u w:val="single"/>
        </w:rPr>
        <w:t>5.</w:t>
      </w:r>
      <w:r w:rsidR="000F6000">
        <w:rPr>
          <w:rFonts w:ascii="Times New Roman" w:hAnsi="Times New Roman"/>
          <w:color w:val="000000" w:themeColor="text1"/>
          <w:sz w:val="24"/>
          <w:szCs w:val="24"/>
          <w:u w:val="single"/>
        </w:rPr>
        <w:t>6</w:t>
      </w:r>
      <w:r w:rsidRPr="00254FAB">
        <w:rPr>
          <w:rFonts w:ascii="Times New Roman" w:hAnsi="Times New Roman"/>
          <w:color w:val="000000" w:themeColor="text1"/>
          <w:sz w:val="24"/>
          <w:szCs w:val="24"/>
          <w:u w:val="single"/>
        </w:rPr>
        <w:tab/>
        <w:t>Project area information</w:t>
      </w:r>
    </w:p>
    <w:p w:rsidR="00915BEF" w:rsidRPr="00254FAB" w:rsidRDefault="00915BEF" w:rsidP="00986D81">
      <w:pPr>
        <w:spacing w:after="120" w:line="240" w:lineRule="auto"/>
        <w:rPr>
          <w:rFonts w:ascii="Times New Roman" w:hAnsi="Times New Roman"/>
          <w:color w:val="000000" w:themeColor="text1"/>
          <w:sz w:val="24"/>
          <w:szCs w:val="24"/>
        </w:rPr>
      </w:pPr>
      <w:r w:rsidRPr="00254FAB">
        <w:rPr>
          <w:rFonts w:ascii="Times New Roman" w:hAnsi="Times New Roman"/>
          <w:color w:val="000000" w:themeColor="text1"/>
          <w:sz w:val="24"/>
          <w:szCs w:val="24"/>
        </w:rPr>
        <w:t xml:space="preserve">Section </w:t>
      </w:r>
      <w:r w:rsidR="004B6DDE" w:rsidRPr="00254FAB">
        <w:rPr>
          <w:rFonts w:ascii="Times New Roman" w:hAnsi="Times New Roman"/>
          <w:color w:val="000000" w:themeColor="text1"/>
          <w:sz w:val="24"/>
          <w:szCs w:val="24"/>
        </w:rPr>
        <w:t>5</w:t>
      </w:r>
      <w:r w:rsidRPr="00254FAB">
        <w:rPr>
          <w:rFonts w:ascii="Times New Roman" w:hAnsi="Times New Roman"/>
          <w:color w:val="000000" w:themeColor="text1"/>
          <w:sz w:val="24"/>
          <w:szCs w:val="24"/>
        </w:rPr>
        <w:t>.</w:t>
      </w:r>
      <w:r w:rsidR="000F6000">
        <w:rPr>
          <w:rFonts w:ascii="Times New Roman" w:hAnsi="Times New Roman"/>
          <w:color w:val="000000" w:themeColor="text1"/>
          <w:sz w:val="24"/>
          <w:szCs w:val="24"/>
        </w:rPr>
        <w:t>6</w:t>
      </w:r>
      <w:r w:rsidRPr="00254FAB">
        <w:rPr>
          <w:rFonts w:ascii="Times New Roman" w:hAnsi="Times New Roman"/>
          <w:color w:val="000000" w:themeColor="text1"/>
          <w:sz w:val="24"/>
          <w:szCs w:val="24"/>
        </w:rPr>
        <w:t xml:space="preserve"> specifies the records that </w:t>
      </w:r>
      <w:r w:rsidR="00273480">
        <w:rPr>
          <w:rFonts w:ascii="Times New Roman" w:hAnsi="Times New Roman"/>
          <w:color w:val="000000" w:themeColor="text1"/>
          <w:sz w:val="24"/>
          <w:szCs w:val="24"/>
        </w:rPr>
        <w:t>constitute</w:t>
      </w:r>
      <w:r w:rsidRPr="00254FAB">
        <w:rPr>
          <w:rFonts w:ascii="Times New Roman" w:hAnsi="Times New Roman"/>
          <w:color w:val="000000" w:themeColor="text1"/>
          <w:sz w:val="24"/>
          <w:szCs w:val="24"/>
        </w:rPr>
        <w:t xml:space="preserve"> project area</w:t>
      </w:r>
      <w:r w:rsidR="00273480">
        <w:rPr>
          <w:rFonts w:ascii="Times New Roman" w:hAnsi="Times New Roman"/>
          <w:color w:val="000000" w:themeColor="text1"/>
          <w:sz w:val="24"/>
          <w:szCs w:val="24"/>
        </w:rPr>
        <w:t xml:space="preserve"> information</w:t>
      </w:r>
      <w:r w:rsidRPr="00254FAB">
        <w:rPr>
          <w:rFonts w:ascii="Times New Roman" w:hAnsi="Times New Roman"/>
          <w:color w:val="000000" w:themeColor="text1"/>
          <w:sz w:val="24"/>
          <w:szCs w:val="24"/>
        </w:rPr>
        <w:t>.</w:t>
      </w:r>
    </w:p>
    <w:p w:rsidR="002400BD" w:rsidRPr="00DD6F62" w:rsidRDefault="002400BD" w:rsidP="00986D81">
      <w:pPr>
        <w:spacing w:after="120" w:line="240" w:lineRule="auto"/>
        <w:rPr>
          <w:rFonts w:ascii="Times New Roman" w:hAnsi="Times New Roman"/>
          <w:color w:val="808080" w:themeColor="background1" w:themeShade="80"/>
          <w:sz w:val="24"/>
          <w:szCs w:val="24"/>
        </w:rPr>
      </w:pPr>
    </w:p>
    <w:p w:rsidR="00915BEF" w:rsidRPr="004F7753" w:rsidRDefault="00915BEF" w:rsidP="00986D81">
      <w:pPr>
        <w:widowControl w:val="0"/>
        <w:spacing w:after="120" w:line="240" w:lineRule="auto"/>
        <w:rPr>
          <w:rFonts w:ascii="Times New Roman" w:hAnsi="Times New Roman"/>
          <w:b/>
          <w:color w:val="000000" w:themeColor="text1"/>
          <w:sz w:val="24"/>
          <w:szCs w:val="24"/>
        </w:rPr>
      </w:pPr>
      <w:bookmarkStart w:id="11" w:name="_Toc318098670"/>
      <w:bookmarkStart w:id="12" w:name="_Toc319521140"/>
      <w:r w:rsidRPr="004F7753">
        <w:rPr>
          <w:rFonts w:ascii="Times New Roman" w:hAnsi="Times New Roman"/>
          <w:b/>
          <w:color w:val="000000" w:themeColor="text1"/>
          <w:sz w:val="24"/>
          <w:szCs w:val="24"/>
        </w:rPr>
        <w:t xml:space="preserve">Division </w:t>
      </w:r>
      <w:r w:rsidR="0002096F" w:rsidRPr="004F7753">
        <w:rPr>
          <w:rFonts w:ascii="Times New Roman" w:hAnsi="Times New Roman"/>
          <w:b/>
          <w:color w:val="000000" w:themeColor="text1"/>
          <w:sz w:val="24"/>
          <w:szCs w:val="24"/>
        </w:rPr>
        <w:t>5</w:t>
      </w:r>
      <w:r w:rsidRPr="004F7753">
        <w:rPr>
          <w:rFonts w:ascii="Times New Roman" w:hAnsi="Times New Roman"/>
          <w:b/>
          <w:color w:val="000000" w:themeColor="text1"/>
          <w:sz w:val="24"/>
          <w:szCs w:val="24"/>
        </w:rPr>
        <w:t>.</w:t>
      </w:r>
      <w:r w:rsidR="00F77E77" w:rsidRPr="004F7753">
        <w:rPr>
          <w:rFonts w:ascii="Times New Roman" w:hAnsi="Times New Roman"/>
          <w:b/>
          <w:color w:val="000000" w:themeColor="text1"/>
          <w:sz w:val="24"/>
          <w:szCs w:val="24"/>
        </w:rPr>
        <w:t>2</w:t>
      </w:r>
      <w:r w:rsidRPr="004F7753">
        <w:rPr>
          <w:rFonts w:ascii="Times New Roman" w:hAnsi="Times New Roman"/>
          <w:b/>
          <w:color w:val="000000" w:themeColor="text1"/>
          <w:sz w:val="24"/>
          <w:szCs w:val="24"/>
        </w:rPr>
        <w:tab/>
        <w:t>Offsets report requirements</w:t>
      </w:r>
      <w:bookmarkEnd w:id="11"/>
      <w:bookmarkEnd w:id="12"/>
    </w:p>
    <w:p w:rsidR="0078484F" w:rsidRPr="004F7753" w:rsidRDefault="000F6000" w:rsidP="00986D81">
      <w:pPr>
        <w:keepNext/>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u w:val="single"/>
        </w:rPr>
        <w:t>5.7</w:t>
      </w:r>
      <w:r w:rsidR="0078484F" w:rsidRPr="004F7753">
        <w:rPr>
          <w:rFonts w:ascii="Times New Roman" w:hAnsi="Times New Roman"/>
          <w:color w:val="000000" w:themeColor="text1"/>
          <w:sz w:val="24"/>
          <w:szCs w:val="24"/>
          <w:u w:val="single"/>
        </w:rPr>
        <w:tab/>
        <w:t>Information in first offsets report</w:t>
      </w:r>
    </w:p>
    <w:p w:rsidR="00915BEF" w:rsidRPr="004F7753" w:rsidRDefault="000F6000" w:rsidP="00986D81">
      <w:pPr>
        <w:keepNext/>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Section 5.7</w:t>
      </w:r>
      <w:r w:rsidR="00915BEF" w:rsidRPr="004F7753">
        <w:rPr>
          <w:rFonts w:ascii="Times New Roman" w:hAnsi="Times New Roman"/>
          <w:color w:val="000000" w:themeColor="text1"/>
          <w:sz w:val="24"/>
          <w:szCs w:val="24"/>
        </w:rPr>
        <w:t xml:space="preserve"> sets out the information that must be included in </w:t>
      </w:r>
      <w:r w:rsidR="004B6DDE" w:rsidRPr="004F7753">
        <w:rPr>
          <w:rFonts w:ascii="Times New Roman" w:hAnsi="Times New Roman"/>
          <w:color w:val="000000" w:themeColor="text1"/>
          <w:sz w:val="24"/>
          <w:szCs w:val="24"/>
        </w:rPr>
        <w:t>an offsets</w:t>
      </w:r>
      <w:r w:rsidR="00915BEF" w:rsidRPr="004F7753">
        <w:rPr>
          <w:rFonts w:ascii="Times New Roman" w:hAnsi="Times New Roman"/>
          <w:color w:val="000000" w:themeColor="text1"/>
          <w:sz w:val="24"/>
          <w:szCs w:val="24"/>
        </w:rPr>
        <w:t xml:space="preserve"> report for the first reporting period</w:t>
      </w:r>
      <w:r w:rsidR="005A7ECA">
        <w:rPr>
          <w:rFonts w:ascii="Times New Roman" w:hAnsi="Times New Roman"/>
          <w:color w:val="000000" w:themeColor="text1"/>
          <w:sz w:val="24"/>
          <w:szCs w:val="24"/>
        </w:rPr>
        <w:t xml:space="preserve"> for the project</w:t>
      </w:r>
      <w:r w:rsidR="00915BEF" w:rsidRPr="004F7753">
        <w:rPr>
          <w:rFonts w:ascii="Times New Roman" w:hAnsi="Times New Roman"/>
          <w:color w:val="000000" w:themeColor="text1"/>
          <w:sz w:val="24"/>
          <w:szCs w:val="24"/>
        </w:rPr>
        <w:t>.</w:t>
      </w:r>
    </w:p>
    <w:p w:rsidR="0078484F" w:rsidRPr="005A7ECA" w:rsidRDefault="000F6000" w:rsidP="00986D81">
      <w:pPr>
        <w:keepNext/>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u w:val="single"/>
        </w:rPr>
        <w:t>5.8</w:t>
      </w:r>
      <w:r w:rsidR="0078484F" w:rsidRPr="005A7ECA">
        <w:rPr>
          <w:rFonts w:ascii="Times New Roman" w:hAnsi="Times New Roman"/>
          <w:color w:val="000000" w:themeColor="text1"/>
          <w:sz w:val="24"/>
          <w:szCs w:val="24"/>
          <w:u w:val="single"/>
        </w:rPr>
        <w:tab/>
      </w:r>
      <w:r w:rsidR="004F7753" w:rsidRPr="005A7ECA">
        <w:rPr>
          <w:rFonts w:ascii="Times New Roman" w:hAnsi="Times New Roman"/>
          <w:color w:val="000000" w:themeColor="text1"/>
          <w:sz w:val="24"/>
          <w:szCs w:val="24"/>
          <w:u w:val="single"/>
        </w:rPr>
        <w:t xml:space="preserve">Information in </w:t>
      </w:r>
      <w:r w:rsidR="005A7ECA" w:rsidRPr="005A7ECA">
        <w:rPr>
          <w:rFonts w:ascii="Times New Roman" w:hAnsi="Times New Roman"/>
          <w:color w:val="000000" w:themeColor="text1"/>
          <w:sz w:val="24"/>
          <w:szCs w:val="24"/>
          <w:u w:val="single"/>
        </w:rPr>
        <w:t>s</w:t>
      </w:r>
      <w:r w:rsidR="0078484F" w:rsidRPr="005A7ECA">
        <w:rPr>
          <w:rFonts w:ascii="Times New Roman" w:hAnsi="Times New Roman"/>
          <w:color w:val="000000" w:themeColor="text1"/>
          <w:sz w:val="24"/>
          <w:szCs w:val="24"/>
          <w:u w:val="single"/>
        </w:rPr>
        <w:t xml:space="preserve">ubsequent </w:t>
      </w:r>
      <w:r w:rsidR="00391E6F">
        <w:rPr>
          <w:rFonts w:ascii="Times New Roman" w:hAnsi="Times New Roman"/>
          <w:color w:val="000000" w:themeColor="text1"/>
          <w:sz w:val="24"/>
          <w:szCs w:val="24"/>
          <w:u w:val="single"/>
        </w:rPr>
        <w:t>offsets reports</w:t>
      </w:r>
    </w:p>
    <w:p w:rsidR="00D02BF8" w:rsidRDefault="004B6DDE" w:rsidP="00986D81">
      <w:pPr>
        <w:spacing w:after="120" w:line="240" w:lineRule="auto"/>
        <w:rPr>
          <w:rFonts w:ascii="Times New Roman" w:hAnsi="Times New Roman"/>
          <w:color w:val="000000" w:themeColor="text1"/>
          <w:sz w:val="24"/>
          <w:szCs w:val="24"/>
        </w:rPr>
      </w:pPr>
      <w:r w:rsidRPr="005A7ECA">
        <w:rPr>
          <w:rFonts w:ascii="Times New Roman" w:hAnsi="Times New Roman"/>
          <w:color w:val="000000" w:themeColor="text1"/>
          <w:sz w:val="24"/>
          <w:szCs w:val="24"/>
        </w:rPr>
        <w:t>S</w:t>
      </w:r>
      <w:r w:rsidR="00915BEF" w:rsidRPr="005A7ECA">
        <w:rPr>
          <w:rFonts w:ascii="Times New Roman" w:hAnsi="Times New Roman"/>
          <w:color w:val="000000" w:themeColor="text1"/>
          <w:sz w:val="24"/>
          <w:szCs w:val="24"/>
        </w:rPr>
        <w:t xml:space="preserve">ection </w:t>
      </w:r>
      <w:r w:rsidRPr="005A7ECA">
        <w:rPr>
          <w:rFonts w:ascii="Times New Roman" w:hAnsi="Times New Roman"/>
          <w:color w:val="000000" w:themeColor="text1"/>
          <w:sz w:val="24"/>
          <w:szCs w:val="24"/>
        </w:rPr>
        <w:t>5.</w:t>
      </w:r>
      <w:r w:rsidR="000F6000">
        <w:rPr>
          <w:rFonts w:ascii="Times New Roman" w:hAnsi="Times New Roman"/>
          <w:color w:val="000000" w:themeColor="text1"/>
          <w:sz w:val="24"/>
          <w:szCs w:val="24"/>
        </w:rPr>
        <w:t>8</w:t>
      </w:r>
      <w:r w:rsidRPr="005A7ECA">
        <w:rPr>
          <w:rFonts w:ascii="Times New Roman" w:hAnsi="Times New Roman"/>
          <w:color w:val="000000" w:themeColor="text1"/>
          <w:sz w:val="24"/>
          <w:szCs w:val="24"/>
        </w:rPr>
        <w:t xml:space="preserve"> </w:t>
      </w:r>
      <w:r w:rsidR="00915BEF" w:rsidRPr="005A7ECA">
        <w:rPr>
          <w:rFonts w:ascii="Times New Roman" w:hAnsi="Times New Roman"/>
          <w:color w:val="000000" w:themeColor="text1"/>
          <w:sz w:val="24"/>
          <w:szCs w:val="24"/>
        </w:rPr>
        <w:t xml:space="preserve">sets out information that must be included in the </w:t>
      </w:r>
      <w:r w:rsidRPr="005A7ECA">
        <w:rPr>
          <w:rFonts w:ascii="Times New Roman" w:hAnsi="Times New Roman"/>
          <w:color w:val="000000" w:themeColor="text1"/>
          <w:sz w:val="24"/>
          <w:szCs w:val="24"/>
        </w:rPr>
        <w:t>second</w:t>
      </w:r>
      <w:r w:rsidR="00915BEF" w:rsidRPr="005A7ECA">
        <w:rPr>
          <w:rFonts w:ascii="Times New Roman" w:hAnsi="Times New Roman"/>
          <w:color w:val="000000" w:themeColor="text1"/>
          <w:sz w:val="24"/>
          <w:szCs w:val="24"/>
        </w:rPr>
        <w:t xml:space="preserve"> and subsequent </w:t>
      </w:r>
      <w:r w:rsidRPr="005A7ECA">
        <w:rPr>
          <w:rFonts w:ascii="Times New Roman" w:hAnsi="Times New Roman"/>
          <w:color w:val="000000" w:themeColor="text1"/>
          <w:sz w:val="24"/>
          <w:szCs w:val="24"/>
        </w:rPr>
        <w:t>offsets</w:t>
      </w:r>
      <w:r w:rsidR="00915BEF" w:rsidRPr="005A7ECA">
        <w:rPr>
          <w:rFonts w:ascii="Times New Roman" w:hAnsi="Times New Roman"/>
          <w:color w:val="000000" w:themeColor="text1"/>
          <w:sz w:val="24"/>
          <w:szCs w:val="24"/>
        </w:rPr>
        <w:t xml:space="preserve"> reports</w:t>
      </w:r>
      <w:r w:rsidR="005A7ECA" w:rsidRPr="005A7ECA">
        <w:rPr>
          <w:rFonts w:ascii="Times New Roman" w:hAnsi="Times New Roman"/>
          <w:color w:val="000000" w:themeColor="text1"/>
          <w:sz w:val="24"/>
          <w:szCs w:val="24"/>
        </w:rPr>
        <w:t xml:space="preserve"> for the project</w:t>
      </w:r>
      <w:r w:rsidR="00915BEF" w:rsidRPr="005A7ECA">
        <w:rPr>
          <w:rFonts w:ascii="Times New Roman" w:hAnsi="Times New Roman"/>
          <w:color w:val="000000" w:themeColor="text1"/>
          <w:sz w:val="24"/>
          <w:szCs w:val="24"/>
        </w:rPr>
        <w:t>.</w:t>
      </w:r>
      <w:r w:rsidR="004D6263" w:rsidRPr="005A7ECA" w:rsidDel="004D6263">
        <w:rPr>
          <w:rFonts w:ascii="Times New Roman" w:hAnsi="Times New Roman"/>
          <w:color w:val="000000" w:themeColor="text1"/>
          <w:sz w:val="24"/>
          <w:szCs w:val="24"/>
        </w:rPr>
        <w:t xml:space="preserve"> </w:t>
      </w: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6670FA">
      <w:pPr>
        <w:spacing w:after="0" w:line="240" w:lineRule="auto"/>
        <w:rPr>
          <w:rFonts w:ascii="Times New Roman" w:hAnsi="Times New Roman"/>
          <w:b/>
          <w:color w:val="808080" w:themeColor="background1" w:themeShade="80"/>
          <w:sz w:val="24"/>
          <w:szCs w:val="24"/>
        </w:rPr>
      </w:pPr>
    </w:p>
    <w:p w:rsidR="006670FA" w:rsidRDefault="006670FA" w:rsidP="00DC61B3">
      <w:pPr>
        <w:keepNext/>
        <w:keepLines/>
        <w:spacing w:after="0" w:line="240" w:lineRule="auto"/>
        <w:rPr>
          <w:rFonts w:ascii="Times New Roman" w:hAnsi="Times New Roman"/>
          <w:b/>
          <w:color w:val="000000"/>
          <w:sz w:val="24"/>
          <w:szCs w:val="24"/>
        </w:rPr>
      </w:pPr>
      <w:r w:rsidRPr="00D04236">
        <w:rPr>
          <w:rFonts w:ascii="Times New Roman" w:hAnsi="Times New Roman"/>
          <w:b/>
          <w:color w:val="000000"/>
          <w:sz w:val="24"/>
          <w:szCs w:val="24"/>
        </w:rPr>
        <w:lastRenderedPageBreak/>
        <w:t xml:space="preserve">Appendix </w:t>
      </w:r>
      <w:r w:rsidR="00041FFC">
        <w:rPr>
          <w:rFonts w:ascii="Times New Roman" w:hAnsi="Times New Roman"/>
          <w:b/>
          <w:color w:val="000000"/>
          <w:sz w:val="24"/>
          <w:szCs w:val="24"/>
        </w:rPr>
        <w:t>A</w:t>
      </w:r>
      <w:r w:rsidRPr="00D04236">
        <w:rPr>
          <w:rFonts w:ascii="Times New Roman" w:hAnsi="Times New Roman"/>
          <w:b/>
          <w:color w:val="000000"/>
          <w:sz w:val="24"/>
          <w:szCs w:val="24"/>
        </w:rPr>
        <w:tab/>
      </w:r>
      <w:r w:rsidRPr="00D04236">
        <w:rPr>
          <w:rFonts w:ascii="Times New Roman" w:hAnsi="Times New Roman"/>
          <w:b/>
          <w:color w:val="000000"/>
          <w:sz w:val="24"/>
          <w:szCs w:val="24"/>
        </w:rPr>
        <w:tab/>
      </w:r>
      <w:r>
        <w:rPr>
          <w:rFonts w:ascii="Times New Roman" w:hAnsi="Times New Roman"/>
          <w:b/>
          <w:color w:val="000000"/>
          <w:sz w:val="24"/>
          <w:szCs w:val="24"/>
        </w:rPr>
        <w:t>B</w:t>
      </w:r>
      <w:r w:rsidRPr="00D04236">
        <w:rPr>
          <w:rFonts w:ascii="Times New Roman" w:hAnsi="Times New Roman"/>
          <w:b/>
          <w:color w:val="000000"/>
          <w:sz w:val="24"/>
          <w:szCs w:val="24"/>
        </w:rPr>
        <w:t>aseline ma</w:t>
      </w:r>
      <w:r>
        <w:rPr>
          <w:rFonts w:ascii="Times New Roman" w:hAnsi="Times New Roman"/>
          <w:b/>
          <w:color w:val="000000"/>
          <w:sz w:val="24"/>
          <w:szCs w:val="24"/>
        </w:rPr>
        <w:t>nagement event scenarios</w:t>
      </w:r>
    </w:p>
    <w:p w:rsidR="006670FA" w:rsidRDefault="006670FA" w:rsidP="00DC61B3">
      <w:pPr>
        <w:keepNext/>
        <w:keepLines/>
        <w:spacing w:after="0" w:line="240" w:lineRule="auto"/>
        <w:rPr>
          <w:rFonts w:ascii="Times New Roman" w:hAnsi="Times New Roman"/>
          <w:b/>
          <w:color w:val="000000"/>
          <w:sz w:val="24"/>
          <w:szCs w:val="24"/>
        </w:rPr>
      </w:pPr>
    </w:p>
    <w:p w:rsidR="006670FA" w:rsidRDefault="006670FA" w:rsidP="00DC61B3">
      <w:pPr>
        <w:keepNext/>
        <w:keepLines/>
        <w:spacing w:after="0" w:line="240" w:lineRule="auto"/>
        <w:rPr>
          <w:rFonts w:ascii="Times New Roman" w:hAnsi="Times New Roman"/>
          <w:b/>
          <w:sz w:val="24"/>
          <w:szCs w:val="24"/>
        </w:rPr>
      </w:pPr>
      <w:r>
        <w:rPr>
          <w:rFonts w:ascii="Times New Roman" w:hAnsi="Times New Roman"/>
          <w:b/>
          <w:sz w:val="24"/>
          <w:szCs w:val="24"/>
        </w:rPr>
        <w:t>Default baseline management event scenario</w:t>
      </w:r>
    </w:p>
    <w:p w:rsidR="006670FA" w:rsidRDefault="006670FA" w:rsidP="00DC61B3">
      <w:pPr>
        <w:keepNext/>
        <w:keepLines/>
        <w:spacing w:after="0" w:line="240" w:lineRule="auto"/>
        <w:rPr>
          <w:rFonts w:ascii="Times New Roman" w:hAnsi="Times New Roman"/>
          <w:b/>
          <w:sz w:val="24"/>
          <w:szCs w:val="24"/>
        </w:rPr>
      </w:pPr>
    </w:p>
    <w:p w:rsidR="006670FA" w:rsidRDefault="006670FA" w:rsidP="00DC61B3">
      <w:pPr>
        <w:keepNext/>
        <w:keepLines/>
        <w:rPr>
          <w:rFonts w:ascii="Times New Roman" w:hAnsi="Times New Roman"/>
          <w:color w:val="000000"/>
          <w:sz w:val="24"/>
          <w:szCs w:val="24"/>
        </w:rPr>
      </w:pPr>
      <w:r>
        <w:rPr>
          <w:rFonts w:ascii="Times New Roman" w:hAnsi="Times New Roman"/>
          <w:color w:val="000000"/>
          <w:sz w:val="24"/>
          <w:szCs w:val="24"/>
        </w:rPr>
        <w:t xml:space="preserve">The default </w:t>
      </w:r>
      <w:r w:rsidRPr="00D04236">
        <w:rPr>
          <w:rFonts w:ascii="Times New Roman" w:hAnsi="Times New Roman"/>
          <w:color w:val="000000"/>
          <w:sz w:val="24"/>
          <w:szCs w:val="24"/>
        </w:rPr>
        <w:t xml:space="preserve">baseline management event scenario </w:t>
      </w:r>
      <w:r>
        <w:rPr>
          <w:rFonts w:ascii="Times New Roman" w:hAnsi="Times New Roman"/>
          <w:color w:val="000000"/>
          <w:sz w:val="24"/>
          <w:szCs w:val="24"/>
        </w:rPr>
        <w:t>is suitable for project proponents who have evidence of only one comprehensive clearing before the implementation date (as required by subsection 2.4(3) for project eligibility).</w:t>
      </w:r>
    </w:p>
    <w:tbl>
      <w:tblPr>
        <w:tblStyle w:val="TableGrid"/>
        <w:tblW w:w="0" w:type="auto"/>
        <w:tblLook w:val="04A0" w:firstRow="1" w:lastRow="0" w:firstColumn="1" w:lastColumn="0" w:noHBand="0" w:noVBand="1"/>
      </w:tblPr>
      <w:tblGrid>
        <w:gridCol w:w="9242"/>
      </w:tblGrid>
      <w:tr w:rsidR="006670FA" w:rsidTr="006670FA">
        <w:tc>
          <w:tcPr>
            <w:tcW w:w="9242" w:type="dxa"/>
          </w:tcPr>
          <w:p w:rsidR="006670FA" w:rsidRDefault="006670FA" w:rsidP="00DC61B3">
            <w:pPr>
              <w:keepNext/>
              <w:keepLines/>
              <w:rPr>
                <w:rFonts w:ascii="Times New Roman" w:eastAsia="Calibri" w:hAnsi="Times New Roman"/>
                <w:b/>
                <w:sz w:val="24"/>
                <w:szCs w:val="24"/>
              </w:rPr>
            </w:pPr>
            <w:r w:rsidRPr="00845E77">
              <w:rPr>
                <w:rFonts w:eastAsia="Calibri" w:cstheme="minorHAnsi"/>
                <w:b/>
                <w:i/>
                <w:color w:val="000000"/>
              </w:rPr>
              <w:t>Figure 1—default baseline</w:t>
            </w:r>
            <w:r>
              <w:rPr>
                <w:noProof/>
                <w:lang w:eastAsia="en-AU"/>
              </w:rPr>
              <w:drawing>
                <wp:inline distT="0" distB="0" distL="0" distR="0" wp14:anchorId="0B2A18EB" wp14:editId="690AB6B3">
                  <wp:extent cx="5385975" cy="2003048"/>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383713" cy="2002207"/>
                          </a:xfrm>
                          <a:prstGeom prst="rect">
                            <a:avLst/>
                          </a:prstGeom>
                          <a:ln>
                            <a:noFill/>
                          </a:ln>
                          <a:extLst>
                            <a:ext uri="{53640926-AAD7-44D8-BBD7-CCE9431645EC}">
                              <a14:shadowObscured xmlns:a14="http://schemas.microsoft.com/office/drawing/2010/main"/>
                            </a:ext>
                          </a:extLst>
                        </pic:spPr>
                      </pic:pic>
                    </a:graphicData>
                  </a:graphic>
                </wp:inline>
              </w:drawing>
            </w:r>
          </w:p>
        </w:tc>
      </w:tr>
    </w:tbl>
    <w:p w:rsidR="006670FA" w:rsidRDefault="006670FA" w:rsidP="00DC61B3">
      <w:pPr>
        <w:keepNext/>
        <w:keepLines/>
        <w:spacing w:after="0" w:line="240" w:lineRule="auto"/>
        <w:rPr>
          <w:rFonts w:ascii="Times New Roman" w:hAnsi="Times New Roman"/>
          <w:b/>
          <w:sz w:val="24"/>
          <w:szCs w:val="24"/>
        </w:rPr>
      </w:pPr>
    </w:p>
    <w:p w:rsidR="006670FA" w:rsidRDefault="006670FA" w:rsidP="00DC61B3">
      <w:pPr>
        <w:keepNext/>
        <w:keepLines/>
        <w:spacing w:after="0" w:line="240" w:lineRule="auto"/>
        <w:rPr>
          <w:rFonts w:ascii="Times New Roman" w:hAnsi="Times New Roman"/>
          <w:b/>
          <w:sz w:val="24"/>
          <w:szCs w:val="24"/>
        </w:rPr>
      </w:pPr>
      <w:r>
        <w:rPr>
          <w:rFonts w:ascii="Times New Roman" w:hAnsi="Times New Roman"/>
          <w:b/>
          <w:sz w:val="24"/>
          <w:szCs w:val="24"/>
        </w:rPr>
        <w:t>Hybrid baseline management event scenario</w:t>
      </w:r>
    </w:p>
    <w:p w:rsidR="006670FA" w:rsidRDefault="006670FA" w:rsidP="00DC61B3">
      <w:pPr>
        <w:keepNext/>
        <w:keepLines/>
        <w:spacing w:after="0" w:line="240" w:lineRule="auto"/>
        <w:rPr>
          <w:rFonts w:ascii="Times New Roman" w:hAnsi="Times New Roman"/>
          <w:color w:val="000000"/>
          <w:sz w:val="24"/>
          <w:szCs w:val="24"/>
        </w:rPr>
      </w:pPr>
    </w:p>
    <w:p w:rsidR="006670FA" w:rsidRDefault="006670FA" w:rsidP="00DC61B3">
      <w:pPr>
        <w:keepNext/>
        <w:keepLines/>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hybrid </w:t>
      </w:r>
      <w:r w:rsidRPr="00D04236">
        <w:rPr>
          <w:rFonts w:ascii="Times New Roman" w:hAnsi="Times New Roman"/>
          <w:color w:val="000000"/>
          <w:sz w:val="24"/>
          <w:szCs w:val="24"/>
        </w:rPr>
        <w:t xml:space="preserve">baseline management event scenario </w:t>
      </w:r>
      <w:r>
        <w:rPr>
          <w:rFonts w:ascii="Times New Roman" w:hAnsi="Times New Roman"/>
          <w:color w:val="000000"/>
          <w:sz w:val="24"/>
          <w:szCs w:val="24"/>
        </w:rPr>
        <w:t>is suitable for project proponents who have evidence of two comprehensive clearings that occurred less than 15 years apart before the implementation date.</w:t>
      </w:r>
    </w:p>
    <w:p w:rsidR="00DC61B3" w:rsidRDefault="00DC61B3" w:rsidP="00DC61B3">
      <w:pPr>
        <w:keepNext/>
        <w:keepLines/>
        <w:spacing w:after="0" w:line="240" w:lineRule="auto"/>
        <w:rPr>
          <w:rFonts w:ascii="Times New Roman" w:hAnsi="Times New Roman"/>
          <w:b/>
          <w:sz w:val="24"/>
          <w:szCs w:val="24"/>
        </w:rPr>
      </w:pPr>
    </w:p>
    <w:p w:rsidR="006670FA" w:rsidRDefault="006670FA" w:rsidP="00DC61B3">
      <w:pPr>
        <w:keepNext/>
        <w:keepLines/>
        <w:spacing w:after="0" w:line="240" w:lineRule="auto"/>
        <w:rPr>
          <w:rFonts w:ascii="Times New Roman" w:hAnsi="Times New Roman"/>
          <w:i/>
          <w:sz w:val="24"/>
          <w:szCs w:val="24"/>
        </w:rPr>
      </w:pPr>
      <w:r>
        <w:rPr>
          <w:rFonts w:ascii="Times New Roman" w:hAnsi="Times New Roman"/>
          <w:i/>
          <w:sz w:val="24"/>
          <w:szCs w:val="24"/>
        </w:rPr>
        <w:t xml:space="preserve">Example </w:t>
      </w:r>
      <w:proofErr w:type="gramStart"/>
      <w:r>
        <w:rPr>
          <w:rFonts w:ascii="Times New Roman" w:hAnsi="Times New Roman"/>
          <w:i/>
          <w:sz w:val="24"/>
          <w:szCs w:val="24"/>
        </w:rPr>
        <w:t>A</w:t>
      </w:r>
      <w:r w:rsidR="00A757DE">
        <w:rPr>
          <w:rFonts w:ascii="Times New Roman" w:hAnsi="Times New Roman"/>
          <w:i/>
          <w:sz w:val="24"/>
          <w:szCs w:val="24"/>
        </w:rPr>
        <w:t>—</w:t>
      </w:r>
      <w:proofErr w:type="gramEnd"/>
      <w:r w:rsidR="00A757DE">
        <w:rPr>
          <w:rFonts w:ascii="Times New Roman" w:hAnsi="Times New Roman"/>
          <w:i/>
          <w:sz w:val="24"/>
          <w:szCs w:val="24"/>
        </w:rPr>
        <w:t>Figure 2</w:t>
      </w:r>
    </w:p>
    <w:p w:rsidR="00DC61B3" w:rsidRDefault="00DC61B3" w:rsidP="00DC61B3">
      <w:pPr>
        <w:keepNext/>
        <w:keepLines/>
        <w:spacing w:after="0" w:line="240" w:lineRule="auto"/>
        <w:rPr>
          <w:rFonts w:ascii="Times New Roman" w:hAnsi="Times New Roman"/>
          <w:i/>
          <w:sz w:val="24"/>
          <w:szCs w:val="24"/>
        </w:rPr>
      </w:pPr>
    </w:p>
    <w:p w:rsidR="006670FA" w:rsidRDefault="00DC61B3" w:rsidP="00DC61B3">
      <w:pPr>
        <w:keepNext/>
        <w:keepLines/>
        <w:spacing w:after="0" w:line="240" w:lineRule="auto"/>
        <w:rPr>
          <w:rFonts w:ascii="Times New Roman" w:hAnsi="Times New Roman"/>
          <w:sz w:val="24"/>
          <w:szCs w:val="24"/>
        </w:rPr>
      </w:pPr>
      <w:r>
        <w:rPr>
          <w:rFonts w:ascii="Times New Roman" w:hAnsi="Times New Roman"/>
          <w:sz w:val="24"/>
          <w:szCs w:val="24"/>
        </w:rPr>
        <w:t>A</w:t>
      </w:r>
      <w:r w:rsidR="006670FA">
        <w:rPr>
          <w:rFonts w:ascii="Times New Roman" w:hAnsi="Times New Roman"/>
          <w:sz w:val="24"/>
          <w:szCs w:val="24"/>
        </w:rPr>
        <w:t>lice has evidence</w:t>
      </w:r>
      <w:r>
        <w:rPr>
          <w:rFonts w:ascii="Times New Roman" w:hAnsi="Times New Roman"/>
          <w:sz w:val="24"/>
          <w:szCs w:val="24"/>
        </w:rPr>
        <w:t xml:space="preserve"> of two comprehensive clearings, in 1999 and 2006.</w:t>
      </w:r>
      <w:r w:rsidR="006670FA">
        <w:rPr>
          <w:rFonts w:ascii="Times New Roman" w:hAnsi="Times New Roman"/>
          <w:sz w:val="24"/>
          <w:szCs w:val="24"/>
        </w:rPr>
        <w:t xml:space="preserve"> </w:t>
      </w:r>
      <w:r>
        <w:rPr>
          <w:rFonts w:ascii="Times New Roman" w:hAnsi="Times New Roman"/>
          <w:sz w:val="24"/>
          <w:szCs w:val="24"/>
        </w:rPr>
        <w:t xml:space="preserve"> </w:t>
      </w:r>
      <w:r w:rsidR="006670FA">
        <w:rPr>
          <w:rFonts w:ascii="Times New Roman" w:hAnsi="Times New Roman"/>
          <w:sz w:val="24"/>
          <w:szCs w:val="24"/>
        </w:rPr>
        <w:t xml:space="preserve">The two comprehensive clearings define only one interval, so the first interval in Alice’s hybrid baseline management event scenario is the ‘default’ period of 15 years. </w:t>
      </w:r>
      <w:r w:rsidR="00A757DE">
        <w:rPr>
          <w:rFonts w:ascii="Times New Roman" w:hAnsi="Times New Roman"/>
          <w:sz w:val="24"/>
          <w:szCs w:val="24"/>
        </w:rPr>
        <w:t xml:space="preserve"> </w:t>
      </w:r>
      <w:r w:rsidR="006670FA">
        <w:rPr>
          <w:rFonts w:ascii="Times New Roman" w:hAnsi="Times New Roman"/>
          <w:sz w:val="24"/>
          <w:szCs w:val="24"/>
        </w:rPr>
        <w:t>The second interval is seven years, being the period between 1999 and 2</w:t>
      </w:r>
      <w:r>
        <w:rPr>
          <w:rFonts w:ascii="Times New Roman" w:hAnsi="Times New Roman"/>
          <w:sz w:val="24"/>
          <w:szCs w:val="24"/>
        </w:rPr>
        <w:t>006</w:t>
      </w:r>
      <w:r w:rsidR="006670FA">
        <w:rPr>
          <w:rFonts w:ascii="Times New Roman" w:hAnsi="Times New Roman"/>
          <w:sz w:val="24"/>
          <w:szCs w:val="24"/>
        </w:rPr>
        <w:t>.</w:t>
      </w:r>
    </w:p>
    <w:p w:rsidR="006670FA" w:rsidRDefault="006670FA" w:rsidP="00DC61B3">
      <w:pPr>
        <w:keepNext/>
        <w:keepLines/>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242"/>
      </w:tblGrid>
      <w:tr w:rsidR="006670FA" w:rsidTr="006670FA">
        <w:tc>
          <w:tcPr>
            <w:tcW w:w="9242" w:type="dxa"/>
          </w:tcPr>
          <w:p w:rsidR="006670FA" w:rsidRDefault="006670FA" w:rsidP="00DC61B3">
            <w:pPr>
              <w:keepNext/>
              <w:keepLines/>
              <w:rPr>
                <w:rFonts w:ascii="Times New Roman" w:eastAsia="Calibri" w:hAnsi="Times New Roman"/>
                <w:b/>
                <w:color w:val="000000"/>
                <w:sz w:val="24"/>
                <w:szCs w:val="24"/>
              </w:rPr>
            </w:pPr>
            <w:r w:rsidRPr="00845E77">
              <w:rPr>
                <w:rFonts w:eastAsia="Calibri" w:cstheme="minorHAnsi"/>
                <w:b/>
                <w:i/>
              </w:rPr>
              <w:t>Figure 2—hybrid baseline (re-establishment not shown)</w:t>
            </w:r>
            <w:r>
              <w:rPr>
                <w:noProof/>
                <w:lang w:eastAsia="en-AU"/>
              </w:rPr>
              <w:drawing>
                <wp:inline distT="0" distB="0" distL="0" distR="0" wp14:anchorId="5B0FEE3B" wp14:editId="0D333B48">
                  <wp:extent cx="5405290" cy="2127080"/>
                  <wp:effectExtent l="0" t="0" r="508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408679" cy="2128414"/>
                          </a:xfrm>
                          <a:prstGeom prst="rect">
                            <a:avLst/>
                          </a:prstGeom>
                          <a:ln>
                            <a:noFill/>
                          </a:ln>
                          <a:extLst>
                            <a:ext uri="{53640926-AAD7-44D8-BBD7-CCE9431645EC}">
                              <a14:shadowObscured xmlns:a14="http://schemas.microsoft.com/office/drawing/2010/main"/>
                            </a:ext>
                          </a:extLst>
                        </pic:spPr>
                      </pic:pic>
                    </a:graphicData>
                  </a:graphic>
                </wp:inline>
              </w:drawing>
            </w:r>
          </w:p>
        </w:tc>
      </w:tr>
    </w:tbl>
    <w:p w:rsidR="006670FA" w:rsidRDefault="006670FA" w:rsidP="006670FA">
      <w:pPr>
        <w:keepNext/>
        <w:keepLines/>
        <w:rPr>
          <w:rFonts w:ascii="Times New Roman" w:hAnsi="Times New Roman"/>
          <w:b/>
          <w:color w:val="000000"/>
          <w:sz w:val="24"/>
          <w:szCs w:val="24"/>
        </w:rPr>
      </w:pPr>
      <w:r>
        <w:rPr>
          <w:rFonts w:ascii="Times New Roman" w:hAnsi="Times New Roman"/>
          <w:b/>
          <w:color w:val="000000"/>
          <w:sz w:val="24"/>
          <w:szCs w:val="24"/>
        </w:rPr>
        <w:lastRenderedPageBreak/>
        <w:t>Historic baseline management event scenario</w:t>
      </w:r>
    </w:p>
    <w:p w:rsidR="006670FA" w:rsidRPr="00D04236" w:rsidRDefault="006670FA" w:rsidP="006670FA">
      <w:pPr>
        <w:keepNext/>
        <w:keepLines/>
        <w:rPr>
          <w:rFonts w:ascii="Times New Roman" w:hAnsi="Times New Roman"/>
          <w:i/>
          <w:color w:val="000000"/>
          <w:sz w:val="24"/>
          <w:szCs w:val="24"/>
        </w:rPr>
      </w:pPr>
      <w:r>
        <w:rPr>
          <w:rFonts w:ascii="Times New Roman" w:hAnsi="Times New Roman"/>
          <w:i/>
          <w:color w:val="000000"/>
          <w:sz w:val="24"/>
          <w:szCs w:val="24"/>
        </w:rPr>
        <w:t>Defining intervals—three comprehensive clearings</w:t>
      </w:r>
    </w:p>
    <w:p w:rsidR="006670FA" w:rsidRPr="00D04236" w:rsidRDefault="006670FA" w:rsidP="006670FA">
      <w:pPr>
        <w:keepNext/>
        <w:keepLines/>
        <w:rPr>
          <w:rFonts w:ascii="Times New Roman" w:hAnsi="Times New Roman"/>
          <w:color w:val="000000"/>
          <w:sz w:val="24"/>
          <w:szCs w:val="24"/>
        </w:rPr>
      </w:pPr>
      <w:r w:rsidRPr="00D04236">
        <w:rPr>
          <w:rFonts w:ascii="Times New Roman" w:hAnsi="Times New Roman"/>
          <w:color w:val="000000"/>
          <w:sz w:val="24"/>
          <w:szCs w:val="24"/>
        </w:rPr>
        <w:t xml:space="preserve">Project proponents wishing to use an historic baseline management event scenario must have evidence for at least three comprehensive clearings that occurred in the carbon estimation area before the implementation date. </w:t>
      </w:r>
    </w:p>
    <w:p w:rsidR="006670FA" w:rsidRPr="00D04236" w:rsidRDefault="006670FA" w:rsidP="006670FA">
      <w:pPr>
        <w:keepNext/>
        <w:keepLines/>
        <w:spacing w:after="120" w:line="240" w:lineRule="auto"/>
        <w:rPr>
          <w:rFonts w:ascii="Times New Roman" w:hAnsi="Times New Roman"/>
          <w:i/>
          <w:color w:val="000000"/>
          <w:sz w:val="24"/>
          <w:szCs w:val="24"/>
        </w:rPr>
      </w:pPr>
      <w:r>
        <w:rPr>
          <w:rFonts w:ascii="Times New Roman" w:hAnsi="Times New Roman"/>
          <w:i/>
          <w:color w:val="000000"/>
          <w:sz w:val="24"/>
          <w:szCs w:val="24"/>
        </w:rPr>
        <w:t>Example B</w:t>
      </w:r>
    </w:p>
    <w:p w:rsidR="006670FA" w:rsidRPr="00D04236" w:rsidRDefault="006670FA" w:rsidP="006670FA">
      <w:pPr>
        <w:keepNext/>
        <w:keepLines/>
        <w:rPr>
          <w:rFonts w:ascii="Times New Roman" w:hAnsi="Times New Roman"/>
          <w:color w:val="000000"/>
          <w:sz w:val="24"/>
          <w:szCs w:val="24"/>
        </w:rPr>
      </w:pPr>
      <w:r>
        <w:rPr>
          <w:rFonts w:ascii="Times New Roman" w:hAnsi="Times New Roman"/>
          <w:color w:val="000000"/>
          <w:sz w:val="24"/>
          <w:szCs w:val="24"/>
        </w:rPr>
        <w:t>Brian</w:t>
      </w:r>
      <w:r w:rsidRPr="00D04236">
        <w:rPr>
          <w:rFonts w:ascii="Times New Roman" w:hAnsi="Times New Roman"/>
          <w:color w:val="000000"/>
          <w:sz w:val="24"/>
          <w:szCs w:val="24"/>
        </w:rPr>
        <w:t xml:space="preserve"> has evidence of three comprehensive clearings.</w:t>
      </w:r>
      <w:r>
        <w:rPr>
          <w:rFonts w:ascii="Times New Roman" w:hAnsi="Times New Roman"/>
          <w:color w:val="000000"/>
          <w:sz w:val="24"/>
          <w:szCs w:val="24"/>
        </w:rPr>
        <w:t xml:space="preserve">  </w:t>
      </w:r>
      <w:r w:rsidRPr="00D04236">
        <w:rPr>
          <w:rFonts w:ascii="Times New Roman" w:hAnsi="Times New Roman"/>
          <w:color w:val="000000"/>
          <w:sz w:val="24"/>
          <w:szCs w:val="24"/>
        </w:rPr>
        <w:t>The most recent comprehensive cle</w:t>
      </w:r>
      <w:r>
        <w:rPr>
          <w:rFonts w:ascii="Times New Roman" w:hAnsi="Times New Roman"/>
          <w:color w:val="000000"/>
          <w:sz w:val="24"/>
          <w:szCs w:val="24"/>
        </w:rPr>
        <w:t>aring occurred in 2006. The others</w:t>
      </w:r>
      <w:r w:rsidRPr="00D04236">
        <w:rPr>
          <w:rFonts w:ascii="Times New Roman" w:hAnsi="Times New Roman"/>
          <w:color w:val="000000"/>
          <w:sz w:val="24"/>
          <w:szCs w:val="24"/>
        </w:rPr>
        <w:t xml:space="preserve"> occurred in 1998 and 1992. </w:t>
      </w:r>
    </w:p>
    <w:p w:rsidR="006670FA" w:rsidRDefault="006670FA" w:rsidP="006670FA">
      <w:pPr>
        <w:keepNext/>
        <w:keepLines/>
        <w:rPr>
          <w:rFonts w:ascii="Times New Roman" w:hAnsi="Times New Roman"/>
          <w:color w:val="000000"/>
          <w:sz w:val="24"/>
          <w:szCs w:val="24"/>
        </w:rPr>
      </w:pPr>
      <w:r w:rsidRPr="00D04236">
        <w:rPr>
          <w:rFonts w:ascii="Times New Roman" w:hAnsi="Times New Roman"/>
          <w:color w:val="000000"/>
          <w:sz w:val="24"/>
          <w:szCs w:val="24"/>
        </w:rPr>
        <w:t>These three comprehensive clearings define two intervals. The first interval is 6 years (</w:t>
      </w:r>
      <w:r>
        <w:rPr>
          <w:rFonts w:ascii="Times New Roman" w:hAnsi="Times New Roman"/>
          <w:color w:val="000000"/>
          <w:sz w:val="24"/>
          <w:szCs w:val="24"/>
        </w:rPr>
        <w:t xml:space="preserve">being the period </w:t>
      </w:r>
      <w:r w:rsidRPr="00D04236">
        <w:rPr>
          <w:rFonts w:ascii="Times New Roman" w:hAnsi="Times New Roman"/>
          <w:color w:val="000000"/>
          <w:sz w:val="24"/>
          <w:szCs w:val="24"/>
        </w:rPr>
        <w:t>between 1992 and 1998), and the second interval is 8 years (</w:t>
      </w:r>
      <w:r>
        <w:rPr>
          <w:rFonts w:ascii="Times New Roman" w:hAnsi="Times New Roman"/>
          <w:color w:val="000000"/>
          <w:sz w:val="24"/>
          <w:szCs w:val="24"/>
        </w:rPr>
        <w:t>being the period</w:t>
      </w:r>
      <w:r w:rsidRPr="00D04236">
        <w:rPr>
          <w:rFonts w:ascii="Times New Roman" w:hAnsi="Times New Roman"/>
          <w:color w:val="000000"/>
          <w:sz w:val="24"/>
          <w:szCs w:val="24"/>
        </w:rPr>
        <w:t xml:space="preserve"> between 1998 and 2006).</w:t>
      </w:r>
    </w:p>
    <w:p w:rsidR="006670FA" w:rsidRDefault="006670FA" w:rsidP="006670FA">
      <w:pPr>
        <w:keepNext/>
        <w:keepLines/>
        <w:rPr>
          <w:rFonts w:ascii="Times New Roman" w:hAnsi="Times New Roman"/>
          <w:color w:val="000000"/>
          <w:sz w:val="24"/>
          <w:szCs w:val="24"/>
        </w:rPr>
      </w:pPr>
      <w:r>
        <w:rPr>
          <w:rFonts w:ascii="Times New Roman" w:hAnsi="Times New Roman"/>
          <w:color w:val="000000"/>
          <w:sz w:val="24"/>
          <w:szCs w:val="24"/>
        </w:rPr>
        <w:t>Brian can use these two intervals in the historic baseline management event scenario (Figure 3).</w:t>
      </w:r>
    </w:p>
    <w:tbl>
      <w:tblPr>
        <w:tblStyle w:val="TableGrid"/>
        <w:tblW w:w="0" w:type="auto"/>
        <w:tblLook w:val="04A0" w:firstRow="1" w:lastRow="0" w:firstColumn="1" w:lastColumn="0" w:noHBand="0" w:noVBand="1"/>
      </w:tblPr>
      <w:tblGrid>
        <w:gridCol w:w="9242"/>
      </w:tblGrid>
      <w:tr w:rsidR="006670FA" w:rsidTr="006670FA">
        <w:tc>
          <w:tcPr>
            <w:tcW w:w="9242" w:type="dxa"/>
          </w:tcPr>
          <w:p w:rsidR="006670FA" w:rsidRDefault="006670FA" w:rsidP="006670FA">
            <w:pPr>
              <w:keepNext/>
              <w:keepLines/>
              <w:rPr>
                <w:rFonts w:ascii="Times New Roman" w:eastAsia="Calibri" w:hAnsi="Times New Roman"/>
                <w:color w:val="000000"/>
                <w:sz w:val="24"/>
                <w:szCs w:val="24"/>
              </w:rPr>
            </w:pPr>
            <w:r w:rsidRPr="00845E77">
              <w:rPr>
                <w:rFonts w:eastAsia="Calibri" w:cstheme="minorHAnsi"/>
                <w:b/>
                <w:i/>
                <w:color w:val="000000"/>
              </w:rPr>
              <w:t>Figure 3—historic baseline with two intervals (re-establishment not shown)</w:t>
            </w:r>
            <w:r>
              <w:rPr>
                <w:noProof/>
                <w:lang w:eastAsia="en-AU"/>
              </w:rPr>
              <w:drawing>
                <wp:inline distT="0" distB="0" distL="0" distR="0" wp14:anchorId="104FDCA9" wp14:editId="62D0F6FD">
                  <wp:extent cx="5403273" cy="2202085"/>
                  <wp:effectExtent l="0" t="0" r="698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424049" cy="2210552"/>
                          </a:xfrm>
                          <a:prstGeom prst="rect">
                            <a:avLst/>
                          </a:prstGeom>
                          <a:ln>
                            <a:noFill/>
                          </a:ln>
                          <a:extLst>
                            <a:ext uri="{53640926-AAD7-44D8-BBD7-CCE9431645EC}">
                              <a14:shadowObscured xmlns:a14="http://schemas.microsoft.com/office/drawing/2010/main"/>
                            </a:ext>
                          </a:extLst>
                        </pic:spPr>
                      </pic:pic>
                    </a:graphicData>
                  </a:graphic>
                </wp:inline>
              </w:drawing>
            </w:r>
          </w:p>
        </w:tc>
      </w:tr>
    </w:tbl>
    <w:p w:rsidR="006670FA" w:rsidRDefault="006670FA" w:rsidP="006670FA">
      <w:pPr>
        <w:rPr>
          <w:rFonts w:ascii="Times New Roman" w:hAnsi="Times New Roman"/>
          <w:color w:val="000000"/>
          <w:sz w:val="24"/>
          <w:szCs w:val="24"/>
        </w:rPr>
      </w:pPr>
    </w:p>
    <w:p w:rsidR="006670FA" w:rsidRDefault="006670FA" w:rsidP="006670FA">
      <w:pPr>
        <w:keepNext/>
        <w:keepLines/>
        <w:rPr>
          <w:rFonts w:ascii="Times New Roman" w:hAnsi="Times New Roman"/>
          <w:i/>
          <w:color w:val="000000"/>
          <w:sz w:val="24"/>
          <w:szCs w:val="24"/>
        </w:rPr>
      </w:pPr>
      <w:r>
        <w:rPr>
          <w:rFonts w:ascii="Times New Roman" w:hAnsi="Times New Roman"/>
          <w:i/>
          <w:color w:val="000000"/>
          <w:sz w:val="24"/>
          <w:szCs w:val="24"/>
        </w:rPr>
        <w:lastRenderedPageBreak/>
        <w:t>Defining intervals—more than three comprehensive clearings</w:t>
      </w:r>
    </w:p>
    <w:p w:rsidR="006670FA" w:rsidRPr="00D04236" w:rsidRDefault="006670FA" w:rsidP="006670FA">
      <w:pPr>
        <w:keepNext/>
        <w:keepLines/>
        <w:rPr>
          <w:rFonts w:ascii="Times New Roman" w:hAnsi="Times New Roman"/>
          <w:color w:val="000000"/>
          <w:sz w:val="24"/>
          <w:szCs w:val="24"/>
        </w:rPr>
      </w:pPr>
      <w:r>
        <w:rPr>
          <w:rFonts w:ascii="Times New Roman" w:hAnsi="Times New Roman"/>
          <w:color w:val="000000"/>
          <w:sz w:val="24"/>
          <w:szCs w:val="24"/>
        </w:rPr>
        <w:t>If they have evidence for more than three comprehensive clearings, project proponents may add intervals to the baseline management event scenario.</w:t>
      </w:r>
    </w:p>
    <w:p w:rsidR="006670FA" w:rsidRPr="00D04236" w:rsidRDefault="006670FA" w:rsidP="006670FA">
      <w:pPr>
        <w:keepNext/>
        <w:keepLines/>
        <w:rPr>
          <w:rFonts w:ascii="Times New Roman" w:hAnsi="Times New Roman"/>
          <w:i/>
          <w:sz w:val="24"/>
        </w:rPr>
      </w:pPr>
      <w:r>
        <w:rPr>
          <w:rFonts w:ascii="Times New Roman" w:hAnsi="Times New Roman"/>
          <w:i/>
          <w:sz w:val="24"/>
        </w:rPr>
        <w:t>Example C</w:t>
      </w:r>
    </w:p>
    <w:p w:rsidR="006670FA" w:rsidRPr="00D04236" w:rsidRDefault="006670FA" w:rsidP="006670FA">
      <w:pPr>
        <w:keepNext/>
        <w:keepLines/>
        <w:rPr>
          <w:rFonts w:ascii="Times New Roman" w:hAnsi="Times New Roman"/>
          <w:color w:val="000000"/>
          <w:sz w:val="24"/>
          <w:szCs w:val="24"/>
        </w:rPr>
      </w:pPr>
      <w:r>
        <w:rPr>
          <w:rFonts w:ascii="Times New Roman" w:hAnsi="Times New Roman"/>
          <w:sz w:val="24"/>
        </w:rPr>
        <w:t>Colin</w:t>
      </w:r>
      <w:r w:rsidRPr="00D04236">
        <w:rPr>
          <w:rFonts w:ascii="Times New Roman" w:hAnsi="Times New Roman"/>
          <w:sz w:val="24"/>
        </w:rPr>
        <w:t xml:space="preserve"> has evidence of four </w:t>
      </w:r>
      <w:r w:rsidRPr="00D04236">
        <w:rPr>
          <w:rFonts w:ascii="Times New Roman" w:hAnsi="Times New Roman"/>
          <w:color w:val="000000"/>
          <w:sz w:val="24"/>
          <w:szCs w:val="24"/>
        </w:rPr>
        <w:t>comprehensive clearings.</w:t>
      </w:r>
    </w:p>
    <w:p w:rsidR="006670FA" w:rsidRPr="00D04236" w:rsidRDefault="006670FA" w:rsidP="006670FA">
      <w:pPr>
        <w:keepNext/>
        <w:keepLines/>
        <w:rPr>
          <w:rFonts w:ascii="Times New Roman" w:hAnsi="Times New Roman"/>
          <w:sz w:val="24"/>
        </w:rPr>
      </w:pPr>
      <w:r w:rsidRPr="00D04236">
        <w:rPr>
          <w:rFonts w:ascii="Times New Roman" w:hAnsi="Times New Roman"/>
          <w:color w:val="000000"/>
          <w:sz w:val="24"/>
          <w:szCs w:val="24"/>
        </w:rPr>
        <w:t>T</w:t>
      </w:r>
      <w:r w:rsidRPr="00D04236">
        <w:rPr>
          <w:rFonts w:ascii="Times New Roman" w:hAnsi="Times New Roman"/>
          <w:sz w:val="24"/>
        </w:rPr>
        <w:t xml:space="preserve">he most recent </w:t>
      </w:r>
      <w:r w:rsidRPr="00D04236">
        <w:rPr>
          <w:rFonts w:ascii="Times New Roman" w:hAnsi="Times New Roman"/>
          <w:color w:val="000000"/>
          <w:sz w:val="24"/>
          <w:szCs w:val="24"/>
        </w:rPr>
        <w:t xml:space="preserve">comprehensive clearing occurred </w:t>
      </w:r>
      <w:r>
        <w:rPr>
          <w:rFonts w:ascii="Times New Roman" w:hAnsi="Times New Roman"/>
          <w:sz w:val="24"/>
        </w:rPr>
        <w:t xml:space="preserve">in 2006. </w:t>
      </w:r>
      <w:r w:rsidRPr="00D04236">
        <w:rPr>
          <w:rFonts w:ascii="Times New Roman" w:hAnsi="Times New Roman"/>
          <w:sz w:val="24"/>
        </w:rPr>
        <w:t xml:space="preserve">The three </w:t>
      </w:r>
      <w:r w:rsidRPr="00D04236">
        <w:rPr>
          <w:rFonts w:ascii="Times New Roman" w:hAnsi="Times New Roman"/>
          <w:color w:val="000000"/>
          <w:sz w:val="24"/>
          <w:szCs w:val="24"/>
        </w:rPr>
        <w:t xml:space="preserve">earlier comprehensive clearings occurred </w:t>
      </w:r>
      <w:r w:rsidRPr="00D04236">
        <w:rPr>
          <w:rFonts w:ascii="Times New Roman" w:hAnsi="Times New Roman"/>
          <w:sz w:val="24"/>
        </w:rPr>
        <w:t xml:space="preserve">in 1998, 1992, and 1987. </w:t>
      </w:r>
    </w:p>
    <w:p w:rsidR="006670FA" w:rsidRPr="00D04236" w:rsidRDefault="006670FA" w:rsidP="006670FA">
      <w:pPr>
        <w:keepNext/>
        <w:keepLines/>
        <w:rPr>
          <w:rFonts w:ascii="Times New Roman" w:hAnsi="Times New Roman"/>
          <w:sz w:val="24"/>
        </w:rPr>
      </w:pPr>
      <w:r w:rsidRPr="00D04236">
        <w:rPr>
          <w:rFonts w:ascii="Times New Roman" w:hAnsi="Times New Roman"/>
          <w:sz w:val="24"/>
        </w:rPr>
        <w:t xml:space="preserve">These </w:t>
      </w:r>
      <w:r w:rsidRPr="00D04236">
        <w:rPr>
          <w:rFonts w:ascii="Times New Roman" w:hAnsi="Times New Roman"/>
          <w:color w:val="000000"/>
          <w:sz w:val="24"/>
          <w:szCs w:val="24"/>
        </w:rPr>
        <w:t>comprehensive clearings</w:t>
      </w:r>
      <w:r w:rsidRPr="00D04236">
        <w:rPr>
          <w:rFonts w:ascii="Times New Roman" w:hAnsi="Times New Roman"/>
          <w:sz w:val="24"/>
        </w:rPr>
        <w:t xml:space="preserve"> define three intervals.  </w:t>
      </w:r>
    </w:p>
    <w:p w:rsidR="006670FA" w:rsidRPr="00D04236" w:rsidRDefault="006670FA" w:rsidP="006670FA">
      <w:pPr>
        <w:keepNext/>
        <w:keepLines/>
        <w:rPr>
          <w:rFonts w:ascii="Times New Roman" w:hAnsi="Times New Roman"/>
          <w:sz w:val="24"/>
        </w:rPr>
      </w:pPr>
      <w:r w:rsidRPr="00D04236">
        <w:rPr>
          <w:rFonts w:ascii="Times New Roman" w:hAnsi="Times New Roman"/>
          <w:sz w:val="24"/>
        </w:rPr>
        <w:t>The first interval is five years (</w:t>
      </w:r>
      <w:r>
        <w:rPr>
          <w:rFonts w:ascii="Times New Roman" w:hAnsi="Times New Roman"/>
          <w:color w:val="000000"/>
          <w:sz w:val="24"/>
          <w:szCs w:val="24"/>
        </w:rPr>
        <w:t>being the period</w:t>
      </w:r>
      <w:r w:rsidRPr="00D04236">
        <w:rPr>
          <w:rFonts w:ascii="Times New Roman" w:hAnsi="Times New Roman"/>
          <w:color w:val="000000"/>
          <w:sz w:val="24"/>
          <w:szCs w:val="24"/>
        </w:rPr>
        <w:t xml:space="preserve"> between 1987 and 1992</w:t>
      </w:r>
      <w:r w:rsidRPr="00D04236">
        <w:rPr>
          <w:rFonts w:ascii="Times New Roman" w:hAnsi="Times New Roman"/>
          <w:sz w:val="24"/>
        </w:rPr>
        <w:t>).  The second interval is six years (</w:t>
      </w:r>
      <w:r>
        <w:rPr>
          <w:rFonts w:ascii="Times New Roman" w:hAnsi="Times New Roman"/>
          <w:color w:val="000000"/>
          <w:sz w:val="24"/>
          <w:szCs w:val="24"/>
        </w:rPr>
        <w:t>being the period</w:t>
      </w:r>
      <w:r w:rsidRPr="00D04236">
        <w:rPr>
          <w:rFonts w:ascii="Times New Roman" w:hAnsi="Times New Roman"/>
          <w:color w:val="000000"/>
          <w:sz w:val="24"/>
          <w:szCs w:val="24"/>
        </w:rPr>
        <w:t xml:space="preserve"> between 1992 and 1998</w:t>
      </w:r>
      <w:r w:rsidRPr="00D04236">
        <w:rPr>
          <w:rFonts w:ascii="Times New Roman" w:hAnsi="Times New Roman"/>
          <w:sz w:val="24"/>
        </w:rPr>
        <w:t>).  The third interval is eight years (</w:t>
      </w:r>
      <w:r>
        <w:rPr>
          <w:rFonts w:ascii="Times New Roman" w:hAnsi="Times New Roman"/>
          <w:color w:val="000000"/>
          <w:sz w:val="24"/>
          <w:szCs w:val="24"/>
        </w:rPr>
        <w:t>being the period</w:t>
      </w:r>
      <w:r w:rsidRPr="00D04236">
        <w:rPr>
          <w:rFonts w:ascii="Times New Roman" w:hAnsi="Times New Roman"/>
          <w:color w:val="000000"/>
          <w:sz w:val="24"/>
          <w:szCs w:val="24"/>
        </w:rPr>
        <w:t xml:space="preserve"> between 1998 and 2006</w:t>
      </w:r>
      <w:r w:rsidRPr="00D04236">
        <w:rPr>
          <w:rFonts w:ascii="Times New Roman" w:hAnsi="Times New Roman"/>
          <w:sz w:val="24"/>
        </w:rPr>
        <w:t>).</w:t>
      </w:r>
    </w:p>
    <w:p w:rsidR="006670FA" w:rsidRDefault="006670FA" w:rsidP="006670FA">
      <w:pPr>
        <w:keepNext/>
        <w:keepLines/>
        <w:rPr>
          <w:rFonts w:ascii="Times New Roman" w:hAnsi="Times New Roman"/>
          <w:sz w:val="24"/>
        </w:rPr>
      </w:pPr>
      <w:r>
        <w:rPr>
          <w:rFonts w:ascii="Times New Roman" w:hAnsi="Times New Roman"/>
          <w:sz w:val="24"/>
        </w:rPr>
        <w:t xml:space="preserve">Colin </w:t>
      </w:r>
      <w:r w:rsidRPr="00D04236">
        <w:rPr>
          <w:rFonts w:ascii="Times New Roman" w:hAnsi="Times New Roman"/>
          <w:sz w:val="24"/>
        </w:rPr>
        <w:t>can use either the second and third intervals, or the first, second and third intervals in the historic baseline management event scenario</w:t>
      </w:r>
      <w:r>
        <w:rPr>
          <w:rFonts w:ascii="Times New Roman" w:hAnsi="Times New Roman"/>
          <w:sz w:val="24"/>
        </w:rPr>
        <w:t xml:space="preserve"> (</w:t>
      </w:r>
      <w:r w:rsidRPr="00D04236">
        <w:rPr>
          <w:rFonts w:ascii="Times New Roman" w:hAnsi="Times New Roman"/>
          <w:sz w:val="24"/>
        </w:rPr>
        <w:t>Fig</w:t>
      </w:r>
      <w:r>
        <w:rPr>
          <w:rFonts w:ascii="Times New Roman" w:hAnsi="Times New Roman"/>
          <w:sz w:val="24"/>
        </w:rPr>
        <w:t>ure 4</w:t>
      </w:r>
      <w:r w:rsidRPr="00D04236">
        <w:rPr>
          <w:rFonts w:ascii="Times New Roman" w:hAnsi="Times New Roman"/>
          <w:sz w:val="24"/>
        </w:rPr>
        <w:t xml:space="preserve">). </w:t>
      </w:r>
    </w:p>
    <w:p w:rsidR="006670FA" w:rsidRPr="00D04236" w:rsidRDefault="006670FA" w:rsidP="006670FA">
      <w:pPr>
        <w:keepNext/>
        <w:keepLines/>
        <w:rPr>
          <w:rFonts w:ascii="Times New Roman" w:hAnsi="Times New Roman"/>
          <w:sz w:val="24"/>
        </w:rPr>
      </w:pPr>
      <w:r>
        <w:rPr>
          <w:rFonts w:ascii="Times New Roman" w:hAnsi="Times New Roman"/>
          <w:sz w:val="24"/>
        </w:rPr>
        <w:t xml:space="preserve">Colin </w:t>
      </w:r>
      <w:r w:rsidRPr="00D04236">
        <w:rPr>
          <w:rFonts w:ascii="Times New Roman" w:hAnsi="Times New Roman"/>
          <w:sz w:val="24"/>
        </w:rPr>
        <w:t>cannot ‘cherry pic</w:t>
      </w:r>
      <w:r>
        <w:rPr>
          <w:rFonts w:ascii="Times New Roman" w:hAnsi="Times New Roman"/>
          <w:sz w:val="24"/>
        </w:rPr>
        <w:t>k’ intervals. For example, Colin</w:t>
      </w:r>
      <w:r w:rsidRPr="00D04236">
        <w:rPr>
          <w:rFonts w:ascii="Times New Roman" w:hAnsi="Times New Roman"/>
          <w:sz w:val="24"/>
        </w:rPr>
        <w:t xml:space="preserve"> cannot use only the firs</w:t>
      </w:r>
      <w:r>
        <w:rPr>
          <w:rFonts w:ascii="Times New Roman" w:hAnsi="Times New Roman"/>
          <w:sz w:val="24"/>
        </w:rPr>
        <w:t>t and second intervals (Figure 5</w:t>
      </w:r>
      <w:r w:rsidRPr="00D04236">
        <w:rPr>
          <w:rFonts w:ascii="Times New Roman" w:hAnsi="Times New Roman"/>
          <w:sz w:val="24"/>
        </w:rPr>
        <w:t xml:space="preserve">).  This is because the most recent </w:t>
      </w:r>
      <w:r w:rsidRPr="00D04236">
        <w:rPr>
          <w:rFonts w:ascii="Times New Roman" w:hAnsi="Times New Roman"/>
          <w:color w:val="000000"/>
          <w:sz w:val="24"/>
          <w:szCs w:val="24"/>
        </w:rPr>
        <w:t>comprehensive clearing</w:t>
      </w:r>
      <w:r w:rsidRPr="00D04236">
        <w:rPr>
          <w:rFonts w:ascii="Times New Roman" w:hAnsi="Times New Roman"/>
          <w:sz w:val="24"/>
        </w:rPr>
        <w:t xml:space="preserve"> must be used as an endpoint to one of the intervals.</w:t>
      </w:r>
    </w:p>
    <w:p w:rsidR="006670FA" w:rsidRDefault="006670FA" w:rsidP="006670FA">
      <w:pPr>
        <w:keepNext/>
        <w:keepLines/>
        <w:rPr>
          <w:rFonts w:ascii="Times New Roman" w:hAnsi="Times New Roman"/>
          <w:sz w:val="24"/>
        </w:rPr>
      </w:pPr>
      <w:r w:rsidRPr="00D04236">
        <w:rPr>
          <w:rFonts w:ascii="Times New Roman" w:hAnsi="Times New Roman"/>
          <w:sz w:val="24"/>
        </w:rPr>
        <w:t xml:space="preserve">In addition, the </w:t>
      </w:r>
      <w:r w:rsidRPr="00D04236">
        <w:rPr>
          <w:rFonts w:ascii="Times New Roman" w:hAnsi="Times New Roman"/>
          <w:color w:val="000000"/>
          <w:sz w:val="24"/>
          <w:szCs w:val="24"/>
        </w:rPr>
        <w:t>comprehensive clearings</w:t>
      </w:r>
      <w:r w:rsidRPr="00D04236">
        <w:rPr>
          <w:rFonts w:ascii="Times New Roman" w:hAnsi="Times New Roman"/>
          <w:sz w:val="24"/>
        </w:rPr>
        <w:t xml:space="preserve"> used to define the intervals must be consecutive.  In other words, there cannot be </w:t>
      </w:r>
      <w:r>
        <w:rPr>
          <w:rFonts w:ascii="Times New Roman" w:hAnsi="Times New Roman"/>
          <w:sz w:val="24"/>
        </w:rPr>
        <w:t>a ‘gap’ between intervals.  Colin</w:t>
      </w:r>
      <w:r w:rsidRPr="00D04236">
        <w:rPr>
          <w:rFonts w:ascii="Times New Roman" w:hAnsi="Times New Roman"/>
          <w:sz w:val="24"/>
        </w:rPr>
        <w:t xml:space="preserve"> could not use only the first interval a</w:t>
      </w:r>
      <w:r>
        <w:rPr>
          <w:rFonts w:ascii="Times New Roman" w:hAnsi="Times New Roman"/>
          <w:sz w:val="24"/>
        </w:rPr>
        <w:t>nd the third interval (Figure 6</w:t>
      </w:r>
      <w:r w:rsidRPr="00D04236">
        <w:rPr>
          <w:rFonts w:ascii="Times New Roman" w:hAnsi="Times New Roman"/>
          <w:sz w:val="24"/>
        </w:rPr>
        <w:t>).</w:t>
      </w:r>
    </w:p>
    <w:p w:rsidR="006670FA" w:rsidRDefault="006670FA" w:rsidP="006670FA">
      <w:pPr>
        <w:rPr>
          <w:rFonts w:ascii="Times New Roman" w:hAnsi="Times New Roman"/>
          <w:sz w:val="24"/>
        </w:rPr>
      </w:pPr>
    </w:p>
    <w:p w:rsidR="006670FA" w:rsidRDefault="006670FA" w:rsidP="006670FA">
      <w:pPr>
        <w:rPr>
          <w:rFonts w:ascii="Times New Roman" w:hAnsi="Times New Roman"/>
          <w:sz w:val="24"/>
        </w:rPr>
      </w:pPr>
    </w:p>
    <w:p w:rsidR="006670FA" w:rsidRDefault="006670FA" w:rsidP="006670FA">
      <w:pPr>
        <w:rPr>
          <w:rFonts w:ascii="Times New Roman" w:hAnsi="Times New Roman"/>
          <w:sz w:val="24"/>
        </w:rPr>
      </w:pPr>
    </w:p>
    <w:tbl>
      <w:tblPr>
        <w:tblStyle w:val="TableGrid"/>
        <w:tblW w:w="0" w:type="auto"/>
        <w:tblLook w:val="04A0" w:firstRow="1" w:lastRow="0" w:firstColumn="1" w:lastColumn="0" w:noHBand="0" w:noVBand="1"/>
      </w:tblPr>
      <w:tblGrid>
        <w:gridCol w:w="9242"/>
      </w:tblGrid>
      <w:tr w:rsidR="006670FA" w:rsidTr="006670FA">
        <w:tc>
          <w:tcPr>
            <w:tcW w:w="9242" w:type="dxa"/>
          </w:tcPr>
          <w:p w:rsidR="006670FA" w:rsidRDefault="006670FA" w:rsidP="006670FA">
            <w:pPr>
              <w:keepNext/>
              <w:keepLines/>
              <w:rPr>
                <w:rFonts w:eastAsia="Calibri" w:cstheme="minorHAnsi"/>
                <w:i/>
                <w:color w:val="000000"/>
                <w:sz w:val="24"/>
                <w:szCs w:val="24"/>
              </w:rPr>
            </w:pPr>
            <w:r w:rsidRPr="00845E77">
              <w:rPr>
                <w:rFonts w:eastAsia="Calibri" w:cstheme="minorHAnsi"/>
                <w:b/>
                <w:i/>
                <w:color w:val="000000"/>
              </w:rPr>
              <w:lastRenderedPageBreak/>
              <w:t>Figure 4—more than t</w:t>
            </w:r>
            <w:r>
              <w:rPr>
                <w:rFonts w:eastAsia="Calibri" w:cstheme="minorHAnsi"/>
                <w:b/>
                <w:i/>
                <w:color w:val="000000"/>
              </w:rPr>
              <w:t>hree</w:t>
            </w:r>
            <w:r w:rsidRPr="00845E77">
              <w:rPr>
                <w:rFonts w:eastAsia="Calibri" w:cstheme="minorHAnsi"/>
                <w:b/>
                <w:i/>
                <w:color w:val="000000"/>
              </w:rPr>
              <w:t xml:space="preserve"> comprehensive clearings</w:t>
            </w:r>
            <w:r>
              <w:rPr>
                <w:rFonts w:eastAsia="Calibri" w:cstheme="minorHAnsi"/>
                <w:b/>
                <w:i/>
                <w:color w:val="000000"/>
              </w:rPr>
              <w:t xml:space="preserve"> with evidence</w:t>
            </w:r>
            <w:r w:rsidR="00A70A50">
              <w:rPr>
                <w:rFonts w:eastAsia="Calibri" w:cstheme="minorHAnsi"/>
                <w:b/>
                <w:i/>
                <w:color w:val="000000"/>
              </w:rPr>
              <w:t xml:space="preserve"> (re-establishment not shown)</w:t>
            </w:r>
            <w:r>
              <w:rPr>
                <w:noProof/>
                <w:lang w:eastAsia="en-AU"/>
              </w:rPr>
              <w:drawing>
                <wp:inline distT="0" distB="0" distL="0" distR="0" wp14:anchorId="7E6AFEDE" wp14:editId="69C07D49">
                  <wp:extent cx="5398383" cy="19333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427334" cy="1943676"/>
                          </a:xfrm>
                          <a:prstGeom prst="rect">
                            <a:avLst/>
                          </a:prstGeom>
                          <a:ln>
                            <a:noFill/>
                          </a:ln>
                          <a:extLst>
                            <a:ext uri="{53640926-AAD7-44D8-BBD7-CCE9431645EC}">
                              <a14:shadowObscured xmlns:a14="http://schemas.microsoft.com/office/drawing/2010/main"/>
                            </a:ext>
                          </a:extLst>
                        </pic:spPr>
                      </pic:pic>
                    </a:graphicData>
                  </a:graphic>
                </wp:inline>
              </w:drawing>
            </w:r>
          </w:p>
        </w:tc>
      </w:tr>
    </w:tbl>
    <w:p w:rsidR="006670FA" w:rsidRDefault="006670FA" w:rsidP="006670FA">
      <w:pPr>
        <w:keepNext/>
        <w:keepLines/>
        <w:rPr>
          <w:rFonts w:cstheme="minorHAnsi"/>
          <w:i/>
          <w:color w:val="000000"/>
          <w:sz w:val="24"/>
          <w:szCs w:val="24"/>
        </w:rPr>
      </w:pPr>
    </w:p>
    <w:tbl>
      <w:tblPr>
        <w:tblStyle w:val="TableGrid"/>
        <w:tblW w:w="0" w:type="auto"/>
        <w:tblLook w:val="04A0" w:firstRow="1" w:lastRow="0" w:firstColumn="1" w:lastColumn="0" w:noHBand="0" w:noVBand="1"/>
      </w:tblPr>
      <w:tblGrid>
        <w:gridCol w:w="9242"/>
      </w:tblGrid>
      <w:tr w:rsidR="006670FA" w:rsidTr="006670FA">
        <w:tc>
          <w:tcPr>
            <w:tcW w:w="9242" w:type="dxa"/>
          </w:tcPr>
          <w:p w:rsidR="006670FA" w:rsidRDefault="006670FA" w:rsidP="006670FA">
            <w:pPr>
              <w:keepNext/>
              <w:keepLines/>
              <w:rPr>
                <w:rFonts w:eastAsia="Calibri" w:cstheme="minorHAnsi"/>
                <w:i/>
                <w:color w:val="000000"/>
                <w:sz w:val="24"/>
                <w:szCs w:val="24"/>
              </w:rPr>
            </w:pPr>
            <w:r w:rsidRPr="00845E77">
              <w:rPr>
                <w:rFonts w:eastAsia="Calibri" w:cstheme="minorHAnsi"/>
                <w:b/>
                <w:i/>
                <w:color w:val="000000"/>
              </w:rPr>
              <w:t>Figure 5—the comprehensive clearing immediately before the implementation date must be used to define an interval</w:t>
            </w:r>
            <w:r w:rsidR="00A70A50">
              <w:rPr>
                <w:rFonts w:eastAsia="Calibri" w:cstheme="minorHAnsi"/>
                <w:b/>
                <w:i/>
                <w:color w:val="000000"/>
              </w:rPr>
              <w:t xml:space="preserve"> (re-establishment not shown)</w:t>
            </w:r>
            <w:r>
              <w:rPr>
                <w:noProof/>
                <w:lang w:eastAsia="en-AU"/>
              </w:rPr>
              <w:drawing>
                <wp:inline distT="0" distB="0" distL="0" distR="0" wp14:anchorId="25D322E7" wp14:editId="2FEEB031">
                  <wp:extent cx="5403273" cy="2011649"/>
                  <wp:effectExtent l="0" t="0" r="698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417203" cy="2016835"/>
                          </a:xfrm>
                          <a:prstGeom prst="rect">
                            <a:avLst/>
                          </a:prstGeom>
                          <a:ln>
                            <a:noFill/>
                          </a:ln>
                          <a:extLst>
                            <a:ext uri="{53640926-AAD7-44D8-BBD7-CCE9431645EC}">
                              <a14:shadowObscured xmlns:a14="http://schemas.microsoft.com/office/drawing/2010/main"/>
                            </a:ext>
                          </a:extLst>
                        </pic:spPr>
                      </pic:pic>
                    </a:graphicData>
                  </a:graphic>
                </wp:inline>
              </w:drawing>
            </w:r>
          </w:p>
        </w:tc>
      </w:tr>
    </w:tbl>
    <w:p w:rsidR="006670FA" w:rsidRPr="005D3D31" w:rsidRDefault="006670FA" w:rsidP="006670FA">
      <w:pPr>
        <w:keepNext/>
        <w:keepLines/>
        <w:rPr>
          <w:rFonts w:cstheme="minorHAnsi"/>
          <w:color w:val="000000"/>
          <w:sz w:val="24"/>
          <w:szCs w:val="24"/>
        </w:rPr>
      </w:pPr>
    </w:p>
    <w:tbl>
      <w:tblPr>
        <w:tblStyle w:val="TableGrid"/>
        <w:tblW w:w="0" w:type="auto"/>
        <w:tblLook w:val="04A0" w:firstRow="1" w:lastRow="0" w:firstColumn="1" w:lastColumn="0" w:noHBand="0" w:noVBand="1"/>
      </w:tblPr>
      <w:tblGrid>
        <w:gridCol w:w="9242"/>
      </w:tblGrid>
      <w:tr w:rsidR="006670FA" w:rsidTr="006670FA">
        <w:tc>
          <w:tcPr>
            <w:tcW w:w="9242" w:type="dxa"/>
          </w:tcPr>
          <w:p w:rsidR="006670FA" w:rsidRDefault="006670FA" w:rsidP="006670FA">
            <w:pPr>
              <w:keepNext/>
              <w:keepLines/>
              <w:rPr>
                <w:rFonts w:eastAsia="Calibri" w:cstheme="minorHAnsi"/>
                <w:i/>
                <w:color w:val="000000"/>
                <w:sz w:val="24"/>
                <w:szCs w:val="24"/>
              </w:rPr>
            </w:pPr>
            <w:r w:rsidRPr="00171867">
              <w:rPr>
                <w:rFonts w:eastAsia="Calibri" w:cstheme="minorHAnsi"/>
                <w:b/>
                <w:i/>
                <w:color w:val="000000"/>
              </w:rPr>
              <w:t>Figure 6—non-consecutive intervals are not allowed</w:t>
            </w:r>
            <w:r w:rsidR="00A70A50">
              <w:rPr>
                <w:rFonts w:eastAsia="Calibri" w:cstheme="minorHAnsi"/>
                <w:b/>
                <w:i/>
                <w:color w:val="000000"/>
              </w:rPr>
              <w:t xml:space="preserve"> (re-establishment not shown)</w:t>
            </w:r>
            <w:r>
              <w:rPr>
                <w:noProof/>
                <w:lang w:eastAsia="en-AU"/>
              </w:rPr>
              <w:drawing>
                <wp:inline distT="0" distB="0" distL="0" distR="0" wp14:anchorId="72EA0B15" wp14:editId="17B8292E">
                  <wp:extent cx="5403273" cy="2165107"/>
                  <wp:effectExtent l="0" t="0" r="698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412383" cy="2168758"/>
                          </a:xfrm>
                          <a:prstGeom prst="rect">
                            <a:avLst/>
                          </a:prstGeom>
                          <a:ln>
                            <a:noFill/>
                          </a:ln>
                          <a:extLst>
                            <a:ext uri="{53640926-AAD7-44D8-BBD7-CCE9431645EC}">
                              <a14:shadowObscured xmlns:a14="http://schemas.microsoft.com/office/drawing/2010/main"/>
                            </a:ext>
                          </a:extLst>
                        </pic:spPr>
                      </pic:pic>
                    </a:graphicData>
                  </a:graphic>
                </wp:inline>
              </w:drawing>
            </w:r>
          </w:p>
        </w:tc>
      </w:tr>
    </w:tbl>
    <w:p w:rsidR="006670FA" w:rsidRDefault="006670FA" w:rsidP="006670FA">
      <w:pPr>
        <w:rPr>
          <w:rFonts w:cstheme="minorHAnsi"/>
          <w:i/>
          <w:color w:val="000000"/>
          <w:sz w:val="24"/>
          <w:szCs w:val="24"/>
        </w:rPr>
      </w:pPr>
    </w:p>
    <w:p w:rsidR="006670FA" w:rsidRDefault="006670FA" w:rsidP="006670FA">
      <w:pPr>
        <w:rPr>
          <w:rFonts w:ascii="Times New Roman" w:hAnsi="Times New Roman"/>
          <w:i/>
          <w:color w:val="000000"/>
          <w:sz w:val="24"/>
          <w:szCs w:val="24"/>
        </w:rPr>
      </w:pPr>
    </w:p>
    <w:p w:rsidR="006670FA" w:rsidRPr="0004357E" w:rsidRDefault="006670FA" w:rsidP="006670FA">
      <w:pPr>
        <w:keepNext/>
        <w:keepLines/>
        <w:rPr>
          <w:rFonts w:cstheme="minorHAnsi"/>
          <w:i/>
          <w:color w:val="000000"/>
          <w:sz w:val="24"/>
          <w:szCs w:val="24"/>
        </w:rPr>
      </w:pPr>
      <w:r w:rsidRPr="00D04236">
        <w:rPr>
          <w:rFonts w:ascii="Times New Roman" w:hAnsi="Times New Roman"/>
          <w:i/>
          <w:color w:val="000000"/>
          <w:sz w:val="24"/>
          <w:szCs w:val="24"/>
        </w:rPr>
        <w:lastRenderedPageBreak/>
        <w:t xml:space="preserve">Adding management events </w:t>
      </w:r>
    </w:p>
    <w:p w:rsidR="006670FA" w:rsidRPr="00D04236" w:rsidRDefault="006670FA" w:rsidP="006670FA">
      <w:pPr>
        <w:keepNext/>
        <w:keepLines/>
        <w:rPr>
          <w:rFonts w:ascii="Times New Roman" w:hAnsi="Times New Roman"/>
          <w:sz w:val="24"/>
        </w:rPr>
      </w:pPr>
      <w:r w:rsidRPr="00D04236">
        <w:rPr>
          <w:rFonts w:ascii="Times New Roman" w:hAnsi="Times New Roman"/>
          <w:sz w:val="24"/>
        </w:rPr>
        <w:t>Project proponents may add documented management events other than comprehensive clearings in the intervals.</w:t>
      </w:r>
    </w:p>
    <w:p w:rsidR="006670FA" w:rsidRPr="00D04236" w:rsidRDefault="006670FA" w:rsidP="006670FA">
      <w:pPr>
        <w:keepNext/>
        <w:keepLines/>
        <w:rPr>
          <w:rFonts w:ascii="Times New Roman" w:hAnsi="Times New Roman"/>
          <w:i/>
          <w:sz w:val="24"/>
        </w:rPr>
      </w:pPr>
      <w:r>
        <w:rPr>
          <w:rFonts w:ascii="Times New Roman" w:hAnsi="Times New Roman"/>
          <w:i/>
          <w:sz w:val="24"/>
        </w:rPr>
        <w:t>Example D</w:t>
      </w:r>
    </w:p>
    <w:p w:rsidR="006670FA" w:rsidRPr="00D04236" w:rsidRDefault="006670FA" w:rsidP="006670FA">
      <w:pPr>
        <w:keepNext/>
        <w:keepLines/>
        <w:rPr>
          <w:rFonts w:ascii="Times New Roman" w:hAnsi="Times New Roman"/>
          <w:sz w:val="24"/>
        </w:rPr>
      </w:pPr>
      <w:r>
        <w:rPr>
          <w:rFonts w:ascii="Times New Roman" w:hAnsi="Times New Roman"/>
          <w:sz w:val="24"/>
        </w:rPr>
        <w:t>Dorothy</w:t>
      </w:r>
      <w:r w:rsidRPr="00D04236">
        <w:rPr>
          <w:rFonts w:ascii="Times New Roman" w:hAnsi="Times New Roman"/>
          <w:sz w:val="24"/>
        </w:rPr>
        <w:t xml:space="preserve"> has evidence of three comprehensive clearings.</w:t>
      </w:r>
    </w:p>
    <w:p w:rsidR="006670FA" w:rsidRPr="00D04236" w:rsidRDefault="006670FA" w:rsidP="006670FA">
      <w:pPr>
        <w:keepNext/>
        <w:keepLines/>
        <w:rPr>
          <w:rFonts w:ascii="Times New Roman" w:hAnsi="Times New Roman"/>
          <w:sz w:val="24"/>
        </w:rPr>
      </w:pPr>
      <w:r w:rsidRPr="00D04236">
        <w:rPr>
          <w:rFonts w:ascii="Times New Roman" w:hAnsi="Times New Roman"/>
          <w:sz w:val="24"/>
        </w:rPr>
        <w:t xml:space="preserve">The most recent comprehensive clearing occurred in 2006.  Two earlier comprehensive clearings occurred in 1998 and 1992. </w:t>
      </w:r>
    </w:p>
    <w:p w:rsidR="006670FA" w:rsidRPr="00D04236" w:rsidRDefault="006670FA" w:rsidP="006670FA">
      <w:pPr>
        <w:keepNext/>
        <w:keepLines/>
        <w:rPr>
          <w:rFonts w:ascii="Times New Roman" w:hAnsi="Times New Roman"/>
          <w:sz w:val="24"/>
        </w:rPr>
      </w:pPr>
      <w:r w:rsidRPr="00D04236">
        <w:rPr>
          <w:rFonts w:ascii="Times New Roman" w:hAnsi="Times New Roman"/>
          <w:sz w:val="24"/>
        </w:rPr>
        <w:t>These comprehensive clearings define two intervals.  The first inte</w:t>
      </w:r>
      <w:r>
        <w:rPr>
          <w:rFonts w:ascii="Times New Roman" w:hAnsi="Times New Roman"/>
          <w:sz w:val="24"/>
        </w:rPr>
        <w:t>rval is 6 years (being the period</w:t>
      </w:r>
      <w:r w:rsidRPr="00D04236">
        <w:rPr>
          <w:rFonts w:ascii="Times New Roman" w:hAnsi="Times New Roman"/>
          <w:sz w:val="24"/>
        </w:rPr>
        <w:t xml:space="preserve"> between 1992 and 1998).  The second inte</w:t>
      </w:r>
      <w:r>
        <w:rPr>
          <w:rFonts w:ascii="Times New Roman" w:hAnsi="Times New Roman"/>
          <w:sz w:val="24"/>
        </w:rPr>
        <w:t>rval is 8 years (being the period</w:t>
      </w:r>
      <w:r w:rsidRPr="00D04236">
        <w:rPr>
          <w:rFonts w:ascii="Times New Roman" w:hAnsi="Times New Roman"/>
          <w:sz w:val="24"/>
        </w:rPr>
        <w:t xml:space="preserve"> between 1998 and 2006). </w:t>
      </w:r>
    </w:p>
    <w:p w:rsidR="006670FA" w:rsidRPr="00D04236" w:rsidRDefault="006670FA" w:rsidP="006670FA">
      <w:pPr>
        <w:keepNext/>
        <w:keepLines/>
        <w:rPr>
          <w:rFonts w:ascii="Times New Roman" w:hAnsi="Times New Roman"/>
          <w:sz w:val="24"/>
        </w:rPr>
      </w:pPr>
      <w:r>
        <w:rPr>
          <w:rFonts w:ascii="Times New Roman" w:hAnsi="Times New Roman"/>
          <w:sz w:val="24"/>
        </w:rPr>
        <w:t>Dorothy</w:t>
      </w:r>
      <w:r w:rsidRPr="00D04236">
        <w:rPr>
          <w:rFonts w:ascii="Times New Roman" w:hAnsi="Times New Roman"/>
          <w:sz w:val="24"/>
        </w:rPr>
        <w:t xml:space="preserve"> </w:t>
      </w:r>
      <w:r w:rsidR="00CC55C0">
        <w:rPr>
          <w:rFonts w:ascii="Times New Roman" w:hAnsi="Times New Roman"/>
          <w:sz w:val="24"/>
        </w:rPr>
        <w:t>also has evidence of fires used for land management</w:t>
      </w:r>
      <w:r w:rsidRPr="00D04236">
        <w:rPr>
          <w:rFonts w:ascii="Times New Roman" w:hAnsi="Times New Roman"/>
          <w:sz w:val="24"/>
        </w:rPr>
        <w:t xml:space="preserve"> </w:t>
      </w:r>
      <w:r>
        <w:rPr>
          <w:rFonts w:ascii="Times New Roman" w:hAnsi="Times New Roman"/>
          <w:sz w:val="24"/>
        </w:rPr>
        <w:t>in 1995 and 2002. Dorothy</w:t>
      </w:r>
      <w:r w:rsidRPr="00D04236">
        <w:rPr>
          <w:rFonts w:ascii="Times New Roman" w:hAnsi="Times New Roman"/>
          <w:sz w:val="24"/>
        </w:rPr>
        <w:t xml:space="preserve"> may add thes</w:t>
      </w:r>
      <w:r>
        <w:rPr>
          <w:rFonts w:ascii="Times New Roman" w:hAnsi="Times New Roman"/>
          <w:sz w:val="24"/>
        </w:rPr>
        <w:t>e additional management events to the baseline management event scenario (Figure 7).</w:t>
      </w:r>
    </w:p>
    <w:tbl>
      <w:tblPr>
        <w:tblStyle w:val="TableGrid"/>
        <w:tblW w:w="0" w:type="auto"/>
        <w:tblLook w:val="04A0" w:firstRow="1" w:lastRow="0" w:firstColumn="1" w:lastColumn="0" w:noHBand="0" w:noVBand="1"/>
      </w:tblPr>
      <w:tblGrid>
        <w:gridCol w:w="9242"/>
      </w:tblGrid>
      <w:tr w:rsidR="006670FA" w:rsidTr="006670FA">
        <w:tc>
          <w:tcPr>
            <w:tcW w:w="9242" w:type="dxa"/>
          </w:tcPr>
          <w:p w:rsidR="006670FA" w:rsidRDefault="006670FA" w:rsidP="006670FA">
            <w:pPr>
              <w:keepNext/>
              <w:keepLines/>
              <w:rPr>
                <w:rFonts w:eastAsia="Calibri" w:cstheme="minorHAnsi"/>
                <w:color w:val="000000"/>
                <w:sz w:val="24"/>
                <w:szCs w:val="24"/>
              </w:rPr>
            </w:pPr>
            <w:r w:rsidRPr="00171867">
              <w:rPr>
                <w:rFonts w:eastAsia="Calibri" w:cstheme="minorHAnsi"/>
                <w:b/>
                <w:i/>
                <w:color w:val="000000"/>
              </w:rPr>
              <w:t>Figure 7—historic baseline with fires (re-establishment not shown)</w:t>
            </w:r>
            <w:r>
              <w:rPr>
                <w:noProof/>
                <w:lang w:eastAsia="en-AU"/>
              </w:rPr>
              <w:drawing>
                <wp:inline distT="0" distB="0" distL="0" distR="0" wp14:anchorId="682FCBE6" wp14:editId="0CAE2A2C">
                  <wp:extent cx="5422832" cy="2154129"/>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428438" cy="2156356"/>
                          </a:xfrm>
                          <a:prstGeom prst="rect">
                            <a:avLst/>
                          </a:prstGeom>
                          <a:ln>
                            <a:noFill/>
                          </a:ln>
                          <a:extLst>
                            <a:ext uri="{53640926-AAD7-44D8-BBD7-CCE9431645EC}">
                              <a14:shadowObscured xmlns:a14="http://schemas.microsoft.com/office/drawing/2010/main"/>
                            </a:ext>
                          </a:extLst>
                        </pic:spPr>
                      </pic:pic>
                    </a:graphicData>
                  </a:graphic>
                </wp:inline>
              </w:drawing>
            </w:r>
          </w:p>
        </w:tc>
      </w:tr>
    </w:tbl>
    <w:p w:rsidR="006670FA" w:rsidRPr="00845E77" w:rsidRDefault="006670FA" w:rsidP="006670FA">
      <w:pPr>
        <w:keepNext/>
        <w:keepLines/>
        <w:rPr>
          <w:rFonts w:cstheme="minorHAnsi"/>
          <w:color w:val="000000"/>
          <w:sz w:val="24"/>
          <w:szCs w:val="24"/>
        </w:rPr>
      </w:pPr>
    </w:p>
    <w:p w:rsidR="006670FA" w:rsidRPr="0004357E" w:rsidRDefault="006670FA" w:rsidP="006670FA">
      <w:pPr>
        <w:keepNext/>
        <w:keepLines/>
        <w:rPr>
          <w:rFonts w:ascii="Times New Roman" w:hAnsi="Times New Roman"/>
          <w:i/>
          <w:color w:val="000000"/>
          <w:sz w:val="20"/>
          <w:szCs w:val="24"/>
        </w:rPr>
      </w:pPr>
      <w:r>
        <w:rPr>
          <w:rFonts w:ascii="Times New Roman" w:hAnsi="Times New Roman"/>
          <w:sz w:val="24"/>
          <w:szCs w:val="24"/>
        </w:rPr>
        <w:t>When Dorothy’s baseline management event scenario is modelled in the baseline fore</w:t>
      </w:r>
      <w:r w:rsidR="00DE4BF2">
        <w:rPr>
          <w:rFonts w:ascii="Times New Roman" w:hAnsi="Times New Roman"/>
          <w:sz w:val="24"/>
          <w:szCs w:val="24"/>
        </w:rPr>
        <w:t xml:space="preserve">cast period, one </w:t>
      </w:r>
      <w:r w:rsidR="00A70A50">
        <w:rPr>
          <w:rFonts w:ascii="Times New Roman" w:hAnsi="Times New Roman"/>
          <w:sz w:val="24"/>
          <w:szCs w:val="24"/>
        </w:rPr>
        <w:t>fire</w:t>
      </w:r>
      <w:r>
        <w:rPr>
          <w:rFonts w:ascii="Times New Roman" w:hAnsi="Times New Roman"/>
          <w:sz w:val="24"/>
          <w:szCs w:val="24"/>
        </w:rPr>
        <w:t xml:space="preserve"> will occur in the first interval three years after the comprehensive clearing at the start of the interval (being the number of years between 1992 an</w:t>
      </w:r>
      <w:r w:rsidR="00DE4BF2">
        <w:rPr>
          <w:rFonts w:ascii="Times New Roman" w:hAnsi="Times New Roman"/>
          <w:sz w:val="24"/>
          <w:szCs w:val="24"/>
        </w:rPr>
        <w:t xml:space="preserve">d 1995). The other </w:t>
      </w:r>
      <w:r w:rsidR="00A70A50">
        <w:rPr>
          <w:rFonts w:ascii="Times New Roman" w:hAnsi="Times New Roman"/>
          <w:sz w:val="24"/>
          <w:szCs w:val="24"/>
        </w:rPr>
        <w:t>fire</w:t>
      </w:r>
      <w:r>
        <w:rPr>
          <w:rFonts w:ascii="Times New Roman" w:hAnsi="Times New Roman"/>
          <w:sz w:val="24"/>
          <w:szCs w:val="24"/>
        </w:rPr>
        <w:t xml:space="preserve"> will occur in the second interval four years after the comprehensive clearing at the start of that interval (being the number of years between 1998 and 2002). </w:t>
      </w:r>
    </w:p>
    <w:p w:rsidR="006670FA" w:rsidRDefault="006670FA" w:rsidP="006670FA">
      <w:pPr>
        <w:keepNext/>
        <w:keepLines/>
      </w:pPr>
    </w:p>
    <w:p w:rsidR="006670FA" w:rsidRPr="00597BA5" w:rsidRDefault="006670FA" w:rsidP="00597BA5">
      <w:pPr>
        <w:spacing w:after="0" w:line="240" w:lineRule="auto"/>
        <w:rPr>
          <w:rFonts w:ascii="Times New Roman" w:hAnsi="Times New Roman"/>
          <w:color w:val="000000" w:themeColor="text1"/>
          <w:sz w:val="24"/>
          <w:szCs w:val="24"/>
        </w:rPr>
      </w:pPr>
    </w:p>
    <w:p w:rsidR="00597BA5" w:rsidRDefault="00597BA5" w:rsidP="00986D81">
      <w:pPr>
        <w:spacing w:after="120" w:line="240" w:lineRule="auto"/>
        <w:rPr>
          <w:rFonts w:ascii="Times New Roman" w:hAnsi="Times New Roman"/>
          <w:color w:val="000000" w:themeColor="text1"/>
          <w:sz w:val="24"/>
          <w:szCs w:val="24"/>
        </w:rPr>
      </w:pPr>
    </w:p>
    <w:p w:rsidR="006670FA" w:rsidRDefault="006670FA" w:rsidP="00E43C63">
      <w:pPr>
        <w:pStyle w:val="Footer"/>
        <w:jc w:val="right"/>
        <w:rPr>
          <w:rFonts w:ascii="Times New Roman" w:hAnsi="Times New Roman"/>
          <w:sz w:val="24"/>
          <w:szCs w:val="24"/>
          <w:u w:val="single"/>
        </w:rPr>
      </w:pPr>
    </w:p>
    <w:p w:rsidR="006670FA" w:rsidRDefault="006670FA" w:rsidP="00E43C63">
      <w:pPr>
        <w:pStyle w:val="Footer"/>
        <w:jc w:val="right"/>
        <w:rPr>
          <w:rFonts w:ascii="Times New Roman" w:hAnsi="Times New Roman"/>
          <w:sz w:val="24"/>
          <w:szCs w:val="24"/>
          <w:u w:val="single"/>
        </w:rPr>
      </w:pPr>
    </w:p>
    <w:p w:rsidR="006670FA" w:rsidRDefault="006670FA" w:rsidP="00E43C63">
      <w:pPr>
        <w:pStyle w:val="Footer"/>
        <w:jc w:val="right"/>
        <w:rPr>
          <w:rFonts w:ascii="Times New Roman" w:hAnsi="Times New Roman"/>
          <w:sz w:val="24"/>
          <w:szCs w:val="24"/>
          <w:u w:val="single"/>
        </w:rPr>
      </w:pPr>
    </w:p>
    <w:p w:rsidR="00E43C63" w:rsidRPr="00405716" w:rsidRDefault="00E43C63" w:rsidP="006670FA">
      <w:pPr>
        <w:pStyle w:val="Footer"/>
        <w:keepNext/>
        <w:keepLines/>
        <w:jc w:val="right"/>
        <w:rPr>
          <w:rFonts w:ascii="Times New Roman" w:hAnsi="Times New Roman"/>
          <w:sz w:val="24"/>
          <w:szCs w:val="24"/>
          <w:u w:val="single"/>
        </w:rPr>
      </w:pPr>
      <w:r w:rsidRPr="00405716">
        <w:rPr>
          <w:rFonts w:ascii="Times New Roman" w:hAnsi="Times New Roman"/>
          <w:sz w:val="24"/>
          <w:szCs w:val="24"/>
          <w:u w:val="single"/>
        </w:rPr>
        <w:lastRenderedPageBreak/>
        <w:t xml:space="preserve">Attachment </w:t>
      </w:r>
      <w:r w:rsidR="00E3135F">
        <w:rPr>
          <w:rFonts w:ascii="Times New Roman" w:hAnsi="Times New Roman"/>
          <w:sz w:val="24"/>
          <w:szCs w:val="24"/>
          <w:u w:val="single"/>
        </w:rPr>
        <w:t>B</w:t>
      </w:r>
    </w:p>
    <w:p w:rsidR="00B36B3C" w:rsidRPr="00137237" w:rsidRDefault="00B36B3C" w:rsidP="006670FA">
      <w:pPr>
        <w:keepNext/>
        <w:keepLines/>
        <w:spacing w:before="360" w:after="120" w:line="240" w:lineRule="auto"/>
        <w:jc w:val="center"/>
        <w:rPr>
          <w:rFonts w:ascii="Times New Roman" w:hAnsi="Times New Roman"/>
          <w:b/>
          <w:sz w:val="24"/>
          <w:szCs w:val="24"/>
        </w:rPr>
      </w:pPr>
      <w:r w:rsidRPr="003E6FE7">
        <w:rPr>
          <w:rFonts w:ascii="Times New Roman" w:hAnsi="Times New Roman"/>
          <w:b/>
          <w:sz w:val="24"/>
          <w:szCs w:val="24"/>
        </w:rPr>
        <w:t>Statement of Compatibility with Human Rights</w:t>
      </w:r>
    </w:p>
    <w:p w:rsidR="00B36B3C" w:rsidRPr="003C1483" w:rsidRDefault="00B36B3C" w:rsidP="006670FA">
      <w:pPr>
        <w:keepNext/>
        <w:keepLines/>
        <w:spacing w:before="120" w:after="120" w:line="240" w:lineRule="auto"/>
        <w:jc w:val="center"/>
        <w:rPr>
          <w:rFonts w:ascii="Times New Roman" w:hAnsi="Times New Roman"/>
          <w:sz w:val="24"/>
          <w:szCs w:val="24"/>
        </w:rPr>
      </w:pPr>
      <w:r w:rsidRPr="003C1483">
        <w:rPr>
          <w:rFonts w:ascii="Times New Roman" w:hAnsi="Times New Roman"/>
          <w:sz w:val="24"/>
          <w:szCs w:val="24"/>
        </w:rPr>
        <w:t xml:space="preserve">Prepared in accordance with Part 3 of the </w:t>
      </w:r>
      <w:r w:rsidRPr="003C1483">
        <w:rPr>
          <w:rFonts w:ascii="Times New Roman" w:hAnsi="Times New Roman"/>
          <w:i/>
          <w:sz w:val="24"/>
          <w:szCs w:val="24"/>
        </w:rPr>
        <w:t>Human Rights (Parliamentary Scrutiny) Act 2011</w:t>
      </w:r>
    </w:p>
    <w:p w:rsidR="00B36B3C" w:rsidRPr="00B70AFE" w:rsidRDefault="00B36B3C" w:rsidP="006670FA">
      <w:pPr>
        <w:keepNext/>
        <w:keepLines/>
        <w:spacing w:before="240" w:after="120" w:line="240" w:lineRule="auto"/>
        <w:jc w:val="center"/>
        <w:rPr>
          <w:rFonts w:ascii="Times New Roman" w:hAnsi="Times New Roman"/>
          <w:i/>
          <w:sz w:val="24"/>
          <w:szCs w:val="24"/>
        </w:rPr>
      </w:pPr>
      <w:r>
        <w:rPr>
          <w:rFonts w:ascii="Times New Roman" w:hAnsi="Times New Roman"/>
          <w:i/>
          <w:sz w:val="24"/>
          <w:szCs w:val="24"/>
        </w:rPr>
        <w:t>Carbon Credits (Carbon Farming Initiative) (</w:t>
      </w:r>
      <w:r w:rsidR="00111C7B" w:rsidRPr="00111C7B">
        <w:rPr>
          <w:rFonts w:ascii="Times New Roman" w:hAnsi="Times New Roman"/>
          <w:i/>
          <w:sz w:val="24"/>
          <w:szCs w:val="24"/>
        </w:rPr>
        <w:t>Native Forest from Managed Regrowth</w:t>
      </w:r>
      <w:r>
        <w:rPr>
          <w:rFonts w:ascii="Times New Roman" w:hAnsi="Times New Roman"/>
          <w:i/>
          <w:sz w:val="24"/>
          <w:szCs w:val="24"/>
        </w:rPr>
        <w:t>) Methodology Determination 2013</w:t>
      </w:r>
      <w:r w:rsidRPr="003E6FE7">
        <w:rPr>
          <w:rFonts w:ascii="Times New Roman" w:hAnsi="Times New Roman"/>
          <w:i/>
          <w:sz w:val="24"/>
          <w:szCs w:val="24"/>
        </w:rPr>
        <w:t xml:space="preserve"> </w:t>
      </w:r>
    </w:p>
    <w:p w:rsidR="00B36B3C" w:rsidRPr="00137237" w:rsidRDefault="00B36B3C" w:rsidP="006670FA">
      <w:pPr>
        <w:keepNext/>
        <w:keepLines/>
        <w:spacing w:after="120" w:line="240" w:lineRule="auto"/>
        <w:rPr>
          <w:rFonts w:ascii="Times New Roman" w:hAnsi="Times New Roman"/>
          <w:sz w:val="24"/>
          <w:szCs w:val="24"/>
        </w:rPr>
      </w:pPr>
    </w:p>
    <w:p w:rsidR="00B36B3C" w:rsidRPr="00137237" w:rsidRDefault="00B36B3C" w:rsidP="006670FA">
      <w:pPr>
        <w:keepNext/>
        <w:keepLines/>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 xml:space="preserve">nstrument is compatible with the human rights and freedoms recognised or declared in the international instruments listed in section 3 of the </w:t>
      </w:r>
      <w:r w:rsidRPr="003E6FE7">
        <w:rPr>
          <w:rFonts w:ascii="Times New Roman" w:hAnsi="Times New Roman"/>
          <w:i/>
          <w:sz w:val="24"/>
          <w:szCs w:val="24"/>
        </w:rPr>
        <w:t>Human Rights (Parliamentary Scrutiny) Act 2011</w:t>
      </w:r>
      <w:r w:rsidRPr="003E6FE7">
        <w:rPr>
          <w:rFonts w:ascii="Times New Roman" w:hAnsi="Times New Roman"/>
          <w:sz w:val="24"/>
          <w:szCs w:val="24"/>
        </w:rPr>
        <w:t>.</w:t>
      </w:r>
    </w:p>
    <w:p w:rsidR="00B36B3C" w:rsidRPr="00137237" w:rsidRDefault="00B36B3C" w:rsidP="006670FA">
      <w:pPr>
        <w:keepNext/>
        <w:keepLines/>
        <w:spacing w:before="240" w:after="120" w:line="240" w:lineRule="auto"/>
        <w:rPr>
          <w:rFonts w:ascii="Times New Roman" w:hAnsi="Times New Roman"/>
          <w:b/>
          <w:sz w:val="24"/>
          <w:szCs w:val="24"/>
        </w:rPr>
      </w:pPr>
      <w:r w:rsidRPr="003E6FE7">
        <w:rPr>
          <w:rFonts w:ascii="Times New Roman" w:hAnsi="Times New Roman"/>
          <w:b/>
          <w:sz w:val="24"/>
          <w:szCs w:val="24"/>
        </w:rPr>
        <w:t>Overview of the Legislative Instrument</w:t>
      </w:r>
    </w:p>
    <w:p w:rsidR="0035139B" w:rsidRPr="00405716" w:rsidRDefault="0035139B" w:rsidP="006670FA">
      <w:pPr>
        <w:keepNext/>
        <w:keepLines/>
        <w:spacing w:after="120" w:line="240" w:lineRule="auto"/>
        <w:rPr>
          <w:rFonts w:ascii="Times New Roman" w:hAnsi="Times New Roman"/>
          <w:sz w:val="24"/>
          <w:szCs w:val="24"/>
        </w:rPr>
      </w:pPr>
      <w:r w:rsidRPr="00405716">
        <w:rPr>
          <w:rFonts w:ascii="Times New Roman" w:hAnsi="Times New Roman"/>
          <w:sz w:val="24"/>
          <w:szCs w:val="24"/>
        </w:rPr>
        <w:t xml:space="preserve">The </w:t>
      </w:r>
      <w:r w:rsidRPr="00405716">
        <w:rPr>
          <w:rFonts w:ascii="Times New Roman" w:hAnsi="Times New Roman"/>
          <w:i/>
          <w:sz w:val="24"/>
          <w:szCs w:val="24"/>
        </w:rPr>
        <w:t>Carbon Credits (Carbon Farming Initiative) (</w:t>
      </w:r>
      <w:r w:rsidR="00111C7B" w:rsidRPr="00111C7B">
        <w:rPr>
          <w:rFonts w:ascii="Times New Roman" w:hAnsi="Times New Roman"/>
          <w:i/>
          <w:sz w:val="24"/>
          <w:szCs w:val="24"/>
        </w:rPr>
        <w:t>Native Forest from Managed Regrowth</w:t>
      </w:r>
      <w:r w:rsidRPr="00405716">
        <w:rPr>
          <w:rFonts w:ascii="Times New Roman" w:hAnsi="Times New Roman"/>
          <w:i/>
          <w:sz w:val="24"/>
          <w:szCs w:val="24"/>
        </w:rPr>
        <w:t xml:space="preserve">) Methodology Determination 2013 </w:t>
      </w:r>
      <w:r w:rsidRPr="00405716">
        <w:rPr>
          <w:rFonts w:ascii="Times New Roman" w:hAnsi="Times New Roman"/>
          <w:sz w:val="24"/>
          <w:szCs w:val="24"/>
        </w:rPr>
        <w:t>(the Determination) sets out the detailed rules for implementing and monitoring offsets projects that sequester carbon by establishing permanent native forests from in situ seed sources, including rootstock and lignotubers. The</w:t>
      </w:r>
      <w:r w:rsidR="009E761B">
        <w:rPr>
          <w:rFonts w:ascii="Times New Roman" w:hAnsi="Times New Roman"/>
          <w:sz w:val="24"/>
          <w:szCs w:val="24"/>
        </w:rPr>
        <w:t> </w:t>
      </w:r>
      <w:r w:rsidR="00111C7B">
        <w:rPr>
          <w:rFonts w:ascii="Times New Roman" w:hAnsi="Times New Roman"/>
          <w:sz w:val="24"/>
          <w:szCs w:val="24"/>
        </w:rPr>
        <w:t>project</w:t>
      </w:r>
      <w:r w:rsidRPr="00405716">
        <w:rPr>
          <w:rFonts w:ascii="Times New Roman" w:hAnsi="Times New Roman"/>
          <w:sz w:val="24"/>
          <w:szCs w:val="24"/>
        </w:rPr>
        <w:t xml:space="preserve"> </w:t>
      </w:r>
      <w:r w:rsidR="00111C7B">
        <w:rPr>
          <w:rFonts w:ascii="Times New Roman" w:hAnsi="Times New Roman"/>
          <w:sz w:val="24"/>
          <w:szCs w:val="24"/>
        </w:rPr>
        <w:t xml:space="preserve">activities, or ‘mechanism’, </w:t>
      </w:r>
      <w:r w:rsidRPr="00405716">
        <w:rPr>
          <w:rFonts w:ascii="Times New Roman" w:hAnsi="Times New Roman"/>
          <w:sz w:val="24"/>
          <w:szCs w:val="24"/>
        </w:rPr>
        <w:t xml:space="preserve">involve the management or removal of external pressures that prevent regrowth from occurring. The Determination applies to projects in which land has been cleared of native vegetation and </w:t>
      </w:r>
      <w:r w:rsidR="00DD4F76" w:rsidRPr="00F9392C">
        <w:rPr>
          <w:rFonts w:ascii="Times New Roman" w:hAnsi="Times New Roman"/>
          <w:sz w:val="24"/>
          <w:szCs w:val="24"/>
        </w:rPr>
        <w:t>regrowth suppressed</w:t>
      </w:r>
      <w:r w:rsidRPr="00405716">
        <w:rPr>
          <w:rFonts w:ascii="Times New Roman" w:hAnsi="Times New Roman"/>
          <w:sz w:val="24"/>
          <w:szCs w:val="24"/>
        </w:rPr>
        <w:t>.</w:t>
      </w:r>
    </w:p>
    <w:p w:rsidR="00B36B3C" w:rsidRPr="00137237" w:rsidRDefault="00B36B3C" w:rsidP="006670FA">
      <w:pPr>
        <w:keepNext/>
        <w:keepLines/>
        <w:spacing w:after="120" w:line="240" w:lineRule="auto"/>
        <w:rPr>
          <w:rFonts w:ascii="Times New Roman" w:hAnsi="Times New Roman"/>
          <w:sz w:val="24"/>
          <w:szCs w:val="24"/>
        </w:rPr>
      </w:pPr>
      <w:r w:rsidRPr="003E6FE7">
        <w:rPr>
          <w:rFonts w:ascii="Times New Roman" w:hAnsi="Times New Roman"/>
          <w:sz w:val="24"/>
          <w:szCs w:val="24"/>
        </w:rPr>
        <w:t xml:space="preserve">Project proponents </w:t>
      </w:r>
      <w:r>
        <w:rPr>
          <w:rFonts w:ascii="Times New Roman" w:hAnsi="Times New Roman"/>
          <w:sz w:val="24"/>
          <w:szCs w:val="24"/>
        </w:rPr>
        <w:t>wishing</w:t>
      </w:r>
      <w:r w:rsidRPr="003E6FE7">
        <w:rPr>
          <w:rFonts w:ascii="Times New Roman" w:hAnsi="Times New Roman"/>
          <w:sz w:val="24"/>
          <w:szCs w:val="24"/>
        </w:rPr>
        <w:t xml:space="preserve"> to implement the Determination must make an application to the Clean Energy Regulator (</w:t>
      </w:r>
      <w:r w:rsidR="00566305">
        <w:rPr>
          <w:rFonts w:ascii="Times New Roman" w:hAnsi="Times New Roman"/>
          <w:sz w:val="24"/>
          <w:szCs w:val="24"/>
        </w:rPr>
        <w:t xml:space="preserve">the </w:t>
      </w:r>
      <w:r w:rsidRPr="003E6FE7">
        <w:rPr>
          <w:rFonts w:ascii="Times New Roman" w:hAnsi="Times New Roman"/>
          <w:sz w:val="24"/>
          <w:szCs w:val="24"/>
        </w:rPr>
        <w:t xml:space="preserve">Regulator) and meet the eligibility requirements set out under </w:t>
      </w:r>
      <w:r w:rsidRPr="00B2052E">
        <w:rPr>
          <w:rFonts w:ascii="Times New Roman" w:hAnsi="Times New Roman"/>
          <w:sz w:val="24"/>
          <w:szCs w:val="24"/>
        </w:rPr>
        <w:t xml:space="preserve">the </w:t>
      </w:r>
      <w:r>
        <w:rPr>
          <w:rFonts w:ascii="Times New Roman" w:hAnsi="Times New Roman"/>
          <w:i/>
          <w:sz w:val="24"/>
          <w:szCs w:val="24"/>
        </w:rPr>
        <w:t>Carbon Credits (Carbon Farming Initiative) Act 2011</w:t>
      </w:r>
      <w:r w:rsidRPr="003E6FE7">
        <w:rPr>
          <w:rFonts w:ascii="Times New Roman" w:hAnsi="Times New Roman"/>
          <w:sz w:val="24"/>
          <w:szCs w:val="24"/>
        </w:rPr>
        <w:t xml:space="preserve">. Offsets projects that are approved by the Regulator can generate Australian </w:t>
      </w:r>
      <w:r>
        <w:rPr>
          <w:rFonts w:ascii="Times New Roman" w:hAnsi="Times New Roman"/>
          <w:sz w:val="24"/>
          <w:szCs w:val="24"/>
        </w:rPr>
        <w:t>c</w:t>
      </w:r>
      <w:r w:rsidRPr="003E6FE7">
        <w:rPr>
          <w:rFonts w:ascii="Times New Roman" w:hAnsi="Times New Roman"/>
          <w:sz w:val="24"/>
          <w:szCs w:val="24"/>
        </w:rPr>
        <w:t xml:space="preserve">arbon </w:t>
      </w:r>
      <w:r>
        <w:rPr>
          <w:rFonts w:ascii="Times New Roman" w:hAnsi="Times New Roman"/>
          <w:sz w:val="24"/>
          <w:szCs w:val="24"/>
        </w:rPr>
        <w:t>c</w:t>
      </w:r>
      <w:r w:rsidRPr="003E6FE7">
        <w:rPr>
          <w:rFonts w:ascii="Times New Roman" w:hAnsi="Times New Roman"/>
          <w:sz w:val="24"/>
          <w:szCs w:val="24"/>
        </w:rPr>
        <w:t xml:space="preserve">redit </w:t>
      </w:r>
      <w:r>
        <w:rPr>
          <w:rFonts w:ascii="Times New Roman" w:hAnsi="Times New Roman"/>
          <w:sz w:val="24"/>
          <w:szCs w:val="24"/>
        </w:rPr>
        <w:t>u</w:t>
      </w:r>
      <w:r w:rsidRPr="003E6FE7">
        <w:rPr>
          <w:rFonts w:ascii="Times New Roman" w:hAnsi="Times New Roman"/>
          <w:sz w:val="24"/>
          <w:szCs w:val="24"/>
        </w:rPr>
        <w:t>nits that can be sold to:</w:t>
      </w:r>
    </w:p>
    <w:p w:rsidR="00B36B3C" w:rsidRPr="003C1483" w:rsidRDefault="00B36B3C" w:rsidP="006670FA">
      <w:pPr>
        <w:pStyle w:val="ListParagraph"/>
        <w:keepNext/>
        <w:keepLines/>
        <w:numPr>
          <w:ilvl w:val="0"/>
          <w:numId w:val="11"/>
        </w:numPr>
        <w:spacing w:after="120" w:line="240" w:lineRule="auto"/>
        <w:rPr>
          <w:rFonts w:ascii="Times New Roman" w:hAnsi="Times New Roman"/>
          <w:sz w:val="24"/>
          <w:szCs w:val="24"/>
        </w:rPr>
      </w:pPr>
      <w:r w:rsidRPr="003C1483">
        <w:rPr>
          <w:rFonts w:ascii="Times New Roman" w:hAnsi="Times New Roman"/>
          <w:sz w:val="24"/>
          <w:szCs w:val="24"/>
        </w:rPr>
        <w:t xml:space="preserve">Australian companies that pay the carbon price established under the </w:t>
      </w:r>
      <w:r w:rsidRPr="003C1483">
        <w:rPr>
          <w:rFonts w:ascii="Times New Roman" w:hAnsi="Times New Roman"/>
          <w:i/>
          <w:sz w:val="24"/>
          <w:szCs w:val="24"/>
        </w:rPr>
        <w:t>Clean Energy Act 2011</w:t>
      </w:r>
      <w:r w:rsidRPr="003C1483">
        <w:rPr>
          <w:rFonts w:ascii="Times New Roman" w:hAnsi="Times New Roman"/>
          <w:sz w:val="24"/>
          <w:szCs w:val="24"/>
        </w:rPr>
        <w:t>; and</w:t>
      </w:r>
    </w:p>
    <w:p w:rsidR="00B36B3C" w:rsidRPr="003C1483" w:rsidRDefault="00B36B3C" w:rsidP="006670FA">
      <w:pPr>
        <w:pStyle w:val="ListParagraph"/>
        <w:keepNext/>
        <w:keepLines/>
        <w:numPr>
          <w:ilvl w:val="0"/>
          <w:numId w:val="11"/>
        </w:numPr>
        <w:spacing w:after="120" w:line="240" w:lineRule="auto"/>
        <w:rPr>
          <w:rFonts w:ascii="Times New Roman" w:hAnsi="Times New Roman"/>
          <w:sz w:val="24"/>
          <w:szCs w:val="24"/>
        </w:rPr>
      </w:pPr>
      <w:proofErr w:type="gramStart"/>
      <w:r w:rsidRPr="003C1483">
        <w:rPr>
          <w:rFonts w:ascii="Times New Roman" w:hAnsi="Times New Roman"/>
          <w:sz w:val="24"/>
          <w:szCs w:val="24"/>
        </w:rPr>
        <w:t>businesses</w:t>
      </w:r>
      <w:proofErr w:type="gramEnd"/>
      <w:r w:rsidRPr="003C1483">
        <w:rPr>
          <w:rFonts w:ascii="Times New Roman" w:hAnsi="Times New Roman"/>
          <w:sz w:val="24"/>
          <w:szCs w:val="24"/>
        </w:rPr>
        <w:t xml:space="preserve"> in Australia wanting to offset their own carbon pollution. </w:t>
      </w:r>
    </w:p>
    <w:p w:rsidR="00B36B3C" w:rsidRPr="00137237" w:rsidRDefault="00B36B3C" w:rsidP="006670FA">
      <w:pPr>
        <w:keepNext/>
        <w:keepLines/>
        <w:spacing w:before="240" w:after="120" w:line="240" w:lineRule="auto"/>
        <w:rPr>
          <w:rFonts w:ascii="Times New Roman" w:hAnsi="Times New Roman"/>
          <w:b/>
          <w:sz w:val="24"/>
          <w:szCs w:val="24"/>
        </w:rPr>
      </w:pPr>
      <w:r w:rsidRPr="003E6FE7">
        <w:rPr>
          <w:rFonts w:ascii="Times New Roman" w:hAnsi="Times New Roman"/>
          <w:b/>
          <w:sz w:val="24"/>
          <w:szCs w:val="24"/>
        </w:rPr>
        <w:t>Human rights implications</w:t>
      </w:r>
    </w:p>
    <w:p w:rsidR="00B36B3C" w:rsidRPr="00137237" w:rsidRDefault="00B36B3C" w:rsidP="006670FA">
      <w:pPr>
        <w:keepNext/>
        <w:keepLines/>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nstrument does not engage any of the applicable rights or freedoms.</w:t>
      </w:r>
    </w:p>
    <w:p w:rsidR="00B36B3C" w:rsidRPr="00137237" w:rsidRDefault="00B36B3C" w:rsidP="006670FA">
      <w:pPr>
        <w:keepNext/>
        <w:keepLines/>
        <w:spacing w:before="240" w:after="120" w:line="240" w:lineRule="auto"/>
        <w:rPr>
          <w:rFonts w:ascii="Times New Roman" w:hAnsi="Times New Roman"/>
          <w:b/>
          <w:sz w:val="24"/>
          <w:szCs w:val="24"/>
        </w:rPr>
      </w:pPr>
      <w:r w:rsidRPr="003E6FE7">
        <w:rPr>
          <w:rFonts w:ascii="Times New Roman" w:hAnsi="Times New Roman"/>
          <w:b/>
          <w:sz w:val="24"/>
          <w:szCs w:val="24"/>
        </w:rPr>
        <w:t>Conclusion</w:t>
      </w:r>
    </w:p>
    <w:p w:rsidR="00B36B3C" w:rsidRPr="00137237" w:rsidRDefault="00B36B3C" w:rsidP="006670FA">
      <w:pPr>
        <w:keepNext/>
        <w:keepLines/>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nstrument is compatible with human rights as it does not raise any human rights issues.</w:t>
      </w:r>
    </w:p>
    <w:p w:rsidR="00B36B3C" w:rsidRPr="00137237" w:rsidRDefault="00B36B3C" w:rsidP="006670FA">
      <w:pPr>
        <w:keepNext/>
        <w:keepLines/>
        <w:spacing w:before="120" w:after="120" w:line="240" w:lineRule="auto"/>
        <w:jc w:val="center"/>
        <w:rPr>
          <w:rFonts w:ascii="Times New Roman" w:hAnsi="Times New Roman"/>
          <w:sz w:val="24"/>
          <w:szCs w:val="24"/>
        </w:rPr>
      </w:pPr>
    </w:p>
    <w:p w:rsidR="00B36B3C" w:rsidRPr="00137237" w:rsidRDefault="00F32909" w:rsidP="006670FA">
      <w:pPr>
        <w:keepNext/>
        <w:keepLines/>
        <w:spacing w:before="360" w:line="240" w:lineRule="auto"/>
        <w:jc w:val="center"/>
        <w:rPr>
          <w:rFonts w:ascii="Times New Roman" w:hAnsi="Times New Roman"/>
          <w:sz w:val="24"/>
          <w:szCs w:val="24"/>
        </w:rPr>
      </w:pPr>
      <w:r>
        <w:rPr>
          <w:rFonts w:ascii="Times New Roman" w:hAnsi="Times New Roman"/>
          <w:b/>
          <w:sz w:val="24"/>
          <w:szCs w:val="24"/>
        </w:rPr>
        <w:t>Greg Hunt</w:t>
      </w:r>
      <w:r w:rsidR="00B36B3C" w:rsidRPr="003E6FE7">
        <w:rPr>
          <w:rFonts w:ascii="Times New Roman" w:hAnsi="Times New Roman"/>
          <w:b/>
          <w:sz w:val="24"/>
          <w:szCs w:val="24"/>
        </w:rPr>
        <w:t xml:space="preserve">, </w:t>
      </w:r>
      <w:r w:rsidR="006478CC" w:rsidRPr="00F32909">
        <w:rPr>
          <w:rFonts w:ascii="Times New Roman" w:hAnsi="Times New Roman"/>
          <w:b/>
          <w:sz w:val="24"/>
          <w:szCs w:val="24"/>
        </w:rPr>
        <w:t>Minister</w:t>
      </w:r>
      <w:r w:rsidR="00B36B3C" w:rsidRPr="003E6FE7">
        <w:rPr>
          <w:rFonts w:ascii="Times New Roman" w:hAnsi="Times New Roman"/>
          <w:b/>
          <w:sz w:val="24"/>
          <w:szCs w:val="24"/>
        </w:rPr>
        <w:t xml:space="preserve"> for </w:t>
      </w:r>
      <w:r>
        <w:rPr>
          <w:rFonts w:ascii="Times New Roman" w:hAnsi="Times New Roman"/>
          <w:b/>
          <w:sz w:val="24"/>
          <w:szCs w:val="24"/>
        </w:rPr>
        <w:t>the Environment</w:t>
      </w:r>
    </w:p>
    <w:p w:rsidR="00B36B3C" w:rsidRPr="00405716" w:rsidRDefault="00B36B3C" w:rsidP="006670FA">
      <w:pPr>
        <w:keepNext/>
        <w:keepLines/>
        <w:spacing w:after="120" w:line="240" w:lineRule="auto"/>
        <w:rPr>
          <w:rFonts w:ascii="Times New Roman" w:hAnsi="Times New Roman"/>
          <w:sz w:val="24"/>
          <w:szCs w:val="24"/>
        </w:rPr>
      </w:pPr>
    </w:p>
    <w:sectPr w:rsidR="00B36B3C" w:rsidRPr="00405716" w:rsidSect="007607F2">
      <w:footerReference w:type="default" r:id="rId16"/>
      <w:footerReference w:type="first" r:id="rId17"/>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35" w:rsidRDefault="000D4835" w:rsidP="00621DDE">
      <w:pPr>
        <w:spacing w:after="0" w:line="240" w:lineRule="auto"/>
      </w:pPr>
      <w:r>
        <w:separator/>
      </w:r>
    </w:p>
  </w:endnote>
  <w:endnote w:type="continuationSeparator" w:id="0">
    <w:p w:rsidR="000D4835" w:rsidRDefault="000D4835" w:rsidP="0062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35" w:rsidRPr="0003613D" w:rsidRDefault="000D4835">
    <w:pPr>
      <w:pStyle w:val="Footer"/>
      <w:jc w:val="center"/>
      <w:rPr>
        <w:rFonts w:ascii="Times New Roman" w:hAnsi="Times New Roman"/>
        <w:sz w:val="20"/>
      </w:rPr>
    </w:pPr>
    <w:r w:rsidRPr="0003613D">
      <w:rPr>
        <w:rFonts w:ascii="Times New Roman" w:hAnsi="Times New Roman"/>
        <w:sz w:val="20"/>
      </w:rPr>
      <w:fldChar w:fldCharType="begin"/>
    </w:r>
    <w:r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37033B">
      <w:rPr>
        <w:rFonts w:ascii="Times New Roman" w:hAnsi="Times New Roman"/>
        <w:noProof/>
        <w:sz w:val="20"/>
      </w:rPr>
      <w:t>32</w:t>
    </w:r>
    <w:r w:rsidRPr="0003613D">
      <w:rPr>
        <w:rFonts w:ascii="Times New Roman" w:hAnsi="Times New Roman"/>
        <w:noProof/>
        <w:sz w:val="20"/>
      </w:rPr>
      <w:fldChar w:fldCharType="end"/>
    </w:r>
  </w:p>
  <w:p w:rsidR="000D4835" w:rsidRDefault="000D4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35" w:rsidRDefault="000D4835" w:rsidP="009A1EB8">
    <w:pPr>
      <w:pStyle w:val="Footer"/>
      <w:jc w:val="center"/>
    </w:pPr>
  </w:p>
  <w:p w:rsidR="000D4835" w:rsidRDefault="000D4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35" w:rsidRDefault="000D4835" w:rsidP="00621DDE">
      <w:pPr>
        <w:spacing w:after="0" w:line="240" w:lineRule="auto"/>
      </w:pPr>
      <w:r>
        <w:separator/>
      </w:r>
    </w:p>
  </w:footnote>
  <w:footnote w:type="continuationSeparator" w:id="0">
    <w:p w:rsidR="000D4835" w:rsidRDefault="000D4835" w:rsidP="00621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BCF2788"/>
    <w:multiLevelType w:val="hybridMultilevel"/>
    <w:tmpl w:val="9DA40AD2"/>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7124502"/>
    <w:multiLevelType w:val="hybridMultilevel"/>
    <w:tmpl w:val="434C199C"/>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11789E"/>
    <w:multiLevelType w:val="hybridMultilevel"/>
    <w:tmpl w:val="09A8E194"/>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D132D0"/>
    <w:multiLevelType w:val="hybridMultilevel"/>
    <w:tmpl w:val="3BA69878"/>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6E0C15"/>
    <w:multiLevelType w:val="hybridMultilevel"/>
    <w:tmpl w:val="564655D0"/>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BC2BEB"/>
    <w:multiLevelType w:val="hybridMultilevel"/>
    <w:tmpl w:val="35A0CDA2"/>
    <w:lvl w:ilvl="0" w:tplc="719A9BE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CB7821"/>
    <w:multiLevelType w:val="hybridMultilevel"/>
    <w:tmpl w:val="B4EAF9BE"/>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B404E3"/>
    <w:multiLevelType w:val="hybridMultilevel"/>
    <w:tmpl w:val="5ADC3CBE"/>
    <w:lvl w:ilvl="0" w:tplc="99A27DBA">
      <w:numFmt w:val="bullet"/>
      <w:lvlText w:val="•"/>
      <w:lvlJc w:val="left"/>
      <w:pPr>
        <w:ind w:left="720" w:hanging="360"/>
      </w:pPr>
      <w:rPr>
        <w:rFonts w:ascii="Times New Roman" w:eastAsia="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572402F"/>
    <w:multiLevelType w:val="hybridMultilevel"/>
    <w:tmpl w:val="F92488EC"/>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8BF68EA"/>
    <w:multiLevelType w:val="hybridMultilevel"/>
    <w:tmpl w:val="5A82C7B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A55AB2"/>
    <w:multiLevelType w:val="hybridMultilevel"/>
    <w:tmpl w:val="453C5E76"/>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B4070A"/>
    <w:multiLevelType w:val="hybridMultilevel"/>
    <w:tmpl w:val="7FE4AD80"/>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16">
    <w:nsid w:val="70595D84"/>
    <w:multiLevelType w:val="hybridMultilevel"/>
    <w:tmpl w:val="B13261F0"/>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7">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8">
    <w:nsid w:val="79B556CC"/>
    <w:multiLevelType w:val="hybridMultilevel"/>
    <w:tmpl w:val="34807756"/>
    <w:lvl w:ilvl="0" w:tplc="A8D469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11"/>
  </w:num>
  <w:num w:numId="5">
    <w:abstractNumId w:val="10"/>
  </w:num>
  <w:num w:numId="6">
    <w:abstractNumId w:val="5"/>
  </w:num>
  <w:num w:numId="7">
    <w:abstractNumId w:val="6"/>
  </w:num>
  <w:num w:numId="8">
    <w:abstractNumId w:val="2"/>
  </w:num>
  <w:num w:numId="9">
    <w:abstractNumId w:val="8"/>
  </w:num>
  <w:num w:numId="10">
    <w:abstractNumId w:val="9"/>
  </w:num>
  <w:num w:numId="11">
    <w:abstractNumId w:val="1"/>
  </w:num>
  <w:num w:numId="12">
    <w:abstractNumId w:val="3"/>
  </w:num>
  <w:num w:numId="13">
    <w:abstractNumId w:val="12"/>
  </w:num>
  <w:num w:numId="14">
    <w:abstractNumId w:val="7"/>
  </w:num>
  <w:num w:numId="15">
    <w:abstractNumId w:val="4"/>
  </w:num>
  <w:num w:numId="16">
    <w:abstractNumId w:val="13"/>
  </w:num>
  <w:num w:numId="17">
    <w:abstractNumId w:val="18"/>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Formatting/>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9"/>
    <w:rsid w:val="0000025A"/>
    <w:rsid w:val="000035A2"/>
    <w:rsid w:val="00005399"/>
    <w:rsid w:val="000056C0"/>
    <w:rsid w:val="00005701"/>
    <w:rsid w:val="000072D2"/>
    <w:rsid w:val="00007323"/>
    <w:rsid w:val="0001095D"/>
    <w:rsid w:val="00010EB4"/>
    <w:rsid w:val="000117CD"/>
    <w:rsid w:val="00011B30"/>
    <w:rsid w:val="0001687B"/>
    <w:rsid w:val="00020055"/>
    <w:rsid w:val="0002096F"/>
    <w:rsid w:val="00021E9F"/>
    <w:rsid w:val="000228D3"/>
    <w:rsid w:val="00023C79"/>
    <w:rsid w:val="00023F52"/>
    <w:rsid w:val="00024BAB"/>
    <w:rsid w:val="00025877"/>
    <w:rsid w:val="00025C0F"/>
    <w:rsid w:val="0002619A"/>
    <w:rsid w:val="00026AA6"/>
    <w:rsid w:val="00026F47"/>
    <w:rsid w:val="00030DC5"/>
    <w:rsid w:val="000326C3"/>
    <w:rsid w:val="00032C01"/>
    <w:rsid w:val="00032EBE"/>
    <w:rsid w:val="0003333F"/>
    <w:rsid w:val="00034279"/>
    <w:rsid w:val="0003511C"/>
    <w:rsid w:val="0003516A"/>
    <w:rsid w:val="00035A0B"/>
    <w:rsid w:val="00036128"/>
    <w:rsid w:val="0003613D"/>
    <w:rsid w:val="0003616F"/>
    <w:rsid w:val="00036E9F"/>
    <w:rsid w:val="000413E2"/>
    <w:rsid w:val="00041FFC"/>
    <w:rsid w:val="000420F2"/>
    <w:rsid w:val="00042435"/>
    <w:rsid w:val="00042633"/>
    <w:rsid w:val="0004268A"/>
    <w:rsid w:val="00042C4B"/>
    <w:rsid w:val="000435CA"/>
    <w:rsid w:val="00044385"/>
    <w:rsid w:val="000443E5"/>
    <w:rsid w:val="0004490C"/>
    <w:rsid w:val="00044D22"/>
    <w:rsid w:val="0005046E"/>
    <w:rsid w:val="00051D53"/>
    <w:rsid w:val="00051FE6"/>
    <w:rsid w:val="0005212E"/>
    <w:rsid w:val="00052FAD"/>
    <w:rsid w:val="00053937"/>
    <w:rsid w:val="0005585F"/>
    <w:rsid w:val="00057551"/>
    <w:rsid w:val="00061A30"/>
    <w:rsid w:val="00062BBF"/>
    <w:rsid w:val="00063614"/>
    <w:rsid w:val="00063DBB"/>
    <w:rsid w:val="00064D23"/>
    <w:rsid w:val="00064E18"/>
    <w:rsid w:val="00065A89"/>
    <w:rsid w:val="000667DB"/>
    <w:rsid w:val="00066BFC"/>
    <w:rsid w:val="00070BEE"/>
    <w:rsid w:val="000716AB"/>
    <w:rsid w:val="00073371"/>
    <w:rsid w:val="0007385A"/>
    <w:rsid w:val="000751CD"/>
    <w:rsid w:val="000756E4"/>
    <w:rsid w:val="00077095"/>
    <w:rsid w:val="000774C1"/>
    <w:rsid w:val="0008048E"/>
    <w:rsid w:val="00080CE0"/>
    <w:rsid w:val="00080D9A"/>
    <w:rsid w:val="00080FE9"/>
    <w:rsid w:val="000822E2"/>
    <w:rsid w:val="000855F0"/>
    <w:rsid w:val="00086355"/>
    <w:rsid w:val="000870E8"/>
    <w:rsid w:val="000875D5"/>
    <w:rsid w:val="00087BD5"/>
    <w:rsid w:val="000903E8"/>
    <w:rsid w:val="0009062C"/>
    <w:rsid w:val="0009205E"/>
    <w:rsid w:val="00092852"/>
    <w:rsid w:val="00093293"/>
    <w:rsid w:val="00094C2F"/>
    <w:rsid w:val="00096619"/>
    <w:rsid w:val="00096C07"/>
    <w:rsid w:val="000A00A9"/>
    <w:rsid w:val="000A1221"/>
    <w:rsid w:val="000A1F23"/>
    <w:rsid w:val="000A4748"/>
    <w:rsid w:val="000A7B9D"/>
    <w:rsid w:val="000B03F4"/>
    <w:rsid w:val="000B1A2F"/>
    <w:rsid w:val="000B1ECA"/>
    <w:rsid w:val="000B37F2"/>
    <w:rsid w:val="000B3A3D"/>
    <w:rsid w:val="000B4376"/>
    <w:rsid w:val="000B44B5"/>
    <w:rsid w:val="000B4A03"/>
    <w:rsid w:val="000B5356"/>
    <w:rsid w:val="000B66BD"/>
    <w:rsid w:val="000B7C94"/>
    <w:rsid w:val="000B7F6A"/>
    <w:rsid w:val="000C2977"/>
    <w:rsid w:val="000C2A65"/>
    <w:rsid w:val="000C332B"/>
    <w:rsid w:val="000C3DCA"/>
    <w:rsid w:val="000C403B"/>
    <w:rsid w:val="000C415C"/>
    <w:rsid w:val="000C42F0"/>
    <w:rsid w:val="000D0A80"/>
    <w:rsid w:val="000D1A62"/>
    <w:rsid w:val="000D313B"/>
    <w:rsid w:val="000D344E"/>
    <w:rsid w:val="000D3815"/>
    <w:rsid w:val="000D40C6"/>
    <w:rsid w:val="000D428A"/>
    <w:rsid w:val="000D4835"/>
    <w:rsid w:val="000D5647"/>
    <w:rsid w:val="000D5B81"/>
    <w:rsid w:val="000E0B2B"/>
    <w:rsid w:val="000E1CEF"/>
    <w:rsid w:val="000E3331"/>
    <w:rsid w:val="000E47CC"/>
    <w:rsid w:val="000E4C9E"/>
    <w:rsid w:val="000F0066"/>
    <w:rsid w:val="000F0469"/>
    <w:rsid w:val="000F0F7A"/>
    <w:rsid w:val="000F2F4A"/>
    <w:rsid w:val="000F340F"/>
    <w:rsid w:val="000F4AA2"/>
    <w:rsid w:val="000F5C9D"/>
    <w:rsid w:val="000F5FD7"/>
    <w:rsid w:val="000F6000"/>
    <w:rsid w:val="0010160B"/>
    <w:rsid w:val="001023CD"/>
    <w:rsid w:val="001028AC"/>
    <w:rsid w:val="00102BE6"/>
    <w:rsid w:val="00103C61"/>
    <w:rsid w:val="00104196"/>
    <w:rsid w:val="00104583"/>
    <w:rsid w:val="00106067"/>
    <w:rsid w:val="00106090"/>
    <w:rsid w:val="00111C7B"/>
    <w:rsid w:val="00111E99"/>
    <w:rsid w:val="00112830"/>
    <w:rsid w:val="00112AD1"/>
    <w:rsid w:val="00113027"/>
    <w:rsid w:val="00113A00"/>
    <w:rsid w:val="00116876"/>
    <w:rsid w:val="00116A3E"/>
    <w:rsid w:val="00116FC2"/>
    <w:rsid w:val="00117D39"/>
    <w:rsid w:val="0012081F"/>
    <w:rsid w:val="0012174D"/>
    <w:rsid w:val="00121D29"/>
    <w:rsid w:val="001222B0"/>
    <w:rsid w:val="0012429A"/>
    <w:rsid w:val="001250A6"/>
    <w:rsid w:val="00127555"/>
    <w:rsid w:val="001279C8"/>
    <w:rsid w:val="00130448"/>
    <w:rsid w:val="001309AA"/>
    <w:rsid w:val="0013107F"/>
    <w:rsid w:val="00132367"/>
    <w:rsid w:val="0013263E"/>
    <w:rsid w:val="00133478"/>
    <w:rsid w:val="00133F4A"/>
    <w:rsid w:val="001346EE"/>
    <w:rsid w:val="00135304"/>
    <w:rsid w:val="00135884"/>
    <w:rsid w:val="00135CB6"/>
    <w:rsid w:val="00136F33"/>
    <w:rsid w:val="00137328"/>
    <w:rsid w:val="001375DF"/>
    <w:rsid w:val="00137968"/>
    <w:rsid w:val="0014075D"/>
    <w:rsid w:val="0014141F"/>
    <w:rsid w:val="00141745"/>
    <w:rsid w:val="00141AE1"/>
    <w:rsid w:val="001422C9"/>
    <w:rsid w:val="0014261B"/>
    <w:rsid w:val="00143FE6"/>
    <w:rsid w:val="001443B6"/>
    <w:rsid w:val="001446CE"/>
    <w:rsid w:val="00144D47"/>
    <w:rsid w:val="0014543F"/>
    <w:rsid w:val="00146DCD"/>
    <w:rsid w:val="001503E0"/>
    <w:rsid w:val="00154010"/>
    <w:rsid w:val="00154E19"/>
    <w:rsid w:val="001552BF"/>
    <w:rsid w:val="00155752"/>
    <w:rsid w:val="00156605"/>
    <w:rsid w:val="00156E43"/>
    <w:rsid w:val="001570F0"/>
    <w:rsid w:val="00160264"/>
    <w:rsid w:val="00161AAD"/>
    <w:rsid w:val="00161E72"/>
    <w:rsid w:val="001628ED"/>
    <w:rsid w:val="0016339A"/>
    <w:rsid w:val="00163594"/>
    <w:rsid w:val="00163D7F"/>
    <w:rsid w:val="001642E7"/>
    <w:rsid w:val="001645EF"/>
    <w:rsid w:val="00164843"/>
    <w:rsid w:val="00164A10"/>
    <w:rsid w:val="00164C12"/>
    <w:rsid w:val="00164CA5"/>
    <w:rsid w:val="00164E25"/>
    <w:rsid w:val="00166C3A"/>
    <w:rsid w:val="0016703E"/>
    <w:rsid w:val="001678BF"/>
    <w:rsid w:val="0016792D"/>
    <w:rsid w:val="00167998"/>
    <w:rsid w:val="001707AE"/>
    <w:rsid w:val="001735EC"/>
    <w:rsid w:val="001737B1"/>
    <w:rsid w:val="00173B0A"/>
    <w:rsid w:val="00173DCB"/>
    <w:rsid w:val="00175A80"/>
    <w:rsid w:val="0017756B"/>
    <w:rsid w:val="001775B7"/>
    <w:rsid w:val="001807B0"/>
    <w:rsid w:val="00180C2D"/>
    <w:rsid w:val="00180E10"/>
    <w:rsid w:val="001810B6"/>
    <w:rsid w:val="00181B12"/>
    <w:rsid w:val="0018344C"/>
    <w:rsid w:val="00183A0A"/>
    <w:rsid w:val="00183E93"/>
    <w:rsid w:val="001849F1"/>
    <w:rsid w:val="00184A83"/>
    <w:rsid w:val="0018599C"/>
    <w:rsid w:val="00186ECE"/>
    <w:rsid w:val="001907D8"/>
    <w:rsid w:val="00190830"/>
    <w:rsid w:val="0019095C"/>
    <w:rsid w:val="001930A2"/>
    <w:rsid w:val="001955B5"/>
    <w:rsid w:val="001961B4"/>
    <w:rsid w:val="001966E7"/>
    <w:rsid w:val="0019770A"/>
    <w:rsid w:val="001A075F"/>
    <w:rsid w:val="001A0B36"/>
    <w:rsid w:val="001A3B3E"/>
    <w:rsid w:val="001A4543"/>
    <w:rsid w:val="001A4661"/>
    <w:rsid w:val="001A46E2"/>
    <w:rsid w:val="001A49CF"/>
    <w:rsid w:val="001A55EF"/>
    <w:rsid w:val="001A5DD9"/>
    <w:rsid w:val="001B0BE6"/>
    <w:rsid w:val="001B1008"/>
    <w:rsid w:val="001B11F0"/>
    <w:rsid w:val="001B13EE"/>
    <w:rsid w:val="001B1471"/>
    <w:rsid w:val="001B1E8D"/>
    <w:rsid w:val="001B2B87"/>
    <w:rsid w:val="001B2CE1"/>
    <w:rsid w:val="001B2FBE"/>
    <w:rsid w:val="001B457F"/>
    <w:rsid w:val="001C1E04"/>
    <w:rsid w:val="001C1EEE"/>
    <w:rsid w:val="001C1F90"/>
    <w:rsid w:val="001C2039"/>
    <w:rsid w:val="001C298B"/>
    <w:rsid w:val="001C3857"/>
    <w:rsid w:val="001C3DFF"/>
    <w:rsid w:val="001C401C"/>
    <w:rsid w:val="001C426A"/>
    <w:rsid w:val="001C4F4D"/>
    <w:rsid w:val="001C695E"/>
    <w:rsid w:val="001C77A2"/>
    <w:rsid w:val="001D1969"/>
    <w:rsid w:val="001D1D96"/>
    <w:rsid w:val="001D3C0D"/>
    <w:rsid w:val="001D3C5D"/>
    <w:rsid w:val="001D3E6E"/>
    <w:rsid w:val="001D4F87"/>
    <w:rsid w:val="001D5BA8"/>
    <w:rsid w:val="001D5F82"/>
    <w:rsid w:val="001D65D9"/>
    <w:rsid w:val="001D7000"/>
    <w:rsid w:val="001D72AE"/>
    <w:rsid w:val="001D77AA"/>
    <w:rsid w:val="001D7900"/>
    <w:rsid w:val="001E195D"/>
    <w:rsid w:val="001E55A6"/>
    <w:rsid w:val="001E629C"/>
    <w:rsid w:val="001E77A3"/>
    <w:rsid w:val="001E7987"/>
    <w:rsid w:val="001F1939"/>
    <w:rsid w:val="001F39F2"/>
    <w:rsid w:val="001F4C09"/>
    <w:rsid w:val="001F748C"/>
    <w:rsid w:val="001F74E2"/>
    <w:rsid w:val="0020112E"/>
    <w:rsid w:val="002012AB"/>
    <w:rsid w:val="002022A3"/>
    <w:rsid w:val="00203E0E"/>
    <w:rsid w:val="00204232"/>
    <w:rsid w:val="002061BE"/>
    <w:rsid w:val="00206876"/>
    <w:rsid w:val="00207251"/>
    <w:rsid w:val="00207E53"/>
    <w:rsid w:val="002106F5"/>
    <w:rsid w:val="00211AA5"/>
    <w:rsid w:val="00213490"/>
    <w:rsid w:val="0021603A"/>
    <w:rsid w:val="002161AE"/>
    <w:rsid w:val="002166C0"/>
    <w:rsid w:val="00216746"/>
    <w:rsid w:val="0021677C"/>
    <w:rsid w:val="00217082"/>
    <w:rsid w:val="002175C6"/>
    <w:rsid w:val="00221059"/>
    <w:rsid w:val="00221778"/>
    <w:rsid w:val="00221995"/>
    <w:rsid w:val="002219D1"/>
    <w:rsid w:val="00221A1D"/>
    <w:rsid w:val="00223982"/>
    <w:rsid w:val="002250C9"/>
    <w:rsid w:val="002260B2"/>
    <w:rsid w:val="002262B8"/>
    <w:rsid w:val="002267CA"/>
    <w:rsid w:val="00227545"/>
    <w:rsid w:val="00230DEA"/>
    <w:rsid w:val="00232CB0"/>
    <w:rsid w:val="00232D5B"/>
    <w:rsid w:val="0023402E"/>
    <w:rsid w:val="0023407C"/>
    <w:rsid w:val="00234ADE"/>
    <w:rsid w:val="00237140"/>
    <w:rsid w:val="002400BD"/>
    <w:rsid w:val="00240104"/>
    <w:rsid w:val="002406B7"/>
    <w:rsid w:val="0024096C"/>
    <w:rsid w:val="00241904"/>
    <w:rsid w:val="00241F1D"/>
    <w:rsid w:val="0024431E"/>
    <w:rsid w:val="0024500C"/>
    <w:rsid w:val="0024563A"/>
    <w:rsid w:val="002459C4"/>
    <w:rsid w:val="00245C29"/>
    <w:rsid w:val="00246B92"/>
    <w:rsid w:val="00246F90"/>
    <w:rsid w:val="00247076"/>
    <w:rsid w:val="00247789"/>
    <w:rsid w:val="0025005E"/>
    <w:rsid w:val="00251253"/>
    <w:rsid w:val="00252868"/>
    <w:rsid w:val="00253A41"/>
    <w:rsid w:val="00254583"/>
    <w:rsid w:val="00254FAB"/>
    <w:rsid w:val="0025575C"/>
    <w:rsid w:val="0025688A"/>
    <w:rsid w:val="00261676"/>
    <w:rsid w:val="0026240F"/>
    <w:rsid w:val="0026394B"/>
    <w:rsid w:val="00263995"/>
    <w:rsid w:val="00264957"/>
    <w:rsid w:val="0026619D"/>
    <w:rsid w:val="00270506"/>
    <w:rsid w:val="002709DF"/>
    <w:rsid w:val="00270B63"/>
    <w:rsid w:val="00270DD3"/>
    <w:rsid w:val="00271B4F"/>
    <w:rsid w:val="00273480"/>
    <w:rsid w:val="0027431D"/>
    <w:rsid w:val="00274BBD"/>
    <w:rsid w:val="002750CB"/>
    <w:rsid w:val="00277C91"/>
    <w:rsid w:val="00280669"/>
    <w:rsid w:val="00281084"/>
    <w:rsid w:val="002815B3"/>
    <w:rsid w:val="00281737"/>
    <w:rsid w:val="002818ED"/>
    <w:rsid w:val="00281E82"/>
    <w:rsid w:val="00281FB5"/>
    <w:rsid w:val="00282F52"/>
    <w:rsid w:val="0028495C"/>
    <w:rsid w:val="00284FDA"/>
    <w:rsid w:val="00285899"/>
    <w:rsid w:val="0028705A"/>
    <w:rsid w:val="002904F7"/>
    <w:rsid w:val="002917BD"/>
    <w:rsid w:val="0029213E"/>
    <w:rsid w:val="00292DFC"/>
    <w:rsid w:val="00293C29"/>
    <w:rsid w:val="00293CA4"/>
    <w:rsid w:val="00295302"/>
    <w:rsid w:val="0029550F"/>
    <w:rsid w:val="002A04C8"/>
    <w:rsid w:val="002A1044"/>
    <w:rsid w:val="002A188F"/>
    <w:rsid w:val="002A2303"/>
    <w:rsid w:val="002A3461"/>
    <w:rsid w:val="002A3B81"/>
    <w:rsid w:val="002A4140"/>
    <w:rsid w:val="002A4BC2"/>
    <w:rsid w:val="002A602B"/>
    <w:rsid w:val="002A73A3"/>
    <w:rsid w:val="002A7B9C"/>
    <w:rsid w:val="002B17EF"/>
    <w:rsid w:val="002B18E3"/>
    <w:rsid w:val="002B1F4E"/>
    <w:rsid w:val="002B4D31"/>
    <w:rsid w:val="002B520C"/>
    <w:rsid w:val="002B5F07"/>
    <w:rsid w:val="002B677F"/>
    <w:rsid w:val="002B6F1D"/>
    <w:rsid w:val="002C0B12"/>
    <w:rsid w:val="002C1A0B"/>
    <w:rsid w:val="002C1F46"/>
    <w:rsid w:val="002C239E"/>
    <w:rsid w:val="002C2C2F"/>
    <w:rsid w:val="002C44BA"/>
    <w:rsid w:val="002C4A9C"/>
    <w:rsid w:val="002C4EA6"/>
    <w:rsid w:val="002C51D9"/>
    <w:rsid w:val="002C5544"/>
    <w:rsid w:val="002C69F3"/>
    <w:rsid w:val="002C6AF2"/>
    <w:rsid w:val="002C6CBA"/>
    <w:rsid w:val="002C704C"/>
    <w:rsid w:val="002C7B68"/>
    <w:rsid w:val="002D06D5"/>
    <w:rsid w:val="002D0812"/>
    <w:rsid w:val="002D0D9D"/>
    <w:rsid w:val="002D175E"/>
    <w:rsid w:val="002D1A8D"/>
    <w:rsid w:val="002D23C0"/>
    <w:rsid w:val="002D3593"/>
    <w:rsid w:val="002D46A5"/>
    <w:rsid w:val="002D5334"/>
    <w:rsid w:val="002D6088"/>
    <w:rsid w:val="002D7236"/>
    <w:rsid w:val="002D7347"/>
    <w:rsid w:val="002E00BD"/>
    <w:rsid w:val="002E0A43"/>
    <w:rsid w:val="002E0C01"/>
    <w:rsid w:val="002E149E"/>
    <w:rsid w:val="002E1587"/>
    <w:rsid w:val="002E24F3"/>
    <w:rsid w:val="002E2E0C"/>
    <w:rsid w:val="002E67E6"/>
    <w:rsid w:val="002E791D"/>
    <w:rsid w:val="002F012D"/>
    <w:rsid w:val="002F06E1"/>
    <w:rsid w:val="002F1170"/>
    <w:rsid w:val="002F2A33"/>
    <w:rsid w:val="002F38E1"/>
    <w:rsid w:val="002F4742"/>
    <w:rsid w:val="002F4A08"/>
    <w:rsid w:val="002F4B3F"/>
    <w:rsid w:val="002F5DFB"/>
    <w:rsid w:val="002F7165"/>
    <w:rsid w:val="002F71A7"/>
    <w:rsid w:val="002F767F"/>
    <w:rsid w:val="002F7A31"/>
    <w:rsid w:val="002F7BEC"/>
    <w:rsid w:val="002F7D19"/>
    <w:rsid w:val="003021DA"/>
    <w:rsid w:val="0030268C"/>
    <w:rsid w:val="00302B3C"/>
    <w:rsid w:val="00303120"/>
    <w:rsid w:val="003042BB"/>
    <w:rsid w:val="003043A7"/>
    <w:rsid w:val="003044FD"/>
    <w:rsid w:val="00304552"/>
    <w:rsid w:val="00304C24"/>
    <w:rsid w:val="00305B10"/>
    <w:rsid w:val="003060FC"/>
    <w:rsid w:val="00306A78"/>
    <w:rsid w:val="003073EC"/>
    <w:rsid w:val="00312039"/>
    <w:rsid w:val="00312B8D"/>
    <w:rsid w:val="0031368F"/>
    <w:rsid w:val="00313ADD"/>
    <w:rsid w:val="003146C5"/>
    <w:rsid w:val="003166CD"/>
    <w:rsid w:val="00317E7B"/>
    <w:rsid w:val="00320E4F"/>
    <w:rsid w:val="00322955"/>
    <w:rsid w:val="00324AFA"/>
    <w:rsid w:val="00324B45"/>
    <w:rsid w:val="003273C7"/>
    <w:rsid w:val="003315E7"/>
    <w:rsid w:val="00331FC1"/>
    <w:rsid w:val="003343E6"/>
    <w:rsid w:val="003363CF"/>
    <w:rsid w:val="003364EE"/>
    <w:rsid w:val="00340544"/>
    <w:rsid w:val="00340DBF"/>
    <w:rsid w:val="00344EAD"/>
    <w:rsid w:val="003511C2"/>
    <w:rsid w:val="0035139B"/>
    <w:rsid w:val="00352B1A"/>
    <w:rsid w:val="003542B6"/>
    <w:rsid w:val="003542D7"/>
    <w:rsid w:val="0035776C"/>
    <w:rsid w:val="003603DB"/>
    <w:rsid w:val="00360ADA"/>
    <w:rsid w:val="00362E78"/>
    <w:rsid w:val="003639CB"/>
    <w:rsid w:val="0036484F"/>
    <w:rsid w:val="0036494E"/>
    <w:rsid w:val="003655ED"/>
    <w:rsid w:val="00366C7B"/>
    <w:rsid w:val="0036753E"/>
    <w:rsid w:val="00367860"/>
    <w:rsid w:val="0037033B"/>
    <w:rsid w:val="00372138"/>
    <w:rsid w:val="00372DD2"/>
    <w:rsid w:val="00373B5D"/>
    <w:rsid w:val="00373C66"/>
    <w:rsid w:val="0037644A"/>
    <w:rsid w:val="00376B7E"/>
    <w:rsid w:val="00377653"/>
    <w:rsid w:val="0038171A"/>
    <w:rsid w:val="003821CE"/>
    <w:rsid w:val="00383AB9"/>
    <w:rsid w:val="00383B8A"/>
    <w:rsid w:val="00385D38"/>
    <w:rsid w:val="00386C72"/>
    <w:rsid w:val="00387643"/>
    <w:rsid w:val="00387BE6"/>
    <w:rsid w:val="00387CB0"/>
    <w:rsid w:val="00390B02"/>
    <w:rsid w:val="00391E6F"/>
    <w:rsid w:val="0039301C"/>
    <w:rsid w:val="00393EE4"/>
    <w:rsid w:val="00393F1E"/>
    <w:rsid w:val="003959A3"/>
    <w:rsid w:val="0039635D"/>
    <w:rsid w:val="003A0C38"/>
    <w:rsid w:val="003A3A79"/>
    <w:rsid w:val="003A3C08"/>
    <w:rsid w:val="003A3DF4"/>
    <w:rsid w:val="003A5685"/>
    <w:rsid w:val="003A5730"/>
    <w:rsid w:val="003A5C0E"/>
    <w:rsid w:val="003B0365"/>
    <w:rsid w:val="003B07AC"/>
    <w:rsid w:val="003B224C"/>
    <w:rsid w:val="003B267B"/>
    <w:rsid w:val="003B2C27"/>
    <w:rsid w:val="003B5202"/>
    <w:rsid w:val="003B5BFC"/>
    <w:rsid w:val="003B6072"/>
    <w:rsid w:val="003B66A8"/>
    <w:rsid w:val="003B7DA6"/>
    <w:rsid w:val="003C0531"/>
    <w:rsid w:val="003C11DB"/>
    <w:rsid w:val="003C2154"/>
    <w:rsid w:val="003C21A7"/>
    <w:rsid w:val="003C3A8B"/>
    <w:rsid w:val="003C46D1"/>
    <w:rsid w:val="003C522E"/>
    <w:rsid w:val="003C5F80"/>
    <w:rsid w:val="003C7127"/>
    <w:rsid w:val="003C76B5"/>
    <w:rsid w:val="003C7EB6"/>
    <w:rsid w:val="003D0559"/>
    <w:rsid w:val="003D08A2"/>
    <w:rsid w:val="003D16A5"/>
    <w:rsid w:val="003D1F6E"/>
    <w:rsid w:val="003D2B5F"/>
    <w:rsid w:val="003D37B0"/>
    <w:rsid w:val="003D46FA"/>
    <w:rsid w:val="003D4A2F"/>
    <w:rsid w:val="003D5D70"/>
    <w:rsid w:val="003D6045"/>
    <w:rsid w:val="003D61DB"/>
    <w:rsid w:val="003E1C2C"/>
    <w:rsid w:val="003E1F52"/>
    <w:rsid w:val="003E2AEC"/>
    <w:rsid w:val="003E3B53"/>
    <w:rsid w:val="003E3C92"/>
    <w:rsid w:val="003E4886"/>
    <w:rsid w:val="003E5683"/>
    <w:rsid w:val="003E6D04"/>
    <w:rsid w:val="003E6D3F"/>
    <w:rsid w:val="003F408E"/>
    <w:rsid w:val="003F41A7"/>
    <w:rsid w:val="003F46DC"/>
    <w:rsid w:val="003F589E"/>
    <w:rsid w:val="003F5BF1"/>
    <w:rsid w:val="003F68B0"/>
    <w:rsid w:val="003F731D"/>
    <w:rsid w:val="003F7461"/>
    <w:rsid w:val="003F7AA6"/>
    <w:rsid w:val="003F7F09"/>
    <w:rsid w:val="00403629"/>
    <w:rsid w:val="0040520B"/>
    <w:rsid w:val="00405400"/>
    <w:rsid w:val="00405562"/>
    <w:rsid w:val="00405716"/>
    <w:rsid w:val="00411711"/>
    <w:rsid w:val="00411F8A"/>
    <w:rsid w:val="00412376"/>
    <w:rsid w:val="0041358B"/>
    <w:rsid w:val="00413AA4"/>
    <w:rsid w:val="00414417"/>
    <w:rsid w:val="00415619"/>
    <w:rsid w:val="004178E1"/>
    <w:rsid w:val="00417FCB"/>
    <w:rsid w:val="00421FB6"/>
    <w:rsid w:val="0042323D"/>
    <w:rsid w:val="00423993"/>
    <w:rsid w:val="0042563A"/>
    <w:rsid w:val="004259B8"/>
    <w:rsid w:val="0042634C"/>
    <w:rsid w:val="0042657D"/>
    <w:rsid w:val="00427043"/>
    <w:rsid w:val="004272DF"/>
    <w:rsid w:val="004273B8"/>
    <w:rsid w:val="00427775"/>
    <w:rsid w:val="00427D12"/>
    <w:rsid w:val="00427F27"/>
    <w:rsid w:val="004304A9"/>
    <w:rsid w:val="004307E0"/>
    <w:rsid w:val="00431532"/>
    <w:rsid w:val="004324DC"/>
    <w:rsid w:val="00432ED4"/>
    <w:rsid w:val="0043368B"/>
    <w:rsid w:val="00433CA2"/>
    <w:rsid w:val="0043431A"/>
    <w:rsid w:val="00434841"/>
    <w:rsid w:val="00434D25"/>
    <w:rsid w:val="004360B1"/>
    <w:rsid w:val="00436283"/>
    <w:rsid w:val="0043742D"/>
    <w:rsid w:val="004374CB"/>
    <w:rsid w:val="004433DF"/>
    <w:rsid w:val="00445A24"/>
    <w:rsid w:val="00446B85"/>
    <w:rsid w:val="00447AC0"/>
    <w:rsid w:val="0045053F"/>
    <w:rsid w:val="004513C5"/>
    <w:rsid w:val="00452459"/>
    <w:rsid w:val="00454E83"/>
    <w:rsid w:val="00455DCD"/>
    <w:rsid w:val="00456D15"/>
    <w:rsid w:val="00461C14"/>
    <w:rsid w:val="00462237"/>
    <w:rsid w:val="004668B4"/>
    <w:rsid w:val="0046711C"/>
    <w:rsid w:val="0047188A"/>
    <w:rsid w:val="00472C95"/>
    <w:rsid w:val="004737AC"/>
    <w:rsid w:val="0047576B"/>
    <w:rsid w:val="00481ADB"/>
    <w:rsid w:val="00481E58"/>
    <w:rsid w:val="00482247"/>
    <w:rsid w:val="00482593"/>
    <w:rsid w:val="00483595"/>
    <w:rsid w:val="00483631"/>
    <w:rsid w:val="0048546C"/>
    <w:rsid w:val="00486F1F"/>
    <w:rsid w:val="00487B2C"/>
    <w:rsid w:val="00492019"/>
    <w:rsid w:val="0049214B"/>
    <w:rsid w:val="00493697"/>
    <w:rsid w:val="004950D9"/>
    <w:rsid w:val="00495EDC"/>
    <w:rsid w:val="00496E0E"/>
    <w:rsid w:val="00496F1C"/>
    <w:rsid w:val="00497ABA"/>
    <w:rsid w:val="004A00B6"/>
    <w:rsid w:val="004A0D87"/>
    <w:rsid w:val="004A2E8B"/>
    <w:rsid w:val="004A42E8"/>
    <w:rsid w:val="004A48AD"/>
    <w:rsid w:val="004A610B"/>
    <w:rsid w:val="004A7A0C"/>
    <w:rsid w:val="004B1043"/>
    <w:rsid w:val="004B1347"/>
    <w:rsid w:val="004B1DDD"/>
    <w:rsid w:val="004B246B"/>
    <w:rsid w:val="004B2C98"/>
    <w:rsid w:val="004B3AF1"/>
    <w:rsid w:val="004B4171"/>
    <w:rsid w:val="004B47E0"/>
    <w:rsid w:val="004B5284"/>
    <w:rsid w:val="004B587F"/>
    <w:rsid w:val="004B6493"/>
    <w:rsid w:val="004B6DDE"/>
    <w:rsid w:val="004B6E48"/>
    <w:rsid w:val="004B70D0"/>
    <w:rsid w:val="004B7F15"/>
    <w:rsid w:val="004C044D"/>
    <w:rsid w:val="004C0AF3"/>
    <w:rsid w:val="004C0BB4"/>
    <w:rsid w:val="004C207F"/>
    <w:rsid w:val="004C20D8"/>
    <w:rsid w:val="004C2532"/>
    <w:rsid w:val="004C3286"/>
    <w:rsid w:val="004C3A56"/>
    <w:rsid w:val="004C4971"/>
    <w:rsid w:val="004C4EE8"/>
    <w:rsid w:val="004C50BB"/>
    <w:rsid w:val="004C77C6"/>
    <w:rsid w:val="004C7AA9"/>
    <w:rsid w:val="004D0187"/>
    <w:rsid w:val="004D29E5"/>
    <w:rsid w:val="004D3275"/>
    <w:rsid w:val="004D32D3"/>
    <w:rsid w:val="004D4254"/>
    <w:rsid w:val="004D5C87"/>
    <w:rsid w:val="004D6263"/>
    <w:rsid w:val="004D6DF4"/>
    <w:rsid w:val="004D76DC"/>
    <w:rsid w:val="004D7782"/>
    <w:rsid w:val="004D7A17"/>
    <w:rsid w:val="004E0287"/>
    <w:rsid w:val="004E0300"/>
    <w:rsid w:val="004E2252"/>
    <w:rsid w:val="004E2744"/>
    <w:rsid w:val="004E2E77"/>
    <w:rsid w:val="004E3657"/>
    <w:rsid w:val="004E3736"/>
    <w:rsid w:val="004E3738"/>
    <w:rsid w:val="004E5CAF"/>
    <w:rsid w:val="004E6566"/>
    <w:rsid w:val="004E67CA"/>
    <w:rsid w:val="004E70ED"/>
    <w:rsid w:val="004E7178"/>
    <w:rsid w:val="004E717D"/>
    <w:rsid w:val="004E7C7F"/>
    <w:rsid w:val="004F07C6"/>
    <w:rsid w:val="004F33DD"/>
    <w:rsid w:val="004F4DC2"/>
    <w:rsid w:val="004F7753"/>
    <w:rsid w:val="005007D0"/>
    <w:rsid w:val="0050142D"/>
    <w:rsid w:val="00501F95"/>
    <w:rsid w:val="00505449"/>
    <w:rsid w:val="0050567F"/>
    <w:rsid w:val="00510657"/>
    <w:rsid w:val="00511B7E"/>
    <w:rsid w:val="00512481"/>
    <w:rsid w:val="0051362E"/>
    <w:rsid w:val="00514FE7"/>
    <w:rsid w:val="00516D89"/>
    <w:rsid w:val="00516EF1"/>
    <w:rsid w:val="005206B3"/>
    <w:rsid w:val="00521384"/>
    <w:rsid w:val="005222C7"/>
    <w:rsid w:val="00523863"/>
    <w:rsid w:val="00523C7C"/>
    <w:rsid w:val="00524168"/>
    <w:rsid w:val="0052749F"/>
    <w:rsid w:val="00527648"/>
    <w:rsid w:val="00531A6A"/>
    <w:rsid w:val="005325AD"/>
    <w:rsid w:val="0053349D"/>
    <w:rsid w:val="005336D5"/>
    <w:rsid w:val="00533FE1"/>
    <w:rsid w:val="00534422"/>
    <w:rsid w:val="00535CC5"/>
    <w:rsid w:val="00536B3A"/>
    <w:rsid w:val="0053719D"/>
    <w:rsid w:val="00537259"/>
    <w:rsid w:val="00537FC8"/>
    <w:rsid w:val="005400A4"/>
    <w:rsid w:val="00540E1B"/>
    <w:rsid w:val="0054110C"/>
    <w:rsid w:val="00541197"/>
    <w:rsid w:val="00541C83"/>
    <w:rsid w:val="00545B4D"/>
    <w:rsid w:val="00547D21"/>
    <w:rsid w:val="0055029F"/>
    <w:rsid w:val="0055051C"/>
    <w:rsid w:val="0055081E"/>
    <w:rsid w:val="00551022"/>
    <w:rsid w:val="00551192"/>
    <w:rsid w:val="00551621"/>
    <w:rsid w:val="0055229E"/>
    <w:rsid w:val="0055277E"/>
    <w:rsid w:val="005531E6"/>
    <w:rsid w:val="00553710"/>
    <w:rsid w:val="005539BD"/>
    <w:rsid w:val="00553EF0"/>
    <w:rsid w:val="00553F8B"/>
    <w:rsid w:val="00554627"/>
    <w:rsid w:val="00554EE7"/>
    <w:rsid w:val="00560A5B"/>
    <w:rsid w:val="00560B6F"/>
    <w:rsid w:val="005615DC"/>
    <w:rsid w:val="00562158"/>
    <w:rsid w:val="0056254D"/>
    <w:rsid w:val="005626F9"/>
    <w:rsid w:val="005641D8"/>
    <w:rsid w:val="005643A6"/>
    <w:rsid w:val="0056507F"/>
    <w:rsid w:val="0056532F"/>
    <w:rsid w:val="00566305"/>
    <w:rsid w:val="00567A3F"/>
    <w:rsid w:val="00570214"/>
    <w:rsid w:val="00571681"/>
    <w:rsid w:val="005720B8"/>
    <w:rsid w:val="00572AF1"/>
    <w:rsid w:val="00573C2B"/>
    <w:rsid w:val="0057588D"/>
    <w:rsid w:val="00576803"/>
    <w:rsid w:val="0057684E"/>
    <w:rsid w:val="0057765E"/>
    <w:rsid w:val="0057771B"/>
    <w:rsid w:val="00577861"/>
    <w:rsid w:val="00580BFA"/>
    <w:rsid w:val="005811EF"/>
    <w:rsid w:val="00581457"/>
    <w:rsid w:val="00581697"/>
    <w:rsid w:val="00582F80"/>
    <w:rsid w:val="0058553B"/>
    <w:rsid w:val="005869E0"/>
    <w:rsid w:val="005871DC"/>
    <w:rsid w:val="00587AE7"/>
    <w:rsid w:val="00590023"/>
    <w:rsid w:val="0059156C"/>
    <w:rsid w:val="005925D0"/>
    <w:rsid w:val="005927CF"/>
    <w:rsid w:val="00592BF9"/>
    <w:rsid w:val="00592D42"/>
    <w:rsid w:val="00594182"/>
    <w:rsid w:val="00595FA3"/>
    <w:rsid w:val="005973FC"/>
    <w:rsid w:val="005979D4"/>
    <w:rsid w:val="00597BA5"/>
    <w:rsid w:val="005A0E8F"/>
    <w:rsid w:val="005A11E2"/>
    <w:rsid w:val="005A1270"/>
    <w:rsid w:val="005A2B0C"/>
    <w:rsid w:val="005A345C"/>
    <w:rsid w:val="005A3A87"/>
    <w:rsid w:val="005A63C8"/>
    <w:rsid w:val="005A69E9"/>
    <w:rsid w:val="005A778D"/>
    <w:rsid w:val="005A7ECA"/>
    <w:rsid w:val="005B0400"/>
    <w:rsid w:val="005B0F2B"/>
    <w:rsid w:val="005B1716"/>
    <w:rsid w:val="005B1C05"/>
    <w:rsid w:val="005B1EC3"/>
    <w:rsid w:val="005B2E7D"/>
    <w:rsid w:val="005B4588"/>
    <w:rsid w:val="005B4D4F"/>
    <w:rsid w:val="005B666D"/>
    <w:rsid w:val="005B6C8F"/>
    <w:rsid w:val="005B710D"/>
    <w:rsid w:val="005B77D0"/>
    <w:rsid w:val="005B780B"/>
    <w:rsid w:val="005B7A5E"/>
    <w:rsid w:val="005B7B0D"/>
    <w:rsid w:val="005B7B59"/>
    <w:rsid w:val="005C047E"/>
    <w:rsid w:val="005C0D4E"/>
    <w:rsid w:val="005C24C0"/>
    <w:rsid w:val="005C275B"/>
    <w:rsid w:val="005C28C8"/>
    <w:rsid w:val="005C3D42"/>
    <w:rsid w:val="005C51ED"/>
    <w:rsid w:val="005C55F4"/>
    <w:rsid w:val="005C562F"/>
    <w:rsid w:val="005C6904"/>
    <w:rsid w:val="005C7E1C"/>
    <w:rsid w:val="005D117E"/>
    <w:rsid w:val="005D1914"/>
    <w:rsid w:val="005D1CC0"/>
    <w:rsid w:val="005D39DB"/>
    <w:rsid w:val="005D4255"/>
    <w:rsid w:val="005D5026"/>
    <w:rsid w:val="005D5F11"/>
    <w:rsid w:val="005D70C6"/>
    <w:rsid w:val="005D738A"/>
    <w:rsid w:val="005D76E6"/>
    <w:rsid w:val="005E2823"/>
    <w:rsid w:val="005E319E"/>
    <w:rsid w:val="005E34F3"/>
    <w:rsid w:val="005E40BB"/>
    <w:rsid w:val="005F08B4"/>
    <w:rsid w:val="005F0CD0"/>
    <w:rsid w:val="005F1587"/>
    <w:rsid w:val="005F17AC"/>
    <w:rsid w:val="005F38CA"/>
    <w:rsid w:val="005F4018"/>
    <w:rsid w:val="005F5271"/>
    <w:rsid w:val="005F78B3"/>
    <w:rsid w:val="0060074B"/>
    <w:rsid w:val="00600773"/>
    <w:rsid w:val="006007F6"/>
    <w:rsid w:val="00603872"/>
    <w:rsid w:val="00603EA4"/>
    <w:rsid w:val="00604167"/>
    <w:rsid w:val="006058D5"/>
    <w:rsid w:val="00606DA6"/>
    <w:rsid w:val="0061177F"/>
    <w:rsid w:val="0061240F"/>
    <w:rsid w:val="00613991"/>
    <w:rsid w:val="0061659C"/>
    <w:rsid w:val="006213FF"/>
    <w:rsid w:val="00621DDE"/>
    <w:rsid w:val="00622B44"/>
    <w:rsid w:val="00622C2D"/>
    <w:rsid w:val="00622E81"/>
    <w:rsid w:val="006235F7"/>
    <w:rsid w:val="00625144"/>
    <w:rsid w:val="00631165"/>
    <w:rsid w:val="00631FAF"/>
    <w:rsid w:val="006320D3"/>
    <w:rsid w:val="0063236F"/>
    <w:rsid w:val="006323B2"/>
    <w:rsid w:val="00634699"/>
    <w:rsid w:val="0063588D"/>
    <w:rsid w:val="00635FD5"/>
    <w:rsid w:val="00637157"/>
    <w:rsid w:val="00637F76"/>
    <w:rsid w:val="00640372"/>
    <w:rsid w:val="00642340"/>
    <w:rsid w:val="006429A8"/>
    <w:rsid w:val="00642EC6"/>
    <w:rsid w:val="00643FB5"/>
    <w:rsid w:val="00644DC0"/>
    <w:rsid w:val="00645620"/>
    <w:rsid w:val="006462DC"/>
    <w:rsid w:val="00646CFD"/>
    <w:rsid w:val="00647191"/>
    <w:rsid w:val="00647245"/>
    <w:rsid w:val="0064727F"/>
    <w:rsid w:val="006478CC"/>
    <w:rsid w:val="00647EFA"/>
    <w:rsid w:val="00650284"/>
    <w:rsid w:val="00650DA0"/>
    <w:rsid w:val="006516FC"/>
    <w:rsid w:val="006522E9"/>
    <w:rsid w:val="0065340B"/>
    <w:rsid w:val="00653649"/>
    <w:rsid w:val="00655474"/>
    <w:rsid w:val="006567D6"/>
    <w:rsid w:val="00657721"/>
    <w:rsid w:val="00657CF9"/>
    <w:rsid w:val="0066015E"/>
    <w:rsid w:val="00661953"/>
    <w:rsid w:val="00662469"/>
    <w:rsid w:val="00664041"/>
    <w:rsid w:val="00664E53"/>
    <w:rsid w:val="00666393"/>
    <w:rsid w:val="006670FA"/>
    <w:rsid w:val="00667B8E"/>
    <w:rsid w:val="0067073B"/>
    <w:rsid w:val="00670F95"/>
    <w:rsid w:val="00671AB3"/>
    <w:rsid w:val="00672958"/>
    <w:rsid w:val="0067310A"/>
    <w:rsid w:val="00673172"/>
    <w:rsid w:val="00673F3B"/>
    <w:rsid w:val="00674E3B"/>
    <w:rsid w:val="00675018"/>
    <w:rsid w:val="00676680"/>
    <w:rsid w:val="006771CD"/>
    <w:rsid w:val="006772DE"/>
    <w:rsid w:val="006776B4"/>
    <w:rsid w:val="00680433"/>
    <w:rsid w:val="006817A5"/>
    <w:rsid w:val="00681E1F"/>
    <w:rsid w:val="0068233A"/>
    <w:rsid w:val="00682F9E"/>
    <w:rsid w:val="00683530"/>
    <w:rsid w:val="0068417D"/>
    <w:rsid w:val="0068571A"/>
    <w:rsid w:val="00686AAB"/>
    <w:rsid w:val="006911F1"/>
    <w:rsid w:val="006916C5"/>
    <w:rsid w:val="00693009"/>
    <w:rsid w:val="00693F5A"/>
    <w:rsid w:val="00693F95"/>
    <w:rsid w:val="00693FDE"/>
    <w:rsid w:val="00694970"/>
    <w:rsid w:val="006969B7"/>
    <w:rsid w:val="00696B12"/>
    <w:rsid w:val="00696BA5"/>
    <w:rsid w:val="00696FC9"/>
    <w:rsid w:val="006A0D12"/>
    <w:rsid w:val="006A227C"/>
    <w:rsid w:val="006A2BE9"/>
    <w:rsid w:val="006A3C84"/>
    <w:rsid w:val="006A3DD6"/>
    <w:rsid w:val="006A46E5"/>
    <w:rsid w:val="006A6042"/>
    <w:rsid w:val="006B0C38"/>
    <w:rsid w:val="006B0DA4"/>
    <w:rsid w:val="006B50A3"/>
    <w:rsid w:val="006B50DA"/>
    <w:rsid w:val="006B66B2"/>
    <w:rsid w:val="006B78B6"/>
    <w:rsid w:val="006B7B14"/>
    <w:rsid w:val="006C0D1E"/>
    <w:rsid w:val="006C134D"/>
    <w:rsid w:val="006C16BE"/>
    <w:rsid w:val="006C4FC0"/>
    <w:rsid w:val="006C5622"/>
    <w:rsid w:val="006C5991"/>
    <w:rsid w:val="006C632F"/>
    <w:rsid w:val="006C63BC"/>
    <w:rsid w:val="006C704B"/>
    <w:rsid w:val="006D064A"/>
    <w:rsid w:val="006D075E"/>
    <w:rsid w:val="006D080E"/>
    <w:rsid w:val="006D218E"/>
    <w:rsid w:val="006D25B4"/>
    <w:rsid w:val="006D2E19"/>
    <w:rsid w:val="006D547D"/>
    <w:rsid w:val="006E0B4F"/>
    <w:rsid w:val="006E17B9"/>
    <w:rsid w:val="006E18DF"/>
    <w:rsid w:val="006E1C9A"/>
    <w:rsid w:val="006E2D59"/>
    <w:rsid w:val="006E2F23"/>
    <w:rsid w:val="006E37A2"/>
    <w:rsid w:val="006E420E"/>
    <w:rsid w:val="006E4E9B"/>
    <w:rsid w:val="006E629F"/>
    <w:rsid w:val="006E6A7A"/>
    <w:rsid w:val="006F07D3"/>
    <w:rsid w:val="006F1FC6"/>
    <w:rsid w:val="006F2A0A"/>
    <w:rsid w:val="006F34A3"/>
    <w:rsid w:val="006F36EC"/>
    <w:rsid w:val="006F4C2F"/>
    <w:rsid w:val="006F6454"/>
    <w:rsid w:val="006F6D69"/>
    <w:rsid w:val="006F7F5B"/>
    <w:rsid w:val="00700397"/>
    <w:rsid w:val="00700E8D"/>
    <w:rsid w:val="007019D4"/>
    <w:rsid w:val="00701CF3"/>
    <w:rsid w:val="00703863"/>
    <w:rsid w:val="007040CE"/>
    <w:rsid w:val="00705AEA"/>
    <w:rsid w:val="00707205"/>
    <w:rsid w:val="00707270"/>
    <w:rsid w:val="007078E4"/>
    <w:rsid w:val="00710DC4"/>
    <w:rsid w:val="0071142E"/>
    <w:rsid w:val="0071378D"/>
    <w:rsid w:val="00713B51"/>
    <w:rsid w:val="00714839"/>
    <w:rsid w:val="00714F58"/>
    <w:rsid w:val="00716D3A"/>
    <w:rsid w:val="007173ED"/>
    <w:rsid w:val="007205D9"/>
    <w:rsid w:val="00721C9E"/>
    <w:rsid w:val="007221CD"/>
    <w:rsid w:val="00722987"/>
    <w:rsid w:val="00722BA8"/>
    <w:rsid w:val="007245AE"/>
    <w:rsid w:val="00725CA7"/>
    <w:rsid w:val="00725D7A"/>
    <w:rsid w:val="007266D8"/>
    <w:rsid w:val="00730B1E"/>
    <w:rsid w:val="00730CF7"/>
    <w:rsid w:val="00731D27"/>
    <w:rsid w:val="00732658"/>
    <w:rsid w:val="0073310D"/>
    <w:rsid w:val="0073457D"/>
    <w:rsid w:val="00734ACE"/>
    <w:rsid w:val="00734F87"/>
    <w:rsid w:val="00736C1C"/>
    <w:rsid w:val="00736C1E"/>
    <w:rsid w:val="00736CC4"/>
    <w:rsid w:val="00736DF1"/>
    <w:rsid w:val="0073780B"/>
    <w:rsid w:val="00737F45"/>
    <w:rsid w:val="00740DF4"/>
    <w:rsid w:val="00741704"/>
    <w:rsid w:val="00741EC8"/>
    <w:rsid w:val="007429FB"/>
    <w:rsid w:val="00744470"/>
    <w:rsid w:val="007456FB"/>
    <w:rsid w:val="00745AA5"/>
    <w:rsid w:val="007502FC"/>
    <w:rsid w:val="00751137"/>
    <w:rsid w:val="00753E1D"/>
    <w:rsid w:val="007549D6"/>
    <w:rsid w:val="007559F4"/>
    <w:rsid w:val="00755D84"/>
    <w:rsid w:val="00757239"/>
    <w:rsid w:val="0075745F"/>
    <w:rsid w:val="007577F8"/>
    <w:rsid w:val="007578AE"/>
    <w:rsid w:val="00757FBB"/>
    <w:rsid w:val="007607F2"/>
    <w:rsid w:val="00761ABE"/>
    <w:rsid w:val="00761AD5"/>
    <w:rsid w:val="00761D6A"/>
    <w:rsid w:val="00761DEB"/>
    <w:rsid w:val="00762D57"/>
    <w:rsid w:val="007630AE"/>
    <w:rsid w:val="00765AAE"/>
    <w:rsid w:val="0077051D"/>
    <w:rsid w:val="00773507"/>
    <w:rsid w:val="007736E6"/>
    <w:rsid w:val="00774004"/>
    <w:rsid w:val="0077593B"/>
    <w:rsid w:val="00776DC9"/>
    <w:rsid w:val="00777788"/>
    <w:rsid w:val="007778F0"/>
    <w:rsid w:val="007818AA"/>
    <w:rsid w:val="00781967"/>
    <w:rsid w:val="00781DC8"/>
    <w:rsid w:val="00781EE5"/>
    <w:rsid w:val="00782353"/>
    <w:rsid w:val="00782977"/>
    <w:rsid w:val="00783491"/>
    <w:rsid w:val="0078484F"/>
    <w:rsid w:val="00784A58"/>
    <w:rsid w:val="00785124"/>
    <w:rsid w:val="00786956"/>
    <w:rsid w:val="00791757"/>
    <w:rsid w:val="00791BFB"/>
    <w:rsid w:val="00792C0B"/>
    <w:rsid w:val="00792E5C"/>
    <w:rsid w:val="00793778"/>
    <w:rsid w:val="00795B03"/>
    <w:rsid w:val="00795B75"/>
    <w:rsid w:val="00797A3C"/>
    <w:rsid w:val="007A0280"/>
    <w:rsid w:val="007A0D41"/>
    <w:rsid w:val="007A24D6"/>
    <w:rsid w:val="007A25EE"/>
    <w:rsid w:val="007A2BB9"/>
    <w:rsid w:val="007A2EE4"/>
    <w:rsid w:val="007A3C27"/>
    <w:rsid w:val="007A41B3"/>
    <w:rsid w:val="007A62AA"/>
    <w:rsid w:val="007B0770"/>
    <w:rsid w:val="007B0F5F"/>
    <w:rsid w:val="007B1363"/>
    <w:rsid w:val="007B170E"/>
    <w:rsid w:val="007B27F3"/>
    <w:rsid w:val="007B2D03"/>
    <w:rsid w:val="007B39FF"/>
    <w:rsid w:val="007B4852"/>
    <w:rsid w:val="007B4F90"/>
    <w:rsid w:val="007B558F"/>
    <w:rsid w:val="007B5C27"/>
    <w:rsid w:val="007B7AB9"/>
    <w:rsid w:val="007C08E9"/>
    <w:rsid w:val="007C1742"/>
    <w:rsid w:val="007C2844"/>
    <w:rsid w:val="007C2ED3"/>
    <w:rsid w:val="007C3AD5"/>
    <w:rsid w:val="007C4203"/>
    <w:rsid w:val="007C574B"/>
    <w:rsid w:val="007C5A78"/>
    <w:rsid w:val="007C7E81"/>
    <w:rsid w:val="007C7FAD"/>
    <w:rsid w:val="007D13FA"/>
    <w:rsid w:val="007D2C53"/>
    <w:rsid w:val="007D4960"/>
    <w:rsid w:val="007D4F43"/>
    <w:rsid w:val="007D55C9"/>
    <w:rsid w:val="007D5FC1"/>
    <w:rsid w:val="007D62FF"/>
    <w:rsid w:val="007D6916"/>
    <w:rsid w:val="007D6D8C"/>
    <w:rsid w:val="007D72B0"/>
    <w:rsid w:val="007D789B"/>
    <w:rsid w:val="007E0248"/>
    <w:rsid w:val="007E0631"/>
    <w:rsid w:val="007E0F19"/>
    <w:rsid w:val="007E2B47"/>
    <w:rsid w:val="007E3D27"/>
    <w:rsid w:val="007E45CF"/>
    <w:rsid w:val="007E5059"/>
    <w:rsid w:val="007E5C86"/>
    <w:rsid w:val="007E6E86"/>
    <w:rsid w:val="007E7221"/>
    <w:rsid w:val="007F0626"/>
    <w:rsid w:val="007F1CDF"/>
    <w:rsid w:val="007F22DE"/>
    <w:rsid w:val="007F27D0"/>
    <w:rsid w:val="007F2A79"/>
    <w:rsid w:val="007F42C6"/>
    <w:rsid w:val="007F4A83"/>
    <w:rsid w:val="007F7D6C"/>
    <w:rsid w:val="0080190E"/>
    <w:rsid w:val="00805DD1"/>
    <w:rsid w:val="00807287"/>
    <w:rsid w:val="0080754F"/>
    <w:rsid w:val="00811D0A"/>
    <w:rsid w:val="00812339"/>
    <w:rsid w:val="00812E00"/>
    <w:rsid w:val="00814598"/>
    <w:rsid w:val="0081535D"/>
    <w:rsid w:val="00815810"/>
    <w:rsid w:val="00815E72"/>
    <w:rsid w:val="00817994"/>
    <w:rsid w:val="008207C4"/>
    <w:rsid w:val="00820A73"/>
    <w:rsid w:val="00821218"/>
    <w:rsid w:val="00821EEE"/>
    <w:rsid w:val="00823BAC"/>
    <w:rsid w:val="00824399"/>
    <w:rsid w:val="00825C46"/>
    <w:rsid w:val="008267A0"/>
    <w:rsid w:val="00827510"/>
    <w:rsid w:val="00827B56"/>
    <w:rsid w:val="00827BD2"/>
    <w:rsid w:val="00827FF9"/>
    <w:rsid w:val="008311E2"/>
    <w:rsid w:val="0083159A"/>
    <w:rsid w:val="008339DC"/>
    <w:rsid w:val="008350AE"/>
    <w:rsid w:val="008351F9"/>
    <w:rsid w:val="008378A7"/>
    <w:rsid w:val="00840729"/>
    <w:rsid w:val="008411A5"/>
    <w:rsid w:val="00843206"/>
    <w:rsid w:val="00843C84"/>
    <w:rsid w:val="00844459"/>
    <w:rsid w:val="00844762"/>
    <w:rsid w:val="00844B61"/>
    <w:rsid w:val="00845F6B"/>
    <w:rsid w:val="00846563"/>
    <w:rsid w:val="00846EE6"/>
    <w:rsid w:val="008470D8"/>
    <w:rsid w:val="008504E8"/>
    <w:rsid w:val="00850FE1"/>
    <w:rsid w:val="00852144"/>
    <w:rsid w:val="00853A72"/>
    <w:rsid w:val="00854762"/>
    <w:rsid w:val="00857D50"/>
    <w:rsid w:val="008602A7"/>
    <w:rsid w:val="00860F81"/>
    <w:rsid w:val="0086179A"/>
    <w:rsid w:val="00861990"/>
    <w:rsid w:val="00861F91"/>
    <w:rsid w:val="008635FC"/>
    <w:rsid w:val="00865E97"/>
    <w:rsid w:val="008678D5"/>
    <w:rsid w:val="00867AA1"/>
    <w:rsid w:val="00872144"/>
    <w:rsid w:val="00872650"/>
    <w:rsid w:val="00872A6D"/>
    <w:rsid w:val="00873529"/>
    <w:rsid w:val="00873EB4"/>
    <w:rsid w:val="00874260"/>
    <w:rsid w:val="008748F1"/>
    <w:rsid w:val="008756DC"/>
    <w:rsid w:val="00875F10"/>
    <w:rsid w:val="00877D8B"/>
    <w:rsid w:val="0088198A"/>
    <w:rsid w:val="00882147"/>
    <w:rsid w:val="008825E2"/>
    <w:rsid w:val="008835E2"/>
    <w:rsid w:val="00883645"/>
    <w:rsid w:val="008841F4"/>
    <w:rsid w:val="0088608D"/>
    <w:rsid w:val="00887486"/>
    <w:rsid w:val="00887698"/>
    <w:rsid w:val="008879AC"/>
    <w:rsid w:val="008912DE"/>
    <w:rsid w:val="008915C8"/>
    <w:rsid w:val="008918F2"/>
    <w:rsid w:val="00891F21"/>
    <w:rsid w:val="008939C7"/>
    <w:rsid w:val="008947DC"/>
    <w:rsid w:val="008949D4"/>
    <w:rsid w:val="00895276"/>
    <w:rsid w:val="00895387"/>
    <w:rsid w:val="00895722"/>
    <w:rsid w:val="00896DE3"/>
    <w:rsid w:val="008A3F3E"/>
    <w:rsid w:val="008A4381"/>
    <w:rsid w:val="008A4C88"/>
    <w:rsid w:val="008A5B1A"/>
    <w:rsid w:val="008A6177"/>
    <w:rsid w:val="008B00B1"/>
    <w:rsid w:val="008B0B75"/>
    <w:rsid w:val="008B280C"/>
    <w:rsid w:val="008B3136"/>
    <w:rsid w:val="008B3535"/>
    <w:rsid w:val="008B4DA0"/>
    <w:rsid w:val="008B61D5"/>
    <w:rsid w:val="008B61DC"/>
    <w:rsid w:val="008B6241"/>
    <w:rsid w:val="008C07AA"/>
    <w:rsid w:val="008C0C37"/>
    <w:rsid w:val="008C116B"/>
    <w:rsid w:val="008C2C70"/>
    <w:rsid w:val="008C3078"/>
    <w:rsid w:val="008C3423"/>
    <w:rsid w:val="008C41CD"/>
    <w:rsid w:val="008C48B2"/>
    <w:rsid w:val="008C5EC1"/>
    <w:rsid w:val="008C6557"/>
    <w:rsid w:val="008C7368"/>
    <w:rsid w:val="008C74C7"/>
    <w:rsid w:val="008C7B79"/>
    <w:rsid w:val="008D0A0E"/>
    <w:rsid w:val="008D269E"/>
    <w:rsid w:val="008D2B01"/>
    <w:rsid w:val="008D2D3C"/>
    <w:rsid w:val="008D34AA"/>
    <w:rsid w:val="008D4AAF"/>
    <w:rsid w:val="008D4B05"/>
    <w:rsid w:val="008D691E"/>
    <w:rsid w:val="008D6B91"/>
    <w:rsid w:val="008E19E2"/>
    <w:rsid w:val="008E1A4F"/>
    <w:rsid w:val="008E1EC1"/>
    <w:rsid w:val="008E270E"/>
    <w:rsid w:val="008E27B9"/>
    <w:rsid w:val="008E293F"/>
    <w:rsid w:val="008E3B83"/>
    <w:rsid w:val="008E3E1B"/>
    <w:rsid w:val="008E49AB"/>
    <w:rsid w:val="008E522C"/>
    <w:rsid w:val="008E735C"/>
    <w:rsid w:val="008E7A72"/>
    <w:rsid w:val="008F0C52"/>
    <w:rsid w:val="008F0C57"/>
    <w:rsid w:val="008F2521"/>
    <w:rsid w:val="008F289E"/>
    <w:rsid w:val="008F2A04"/>
    <w:rsid w:val="008F2D1A"/>
    <w:rsid w:val="008F3295"/>
    <w:rsid w:val="008F58A9"/>
    <w:rsid w:val="00901054"/>
    <w:rsid w:val="00903176"/>
    <w:rsid w:val="00903AAB"/>
    <w:rsid w:val="00903C55"/>
    <w:rsid w:val="009045B7"/>
    <w:rsid w:val="0090498F"/>
    <w:rsid w:val="00905200"/>
    <w:rsid w:val="00905795"/>
    <w:rsid w:val="00906542"/>
    <w:rsid w:val="00910E3B"/>
    <w:rsid w:val="009128CB"/>
    <w:rsid w:val="00915310"/>
    <w:rsid w:val="00915BEF"/>
    <w:rsid w:val="00916006"/>
    <w:rsid w:val="00917F91"/>
    <w:rsid w:val="0092001A"/>
    <w:rsid w:val="009205DA"/>
    <w:rsid w:val="0092137A"/>
    <w:rsid w:val="009217B2"/>
    <w:rsid w:val="00922277"/>
    <w:rsid w:val="0092279A"/>
    <w:rsid w:val="00922B25"/>
    <w:rsid w:val="00923822"/>
    <w:rsid w:val="00924023"/>
    <w:rsid w:val="00924E08"/>
    <w:rsid w:val="00925FFB"/>
    <w:rsid w:val="00926450"/>
    <w:rsid w:val="00926B85"/>
    <w:rsid w:val="00926F25"/>
    <w:rsid w:val="0093119D"/>
    <w:rsid w:val="00931351"/>
    <w:rsid w:val="00931353"/>
    <w:rsid w:val="00931994"/>
    <w:rsid w:val="009322A7"/>
    <w:rsid w:val="00932357"/>
    <w:rsid w:val="0093254D"/>
    <w:rsid w:val="00932592"/>
    <w:rsid w:val="00935CAC"/>
    <w:rsid w:val="00937521"/>
    <w:rsid w:val="00940137"/>
    <w:rsid w:val="0094041E"/>
    <w:rsid w:val="00940763"/>
    <w:rsid w:val="00940D80"/>
    <w:rsid w:val="009410F0"/>
    <w:rsid w:val="00941674"/>
    <w:rsid w:val="009440AB"/>
    <w:rsid w:val="009443E6"/>
    <w:rsid w:val="009448E8"/>
    <w:rsid w:val="009459F7"/>
    <w:rsid w:val="00945A98"/>
    <w:rsid w:val="009471F5"/>
    <w:rsid w:val="0095047E"/>
    <w:rsid w:val="009509ED"/>
    <w:rsid w:val="009516C0"/>
    <w:rsid w:val="009525D0"/>
    <w:rsid w:val="00952B1C"/>
    <w:rsid w:val="009539B5"/>
    <w:rsid w:val="00953AD3"/>
    <w:rsid w:val="00953B8D"/>
    <w:rsid w:val="00953BA8"/>
    <w:rsid w:val="0095613C"/>
    <w:rsid w:val="009562F2"/>
    <w:rsid w:val="00956751"/>
    <w:rsid w:val="00957332"/>
    <w:rsid w:val="00960BBF"/>
    <w:rsid w:val="009611BF"/>
    <w:rsid w:val="0096144A"/>
    <w:rsid w:val="0096288E"/>
    <w:rsid w:val="009631AF"/>
    <w:rsid w:val="00963870"/>
    <w:rsid w:val="00963AE6"/>
    <w:rsid w:val="009648BF"/>
    <w:rsid w:val="00964E77"/>
    <w:rsid w:val="009651EE"/>
    <w:rsid w:val="009666EE"/>
    <w:rsid w:val="00967940"/>
    <w:rsid w:val="00967D56"/>
    <w:rsid w:val="00970A38"/>
    <w:rsid w:val="009741D8"/>
    <w:rsid w:val="0097430A"/>
    <w:rsid w:val="0097435E"/>
    <w:rsid w:val="009743C6"/>
    <w:rsid w:val="0097715B"/>
    <w:rsid w:val="009800EF"/>
    <w:rsid w:val="00980849"/>
    <w:rsid w:val="00980A11"/>
    <w:rsid w:val="00980D55"/>
    <w:rsid w:val="00981509"/>
    <w:rsid w:val="00981C9B"/>
    <w:rsid w:val="009824CB"/>
    <w:rsid w:val="009839E8"/>
    <w:rsid w:val="0098485A"/>
    <w:rsid w:val="00985C9E"/>
    <w:rsid w:val="00986460"/>
    <w:rsid w:val="00986D81"/>
    <w:rsid w:val="00987E1D"/>
    <w:rsid w:val="00990B06"/>
    <w:rsid w:val="009927F6"/>
    <w:rsid w:val="009928EA"/>
    <w:rsid w:val="00994A11"/>
    <w:rsid w:val="00995305"/>
    <w:rsid w:val="009958D5"/>
    <w:rsid w:val="00997336"/>
    <w:rsid w:val="009976B9"/>
    <w:rsid w:val="009A0FA8"/>
    <w:rsid w:val="009A1284"/>
    <w:rsid w:val="009A1989"/>
    <w:rsid w:val="009A1B2B"/>
    <w:rsid w:val="009A1EB8"/>
    <w:rsid w:val="009A4494"/>
    <w:rsid w:val="009A4C3F"/>
    <w:rsid w:val="009A5244"/>
    <w:rsid w:val="009A6F03"/>
    <w:rsid w:val="009B0B38"/>
    <w:rsid w:val="009B135B"/>
    <w:rsid w:val="009B22CA"/>
    <w:rsid w:val="009B2334"/>
    <w:rsid w:val="009B2571"/>
    <w:rsid w:val="009B2924"/>
    <w:rsid w:val="009B3A03"/>
    <w:rsid w:val="009B3B05"/>
    <w:rsid w:val="009B424A"/>
    <w:rsid w:val="009B48CE"/>
    <w:rsid w:val="009B5033"/>
    <w:rsid w:val="009B520E"/>
    <w:rsid w:val="009B5D23"/>
    <w:rsid w:val="009B64B6"/>
    <w:rsid w:val="009B79DB"/>
    <w:rsid w:val="009C097F"/>
    <w:rsid w:val="009C22AB"/>
    <w:rsid w:val="009C29BD"/>
    <w:rsid w:val="009C35C0"/>
    <w:rsid w:val="009C4650"/>
    <w:rsid w:val="009C64CC"/>
    <w:rsid w:val="009C6B31"/>
    <w:rsid w:val="009C6C4C"/>
    <w:rsid w:val="009C6FED"/>
    <w:rsid w:val="009C73C0"/>
    <w:rsid w:val="009D2188"/>
    <w:rsid w:val="009D22AD"/>
    <w:rsid w:val="009D2522"/>
    <w:rsid w:val="009D5743"/>
    <w:rsid w:val="009D5E10"/>
    <w:rsid w:val="009E0658"/>
    <w:rsid w:val="009E12D4"/>
    <w:rsid w:val="009E425D"/>
    <w:rsid w:val="009E4400"/>
    <w:rsid w:val="009E4D52"/>
    <w:rsid w:val="009E4F07"/>
    <w:rsid w:val="009E5BDE"/>
    <w:rsid w:val="009E72BB"/>
    <w:rsid w:val="009E751D"/>
    <w:rsid w:val="009E761B"/>
    <w:rsid w:val="009F0E5A"/>
    <w:rsid w:val="009F17B6"/>
    <w:rsid w:val="009F2EE9"/>
    <w:rsid w:val="009F4FF5"/>
    <w:rsid w:val="009F5870"/>
    <w:rsid w:val="009F63BD"/>
    <w:rsid w:val="009F6FE9"/>
    <w:rsid w:val="009F7D65"/>
    <w:rsid w:val="00A007CC"/>
    <w:rsid w:val="00A00DE7"/>
    <w:rsid w:val="00A027CB"/>
    <w:rsid w:val="00A03372"/>
    <w:rsid w:val="00A03990"/>
    <w:rsid w:val="00A0512B"/>
    <w:rsid w:val="00A05151"/>
    <w:rsid w:val="00A05985"/>
    <w:rsid w:val="00A05FB6"/>
    <w:rsid w:val="00A063DE"/>
    <w:rsid w:val="00A065DC"/>
    <w:rsid w:val="00A068DD"/>
    <w:rsid w:val="00A06CD8"/>
    <w:rsid w:val="00A0786E"/>
    <w:rsid w:val="00A07AD6"/>
    <w:rsid w:val="00A12629"/>
    <w:rsid w:val="00A16689"/>
    <w:rsid w:val="00A168C1"/>
    <w:rsid w:val="00A1720B"/>
    <w:rsid w:val="00A174C5"/>
    <w:rsid w:val="00A22580"/>
    <w:rsid w:val="00A22C9B"/>
    <w:rsid w:val="00A230D7"/>
    <w:rsid w:val="00A24229"/>
    <w:rsid w:val="00A244B9"/>
    <w:rsid w:val="00A25E75"/>
    <w:rsid w:val="00A26A56"/>
    <w:rsid w:val="00A307ED"/>
    <w:rsid w:val="00A30E40"/>
    <w:rsid w:val="00A31463"/>
    <w:rsid w:val="00A320AF"/>
    <w:rsid w:val="00A33881"/>
    <w:rsid w:val="00A346BE"/>
    <w:rsid w:val="00A360A4"/>
    <w:rsid w:val="00A3651E"/>
    <w:rsid w:val="00A3684E"/>
    <w:rsid w:val="00A36948"/>
    <w:rsid w:val="00A369C8"/>
    <w:rsid w:val="00A36EC9"/>
    <w:rsid w:val="00A4116B"/>
    <w:rsid w:val="00A42C57"/>
    <w:rsid w:val="00A43AF1"/>
    <w:rsid w:val="00A43F4B"/>
    <w:rsid w:val="00A44300"/>
    <w:rsid w:val="00A4487C"/>
    <w:rsid w:val="00A45468"/>
    <w:rsid w:val="00A46C48"/>
    <w:rsid w:val="00A46E06"/>
    <w:rsid w:val="00A50E0C"/>
    <w:rsid w:val="00A52848"/>
    <w:rsid w:val="00A52A2D"/>
    <w:rsid w:val="00A53437"/>
    <w:rsid w:val="00A53EDB"/>
    <w:rsid w:val="00A54683"/>
    <w:rsid w:val="00A54C94"/>
    <w:rsid w:val="00A555B0"/>
    <w:rsid w:val="00A57799"/>
    <w:rsid w:val="00A57A0A"/>
    <w:rsid w:val="00A6080D"/>
    <w:rsid w:val="00A608B1"/>
    <w:rsid w:val="00A60C28"/>
    <w:rsid w:val="00A612DA"/>
    <w:rsid w:val="00A6267F"/>
    <w:rsid w:val="00A62FBD"/>
    <w:rsid w:val="00A6318D"/>
    <w:rsid w:val="00A63C01"/>
    <w:rsid w:val="00A65154"/>
    <w:rsid w:val="00A65769"/>
    <w:rsid w:val="00A66729"/>
    <w:rsid w:val="00A66F07"/>
    <w:rsid w:val="00A70482"/>
    <w:rsid w:val="00A70520"/>
    <w:rsid w:val="00A70A50"/>
    <w:rsid w:val="00A70CAF"/>
    <w:rsid w:val="00A70EE0"/>
    <w:rsid w:val="00A72501"/>
    <w:rsid w:val="00A729DF"/>
    <w:rsid w:val="00A7351E"/>
    <w:rsid w:val="00A73986"/>
    <w:rsid w:val="00A73BB9"/>
    <w:rsid w:val="00A73F71"/>
    <w:rsid w:val="00A757DE"/>
    <w:rsid w:val="00A767EB"/>
    <w:rsid w:val="00A8033A"/>
    <w:rsid w:val="00A81476"/>
    <w:rsid w:val="00A825D1"/>
    <w:rsid w:val="00A82959"/>
    <w:rsid w:val="00A84C06"/>
    <w:rsid w:val="00A8668B"/>
    <w:rsid w:val="00A86920"/>
    <w:rsid w:val="00A87E23"/>
    <w:rsid w:val="00A90249"/>
    <w:rsid w:val="00A90287"/>
    <w:rsid w:val="00A9033E"/>
    <w:rsid w:val="00A913EC"/>
    <w:rsid w:val="00A91710"/>
    <w:rsid w:val="00A92BD9"/>
    <w:rsid w:val="00A92D5B"/>
    <w:rsid w:val="00A92E4C"/>
    <w:rsid w:val="00A95EF4"/>
    <w:rsid w:val="00A9633F"/>
    <w:rsid w:val="00A96664"/>
    <w:rsid w:val="00A96890"/>
    <w:rsid w:val="00A97809"/>
    <w:rsid w:val="00A979ED"/>
    <w:rsid w:val="00AA0A42"/>
    <w:rsid w:val="00AA0C42"/>
    <w:rsid w:val="00AA13B8"/>
    <w:rsid w:val="00AA205B"/>
    <w:rsid w:val="00AA268D"/>
    <w:rsid w:val="00AA294D"/>
    <w:rsid w:val="00AA2E3E"/>
    <w:rsid w:val="00AA3A8D"/>
    <w:rsid w:val="00AA4B6D"/>
    <w:rsid w:val="00AA4E60"/>
    <w:rsid w:val="00AA4F7E"/>
    <w:rsid w:val="00AA5131"/>
    <w:rsid w:val="00AA6186"/>
    <w:rsid w:val="00AA7DA6"/>
    <w:rsid w:val="00AB037E"/>
    <w:rsid w:val="00AB0618"/>
    <w:rsid w:val="00AB0DF9"/>
    <w:rsid w:val="00AB0E83"/>
    <w:rsid w:val="00AB1185"/>
    <w:rsid w:val="00AB1CE0"/>
    <w:rsid w:val="00AB2201"/>
    <w:rsid w:val="00AB2BFB"/>
    <w:rsid w:val="00AB391F"/>
    <w:rsid w:val="00AB3C3E"/>
    <w:rsid w:val="00AB433D"/>
    <w:rsid w:val="00AB4F35"/>
    <w:rsid w:val="00AB53A7"/>
    <w:rsid w:val="00AB5F46"/>
    <w:rsid w:val="00AB61F6"/>
    <w:rsid w:val="00AC02CD"/>
    <w:rsid w:val="00AC13A7"/>
    <w:rsid w:val="00AC1866"/>
    <w:rsid w:val="00AC2EEF"/>
    <w:rsid w:val="00AC3163"/>
    <w:rsid w:val="00AC4565"/>
    <w:rsid w:val="00AC5F79"/>
    <w:rsid w:val="00AC7DBD"/>
    <w:rsid w:val="00AD0BD8"/>
    <w:rsid w:val="00AD14F1"/>
    <w:rsid w:val="00AD1F78"/>
    <w:rsid w:val="00AD22C2"/>
    <w:rsid w:val="00AD266E"/>
    <w:rsid w:val="00AD3981"/>
    <w:rsid w:val="00AD5D7D"/>
    <w:rsid w:val="00AD6385"/>
    <w:rsid w:val="00AD688C"/>
    <w:rsid w:val="00AD6C02"/>
    <w:rsid w:val="00AD7036"/>
    <w:rsid w:val="00AE011F"/>
    <w:rsid w:val="00AE0628"/>
    <w:rsid w:val="00AE2F0F"/>
    <w:rsid w:val="00AE5A7C"/>
    <w:rsid w:val="00AE6882"/>
    <w:rsid w:val="00AE6DA4"/>
    <w:rsid w:val="00AE6FF8"/>
    <w:rsid w:val="00AE7521"/>
    <w:rsid w:val="00AE7A3E"/>
    <w:rsid w:val="00AF01B4"/>
    <w:rsid w:val="00AF0AD9"/>
    <w:rsid w:val="00AF187A"/>
    <w:rsid w:val="00AF1F55"/>
    <w:rsid w:val="00AF263F"/>
    <w:rsid w:val="00AF2917"/>
    <w:rsid w:val="00AF2B58"/>
    <w:rsid w:val="00AF315A"/>
    <w:rsid w:val="00AF370D"/>
    <w:rsid w:val="00AF5A3F"/>
    <w:rsid w:val="00AF7A8D"/>
    <w:rsid w:val="00B00EF2"/>
    <w:rsid w:val="00B0197E"/>
    <w:rsid w:val="00B04B32"/>
    <w:rsid w:val="00B05714"/>
    <w:rsid w:val="00B060C2"/>
    <w:rsid w:val="00B06A9E"/>
    <w:rsid w:val="00B0730E"/>
    <w:rsid w:val="00B110E3"/>
    <w:rsid w:val="00B1176B"/>
    <w:rsid w:val="00B11C16"/>
    <w:rsid w:val="00B12ACF"/>
    <w:rsid w:val="00B12D12"/>
    <w:rsid w:val="00B137F9"/>
    <w:rsid w:val="00B14742"/>
    <w:rsid w:val="00B14FE6"/>
    <w:rsid w:val="00B16154"/>
    <w:rsid w:val="00B165B6"/>
    <w:rsid w:val="00B16E2E"/>
    <w:rsid w:val="00B2011D"/>
    <w:rsid w:val="00B20488"/>
    <w:rsid w:val="00B21EA4"/>
    <w:rsid w:val="00B22022"/>
    <w:rsid w:val="00B22064"/>
    <w:rsid w:val="00B23327"/>
    <w:rsid w:val="00B23982"/>
    <w:rsid w:val="00B23F8D"/>
    <w:rsid w:val="00B24297"/>
    <w:rsid w:val="00B2500E"/>
    <w:rsid w:val="00B27041"/>
    <w:rsid w:val="00B3184D"/>
    <w:rsid w:val="00B31932"/>
    <w:rsid w:val="00B32498"/>
    <w:rsid w:val="00B32569"/>
    <w:rsid w:val="00B339D1"/>
    <w:rsid w:val="00B33C39"/>
    <w:rsid w:val="00B33E59"/>
    <w:rsid w:val="00B3605D"/>
    <w:rsid w:val="00B36B3C"/>
    <w:rsid w:val="00B371AB"/>
    <w:rsid w:val="00B41590"/>
    <w:rsid w:val="00B419F7"/>
    <w:rsid w:val="00B43628"/>
    <w:rsid w:val="00B4364B"/>
    <w:rsid w:val="00B43CBC"/>
    <w:rsid w:val="00B44566"/>
    <w:rsid w:val="00B447D6"/>
    <w:rsid w:val="00B45755"/>
    <w:rsid w:val="00B45FDD"/>
    <w:rsid w:val="00B46021"/>
    <w:rsid w:val="00B471EA"/>
    <w:rsid w:val="00B50B33"/>
    <w:rsid w:val="00B511EC"/>
    <w:rsid w:val="00B512CA"/>
    <w:rsid w:val="00B512F8"/>
    <w:rsid w:val="00B514BC"/>
    <w:rsid w:val="00B52F43"/>
    <w:rsid w:val="00B53488"/>
    <w:rsid w:val="00B53523"/>
    <w:rsid w:val="00B55A5C"/>
    <w:rsid w:val="00B55E68"/>
    <w:rsid w:val="00B573F7"/>
    <w:rsid w:val="00B60C0B"/>
    <w:rsid w:val="00B615A2"/>
    <w:rsid w:val="00B61B76"/>
    <w:rsid w:val="00B63467"/>
    <w:rsid w:val="00B634F5"/>
    <w:rsid w:val="00B637C0"/>
    <w:rsid w:val="00B64584"/>
    <w:rsid w:val="00B66084"/>
    <w:rsid w:val="00B66536"/>
    <w:rsid w:val="00B67A69"/>
    <w:rsid w:val="00B70381"/>
    <w:rsid w:val="00B70867"/>
    <w:rsid w:val="00B71640"/>
    <w:rsid w:val="00B7165B"/>
    <w:rsid w:val="00B72081"/>
    <w:rsid w:val="00B7237B"/>
    <w:rsid w:val="00B72C57"/>
    <w:rsid w:val="00B74B20"/>
    <w:rsid w:val="00B74C8C"/>
    <w:rsid w:val="00B754AF"/>
    <w:rsid w:val="00B7723D"/>
    <w:rsid w:val="00B8075B"/>
    <w:rsid w:val="00B808A2"/>
    <w:rsid w:val="00B80C1D"/>
    <w:rsid w:val="00B81157"/>
    <w:rsid w:val="00B814C3"/>
    <w:rsid w:val="00B81FE6"/>
    <w:rsid w:val="00B82844"/>
    <w:rsid w:val="00B828C3"/>
    <w:rsid w:val="00B833AA"/>
    <w:rsid w:val="00B84371"/>
    <w:rsid w:val="00B847C1"/>
    <w:rsid w:val="00B85752"/>
    <w:rsid w:val="00B857F1"/>
    <w:rsid w:val="00B8694A"/>
    <w:rsid w:val="00B86A5E"/>
    <w:rsid w:val="00B90BB1"/>
    <w:rsid w:val="00B911DB"/>
    <w:rsid w:val="00B9127E"/>
    <w:rsid w:val="00B915E5"/>
    <w:rsid w:val="00B91D25"/>
    <w:rsid w:val="00B928A1"/>
    <w:rsid w:val="00B93A5A"/>
    <w:rsid w:val="00B94220"/>
    <w:rsid w:val="00B956FB"/>
    <w:rsid w:val="00B95871"/>
    <w:rsid w:val="00B95B2D"/>
    <w:rsid w:val="00B960D4"/>
    <w:rsid w:val="00B961C6"/>
    <w:rsid w:val="00B96645"/>
    <w:rsid w:val="00B966B5"/>
    <w:rsid w:val="00B97391"/>
    <w:rsid w:val="00BA04CE"/>
    <w:rsid w:val="00BA073F"/>
    <w:rsid w:val="00BA10A4"/>
    <w:rsid w:val="00BA12F4"/>
    <w:rsid w:val="00BA15B4"/>
    <w:rsid w:val="00BA504F"/>
    <w:rsid w:val="00BA56D5"/>
    <w:rsid w:val="00BA789A"/>
    <w:rsid w:val="00BB0132"/>
    <w:rsid w:val="00BB144B"/>
    <w:rsid w:val="00BB183A"/>
    <w:rsid w:val="00BB2419"/>
    <w:rsid w:val="00BB271E"/>
    <w:rsid w:val="00BB2998"/>
    <w:rsid w:val="00BB49D7"/>
    <w:rsid w:val="00BB4A36"/>
    <w:rsid w:val="00BB4E18"/>
    <w:rsid w:val="00BB5F9B"/>
    <w:rsid w:val="00BB60A4"/>
    <w:rsid w:val="00BB6A6D"/>
    <w:rsid w:val="00BB6FA6"/>
    <w:rsid w:val="00BC0A86"/>
    <w:rsid w:val="00BC275A"/>
    <w:rsid w:val="00BC33AF"/>
    <w:rsid w:val="00BC3894"/>
    <w:rsid w:val="00BC3D86"/>
    <w:rsid w:val="00BC42B7"/>
    <w:rsid w:val="00BC4AE6"/>
    <w:rsid w:val="00BC5676"/>
    <w:rsid w:val="00BC71EE"/>
    <w:rsid w:val="00BC7D56"/>
    <w:rsid w:val="00BD0EAC"/>
    <w:rsid w:val="00BD1EA2"/>
    <w:rsid w:val="00BD2069"/>
    <w:rsid w:val="00BD2AC6"/>
    <w:rsid w:val="00BD7784"/>
    <w:rsid w:val="00BE1770"/>
    <w:rsid w:val="00BE2F78"/>
    <w:rsid w:val="00BE44C5"/>
    <w:rsid w:val="00BE4541"/>
    <w:rsid w:val="00BE4926"/>
    <w:rsid w:val="00BF1D45"/>
    <w:rsid w:val="00BF2068"/>
    <w:rsid w:val="00BF2692"/>
    <w:rsid w:val="00BF2AB3"/>
    <w:rsid w:val="00BF2E23"/>
    <w:rsid w:val="00BF4933"/>
    <w:rsid w:val="00BF4C36"/>
    <w:rsid w:val="00BF4D7A"/>
    <w:rsid w:val="00BF5B10"/>
    <w:rsid w:val="00BF6FC7"/>
    <w:rsid w:val="00C021C9"/>
    <w:rsid w:val="00C0231C"/>
    <w:rsid w:val="00C039A2"/>
    <w:rsid w:val="00C03D22"/>
    <w:rsid w:val="00C04425"/>
    <w:rsid w:val="00C04B8E"/>
    <w:rsid w:val="00C0623A"/>
    <w:rsid w:val="00C101C5"/>
    <w:rsid w:val="00C1028F"/>
    <w:rsid w:val="00C10668"/>
    <w:rsid w:val="00C111BA"/>
    <w:rsid w:val="00C11589"/>
    <w:rsid w:val="00C119E3"/>
    <w:rsid w:val="00C11D99"/>
    <w:rsid w:val="00C12FDB"/>
    <w:rsid w:val="00C1306E"/>
    <w:rsid w:val="00C13432"/>
    <w:rsid w:val="00C13F94"/>
    <w:rsid w:val="00C143BB"/>
    <w:rsid w:val="00C156AB"/>
    <w:rsid w:val="00C16EA6"/>
    <w:rsid w:val="00C17EDC"/>
    <w:rsid w:val="00C20A70"/>
    <w:rsid w:val="00C223CC"/>
    <w:rsid w:val="00C2277D"/>
    <w:rsid w:val="00C22816"/>
    <w:rsid w:val="00C22AEF"/>
    <w:rsid w:val="00C23209"/>
    <w:rsid w:val="00C2457C"/>
    <w:rsid w:val="00C25D8D"/>
    <w:rsid w:val="00C26A51"/>
    <w:rsid w:val="00C27B00"/>
    <w:rsid w:val="00C305AB"/>
    <w:rsid w:val="00C30A94"/>
    <w:rsid w:val="00C30D56"/>
    <w:rsid w:val="00C31D0F"/>
    <w:rsid w:val="00C32087"/>
    <w:rsid w:val="00C3384E"/>
    <w:rsid w:val="00C34196"/>
    <w:rsid w:val="00C35FA4"/>
    <w:rsid w:val="00C36700"/>
    <w:rsid w:val="00C36BF6"/>
    <w:rsid w:val="00C36F10"/>
    <w:rsid w:val="00C37894"/>
    <w:rsid w:val="00C40640"/>
    <w:rsid w:val="00C408C1"/>
    <w:rsid w:val="00C40F35"/>
    <w:rsid w:val="00C41617"/>
    <w:rsid w:val="00C4197D"/>
    <w:rsid w:val="00C450CB"/>
    <w:rsid w:val="00C455AD"/>
    <w:rsid w:val="00C465D6"/>
    <w:rsid w:val="00C4756C"/>
    <w:rsid w:val="00C512D6"/>
    <w:rsid w:val="00C53643"/>
    <w:rsid w:val="00C53D15"/>
    <w:rsid w:val="00C54093"/>
    <w:rsid w:val="00C548D5"/>
    <w:rsid w:val="00C54AE9"/>
    <w:rsid w:val="00C54EBB"/>
    <w:rsid w:val="00C56C47"/>
    <w:rsid w:val="00C571CD"/>
    <w:rsid w:val="00C609DA"/>
    <w:rsid w:val="00C6314C"/>
    <w:rsid w:val="00C6344D"/>
    <w:rsid w:val="00C66008"/>
    <w:rsid w:val="00C66586"/>
    <w:rsid w:val="00C671EE"/>
    <w:rsid w:val="00C679E2"/>
    <w:rsid w:val="00C704B8"/>
    <w:rsid w:val="00C7068B"/>
    <w:rsid w:val="00C70828"/>
    <w:rsid w:val="00C7115F"/>
    <w:rsid w:val="00C7234B"/>
    <w:rsid w:val="00C732BD"/>
    <w:rsid w:val="00C734DA"/>
    <w:rsid w:val="00C74481"/>
    <w:rsid w:val="00C74FB2"/>
    <w:rsid w:val="00C75EA3"/>
    <w:rsid w:val="00C7669A"/>
    <w:rsid w:val="00C76CB6"/>
    <w:rsid w:val="00C76F0D"/>
    <w:rsid w:val="00C81A04"/>
    <w:rsid w:val="00C81D7E"/>
    <w:rsid w:val="00C8325E"/>
    <w:rsid w:val="00C8328C"/>
    <w:rsid w:val="00C8441D"/>
    <w:rsid w:val="00C85537"/>
    <w:rsid w:val="00C86777"/>
    <w:rsid w:val="00C907B3"/>
    <w:rsid w:val="00C90A24"/>
    <w:rsid w:val="00C91515"/>
    <w:rsid w:val="00C92541"/>
    <w:rsid w:val="00C93A9A"/>
    <w:rsid w:val="00C96814"/>
    <w:rsid w:val="00C979AC"/>
    <w:rsid w:val="00CA03FF"/>
    <w:rsid w:val="00CA106B"/>
    <w:rsid w:val="00CA172A"/>
    <w:rsid w:val="00CA1A34"/>
    <w:rsid w:val="00CA2D6E"/>
    <w:rsid w:val="00CA3263"/>
    <w:rsid w:val="00CA4EE5"/>
    <w:rsid w:val="00CA5EAF"/>
    <w:rsid w:val="00CA631D"/>
    <w:rsid w:val="00CA69D1"/>
    <w:rsid w:val="00CA79AD"/>
    <w:rsid w:val="00CB03A9"/>
    <w:rsid w:val="00CB1776"/>
    <w:rsid w:val="00CB19D9"/>
    <w:rsid w:val="00CB4178"/>
    <w:rsid w:val="00CB4266"/>
    <w:rsid w:val="00CB4EAC"/>
    <w:rsid w:val="00CB5C9F"/>
    <w:rsid w:val="00CB6C9E"/>
    <w:rsid w:val="00CB7451"/>
    <w:rsid w:val="00CB75C7"/>
    <w:rsid w:val="00CB7C52"/>
    <w:rsid w:val="00CB7C7B"/>
    <w:rsid w:val="00CC2C3A"/>
    <w:rsid w:val="00CC2DDB"/>
    <w:rsid w:val="00CC32DD"/>
    <w:rsid w:val="00CC3456"/>
    <w:rsid w:val="00CC4998"/>
    <w:rsid w:val="00CC4DCF"/>
    <w:rsid w:val="00CC55C0"/>
    <w:rsid w:val="00CC6B7A"/>
    <w:rsid w:val="00CC70A2"/>
    <w:rsid w:val="00CC72FF"/>
    <w:rsid w:val="00CC7FAB"/>
    <w:rsid w:val="00CD1D9D"/>
    <w:rsid w:val="00CD2029"/>
    <w:rsid w:val="00CD37C0"/>
    <w:rsid w:val="00CD590C"/>
    <w:rsid w:val="00CD6BE3"/>
    <w:rsid w:val="00CE218D"/>
    <w:rsid w:val="00CE3EFF"/>
    <w:rsid w:val="00CE4046"/>
    <w:rsid w:val="00CE4326"/>
    <w:rsid w:val="00CF0EC1"/>
    <w:rsid w:val="00CF3547"/>
    <w:rsid w:val="00CF4D22"/>
    <w:rsid w:val="00CF60B0"/>
    <w:rsid w:val="00CF6CDD"/>
    <w:rsid w:val="00CF7C3F"/>
    <w:rsid w:val="00D004C7"/>
    <w:rsid w:val="00D00FA5"/>
    <w:rsid w:val="00D01A65"/>
    <w:rsid w:val="00D02BF8"/>
    <w:rsid w:val="00D035BB"/>
    <w:rsid w:val="00D037AF"/>
    <w:rsid w:val="00D063D1"/>
    <w:rsid w:val="00D06E76"/>
    <w:rsid w:val="00D074D6"/>
    <w:rsid w:val="00D07C88"/>
    <w:rsid w:val="00D1011B"/>
    <w:rsid w:val="00D101C7"/>
    <w:rsid w:val="00D11647"/>
    <w:rsid w:val="00D11EBC"/>
    <w:rsid w:val="00D11F2F"/>
    <w:rsid w:val="00D11FF4"/>
    <w:rsid w:val="00D12623"/>
    <w:rsid w:val="00D134BD"/>
    <w:rsid w:val="00D1431F"/>
    <w:rsid w:val="00D1531B"/>
    <w:rsid w:val="00D16595"/>
    <w:rsid w:val="00D17189"/>
    <w:rsid w:val="00D213B2"/>
    <w:rsid w:val="00D2153D"/>
    <w:rsid w:val="00D2207F"/>
    <w:rsid w:val="00D22711"/>
    <w:rsid w:val="00D227DB"/>
    <w:rsid w:val="00D22C47"/>
    <w:rsid w:val="00D24AC2"/>
    <w:rsid w:val="00D26367"/>
    <w:rsid w:val="00D26677"/>
    <w:rsid w:val="00D26FD2"/>
    <w:rsid w:val="00D2761C"/>
    <w:rsid w:val="00D304DF"/>
    <w:rsid w:val="00D30ABC"/>
    <w:rsid w:val="00D31724"/>
    <w:rsid w:val="00D31787"/>
    <w:rsid w:val="00D31DC2"/>
    <w:rsid w:val="00D3224C"/>
    <w:rsid w:val="00D35049"/>
    <w:rsid w:val="00D35CA2"/>
    <w:rsid w:val="00D35CA5"/>
    <w:rsid w:val="00D37C5D"/>
    <w:rsid w:val="00D410FD"/>
    <w:rsid w:val="00D42A7A"/>
    <w:rsid w:val="00D43024"/>
    <w:rsid w:val="00D452CE"/>
    <w:rsid w:val="00D4658D"/>
    <w:rsid w:val="00D472F8"/>
    <w:rsid w:val="00D50083"/>
    <w:rsid w:val="00D5082B"/>
    <w:rsid w:val="00D531BC"/>
    <w:rsid w:val="00D54F64"/>
    <w:rsid w:val="00D55284"/>
    <w:rsid w:val="00D559F3"/>
    <w:rsid w:val="00D5612F"/>
    <w:rsid w:val="00D575AF"/>
    <w:rsid w:val="00D6008B"/>
    <w:rsid w:val="00D606B6"/>
    <w:rsid w:val="00D60A06"/>
    <w:rsid w:val="00D60B3C"/>
    <w:rsid w:val="00D622F0"/>
    <w:rsid w:val="00D625E8"/>
    <w:rsid w:val="00D628B7"/>
    <w:rsid w:val="00D63CAE"/>
    <w:rsid w:val="00D64247"/>
    <w:rsid w:val="00D67002"/>
    <w:rsid w:val="00D70531"/>
    <w:rsid w:val="00D705A0"/>
    <w:rsid w:val="00D738A8"/>
    <w:rsid w:val="00D7475A"/>
    <w:rsid w:val="00D75496"/>
    <w:rsid w:val="00D81463"/>
    <w:rsid w:val="00D82891"/>
    <w:rsid w:val="00D82D52"/>
    <w:rsid w:val="00D83714"/>
    <w:rsid w:val="00D83994"/>
    <w:rsid w:val="00D839C1"/>
    <w:rsid w:val="00D8487B"/>
    <w:rsid w:val="00D84A1C"/>
    <w:rsid w:val="00D85855"/>
    <w:rsid w:val="00D85B8C"/>
    <w:rsid w:val="00D865C1"/>
    <w:rsid w:val="00D91D89"/>
    <w:rsid w:val="00D92161"/>
    <w:rsid w:val="00D9298E"/>
    <w:rsid w:val="00D93511"/>
    <w:rsid w:val="00D94B22"/>
    <w:rsid w:val="00D95A00"/>
    <w:rsid w:val="00D964F2"/>
    <w:rsid w:val="00D9661F"/>
    <w:rsid w:val="00D96F65"/>
    <w:rsid w:val="00D96F9D"/>
    <w:rsid w:val="00D971C3"/>
    <w:rsid w:val="00D97AB3"/>
    <w:rsid w:val="00DA0BB1"/>
    <w:rsid w:val="00DA2A4B"/>
    <w:rsid w:val="00DA3A76"/>
    <w:rsid w:val="00DA4A71"/>
    <w:rsid w:val="00DA65DF"/>
    <w:rsid w:val="00DA7404"/>
    <w:rsid w:val="00DA7A80"/>
    <w:rsid w:val="00DB2AE8"/>
    <w:rsid w:val="00DB3496"/>
    <w:rsid w:val="00DB38F8"/>
    <w:rsid w:val="00DB49C5"/>
    <w:rsid w:val="00DB4EAD"/>
    <w:rsid w:val="00DB4FC7"/>
    <w:rsid w:val="00DB5737"/>
    <w:rsid w:val="00DB6141"/>
    <w:rsid w:val="00DB67A0"/>
    <w:rsid w:val="00DB71DC"/>
    <w:rsid w:val="00DC0829"/>
    <w:rsid w:val="00DC108A"/>
    <w:rsid w:val="00DC3F2D"/>
    <w:rsid w:val="00DC46B5"/>
    <w:rsid w:val="00DC4D4E"/>
    <w:rsid w:val="00DC61B3"/>
    <w:rsid w:val="00DC6AA0"/>
    <w:rsid w:val="00DD1CCD"/>
    <w:rsid w:val="00DD2BB4"/>
    <w:rsid w:val="00DD3AC1"/>
    <w:rsid w:val="00DD486C"/>
    <w:rsid w:val="00DD4F76"/>
    <w:rsid w:val="00DD505F"/>
    <w:rsid w:val="00DD628F"/>
    <w:rsid w:val="00DD6A9D"/>
    <w:rsid w:val="00DD6E55"/>
    <w:rsid w:val="00DD6F14"/>
    <w:rsid w:val="00DD6F62"/>
    <w:rsid w:val="00DE04A2"/>
    <w:rsid w:val="00DE0B2F"/>
    <w:rsid w:val="00DE0E71"/>
    <w:rsid w:val="00DE10B3"/>
    <w:rsid w:val="00DE30B2"/>
    <w:rsid w:val="00DE3792"/>
    <w:rsid w:val="00DE3E60"/>
    <w:rsid w:val="00DE444A"/>
    <w:rsid w:val="00DE4BF2"/>
    <w:rsid w:val="00DE5807"/>
    <w:rsid w:val="00DE715F"/>
    <w:rsid w:val="00DF0FD1"/>
    <w:rsid w:val="00DF1188"/>
    <w:rsid w:val="00DF14D0"/>
    <w:rsid w:val="00DF33DC"/>
    <w:rsid w:val="00DF4245"/>
    <w:rsid w:val="00DF4507"/>
    <w:rsid w:val="00DF4648"/>
    <w:rsid w:val="00DF5400"/>
    <w:rsid w:val="00DF7946"/>
    <w:rsid w:val="00DF7DB6"/>
    <w:rsid w:val="00DF7E41"/>
    <w:rsid w:val="00E00D5E"/>
    <w:rsid w:val="00E027EE"/>
    <w:rsid w:val="00E03978"/>
    <w:rsid w:val="00E04186"/>
    <w:rsid w:val="00E05D76"/>
    <w:rsid w:val="00E05F57"/>
    <w:rsid w:val="00E06155"/>
    <w:rsid w:val="00E10082"/>
    <w:rsid w:val="00E11AEE"/>
    <w:rsid w:val="00E12BFB"/>
    <w:rsid w:val="00E1438F"/>
    <w:rsid w:val="00E15FDD"/>
    <w:rsid w:val="00E16B78"/>
    <w:rsid w:val="00E17A4A"/>
    <w:rsid w:val="00E202EC"/>
    <w:rsid w:val="00E2155F"/>
    <w:rsid w:val="00E21E06"/>
    <w:rsid w:val="00E237E9"/>
    <w:rsid w:val="00E24459"/>
    <w:rsid w:val="00E244CB"/>
    <w:rsid w:val="00E24917"/>
    <w:rsid w:val="00E25383"/>
    <w:rsid w:val="00E26D1F"/>
    <w:rsid w:val="00E27CC9"/>
    <w:rsid w:val="00E3074D"/>
    <w:rsid w:val="00E308CC"/>
    <w:rsid w:val="00E3135F"/>
    <w:rsid w:val="00E32034"/>
    <w:rsid w:val="00E34C72"/>
    <w:rsid w:val="00E3503A"/>
    <w:rsid w:val="00E352EC"/>
    <w:rsid w:val="00E37C53"/>
    <w:rsid w:val="00E41635"/>
    <w:rsid w:val="00E42531"/>
    <w:rsid w:val="00E43C63"/>
    <w:rsid w:val="00E44923"/>
    <w:rsid w:val="00E45119"/>
    <w:rsid w:val="00E453FA"/>
    <w:rsid w:val="00E454A7"/>
    <w:rsid w:val="00E45934"/>
    <w:rsid w:val="00E4608F"/>
    <w:rsid w:val="00E50D7C"/>
    <w:rsid w:val="00E52286"/>
    <w:rsid w:val="00E533F9"/>
    <w:rsid w:val="00E5341E"/>
    <w:rsid w:val="00E562CF"/>
    <w:rsid w:val="00E61EF6"/>
    <w:rsid w:val="00E61FF4"/>
    <w:rsid w:val="00E6288D"/>
    <w:rsid w:val="00E6382D"/>
    <w:rsid w:val="00E641B7"/>
    <w:rsid w:val="00E655D0"/>
    <w:rsid w:val="00E65A6D"/>
    <w:rsid w:val="00E66150"/>
    <w:rsid w:val="00E67ECF"/>
    <w:rsid w:val="00E70E61"/>
    <w:rsid w:val="00E71DCE"/>
    <w:rsid w:val="00E72419"/>
    <w:rsid w:val="00E72841"/>
    <w:rsid w:val="00E72F46"/>
    <w:rsid w:val="00E74645"/>
    <w:rsid w:val="00E75430"/>
    <w:rsid w:val="00E75AE3"/>
    <w:rsid w:val="00E76C9F"/>
    <w:rsid w:val="00E774F1"/>
    <w:rsid w:val="00E81236"/>
    <w:rsid w:val="00E81669"/>
    <w:rsid w:val="00E81832"/>
    <w:rsid w:val="00E829C8"/>
    <w:rsid w:val="00E867EA"/>
    <w:rsid w:val="00E86F7D"/>
    <w:rsid w:val="00E87B74"/>
    <w:rsid w:val="00E90A09"/>
    <w:rsid w:val="00E90FDD"/>
    <w:rsid w:val="00E96CDD"/>
    <w:rsid w:val="00E96D42"/>
    <w:rsid w:val="00E978A6"/>
    <w:rsid w:val="00E97F61"/>
    <w:rsid w:val="00EA009E"/>
    <w:rsid w:val="00EA1574"/>
    <w:rsid w:val="00EA3346"/>
    <w:rsid w:val="00EA39C8"/>
    <w:rsid w:val="00EA486D"/>
    <w:rsid w:val="00EA5115"/>
    <w:rsid w:val="00EA69E0"/>
    <w:rsid w:val="00EA6F84"/>
    <w:rsid w:val="00EA70EE"/>
    <w:rsid w:val="00EB15B0"/>
    <w:rsid w:val="00EB1CF1"/>
    <w:rsid w:val="00EB2798"/>
    <w:rsid w:val="00EB2ED4"/>
    <w:rsid w:val="00EB4DB9"/>
    <w:rsid w:val="00EB5A77"/>
    <w:rsid w:val="00EB6124"/>
    <w:rsid w:val="00EB67B9"/>
    <w:rsid w:val="00EB7B1A"/>
    <w:rsid w:val="00EC05A8"/>
    <w:rsid w:val="00EC0827"/>
    <w:rsid w:val="00EC0A89"/>
    <w:rsid w:val="00EC1C7E"/>
    <w:rsid w:val="00EC1D3C"/>
    <w:rsid w:val="00EC4582"/>
    <w:rsid w:val="00EC4FF6"/>
    <w:rsid w:val="00EC5974"/>
    <w:rsid w:val="00EC6986"/>
    <w:rsid w:val="00EC77E2"/>
    <w:rsid w:val="00ED04DC"/>
    <w:rsid w:val="00ED0A8E"/>
    <w:rsid w:val="00ED1D90"/>
    <w:rsid w:val="00ED1E8B"/>
    <w:rsid w:val="00ED3DDF"/>
    <w:rsid w:val="00ED553A"/>
    <w:rsid w:val="00ED5728"/>
    <w:rsid w:val="00ED5E78"/>
    <w:rsid w:val="00ED6E5A"/>
    <w:rsid w:val="00ED7E53"/>
    <w:rsid w:val="00ED7FA8"/>
    <w:rsid w:val="00EE0156"/>
    <w:rsid w:val="00EE0CC5"/>
    <w:rsid w:val="00EE0D2C"/>
    <w:rsid w:val="00EE1E5A"/>
    <w:rsid w:val="00EE2AEB"/>
    <w:rsid w:val="00EE3155"/>
    <w:rsid w:val="00EE6510"/>
    <w:rsid w:val="00EE672A"/>
    <w:rsid w:val="00EE6932"/>
    <w:rsid w:val="00EE7AD2"/>
    <w:rsid w:val="00EF0791"/>
    <w:rsid w:val="00EF37D0"/>
    <w:rsid w:val="00EF45E7"/>
    <w:rsid w:val="00EF4E7B"/>
    <w:rsid w:val="00EF55AE"/>
    <w:rsid w:val="00EF7628"/>
    <w:rsid w:val="00EF7C63"/>
    <w:rsid w:val="00F012DB"/>
    <w:rsid w:val="00F01A21"/>
    <w:rsid w:val="00F0370A"/>
    <w:rsid w:val="00F06363"/>
    <w:rsid w:val="00F063A4"/>
    <w:rsid w:val="00F0759E"/>
    <w:rsid w:val="00F076AB"/>
    <w:rsid w:val="00F1159E"/>
    <w:rsid w:val="00F11B62"/>
    <w:rsid w:val="00F11E4B"/>
    <w:rsid w:val="00F12201"/>
    <w:rsid w:val="00F13046"/>
    <w:rsid w:val="00F13339"/>
    <w:rsid w:val="00F13FEE"/>
    <w:rsid w:val="00F14C5B"/>
    <w:rsid w:val="00F1546B"/>
    <w:rsid w:val="00F154F2"/>
    <w:rsid w:val="00F15ADF"/>
    <w:rsid w:val="00F16085"/>
    <w:rsid w:val="00F1670F"/>
    <w:rsid w:val="00F175E0"/>
    <w:rsid w:val="00F17BC1"/>
    <w:rsid w:val="00F211ED"/>
    <w:rsid w:val="00F21377"/>
    <w:rsid w:val="00F21410"/>
    <w:rsid w:val="00F21772"/>
    <w:rsid w:val="00F21993"/>
    <w:rsid w:val="00F221FA"/>
    <w:rsid w:val="00F22611"/>
    <w:rsid w:val="00F22A1A"/>
    <w:rsid w:val="00F22E32"/>
    <w:rsid w:val="00F23DB2"/>
    <w:rsid w:val="00F24211"/>
    <w:rsid w:val="00F244B8"/>
    <w:rsid w:val="00F24E1F"/>
    <w:rsid w:val="00F25086"/>
    <w:rsid w:val="00F25839"/>
    <w:rsid w:val="00F25B57"/>
    <w:rsid w:val="00F26950"/>
    <w:rsid w:val="00F273C7"/>
    <w:rsid w:val="00F27C7C"/>
    <w:rsid w:val="00F27F85"/>
    <w:rsid w:val="00F318E6"/>
    <w:rsid w:val="00F3194F"/>
    <w:rsid w:val="00F31B89"/>
    <w:rsid w:val="00F32909"/>
    <w:rsid w:val="00F330C7"/>
    <w:rsid w:val="00F341E6"/>
    <w:rsid w:val="00F344A2"/>
    <w:rsid w:val="00F37029"/>
    <w:rsid w:val="00F37597"/>
    <w:rsid w:val="00F4159C"/>
    <w:rsid w:val="00F41704"/>
    <w:rsid w:val="00F41771"/>
    <w:rsid w:val="00F41A8D"/>
    <w:rsid w:val="00F41EBA"/>
    <w:rsid w:val="00F471EA"/>
    <w:rsid w:val="00F50ED9"/>
    <w:rsid w:val="00F51636"/>
    <w:rsid w:val="00F51C1B"/>
    <w:rsid w:val="00F54C02"/>
    <w:rsid w:val="00F55ECB"/>
    <w:rsid w:val="00F560C8"/>
    <w:rsid w:val="00F5727C"/>
    <w:rsid w:val="00F573AC"/>
    <w:rsid w:val="00F606DE"/>
    <w:rsid w:val="00F60CEF"/>
    <w:rsid w:val="00F60D06"/>
    <w:rsid w:val="00F6173D"/>
    <w:rsid w:val="00F61812"/>
    <w:rsid w:val="00F61AA6"/>
    <w:rsid w:val="00F62A68"/>
    <w:rsid w:val="00F62AC7"/>
    <w:rsid w:val="00F6367B"/>
    <w:rsid w:val="00F64FE1"/>
    <w:rsid w:val="00F666B9"/>
    <w:rsid w:val="00F71AD9"/>
    <w:rsid w:val="00F731F1"/>
    <w:rsid w:val="00F74858"/>
    <w:rsid w:val="00F75447"/>
    <w:rsid w:val="00F75C2B"/>
    <w:rsid w:val="00F7686A"/>
    <w:rsid w:val="00F77E77"/>
    <w:rsid w:val="00F807A6"/>
    <w:rsid w:val="00F833B8"/>
    <w:rsid w:val="00F83478"/>
    <w:rsid w:val="00F862D5"/>
    <w:rsid w:val="00F90322"/>
    <w:rsid w:val="00F9392C"/>
    <w:rsid w:val="00F93F19"/>
    <w:rsid w:val="00F946E4"/>
    <w:rsid w:val="00F94AB4"/>
    <w:rsid w:val="00F96673"/>
    <w:rsid w:val="00F96C2C"/>
    <w:rsid w:val="00FA1289"/>
    <w:rsid w:val="00FA1386"/>
    <w:rsid w:val="00FA2343"/>
    <w:rsid w:val="00FA319A"/>
    <w:rsid w:val="00FA4F9B"/>
    <w:rsid w:val="00FA59E8"/>
    <w:rsid w:val="00FA629A"/>
    <w:rsid w:val="00FA63D2"/>
    <w:rsid w:val="00FA6713"/>
    <w:rsid w:val="00FB12F6"/>
    <w:rsid w:val="00FB28F0"/>
    <w:rsid w:val="00FB512D"/>
    <w:rsid w:val="00FC085A"/>
    <w:rsid w:val="00FC0A85"/>
    <w:rsid w:val="00FC0ABE"/>
    <w:rsid w:val="00FC1D96"/>
    <w:rsid w:val="00FC1E68"/>
    <w:rsid w:val="00FC248B"/>
    <w:rsid w:val="00FC28A3"/>
    <w:rsid w:val="00FC2DE7"/>
    <w:rsid w:val="00FC3217"/>
    <w:rsid w:val="00FC5321"/>
    <w:rsid w:val="00FC5461"/>
    <w:rsid w:val="00FC573C"/>
    <w:rsid w:val="00FC617D"/>
    <w:rsid w:val="00FC686F"/>
    <w:rsid w:val="00FC7020"/>
    <w:rsid w:val="00FD09B2"/>
    <w:rsid w:val="00FD1BFB"/>
    <w:rsid w:val="00FD1D5B"/>
    <w:rsid w:val="00FD27A9"/>
    <w:rsid w:val="00FD31B3"/>
    <w:rsid w:val="00FD3901"/>
    <w:rsid w:val="00FD3B58"/>
    <w:rsid w:val="00FD3EAF"/>
    <w:rsid w:val="00FD3EC0"/>
    <w:rsid w:val="00FD58D9"/>
    <w:rsid w:val="00FD7731"/>
    <w:rsid w:val="00FD7827"/>
    <w:rsid w:val="00FD78C8"/>
    <w:rsid w:val="00FE0568"/>
    <w:rsid w:val="00FE1732"/>
    <w:rsid w:val="00FE1D24"/>
    <w:rsid w:val="00FE2776"/>
    <w:rsid w:val="00FE3CAB"/>
    <w:rsid w:val="00FE3EC0"/>
    <w:rsid w:val="00FE4C3C"/>
    <w:rsid w:val="00FE597F"/>
    <w:rsid w:val="00FE68BE"/>
    <w:rsid w:val="00FE730A"/>
    <w:rsid w:val="00FF1008"/>
    <w:rsid w:val="00FF10B9"/>
    <w:rsid w:val="00FF3F5A"/>
    <w:rsid w:val="00FF4954"/>
    <w:rsid w:val="00FF5EE3"/>
    <w:rsid w:val="00FF6646"/>
    <w:rsid w:val="00FF76A1"/>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Theme="majorHAnsi" w:eastAsiaTheme="majorEastAsia" w:hAnsiTheme="majorHAnsi" w:cstheme="majorBidi"/>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Theme="majorHAnsi" w:eastAsiaTheme="majorEastAsia" w:hAnsiTheme="majorHAnsi" w:cstheme="majorBidi"/>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Theme="majorHAnsi" w:eastAsiaTheme="majorEastAsia" w:hAnsiTheme="majorHAnsi" w:cstheme="majorBidi"/>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Theme="majorHAnsi" w:eastAsiaTheme="majorEastAsia" w:hAnsiTheme="majorHAnsi" w:cstheme="majorBidi"/>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B089-ADCB-497B-8E03-6818491D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E2E16BBF</Template>
  <TotalTime>0</TotalTime>
  <Pages>32</Pages>
  <Words>10128</Words>
  <Characters>54829</Characters>
  <Application>Microsoft Office Word</Application>
  <DocSecurity>4</DocSecurity>
  <Lines>456</Lines>
  <Paragraphs>129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64828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Kim Begbie</cp:lastModifiedBy>
  <cp:revision>2</cp:revision>
  <cp:lastPrinted>2013-09-27T07:00:00Z</cp:lastPrinted>
  <dcterms:created xsi:type="dcterms:W3CDTF">2013-11-15T03:38:00Z</dcterms:created>
  <dcterms:modified xsi:type="dcterms:W3CDTF">2013-11-15T03:38:00Z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