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99" w:rsidRPr="00A52A3E" w:rsidRDefault="00E06799" w:rsidP="00E06799">
      <w:pPr>
        <w:jc w:val="center"/>
        <w:rPr>
          <w:szCs w:val="20"/>
          <w:lang w:eastAsia="en-US"/>
        </w:rPr>
      </w:pPr>
      <w:r w:rsidRPr="00A52A3E">
        <w:rPr>
          <w:b/>
          <w:bCs/>
          <w:szCs w:val="20"/>
          <w:u w:val="single"/>
          <w:lang w:eastAsia="en-US"/>
        </w:rPr>
        <w:t>EXPLANATORY STATEMENT</w:t>
      </w:r>
    </w:p>
    <w:p w:rsidR="00E06799" w:rsidRPr="00A52A3E" w:rsidRDefault="00E06799" w:rsidP="00E06799">
      <w:pPr>
        <w:rPr>
          <w:szCs w:val="20"/>
          <w:lang w:eastAsia="en-US"/>
        </w:rPr>
      </w:pPr>
    </w:p>
    <w:p w:rsidR="00E06799" w:rsidRPr="00A52A3E" w:rsidRDefault="00E06799" w:rsidP="00E06799">
      <w:pPr>
        <w:jc w:val="center"/>
        <w:rPr>
          <w:b/>
          <w:bCs/>
          <w:szCs w:val="20"/>
          <w:u w:val="single"/>
          <w:lang w:eastAsia="en-US"/>
        </w:rPr>
      </w:pPr>
    </w:p>
    <w:p w:rsidR="00E06799" w:rsidRPr="00A52A3E" w:rsidRDefault="00E06799" w:rsidP="00E06799">
      <w:pPr>
        <w:jc w:val="center"/>
        <w:rPr>
          <w:bCs/>
          <w:szCs w:val="20"/>
          <w:lang w:eastAsia="en-US"/>
        </w:rPr>
      </w:pPr>
      <w:r w:rsidRPr="00A52A3E">
        <w:rPr>
          <w:bCs/>
          <w:szCs w:val="20"/>
          <w:lang w:eastAsia="en-US"/>
        </w:rPr>
        <w:t xml:space="preserve">Issued by the authority of the </w:t>
      </w:r>
      <w:r w:rsidR="001E29DA">
        <w:rPr>
          <w:bCs/>
          <w:szCs w:val="20"/>
          <w:lang w:eastAsia="en-US"/>
        </w:rPr>
        <w:t>Presiding Officers</w:t>
      </w:r>
    </w:p>
    <w:p w:rsidR="00E06799" w:rsidRPr="00A52A3E" w:rsidRDefault="00E06799" w:rsidP="00E06799">
      <w:pPr>
        <w:jc w:val="center"/>
        <w:rPr>
          <w:szCs w:val="20"/>
          <w:lang w:eastAsia="en-US"/>
        </w:rPr>
      </w:pPr>
    </w:p>
    <w:p w:rsidR="00E06799" w:rsidRPr="00A52A3E" w:rsidRDefault="00E06799" w:rsidP="00E06799">
      <w:pPr>
        <w:jc w:val="center"/>
        <w:rPr>
          <w:szCs w:val="20"/>
          <w:lang w:eastAsia="en-US"/>
        </w:rPr>
      </w:pPr>
      <w:r>
        <w:rPr>
          <w:i/>
          <w:iCs/>
          <w:szCs w:val="20"/>
          <w:lang w:eastAsia="en-US"/>
        </w:rPr>
        <w:t>Parliamentary</w:t>
      </w:r>
      <w:r w:rsidRPr="00A52A3E">
        <w:rPr>
          <w:i/>
          <w:iCs/>
          <w:szCs w:val="20"/>
          <w:lang w:eastAsia="en-US"/>
        </w:rPr>
        <w:t xml:space="preserve"> Service Act 1999</w:t>
      </w:r>
    </w:p>
    <w:p w:rsidR="00E06799" w:rsidRPr="00A52A3E" w:rsidRDefault="00E06799" w:rsidP="00E06799">
      <w:pPr>
        <w:rPr>
          <w:szCs w:val="20"/>
          <w:lang w:eastAsia="en-US"/>
        </w:rPr>
      </w:pPr>
    </w:p>
    <w:p w:rsidR="00E06799" w:rsidRDefault="00E06799" w:rsidP="00BD79A9">
      <w:pPr>
        <w:jc w:val="center"/>
        <w:rPr>
          <w:i/>
          <w:iCs/>
          <w:szCs w:val="20"/>
          <w:lang w:eastAsia="en-US"/>
        </w:rPr>
      </w:pPr>
      <w:r>
        <w:rPr>
          <w:i/>
          <w:iCs/>
          <w:szCs w:val="20"/>
          <w:lang w:eastAsia="en-US"/>
        </w:rPr>
        <w:t>Parliamentary</w:t>
      </w:r>
      <w:r w:rsidRPr="00A52A3E">
        <w:rPr>
          <w:i/>
          <w:iCs/>
          <w:szCs w:val="20"/>
          <w:lang w:eastAsia="en-US"/>
        </w:rPr>
        <w:t xml:space="preserve"> Service </w:t>
      </w:r>
      <w:r w:rsidR="00DC555D">
        <w:rPr>
          <w:i/>
          <w:iCs/>
          <w:szCs w:val="20"/>
          <w:lang w:eastAsia="en-US"/>
        </w:rPr>
        <w:t xml:space="preserve">Amendment Determination </w:t>
      </w:r>
      <w:r w:rsidRPr="00A52A3E">
        <w:rPr>
          <w:i/>
          <w:iCs/>
          <w:szCs w:val="20"/>
          <w:lang w:eastAsia="en-US"/>
        </w:rPr>
        <w:t>2013</w:t>
      </w:r>
      <w:r w:rsidR="00DC555D">
        <w:rPr>
          <w:i/>
          <w:iCs/>
          <w:szCs w:val="20"/>
          <w:lang w:eastAsia="en-US"/>
        </w:rPr>
        <w:t xml:space="preserve"> (No.1)</w:t>
      </w:r>
    </w:p>
    <w:p w:rsidR="00BD79A9" w:rsidRPr="00A52A3E" w:rsidRDefault="00BD79A9" w:rsidP="00BD79A9">
      <w:pPr>
        <w:jc w:val="center"/>
        <w:rPr>
          <w:szCs w:val="20"/>
          <w:lang w:eastAsia="en-US"/>
        </w:rPr>
      </w:pPr>
    </w:p>
    <w:p w:rsidR="00812523" w:rsidRDefault="00DC555D" w:rsidP="00D80568">
      <w:pPr>
        <w:spacing w:after="240"/>
        <w:rPr>
          <w:szCs w:val="22"/>
        </w:rPr>
      </w:pPr>
      <w:r w:rsidRPr="00A52A3E">
        <w:rPr>
          <w:lang w:eastAsia="en-US"/>
        </w:rPr>
        <w:t xml:space="preserve">The </w:t>
      </w:r>
      <w:r>
        <w:rPr>
          <w:i/>
          <w:lang w:eastAsia="en-US"/>
        </w:rPr>
        <w:t>Parliamentary</w:t>
      </w:r>
      <w:r w:rsidRPr="00A52A3E">
        <w:rPr>
          <w:i/>
          <w:lang w:eastAsia="en-US"/>
        </w:rPr>
        <w:t xml:space="preserve"> Service Act 1999</w:t>
      </w:r>
      <w:r>
        <w:rPr>
          <w:lang w:eastAsia="en-US"/>
        </w:rPr>
        <w:t xml:space="preserve"> (the Act</w:t>
      </w:r>
      <w:r w:rsidRPr="00A52A3E">
        <w:rPr>
          <w:lang w:eastAsia="en-US"/>
        </w:rPr>
        <w:t xml:space="preserve">) </w:t>
      </w:r>
      <w:r>
        <w:rPr>
          <w:lang w:eastAsia="en-US"/>
        </w:rPr>
        <w:t>establishes the</w:t>
      </w:r>
      <w:r w:rsidRPr="00A52A3E">
        <w:rPr>
          <w:lang w:eastAsia="en-US"/>
        </w:rPr>
        <w:t xml:space="preserve"> </w:t>
      </w:r>
      <w:r>
        <w:rPr>
          <w:lang w:eastAsia="en-US"/>
        </w:rPr>
        <w:t>Parliamentary</w:t>
      </w:r>
      <w:r w:rsidRPr="00A52A3E">
        <w:rPr>
          <w:lang w:eastAsia="en-US"/>
        </w:rPr>
        <w:t xml:space="preserve"> Service</w:t>
      </w:r>
      <w:r>
        <w:rPr>
          <w:lang w:eastAsia="en-US"/>
        </w:rPr>
        <w:t>. Subsection 71</w:t>
      </w:r>
      <w:r w:rsidRPr="00A52A3E">
        <w:rPr>
          <w:lang w:eastAsia="en-US"/>
        </w:rPr>
        <w:t xml:space="preserve">(1) of the Act provides that the </w:t>
      </w:r>
      <w:r>
        <w:rPr>
          <w:lang w:eastAsia="en-US"/>
        </w:rPr>
        <w:t xml:space="preserve">Presiding Officers </w:t>
      </w:r>
      <w:r w:rsidRPr="00A52A3E">
        <w:rPr>
          <w:lang w:eastAsia="en-US"/>
        </w:rPr>
        <w:t xml:space="preserve">may make </w:t>
      </w:r>
      <w:r>
        <w:rPr>
          <w:lang w:eastAsia="en-US"/>
        </w:rPr>
        <w:t>determinations</w:t>
      </w:r>
      <w:r w:rsidRPr="00A52A3E">
        <w:rPr>
          <w:lang w:eastAsia="en-US"/>
        </w:rPr>
        <w:t xml:space="preserve"> prescribing matters required or permitted by the Act to be prescribed, or necessary or convenient to be prescribed, for carrying out or giving effect to the Act.</w:t>
      </w:r>
      <w:r w:rsidR="00BD79A9">
        <w:rPr>
          <w:lang w:eastAsia="en-US"/>
        </w:rPr>
        <w:t xml:space="preserve"> Subsection 71(1) specifies that the Presiding Officers may make determinations after consulting the Parliamentary Service Commissioner.</w:t>
      </w:r>
    </w:p>
    <w:p w:rsidR="00A028B9" w:rsidRDefault="00A028B9" w:rsidP="00A028B9">
      <w:pPr>
        <w:spacing w:after="120"/>
        <w:rPr>
          <w:szCs w:val="20"/>
        </w:rPr>
      </w:pPr>
      <w:r>
        <w:rPr>
          <w:rFonts w:ascii="Times" w:hAnsi="Times" w:cs="Arial"/>
          <w:b/>
          <w:bCs/>
          <w:iCs/>
          <w:sz w:val="26"/>
          <w:szCs w:val="28"/>
        </w:rPr>
        <w:t>Overview</w:t>
      </w:r>
      <w:r w:rsidR="00CC72DA">
        <w:rPr>
          <w:rFonts w:ascii="Times" w:hAnsi="Times" w:cs="Arial"/>
          <w:b/>
          <w:bCs/>
          <w:iCs/>
          <w:sz w:val="26"/>
          <w:szCs w:val="28"/>
        </w:rPr>
        <w:t xml:space="preserve"> of the amendments</w:t>
      </w:r>
      <w:r w:rsidRPr="00A7376D">
        <w:rPr>
          <w:szCs w:val="20"/>
        </w:rPr>
        <w:t xml:space="preserve"> </w:t>
      </w:r>
    </w:p>
    <w:p w:rsidR="00CC72DA" w:rsidRDefault="00BD79A9" w:rsidP="00CC72DA">
      <w:pPr>
        <w:rPr>
          <w:iCs/>
          <w:szCs w:val="20"/>
          <w:lang w:eastAsia="en-US"/>
        </w:rPr>
      </w:pPr>
      <w:r>
        <w:rPr>
          <w:i/>
          <w:iCs/>
          <w:szCs w:val="20"/>
          <w:lang w:eastAsia="en-US"/>
        </w:rPr>
        <w:t>Parliamentary</w:t>
      </w:r>
      <w:r w:rsidRPr="00A52A3E">
        <w:rPr>
          <w:i/>
          <w:iCs/>
          <w:szCs w:val="20"/>
          <w:lang w:eastAsia="en-US"/>
        </w:rPr>
        <w:t xml:space="preserve"> Service </w:t>
      </w:r>
      <w:r>
        <w:rPr>
          <w:i/>
          <w:iCs/>
          <w:szCs w:val="20"/>
          <w:lang w:eastAsia="en-US"/>
        </w:rPr>
        <w:t xml:space="preserve">Amendment Determination </w:t>
      </w:r>
      <w:r w:rsidRPr="00A52A3E">
        <w:rPr>
          <w:i/>
          <w:iCs/>
          <w:szCs w:val="20"/>
          <w:lang w:eastAsia="en-US"/>
        </w:rPr>
        <w:t>2013</w:t>
      </w:r>
      <w:r>
        <w:rPr>
          <w:i/>
          <w:iCs/>
          <w:szCs w:val="20"/>
          <w:lang w:eastAsia="en-US"/>
        </w:rPr>
        <w:t xml:space="preserve"> (No.1)</w:t>
      </w:r>
      <w:r>
        <w:rPr>
          <w:iCs/>
          <w:szCs w:val="20"/>
          <w:lang w:eastAsia="en-US"/>
        </w:rPr>
        <w:t xml:space="preserve"> (this </w:t>
      </w:r>
      <w:r w:rsidR="0011081B">
        <w:rPr>
          <w:iCs/>
          <w:szCs w:val="20"/>
          <w:lang w:eastAsia="en-US"/>
        </w:rPr>
        <w:t xml:space="preserve">Amendment </w:t>
      </w:r>
      <w:r>
        <w:rPr>
          <w:iCs/>
          <w:szCs w:val="20"/>
          <w:lang w:eastAsia="en-US"/>
        </w:rPr>
        <w:t xml:space="preserve">Determination) </w:t>
      </w:r>
      <w:r w:rsidR="003A0847">
        <w:rPr>
          <w:iCs/>
          <w:szCs w:val="20"/>
          <w:lang w:eastAsia="en-US"/>
        </w:rPr>
        <w:t xml:space="preserve">amends </w:t>
      </w:r>
      <w:r w:rsidR="003A0847">
        <w:rPr>
          <w:i/>
          <w:iCs/>
          <w:szCs w:val="20"/>
          <w:lang w:eastAsia="en-US"/>
        </w:rPr>
        <w:t>Parliamentary Service Determination 2013</w:t>
      </w:r>
      <w:r w:rsidR="003A0847">
        <w:rPr>
          <w:iCs/>
          <w:szCs w:val="20"/>
          <w:lang w:eastAsia="en-US"/>
        </w:rPr>
        <w:t xml:space="preserve"> (the </w:t>
      </w:r>
      <w:r w:rsidR="00CC72DA">
        <w:rPr>
          <w:iCs/>
          <w:szCs w:val="20"/>
          <w:lang w:eastAsia="en-US"/>
        </w:rPr>
        <w:t>P</w:t>
      </w:r>
      <w:r w:rsidR="003A0847">
        <w:rPr>
          <w:iCs/>
          <w:szCs w:val="20"/>
          <w:lang w:eastAsia="en-US"/>
        </w:rPr>
        <w:t xml:space="preserve">rincipal Determination) which came into effect on 1 July 2013. </w:t>
      </w:r>
    </w:p>
    <w:p w:rsidR="007534E4" w:rsidRDefault="0046736A" w:rsidP="00D80568">
      <w:pPr>
        <w:spacing w:before="240"/>
      </w:pPr>
      <w:r>
        <w:t xml:space="preserve">This Amendment Determination provides </w:t>
      </w:r>
      <w:r w:rsidR="003A0847">
        <w:t>for suspension of employees from duties and clarif</w:t>
      </w:r>
      <w:r>
        <w:t>ies</w:t>
      </w:r>
      <w:r w:rsidR="003A0847">
        <w:t xml:space="preserve"> arrangements for move</w:t>
      </w:r>
      <w:r>
        <w:t>ment of employees</w:t>
      </w:r>
      <w:r w:rsidR="007534E4">
        <w:t xml:space="preserve"> </w:t>
      </w:r>
      <w:r w:rsidR="003A0847">
        <w:t xml:space="preserve">between parliamentary departments. </w:t>
      </w:r>
      <w:r w:rsidR="00CC72DA">
        <w:t xml:space="preserve">It also corrects </w:t>
      </w:r>
      <w:r w:rsidR="00801A2C">
        <w:t xml:space="preserve">minor </w:t>
      </w:r>
      <w:r w:rsidR="00CC72DA">
        <w:t>typographical errors in the Principal Determination.</w:t>
      </w:r>
      <w:r w:rsidR="002729F7">
        <w:t xml:space="preserve"> </w:t>
      </w:r>
    </w:p>
    <w:p w:rsidR="00D80568" w:rsidRDefault="007534E4" w:rsidP="00D80568">
      <w:pPr>
        <w:spacing w:before="240"/>
        <w:rPr>
          <w:rFonts w:ascii="Times" w:hAnsi="Times" w:cs="Arial"/>
          <w:b/>
          <w:bCs/>
          <w:iCs/>
          <w:sz w:val="26"/>
          <w:szCs w:val="28"/>
        </w:rPr>
      </w:pPr>
      <w:r w:rsidRPr="000B0D11">
        <w:rPr>
          <w:rFonts w:ascii="Times" w:hAnsi="Times" w:cs="Arial"/>
          <w:b/>
          <w:bCs/>
          <w:iCs/>
          <w:sz w:val="26"/>
          <w:szCs w:val="28"/>
        </w:rPr>
        <w:t>Regulation Impact Statement</w:t>
      </w:r>
    </w:p>
    <w:p w:rsidR="00D80568" w:rsidRDefault="007534E4" w:rsidP="00D80568">
      <w:pPr>
        <w:spacing w:before="240"/>
      </w:pPr>
      <w:r w:rsidRPr="00A81828">
        <w:rPr>
          <w:rFonts w:ascii="Times" w:hAnsi="Times" w:cs="Arial"/>
          <w:bCs/>
          <w:iCs/>
        </w:rPr>
        <w:t>No r</w:t>
      </w:r>
      <w:r w:rsidRPr="002729F7">
        <w:t>egulation impact statement is required for the measures contained in this Determination.</w:t>
      </w:r>
    </w:p>
    <w:p w:rsidR="00D80568" w:rsidRDefault="007534E4" w:rsidP="00D80568">
      <w:pPr>
        <w:spacing w:before="240"/>
        <w:rPr>
          <w:rFonts w:ascii="Times" w:hAnsi="Times" w:cs="Arial"/>
          <w:b/>
          <w:bCs/>
          <w:iCs/>
          <w:sz w:val="26"/>
          <w:szCs w:val="28"/>
        </w:rPr>
      </w:pPr>
      <w:r>
        <w:rPr>
          <w:rFonts w:ascii="Times" w:hAnsi="Times" w:cs="Arial"/>
          <w:b/>
          <w:bCs/>
          <w:iCs/>
          <w:sz w:val="26"/>
          <w:szCs w:val="28"/>
        </w:rPr>
        <w:t xml:space="preserve">Statement of Compatibility with Human Rights </w:t>
      </w:r>
    </w:p>
    <w:p w:rsidR="00D80568" w:rsidRDefault="007534E4" w:rsidP="00D80568">
      <w:pPr>
        <w:spacing w:before="240"/>
        <w:rPr>
          <w:rFonts w:ascii="Times" w:hAnsi="Times" w:cs="Arial"/>
          <w:bCs/>
          <w:i/>
          <w:iCs/>
        </w:rPr>
      </w:pPr>
      <w:r w:rsidRPr="00A81828">
        <w:rPr>
          <w:rFonts w:ascii="Times" w:hAnsi="Times" w:cs="Arial"/>
          <w:bCs/>
          <w:iCs/>
        </w:rPr>
        <w:t xml:space="preserve">A Statement of Compatibility with Human Rights has been completed for the Amendment Determination, in accordance with the </w:t>
      </w:r>
      <w:r w:rsidRPr="00A81828">
        <w:rPr>
          <w:rFonts w:ascii="Times" w:hAnsi="Times" w:cs="Arial"/>
          <w:bCs/>
          <w:i/>
          <w:iCs/>
        </w:rPr>
        <w:t xml:space="preserve">Human Rights (Parliamentary Scrutiny) Act 2011. </w:t>
      </w:r>
      <w:r w:rsidRPr="00A81828">
        <w:rPr>
          <w:rFonts w:ascii="Times" w:hAnsi="Times" w:cs="Arial"/>
          <w:bCs/>
          <w:iCs/>
        </w:rPr>
        <w:t xml:space="preserve">The Statement’s assessment is that the Amendment Regulation is compatible with human rights and freedoms recognised or declared in the international instruments listed in section 3 of the </w:t>
      </w:r>
      <w:r w:rsidRPr="00A81828">
        <w:rPr>
          <w:rFonts w:ascii="Times" w:hAnsi="Times" w:cs="Arial"/>
          <w:bCs/>
          <w:i/>
          <w:iCs/>
        </w:rPr>
        <w:t xml:space="preserve">Human Rights (Parliamentary Scrutiny) Act 2011. </w:t>
      </w:r>
    </w:p>
    <w:p w:rsidR="00D80568" w:rsidRDefault="007534E4" w:rsidP="00D80568">
      <w:pPr>
        <w:spacing w:before="240"/>
        <w:rPr>
          <w:rFonts w:ascii="Times" w:hAnsi="Times" w:cs="Arial"/>
          <w:b/>
          <w:bCs/>
          <w:iCs/>
          <w:sz w:val="26"/>
          <w:szCs w:val="28"/>
        </w:rPr>
      </w:pPr>
      <w:r>
        <w:rPr>
          <w:rFonts w:ascii="Times" w:hAnsi="Times" w:cs="Arial"/>
          <w:b/>
          <w:bCs/>
          <w:iCs/>
          <w:sz w:val="26"/>
          <w:szCs w:val="28"/>
        </w:rPr>
        <w:t>Human rights implications</w:t>
      </w:r>
    </w:p>
    <w:p w:rsidR="00D80568" w:rsidRDefault="007534E4" w:rsidP="00D80568">
      <w:pPr>
        <w:spacing w:before="240"/>
      </w:pPr>
      <w:r>
        <w:t xml:space="preserve">The Amendment Determination engages the right to work. </w:t>
      </w:r>
      <w:r w:rsidRPr="00C624C6">
        <w:t>The right to work</w:t>
      </w:r>
      <w:r w:rsidR="00854C92">
        <w:t>, including the right of everyone to gain a living by work that is freely chosen and accepted, is</w:t>
      </w:r>
      <w:r w:rsidRPr="00C624C6">
        <w:t xml:space="preserve"> contained in Article 6(1) of the International Covenant on Economic, Social and Cultural Rights (ICESCR).</w:t>
      </w:r>
    </w:p>
    <w:p w:rsidR="00D80568" w:rsidRDefault="007534E4" w:rsidP="00D80568">
      <w:pPr>
        <w:spacing w:before="240"/>
        <w:rPr>
          <w:szCs w:val="20"/>
          <w:lang w:eastAsia="en-US"/>
        </w:rPr>
      </w:pPr>
      <w:r>
        <w:rPr>
          <w:szCs w:val="20"/>
          <w:lang w:eastAsia="en-US"/>
        </w:rPr>
        <w:t>This Amendment Determination contains a provision for suspension of employees from duties. Suspension may occur only if the Secretary of the employee’s department believes, on reasonable grounds, that the employee has, or may have, breached the Parliamentary Service Code of Conduct and that the suspension is in the public, or the department’s</w:t>
      </w:r>
      <w:r w:rsidR="00C53854">
        <w:rPr>
          <w:szCs w:val="20"/>
          <w:lang w:eastAsia="en-US"/>
        </w:rPr>
        <w:t>,</w:t>
      </w:r>
      <w:r>
        <w:rPr>
          <w:szCs w:val="20"/>
          <w:lang w:eastAsia="en-US"/>
        </w:rPr>
        <w:t xml:space="preserve"> interest. The provision is subject to limitations, including requirements for procedural fairness in all but </w:t>
      </w:r>
      <w:r>
        <w:rPr>
          <w:szCs w:val="20"/>
          <w:lang w:eastAsia="en-US"/>
        </w:rPr>
        <w:lastRenderedPageBreak/>
        <w:t>exceptional circumstances and a right to review of a suspension decision, intended to ensure that the employee’s right to employment is not unreasonably restricted.</w:t>
      </w:r>
    </w:p>
    <w:p w:rsidR="00AE3F03" w:rsidRDefault="00AE3F03" w:rsidP="00AE3F03">
      <w:pPr>
        <w:spacing w:before="240"/>
        <w:rPr>
          <w:szCs w:val="20"/>
          <w:lang w:eastAsia="en-US"/>
        </w:rPr>
      </w:pPr>
      <w:r>
        <w:rPr>
          <w:szCs w:val="20"/>
          <w:lang w:eastAsia="en-US"/>
        </w:rPr>
        <w:t>This Amendment Determination also includes provision for employees to move between Parliamentary Service departments with the employee’s written agreement. This provision does not limit any human rights.</w:t>
      </w:r>
    </w:p>
    <w:p w:rsidR="00AE3F03" w:rsidRDefault="00AE3F03" w:rsidP="00AE3F03">
      <w:pPr>
        <w:spacing w:before="100" w:beforeAutospacing="1"/>
      </w:pPr>
      <w:r>
        <w:t>Therefore, to the extent that the Amendment Determination engages with human rights, it does so in a reasonable, necessary and proportionate way.</w:t>
      </w:r>
    </w:p>
    <w:p w:rsidR="00074BCC" w:rsidRDefault="00074BCC" w:rsidP="00074BCC">
      <w:bookmarkStart w:id="0" w:name="_GoBack"/>
      <w:bookmarkEnd w:id="0"/>
    </w:p>
    <w:p w:rsidR="007534E4" w:rsidRDefault="007534E4" w:rsidP="007534E4">
      <w:pPr>
        <w:keepNext/>
        <w:spacing w:after="120"/>
        <w:outlineLvl w:val="1"/>
        <w:rPr>
          <w:rFonts w:ascii="Times" w:hAnsi="Times" w:cs="Arial"/>
          <w:bCs/>
          <w:iCs/>
          <w:sz w:val="26"/>
          <w:szCs w:val="28"/>
        </w:rPr>
      </w:pPr>
      <w:r>
        <w:rPr>
          <w:rFonts w:ascii="Times" w:hAnsi="Times" w:cs="Arial"/>
          <w:b/>
          <w:bCs/>
          <w:iCs/>
          <w:sz w:val="26"/>
          <w:szCs w:val="28"/>
        </w:rPr>
        <w:t>Consultation</w:t>
      </w:r>
    </w:p>
    <w:p w:rsidR="007534E4" w:rsidRPr="00AE7372" w:rsidRDefault="007534E4" w:rsidP="007534E4">
      <w:pPr>
        <w:rPr>
          <w:szCs w:val="20"/>
          <w:lang w:eastAsia="en-US"/>
        </w:rPr>
      </w:pPr>
      <w:r>
        <w:rPr>
          <w:szCs w:val="20"/>
          <w:lang w:eastAsia="en-US"/>
        </w:rPr>
        <w:t xml:space="preserve">This Amendment Determination was made by the Presiding Officers after they had consulted with the Commissioner in accordance with the requirement mentioned above. </w:t>
      </w:r>
    </w:p>
    <w:p w:rsidR="007534E4" w:rsidRPr="00A52A3E" w:rsidRDefault="007534E4" w:rsidP="007534E4">
      <w:pPr>
        <w:rPr>
          <w:szCs w:val="20"/>
          <w:lang w:eastAsia="en-US"/>
        </w:rPr>
      </w:pPr>
    </w:p>
    <w:p w:rsidR="007534E4" w:rsidRPr="00A52A3E" w:rsidRDefault="007534E4" w:rsidP="007534E4">
      <w:pPr>
        <w:rPr>
          <w:szCs w:val="20"/>
          <w:lang w:eastAsia="en-US"/>
        </w:rPr>
      </w:pPr>
      <w:r>
        <w:rPr>
          <w:szCs w:val="20"/>
          <w:lang w:eastAsia="en-US"/>
        </w:rPr>
        <w:t>This Determination</w:t>
      </w:r>
      <w:r w:rsidRPr="00A52A3E">
        <w:rPr>
          <w:szCs w:val="20"/>
          <w:lang w:eastAsia="en-US"/>
        </w:rPr>
        <w:t xml:space="preserve"> is a legislative instrument for the purposes of the </w:t>
      </w:r>
      <w:r w:rsidRPr="00A52A3E">
        <w:rPr>
          <w:i/>
          <w:szCs w:val="20"/>
          <w:lang w:eastAsia="en-US"/>
        </w:rPr>
        <w:t>Legislative Instruments Act 2003</w:t>
      </w:r>
      <w:r w:rsidRPr="00A52A3E">
        <w:rPr>
          <w:szCs w:val="20"/>
          <w:lang w:eastAsia="en-US"/>
        </w:rPr>
        <w:t>.</w:t>
      </w:r>
    </w:p>
    <w:p w:rsidR="007534E4" w:rsidRPr="00A52A3E" w:rsidRDefault="007534E4" w:rsidP="007534E4">
      <w:pPr>
        <w:rPr>
          <w:szCs w:val="20"/>
          <w:lang w:eastAsia="en-US"/>
        </w:rPr>
      </w:pPr>
    </w:p>
    <w:p w:rsidR="007534E4" w:rsidRDefault="007534E4" w:rsidP="007534E4">
      <w:pPr>
        <w:spacing w:after="120"/>
        <w:rPr>
          <w:szCs w:val="20"/>
          <w:lang w:eastAsia="en-US"/>
        </w:rPr>
      </w:pPr>
      <w:r>
        <w:rPr>
          <w:szCs w:val="20"/>
          <w:lang w:eastAsia="en-US"/>
        </w:rPr>
        <w:t>This Determination</w:t>
      </w:r>
      <w:r w:rsidRPr="00A52A3E">
        <w:rPr>
          <w:szCs w:val="20"/>
          <w:lang w:eastAsia="en-US"/>
        </w:rPr>
        <w:t xml:space="preserve"> commences on </w:t>
      </w:r>
      <w:r>
        <w:rPr>
          <w:szCs w:val="20"/>
          <w:lang w:eastAsia="en-US"/>
        </w:rPr>
        <w:t>the day after it is registered</w:t>
      </w:r>
      <w:r w:rsidRPr="00A52A3E">
        <w:rPr>
          <w:szCs w:val="20"/>
          <w:lang w:eastAsia="en-US"/>
        </w:rPr>
        <w:t>.</w:t>
      </w:r>
    </w:p>
    <w:p w:rsidR="007534E4" w:rsidRDefault="007534E4" w:rsidP="007534E4">
      <w:pPr>
        <w:rPr>
          <w:szCs w:val="20"/>
        </w:rPr>
      </w:pPr>
    </w:p>
    <w:p w:rsidR="007534E4" w:rsidRPr="000B0D11" w:rsidRDefault="007534E4" w:rsidP="007534E4">
      <w:pPr>
        <w:rPr>
          <w:i/>
          <w:szCs w:val="20"/>
        </w:rPr>
      </w:pPr>
      <w:r>
        <w:rPr>
          <w:szCs w:val="20"/>
        </w:rPr>
        <w:tab/>
      </w:r>
      <w:r>
        <w:rPr>
          <w:szCs w:val="20"/>
        </w:rPr>
        <w:tab/>
      </w:r>
      <w:r>
        <w:rPr>
          <w:szCs w:val="20"/>
        </w:rPr>
        <w:tab/>
      </w:r>
      <w:r>
        <w:rPr>
          <w:szCs w:val="20"/>
          <w:u w:val="single"/>
        </w:rPr>
        <w:t>Authority</w:t>
      </w:r>
      <w:r>
        <w:rPr>
          <w:szCs w:val="20"/>
        </w:rPr>
        <w:t xml:space="preserve">:  Subsection 71(1) of the </w:t>
      </w:r>
      <w:r>
        <w:rPr>
          <w:i/>
          <w:szCs w:val="20"/>
        </w:rPr>
        <w:t>Parliamentary Service Act 1999</w:t>
      </w:r>
    </w:p>
    <w:p w:rsidR="007534E4" w:rsidRDefault="007534E4" w:rsidP="007534E4">
      <w:pPr>
        <w:rPr>
          <w:szCs w:val="20"/>
        </w:rPr>
      </w:pPr>
      <w:r>
        <w:rPr>
          <w:szCs w:val="20"/>
        </w:rPr>
        <w:br w:type="page"/>
      </w:r>
    </w:p>
    <w:p w:rsidR="007534E4" w:rsidRDefault="007534E4" w:rsidP="002729F7">
      <w:pPr>
        <w:spacing w:after="240"/>
      </w:pPr>
    </w:p>
    <w:p w:rsidR="00A028B9" w:rsidRDefault="002F5E8E" w:rsidP="00A028B9">
      <w:pPr>
        <w:keepNext/>
        <w:spacing w:after="120"/>
        <w:ind w:left="1433" w:hanging="1410"/>
        <w:outlineLvl w:val="8"/>
        <w:rPr>
          <w:b/>
          <w:sz w:val="28"/>
          <w:szCs w:val="20"/>
        </w:rPr>
      </w:pPr>
      <w:r>
        <w:rPr>
          <w:b/>
          <w:sz w:val="28"/>
          <w:szCs w:val="20"/>
        </w:rPr>
        <w:t>Notes on clauses</w:t>
      </w:r>
    </w:p>
    <w:p w:rsidR="002F5E8E" w:rsidRDefault="002F5E8E" w:rsidP="00A028B9">
      <w:pPr>
        <w:keepNext/>
        <w:spacing w:after="120"/>
        <w:ind w:left="1433" w:hanging="1410"/>
        <w:outlineLvl w:val="8"/>
        <w:rPr>
          <w:b/>
        </w:rPr>
      </w:pPr>
    </w:p>
    <w:p w:rsidR="002F5E8E" w:rsidRDefault="002F5E8E" w:rsidP="00817470">
      <w:pPr>
        <w:keepNext/>
        <w:spacing w:after="120"/>
        <w:ind w:firstLine="23"/>
        <w:outlineLvl w:val="8"/>
        <w:rPr>
          <w:b/>
        </w:rPr>
      </w:pPr>
      <w:r>
        <w:rPr>
          <w:b/>
        </w:rPr>
        <w:t xml:space="preserve">Clause 1—Name of Determination </w:t>
      </w:r>
    </w:p>
    <w:p w:rsidR="002F5E8E" w:rsidRDefault="002F5E8E" w:rsidP="00817470">
      <w:pPr>
        <w:keepNext/>
        <w:spacing w:after="120"/>
        <w:ind w:firstLine="23"/>
        <w:outlineLvl w:val="8"/>
        <w:rPr>
          <w:iCs/>
          <w:szCs w:val="20"/>
          <w:lang w:eastAsia="en-US"/>
        </w:rPr>
      </w:pPr>
      <w:r>
        <w:t>This clause name</w:t>
      </w:r>
      <w:r w:rsidR="00B8015E">
        <w:t>s</w:t>
      </w:r>
      <w:r>
        <w:t xml:space="preserve"> th</w:t>
      </w:r>
      <w:r w:rsidR="00B8015E">
        <w:t>e</w:t>
      </w:r>
      <w:r>
        <w:t xml:space="preserve"> Determination </w:t>
      </w:r>
      <w:r w:rsidR="00B8015E">
        <w:t>a</w:t>
      </w:r>
      <w:r>
        <w:t xml:space="preserve">s the </w:t>
      </w:r>
      <w:r>
        <w:rPr>
          <w:i/>
          <w:iCs/>
          <w:szCs w:val="20"/>
          <w:lang w:eastAsia="en-US"/>
        </w:rPr>
        <w:t>Parliamentary</w:t>
      </w:r>
      <w:r w:rsidRPr="00A52A3E">
        <w:rPr>
          <w:i/>
          <w:iCs/>
          <w:szCs w:val="20"/>
          <w:lang w:eastAsia="en-US"/>
        </w:rPr>
        <w:t xml:space="preserve"> Service </w:t>
      </w:r>
      <w:r>
        <w:rPr>
          <w:i/>
          <w:iCs/>
          <w:szCs w:val="20"/>
          <w:lang w:eastAsia="en-US"/>
        </w:rPr>
        <w:t xml:space="preserve">Amendment Determination </w:t>
      </w:r>
      <w:r w:rsidRPr="00A52A3E">
        <w:rPr>
          <w:i/>
          <w:iCs/>
          <w:szCs w:val="20"/>
          <w:lang w:eastAsia="en-US"/>
        </w:rPr>
        <w:t>2013</w:t>
      </w:r>
      <w:r>
        <w:rPr>
          <w:i/>
          <w:iCs/>
          <w:szCs w:val="20"/>
          <w:lang w:eastAsia="en-US"/>
        </w:rPr>
        <w:t xml:space="preserve"> (No.1)</w:t>
      </w:r>
      <w:r>
        <w:rPr>
          <w:iCs/>
          <w:szCs w:val="20"/>
          <w:lang w:eastAsia="en-US"/>
        </w:rPr>
        <w:t>.</w:t>
      </w:r>
    </w:p>
    <w:p w:rsidR="002F5E8E" w:rsidRDefault="002F5E8E" w:rsidP="00817470">
      <w:pPr>
        <w:keepNext/>
        <w:spacing w:after="120"/>
        <w:ind w:firstLine="23"/>
        <w:outlineLvl w:val="8"/>
        <w:rPr>
          <w:b/>
          <w:iCs/>
          <w:szCs w:val="20"/>
          <w:lang w:eastAsia="en-US"/>
        </w:rPr>
      </w:pPr>
      <w:r>
        <w:rPr>
          <w:b/>
          <w:iCs/>
          <w:szCs w:val="20"/>
          <w:lang w:eastAsia="en-US"/>
        </w:rPr>
        <w:t>Clause 2—Commencement</w:t>
      </w:r>
    </w:p>
    <w:p w:rsidR="002F5E8E" w:rsidRDefault="002F5E8E" w:rsidP="00817470">
      <w:pPr>
        <w:keepNext/>
        <w:spacing w:after="120"/>
        <w:ind w:firstLine="23"/>
        <w:outlineLvl w:val="8"/>
        <w:rPr>
          <w:iCs/>
          <w:szCs w:val="20"/>
          <w:lang w:eastAsia="en-US"/>
        </w:rPr>
      </w:pPr>
      <w:r>
        <w:rPr>
          <w:iCs/>
          <w:szCs w:val="20"/>
          <w:lang w:eastAsia="en-US"/>
        </w:rPr>
        <w:t>This clause provides that th</w:t>
      </w:r>
      <w:r w:rsidR="00B8015E">
        <w:rPr>
          <w:iCs/>
          <w:szCs w:val="20"/>
          <w:lang w:eastAsia="en-US"/>
        </w:rPr>
        <w:t>e</w:t>
      </w:r>
      <w:r>
        <w:rPr>
          <w:iCs/>
          <w:szCs w:val="20"/>
          <w:lang w:eastAsia="en-US"/>
        </w:rPr>
        <w:t xml:space="preserve"> Determination commences on the day after it is registered.</w:t>
      </w:r>
    </w:p>
    <w:p w:rsidR="002F5E8E" w:rsidRDefault="002F5E8E" w:rsidP="00817470">
      <w:pPr>
        <w:keepNext/>
        <w:spacing w:after="120"/>
        <w:ind w:firstLine="23"/>
        <w:outlineLvl w:val="8"/>
        <w:rPr>
          <w:b/>
          <w:iCs/>
          <w:szCs w:val="20"/>
          <w:lang w:eastAsia="en-US"/>
        </w:rPr>
      </w:pPr>
      <w:r>
        <w:rPr>
          <w:b/>
          <w:iCs/>
          <w:szCs w:val="20"/>
          <w:lang w:eastAsia="en-US"/>
        </w:rPr>
        <w:t>Clause 3—Authority</w:t>
      </w:r>
    </w:p>
    <w:p w:rsidR="002F5E8E" w:rsidRDefault="002F5E8E" w:rsidP="00817470">
      <w:pPr>
        <w:keepNext/>
        <w:spacing w:after="120"/>
        <w:ind w:firstLine="23"/>
        <w:outlineLvl w:val="8"/>
        <w:rPr>
          <w:iCs/>
          <w:szCs w:val="20"/>
          <w:lang w:eastAsia="en-US"/>
        </w:rPr>
      </w:pPr>
      <w:r>
        <w:rPr>
          <w:iCs/>
          <w:szCs w:val="20"/>
          <w:lang w:eastAsia="en-US"/>
        </w:rPr>
        <w:t>This clause provides that th</w:t>
      </w:r>
      <w:r w:rsidR="00B8015E">
        <w:rPr>
          <w:iCs/>
          <w:szCs w:val="20"/>
          <w:lang w:eastAsia="en-US"/>
        </w:rPr>
        <w:t>e</w:t>
      </w:r>
      <w:r>
        <w:rPr>
          <w:iCs/>
          <w:szCs w:val="20"/>
          <w:lang w:eastAsia="en-US"/>
        </w:rPr>
        <w:t xml:space="preserve"> Determination is made under the </w:t>
      </w:r>
      <w:r>
        <w:rPr>
          <w:i/>
          <w:iCs/>
          <w:szCs w:val="20"/>
          <w:lang w:eastAsia="en-US"/>
        </w:rPr>
        <w:t>Parliamentary Service Act 1999</w:t>
      </w:r>
      <w:r>
        <w:rPr>
          <w:iCs/>
          <w:szCs w:val="20"/>
          <w:lang w:eastAsia="en-US"/>
        </w:rPr>
        <w:t>.</w:t>
      </w:r>
    </w:p>
    <w:p w:rsidR="002F5E8E" w:rsidRDefault="002F5E8E" w:rsidP="00817470">
      <w:pPr>
        <w:keepNext/>
        <w:spacing w:after="120"/>
        <w:ind w:firstLine="23"/>
        <w:outlineLvl w:val="8"/>
        <w:rPr>
          <w:b/>
          <w:iCs/>
          <w:szCs w:val="20"/>
          <w:lang w:eastAsia="en-US"/>
        </w:rPr>
      </w:pPr>
      <w:r>
        <w:rPr>
          <w:b/>
          <w:iCs/>
          <w:szCs w:val="20"/>
          <w:lang w:eastAsia="en-US"/>
        </w:rPr>
        <w:t>Clause 4—Schedule(s)</w:t>
      </w:r>
    </w:p>
    <w:p w:rsidR="00817470" w:rsidRDefault="00817470" w:rsidP="00817470">
      <w:pPr>
        <w:keepNext/>
        <w:spacing w:after="120"/>
        <w:ind w:firstLine="23"/>
        <w:outlineLvl w:val="8"/>
      </w:pPr>
      <w:r>
        <w:rPr>
          <w:bCs/>
          <w:iCs/>
        </w:rPr>
        <w:t xml:space="preserve">This clause </w:t>
      </w:r>
      <w:r w:rsidRPr="00CD761A">
        <w:rPr>
          <w:bCs/>
          <w:iCs/>
        </w:rPr>
        <w:t>p</w:t>
      </w:r>
      <w:r w:rsidRPr="00CD761A">
        <w:t xml:space="preserve">rovides </w:t>
      </w:r>
      <w:r w:rsidR="00B8015E">
        <w:t xml:space="preserve">that the </w:t>
      </w:r>
      <w:r w:rsidR="00B8015E" w:rsidRPr="00A81828">
        <w:rPr>
          <w:i/>
        </w:rPr>
        <w:t>Parliamentary Service Determination 2013</w:t>
      </w:r>
      <w:r w:rsidR="00B8015E">
        <w:t xml:space="preserve"> is amended or repealed as set out in</w:t>
      </w:r>
      <w:r w:rsidRPr="00CD761A">
        <w:t xml:space="preserve"> Schedule 1</w:t>
      </w:r>
      <w:r>
        <w:t>.</w:t>
      </w:r>
    </w:p>
    <w:p w:rsidR="00817470" w:rsidRDefault="00817470" w:rsidP="00817470">
      <w:pPr>
        <w:keepNext/>
        <w:spacing w:after="120"/>
        <w:ind w:firstLine="23"/>
        <w:outlineLvl w:val="8"/>
      </w:pPr>
    </w:p>
    <w:p w:rsidR="00817470" w:rsidRDefault="00817470" w:rsidP="00817470">
      <w:pPr>
        <w:keepNext/>
        <w:spacing w:after="120"/>
        <w:ind w:firstLine="23"/>
        <w:outlineLvl w:val="8"/>
        <w:rPr>
          <w:b/>
          <w:sz w:val="28"/>
          <w:szCs w:val="20"/>
        </w:rPr>
      </w:pPr>
      <w:r w:rsidRPr="00817470">
        <w:rPr>
          <w:b/>
          <w:sz w:val="28"/>
          <w:szCs w:val="20"/>
        </w:rPr>
        <w:t>Schedule 1—Amendments</w:t>
      </w:r>
    </w:p>
    <w:p w:rsidR="00817470" w:rsidRPr="00817470" w:rsidRDefault="00817470" w:rsidP="00817470">
      <w:pPr>
        <w:keepNext/>
        <w:spacing w:after="120"/>
        <w:ind w:firstLine="23"/>
        <w:outlineLvl w:val="8"/>
        <w:rPr>
          <w:b/>
        </w:rPr>
      </w:pPr>
    </w:p>
    <w:p w:rsidR="007534E4" w:rsidRDefault="00817470" w:rsidP="00817470">
      <w:pPr>
        <w:keepNext/>
        <w:spacing w:after="120"/>
        <w:ind w:firstLine="23"/>
        <w:outlineLvl w:val="8"/>
        <w:rPr>
          <w:b/>
        </w:rPr>
      </w:pPr>
      <w:r>
        <w:rPr>
          <w:b/>
        </w:rPr>
        <w:t>Item 1</w:t>
      </w:r>
    </w:p>
    <w:p w:rsidR="00817470" w:rsidRDefault="0059372F" w:rsidP="00817470">
      <w:pPr>
        <w:keepNext/>
        <w:spacing w:after="120"/>
        <w:ind w:firstLine="23"/>
        <w:outlineLvl w:val="8"/>
      </w:pPr>
      <w:r>
        <w:t xml:space="preserve">This item </w:t>
      </w:r>
      <w:r w:rsidR="00817470">
        <w:t xml:space="preserve">repeals a Note to clause 18 referring the reader to section 26 of the Act for engagement of ongoing </w:t>
      </w:r>
      <w:r w:rsidR="00C11480">
        <w:t>Australian Public</w:t>
      </w:r>
      <w:r w:rsidR="00817470">
        <w:t xml:space="preserve"> Service </w:t>
      </w:r>
      <w:r w:rsidR="00EF0632">
        <w:t xml:space="preserve">(APS) </w:t>
      </w:r>
      <w:r w:rsidR="00817470">
        <w:t xml:space="preserve">employees and substitutes a Note </w:t>
      </w:r>
      <w:r w:rsidR="00C11480">
        <w:t>that refer</w:t>
      </w:r>
      <w:r w:rsidR="001A7A51">
        <w:t>s</w:t>
      </w:r>
      <w:r w:rsidR="00C11480">
        <w:t xml:space="preserve"> to </w:t>
      </w:r>
      <w:r w:rsidR="001A7A51">
        <w:t>s</w:t>
      </w:r>
      <w:r w:rsidR="00C11480">
        <w:t>ection</w:t>
      </w:r>
      <w:r w:rsidR="001A7A51">
        <w:t>s 26 and</w:t>
      </w:r>
      <w:r w:rsidR="00C11480">
        <w:t xml:space="preserve"> 26A </w:t>
      </w:r>
      <w:r w:rsidR="001A7A51">
        <w:t>of the Act</w:t>
      </w:r>
      <w:r w:rsidR="00EF0632">
        <w:t xml:space="preserve"> for the engagement of </w:t>
      </w:r>
      <w:r w:rsidR="001A7A51">
        <w:t xml:space="preserve">an </w:t>
      </w:r>
      <w:r w:rsidR="00C11480">
        <w:t>ongoing A</w:t>
      </w:r>
      <w:r w:rsidR="00EF0632">
        <w:t>PS</w:t>
      </w:r>
      <w:r w:rsidR="00C11480">
        <w:t xml:space="preserve"> employee</w:t>
      </w:r>
      <w:r w:rsidR="00EF0632">
        <w:t xml:space="preserve"> as </w:t>
      </w:r>
      <w:r w:rsidR="001A7A51">
        <w:t xml:space="preserve">an ongoing or </w:t>
      </w:r>
      <w:r w:rsidR="00EF0632">
        <w:t>non-ongoing Parliamentary Service employee</w:t>
      </w:r>
      <w:r w:rsidR="00C11480">
        <w:t>.</w:t>
      </w:r>
    </w:p>
    <w:p w:rsidR="0059372F" w:rsidRDefault="00C11480" w:rsidP="00817470">
      <w:pPr>
        <w:keepNext/>
        <w:spacing w:after="120"/>
        <w:ind w:firstLine="23"/>
        <w:outlineLvl w:val="8"/>
        <w:rPr>
          <w:b/>
        </w:rPr>
      </w:pPr>
      <w:r>
        <w:rPr>
          <w:b/>
        </w:rPr>
        <w:t>Item 2</w:t>
      </w:r>
    </w:p>
    <w:p w:rsidR="00C11480" w:rsidRDefault="00817C4C" w:rsidP="00817470">
      <w:pPr>
        <w:keepNext/>
        <w:spacing w:after="120"/>
        <w:ind w:firstLine="23"/>
        <w:outlineLvl w:val="8"/>
      </w:pPr>
      <w:r>
        <w:t xml:space="preserve">This item </w:t>
      </w:r>
      <w:r w:rsidR="00C11480">
        <w:t>re</w:t>
      </w:r>
      <w:r>
        <w:t>peals a Note to clause 32</w:t>
      </w:r>
      <w:r w:rsidR="00C11480">
        <w:t xml:space="preserve"> referring the reader to section 26 of the Act for engagement of ongoing </w:t>
      </w:r>
      <w:r w:rsidR="00EF0632">
        <w:t>APS employees and substitutes a Note that refer</w:t>
      </w:r>
      <w:r w:rsidR="001A7A51">
        <w:t xml:space="preserve">s </w:t>
      </w:r>
      <w:r w:rsidR="00EF0632">
        <w:t xml:space="preserve">to </w:t>
      </w:r>
      <w:r w:rsidR="001A7A51">
        <w:t>s</w:t>
      </w:r>
      <w:r w:rsidR="00EF0632">
        <w:t>ection</w:t>
      </w:r>
      <w:r w:rsidR="001A7A51">
        <w:t>s 26 and</w:t>
      </w:r>
      <w:r w:rsidR="00EF0632">
        <w:t xml:space="preserve"> 26A </w:t>
      </w:r>
      <w:r w:rsidR="001A7A51">
        <w:t xml:space="preserve">of the Act </w:t>
      </w:r>
      <w:r w:rsidR="00EF0632">
        <w:t xml:space="preserve">for the engagement of </w:t>
      </w:r>
      <w:r w:rsidR="001A7A51">
        <w:t xml:space="preserve">an </w:t>
      </w:r>
      <w:r w:rsidR="00EF0632">
        <w:t xml:space="preserve">ongoing APS employee as </w:t>
      </w:r>
      <w:r w:rsidR="001A7A51">
        <w:t xml:space="preserve">an ongoing or </w:t>
      </w:r>
      <w:r w:rsidR="00EF0632">
        <w:t>non-ongoing Parliamentary Service employee.</w:t>
      </w:r>
    </w:p>
    <w:p w:rsidR="0059372F" w:rsidRDefault="00C11480" w:rsidP="00817470">
      <w:pPr>
        <w:keepNext/>
        <w:spacing w:after="120"/>
        <w:ind w:firstLine="23"/>
        <w:outlineLvl w:val="8"/>
      </w:pPr>
      <w:r w:rsidRPr="00C11480">
        <w:rPr>
          <w:b/>
        </w:rPr>
        <w:t>Item 3</w:t>
      </w:r>
    </w:p>
    <w:p w:rsidR="00C11480" w:rsidRDefault="00817C4C" w:rsidP="00817470">
      <w:pPr>
        <w:keepNext/>
        <w:spacing w:after="120"/>
        <w:ind w:firstLine="23"/>
        <w:outlineLvl w:val="8"/>
      </w:pPr>
      <w:r>
        <w:t xml:space="preserve">This item </w:t>
      </w:r>
      <w:r w:rsidR="00C11480" w:rsidRPr="00C11480">
        <w:t>amends</w:t>
      </w:r>
      <w:r>
        <w:t xml:space="preserve"> clause 35</w:t>
      </w:r>
      <w:r w:rsidR="00C11480">
        <w:t xml:space="preserve"> to clarify that the minimum requirement</w:t>
      </w:r>
      <w:r w:rsidR="0046736A">
        <w:t>s for assigning duties at or below classification</w:t>
      </w:r>
      <w:r w:rsidR="00C11480">
        <w:t xml:space="preserve"> apply to all moves from other departments. </w:t>
      </w:r>
    </w:p>
    <w:p w:rsidR="00C11480" w:rsidRDefault="0059372F" w:rsidP="00817470">
      <w:pPr>
        <w:keepNext/>
        <w:spacing w:after="120"/>
        <w:ind w:firstLine="23"/>
        <w:outlineLvl w:val="8"/>
      </w:pPr>
      <w:r>
        <w:rPr>
          <w:b/>
        </w:rPr>
        <w:t>Item 4</w:t>
      </w:r>
      <w:r>
        <w:t xml:space="preserve"> </w:t>
      </w:r>
    </w:p>
    <w:p w:rsidR="0059372F" w:rsidRDefault="00AA5575" w:rsidP="0059372F">
      <w:pPr>
        <w:spacing w:after="120"/>
        <w:rPr>
          <w:szCs w:val="20"/>
        </w:rPr>
      </w:pPr>
      <w:r>
        <w:rPr>
          <w:szCs w:val="20"/>
        </w:rPr>
        <w:t xml:space="preserve">This item inserts a new clause 35A which </w:t>
      </w:r>
      <w:r w:rsidR="0059372F">
        <w:rPr>
          <w:szCs w:val="20"/>
        </w:rPr>
        <w:t>provi</w:t>
      </w:r>
      <w:r>
        <w:rPr>
          <w:szCs w:val="20"/>
        </w:rPr>
        <w:t xml:space="preserve">des </w:t>
      </w:r>
      <w:r w:rsidR="0059372F">
        <w:rPr>
          <w:szCs w:val="20"/>
        </w:rPr>
        <w:t xml:space="preserve">for </w:t>
      </w:r>
      <w:r w:rsidR="00817C4C">
        <w:rPr>
          <w:szCs w:val="20"/>
        </w:rPr>
        <w:t>Parliamentary Service</w:t>
      </w:r>
      <w:r w:rsidR="0059372F">
        <w:rPr>
          <w:szCs w:val="20"/>
        </w:rPr>
        <w:t xml:space="preserve"> employees to move between </w:t>
      </w:r>
      <w:r w:rsidR="00817C4C">
        <w:rPr>
          <w:szCs w:val="20"/>
        </w:rPr>
        <w:t>departments</w:t>
      </w:r>
      <w:r w:rsidR="0059372F">
        <w:rPr>
          <w:szCs w:val="20"/>
        </w:rPr>
        <w:t xml:space="preserve"> subject to a written agreem</w:t>
      </w:r>
      <w:r w:rsidR="00817C4C">
        <w:rPr>
          <w:szCs w:val="20"/>
        </w:rPr>
        <w:t xml:space="preserve">ent between the </w:t>
      </w:r>
      <w:r w:rsidR="00DA4FF8">
        <w:rPr>
          <w:szCs w:val="20"/>
        </w:rPr>
        <w:t>Secretaries</w:t>
      </w:r>
      <w:r w:rsidR="00817C4C">
        <w:rPr>
          <w:szCs w:val="20"/>
        </w:rPr>
        <w:t xml:space="preserve"> of those departments</w:t>
      </w:r>
      <w:r w:rsidR="0059372F">
        <w:rPr>
          <w:szCs w:val="20"/>
        </w:rPr>
        <w:t>.</w:t>
      </w:r>
      <w:r w:rsidR="00542B09">
        <w:rPr>
          <w:szCs w:val="20"/>
        </w:rPr>
        <w:t xml:space="preserve"> The clause is based on, and will operate in essentially the same way as, relevant provisions of subordinate legislation under the </w:t>
      </w:r>
      <w:r w:rsidR="00542B09" w:rsidRPr="00365075">
        <w:rPr>
          <w:i/>
          <w:szCs w:val="20"/>
        </w:rPr>
        <w:t>Public Service Act 1999</w:t>
      </w:r>
      <w:r w:rsidR="00542B09">
        <w:rPr>
          <w:szCs w:val="20"/>
        </w:rPr>
        <w:t xml:space="preserve">. </w:t>
      </w:r>
    </w:p>
    <w:p w:rsidR="0059372F" w:rsidRPr="001F646C" w:rsidRDefault="0059372F" w:rsidP="0059372F">
      <w:pPr>
        <w:spacing w:after="120"/>
        <w:rPr>
          <w:szCs w:val="20"/>
        </w:rPr>
      </w:pPr>
      <w:r>
        <w:rPr>
          <w:szCs w:val="20"/>
        </w:rPr>
        <w:t xml:space="preserve">Subclause </w:t>
      </w:r>
      <w:proofErr w:type="gramStart"/>
      <w:r w:rsidR="00817C4C">
        <w:rPr>
          <w:szCs w:val="20"/>
        </w:rPr>
        <w:t>35A</w:t>
      </w:r>
      <w:r>
        <w:rPr>
          <w:szCs w:val="20"/>
        </w:rPr>
        <w:t>(</w:t>
      </w:r>
      <w:proofErr w:type="gramEnd"/>
      <w:r>
        <w:rPr>
          <w:szCs w:val="20"/>
        </w:rPr>
        <w:t xml:space="preserve">1) </w:t>
      </w:r>
      <w:r w:rsidR="00480B23">
        <w:rPr>
          <w:szCs w:val="20"/>
        </w:rPr>
        <w:t>defines</w:t>
      </w:r>
      <w:r w:rsidR="00DA4FF8">
        <w:rPr>
          <w:szCs w:val="20"/>
        </w:rPr>
        <w:t xml:space="preserve"> ‘</w:t>
      </w:r>
      <w:r w:rsidR="00DA4FF8" w:rsidRPr="00DA4FF8">
        <w:rPr>
          <w:b/>
          <w:i/>
          <w:szCs w:val="20"/>
        </w:rPr>
        <w:t>old department</w:t>
      </w:r>
      <w:r w:rsidR="00DA4FF8">
        <w:rPr>
          <w:szCs w:val="20"/>
        </w:rPr>
        <w:t>’ and ‘</w:t>
      </w:r>
      <w:r w:rsidR="00DA4FF8" w:rsidRPr="00DA4FF8">
        <w:rPr>
          <w:b/>
          <w:i/>
          <w:szCs w:val="20"/>
        </w:rPr>
        <w:t>new department</w:t>
      </w:r>
      <w:r w:rsidR="00DA4FF8">
        <w:rPr>
          <w:szCs w:val="20"/>
        </w:rPr>
        <w:t xml:space="preserve">’ and </w:t>
      </w:r>
      <w:r>
        <w:rPr>
          <w:szCs w:val="20"/>
        </w:rPr>
        <w:t xml:space="preserve">provides that clause </w:t>
      </w:r>
      <w:r w:rsidR="00817C4C">
        <w:rPr>
          <w:szCs w:val="20"/>
        </w:rPr>
        <w:t>35A</w:t>
      </w:r>
      <w:r>
        <w:rPr>
          <w:szCs w:val="20"/>
        </w:rPr>
        <w:t xml:space="preserve"> applies to moves between </w:t>
      </w:r>
      <w:r w:rsidR="00817C4C">
        <w:rPr>
          <w:szCs w:val="20"/>
        </w:rPr>
        <w:t>Parliamentary Service</w:t>
      </w:r>
      <w:r>
        <w:rPr>
          <w:szCs w:val="20"/>
        </w:rPr>
        <w:t xml:space="preserve"> </w:t>
      </w:r>
      <w:r w:rsidR="00817C4C">
        <w:rPr>
          <w:szCs w:val="20"/>
        </w:rPr>
        <w:t>departments</w:t>
      </w:r>
      <w:r w:rsidR="00DA4FF8">
        <w:rPr>
          <w:szCs w:val="20"/>
        </w:rPr>
        <w:t xml:space="preserve"> that are not associated with</w:t>
      </w:r>
      <w:r w:rsidRPr="001F646C">
        <w:rPr>
          <w:szCs w:val="20"/>
        </w:rPr>
        <w:t xml:space="preserve"> promotion.</w:t>
      </w:r>
      <w:r>
        <w:rPr>
          <w:szCs w:val="20"/>
        </w:rPr>
        <w:t xml:space="preserve"> </w:t>
      </w:r>
    </w:p>
    <w:p w:rsidR="0059372F" w:rsidRDefault="0059372F" w:rsidP="0059372F">
      <w:pPr>
        <w:spacing w:after="120"/>
        <w:rPr>
          <w:szCs w:val="20"/>
        </w:rPr>
      </w:pPr>
      <w:r>
        <w:rPr>
          <w:szCs w:val="20"/>
        </w:rPr>
        <w:lastRenderedPageBreak/>
        <w:t>S</w:t>
      </w:r>
      <w:r w:rsidRPr="001F646C">
        <w:rPr>
          <w:szCs w:val="20"/>
        </w:rPr>
        <w:t xml:space="preserve">ubclause </w:t>
      </w:r>
      <w:proofErr w:type="gramStart"/>
      <w:r w:rsidR="00817C4C">
        <w:rPr>
          <w:szCs w:val="20"/>
        </w:rPr>
        <w:t>35A</w:t>
      </w:r>
      <w:r w:rsidRPr="001F646C">
        <w:rPr>
          <w:szCs w:val="20"/>
        </w:rPr>
        <w:t>(</w:t>
      </w:r>
      <w:proofErr w:type="gramEnd"/>
      <w:r w:rsidRPr="001F646C">
        <w:rPr>
          <w:szCs w:val="20"/>
        </w:rPr>
        <w:t xml:space="preserve">2) provides that </w:t>
      </w:r>
      <w:r w:rsidR="00CB6284">
        <w:rPr>
          <w:szCs w:val="20"/>
        </w:rPr>
        <w:t>a written</w:t>
      </w:r>
      <w:r w:rsidR="00DA4FF8">
        <w:rPr>
          <w:szCs w:val="20"/>
        </w:rPr>
        <w:t xml:space="preserve"> </w:t>
      </w:r>
      <w:r w:rsidRPr="001F646C">
        <w:rPr>
          <w:szCs w:val="20"/>
        </w:rPr>
        <w:t xml:space="preserve">agreement between an ongoing </w:t>
      </w:r>
      <w:r w:rsidR="00817C4C">
        <w:rPr>
          <w:szCs w:val="20"/>
        </w:rPr>
        <w:t>Parliamentary Service</w:t>
      </w:r>
      <w:r w:rsidRPr="001F646C">
        <w:rPr>
          <w:szCs w:val="20"/>
        </w:rPr>
        <w:t xml:space="preserve"> employee </w:t>
      </w:r>
      <w:r w:rsidR="00DA4FF8">
        <w:rPr>
          <w:szCs w:val="20"/>
        </w:rPr>
        <w:t>and the Secretary of a new department</w:t>
      </w:r>
      <w:r w:rsidR="00813675">
        <w:rPr>
          <w:szCs w:val="20"/>
        </w:rPr>
        <w:t xml:space="preserve"> </w:t>
      </w:r>
      <w:r w:rsidRPr="001F646C">
        <w:rPr>
          <w:szCs w:val="20"/>
        </w:rPr>
        <w:t>for the employee to move to</w:t>
      </w:r>
      <w:r w:rsidR="00DA4FF8">
        <w:rPr>
          <w:szCs w:val="20"/>
        </w:rPr>
        <w:t xml:space="preserve"> the</w:t>
      </w:r>
      <w:r w:rsidRPr="001F646C">
        <w:rPr>
          <w:szCs w:val="20"/>
        </w:rPr>
        <w:t xml:space="preserve"> new </w:t>
      </w:r>
      <w:r w:rsidR="00817C4C">
        <w:rPr>
          <w:szCs w:val="20"/>
        </w:rPr>
        <w:t>department</w:t>
      </w:r>
      <w:r w:rsidR="00CB6284">
        <w:rPr>
          <w:szCs w:val="20"/>
        </w:rPr>
        <w:t xml:space="preserve"> has</w:t>
      </w:r>
      <w:r w:rsidRPr="001F646C">
        <w:rPr>
          <w:szCs w:val="20"/>
        </w:rPr>
        <w:t xml:space="preserve"> effect subject to this clause and </w:t>
      </w:r>
      <w:r w:rsidR="00DA4FF8">
        <w:rPr>
          <w:szCs w:val="20"/>
        </w:rPr>
        <w:t>clause 55</w:t>
      </w:r>
      <w:r>
        <w:rPr>
          <w:szCs w:val="20"/>
        </w:rPr>
        <w:t xml:space="preserve"> (</w:t>
      </w:r>
      <w:r w:rsidRPr="001F646C">
        <w:rPr>
          <w:szCs w:val="20"/>
        </w:rPr>
        <w:t xml:space="preserve">which deals with the date of effect of a move where the employee is under investigation for a breach of the Code of </w:t>
      </w:r>
      <w:r>
        <w:rPr>
          <w:szCs w:val="20"/>
        </w:rPr>
        <w:t>Conduct)</w:t>
      </w:r>
      <w:r w:rsidRPr="001F646C">
        <w:rPr>
          <w:szCs w:val="20"/>
        </w:rPr>
        <w:t>.</w:t>
      </w:r>
    </w:p>
    <w:p w:rsidR="00480B23" w:rsidRPr="001F646C" w:rsidRDefault="00AA5575" w:rsidP="00480B23">
      <w:pPr>
        <w:spacing w:after="120"/>
        <w:rPr>
          <w:szCs w:val="20"/>
        </w:rPr>
      </w:pPr>
      <w:r>
        <w:rPr>
          <w:szCs w:val="20"/>
        </w:rPr>
        <w:t>S</w:t>
      </w:r>
      <w:r w:rsidR="0059372F" w:rsidRPr="001F646C">
        <w:rPr>
          <w:szCs w:val="20"/>
        </w:rPr>
        <w:t xml:space="preserve">ubclause </w:t>
      </w:r>
      <w:r w:rsidR="00817C4C">
        <w:rPr>
          <w:szCs w:val="20"/>
        </w:rPr>
        <w:t>35A</w:t>
      </w:r>
      <w:r w:rsidR="0059372F" w:rsidRPr="001F646C">
        <w:rPr>
          <w:szCs w:val="20"/>
        </w:rPr>
        <w:t>(3) provides that</w:t>
      </w:r>
      <w:r w:rsidR="00480B23" w:rsidRPr="001F646C">
        <w:rPr>
          <w:szCs w:val="20"/>
        </w:rPr>
        <w:t xml:space="preserve"> if </w:t>
      </w:r>
      <w:r w:rsidR="00CB6284">
        <w:rPr>
          <w:szCs w:val="20"/>
        </w:rPr>
        <w:t xml:space="preserve">the Parliamentary Service employee and </w:t>
      </w:r>
      <w:r>
        <w:rPr>
          <w:szCs w:val="20"/>
        </w:rPr>
        <w:t xml:space="preserve">the </w:t>
      </w:r>
      <w:r w:rsidR="00CB6284">
        <w:rPr>
          <w:szCs w:val="20"/>
        </w:rPr>
        <w:t xml:space="preserve">Secretaries </w:t>
      </w:r>
      <w:r>
        <w:rPr>
          <w:szCs w:val="20"/>
        </w:rPr>
        <w:t xml:space="preserve">of the old and new departments </w:t>
      </w:r>
      <w:r w:rsidR="00CB6284">
        <w:rPr>
          <w:szCs w:val="20"/>
        </w:rPr>
        <w:t xml:space="preserve">agree in writing </w:t>
      </w:r>
      <w:r w:rsidR="00542B09">
        <w:rPr>
          <w:szCs w:val="20"/>
        </w:rPr>
        <w:t>on</w:t>
      </w:r>
      <w:r w:rsidR="00480B23" w:rsidRPr="001F646C">
        <w:rPr>
          <w:szCs w:val="20"/>
        </w:rPr>
        <w:t xml:space="preserve"> </w:t>
      </w:r>
      <w:r>
        <w:rPr>
          <w:szCs w:val="20"/>
        </w:rPr>
        <w:t xml:space="preserve">a date of effect of </w:t>
      </w:r>
      <w:r w:rsidR="00480B23" w:rsidRPr="001F646C">
        <w:rPr>
          <w:szCs w:val="20"/>
        </w:rPr>
        <w:t xml:space="preserve">an ongoing move, the move takes effect on </w:t>
      </w:r>
      <w:r w:rsidR="00CB6284">
        <w:rPr>
          <w:szCs w:val="20"/>
        </w:rPr>
        <w:t xml:space="preserve">the </w:t>
      </w:r>
      <w:r w:rsidR="00813675">
        <w:rPr>
          <w:szCs w:val="20"/>
        </w:rPr>
        <w:t xml:space="preserve">agreed </w:t>
      </w:r>
      <w:r w:rsidR="00CB6284">
        <w:rPr>
          <w:szCs w:val="20"/>
        </w:rPr>
        <w:t>date</w:t>
      </w:r>
      <w:r w:rsidR="00813675">
        <w:rPr>
          <w:szCs w:val="20"/>
        </w:rPr>
        <w:t xml:space="preserve">; otherwise the </w:t>
      </w:r>
      <w:r>
        <w:rPr>
          <w:szCs w:val="20"/>
        </w:rPr>
        <w:t xml:space="preserve">ongoing </w:t>
      </w:r>
      <w:r w:rsidR="00813675">
        <w:rPr>
          <w:szCs w:val="20"/>
        </w:rPr>
        <w:t xml:space="preserve">move takes effect four weeks after the employee informs the Secretary of the old department </w:t>
      </w:r>
      <w:r w:rsidR="00480B23" w:rsidRPr="001F646C">
        <w:rPr>
          <w:szCs w:val="20"/>
        </w:rPr>
        <w:t>in writing</w:t>
      </w:r>
      <w:r w:rsidR="00CB6284">
        <w:rPr>
          <w:szCs w:val="20"/>
        </w:rPr>
        <w:t xml:space="preserve"> of the proposed move</w:t>
      </w:r>
      <w:r w:rsidR="00480B23" w:rsidRPr="001F646C">
        <w:rPr>
          <w:szCs w:val="20"/>
        </w:rPr>
        <w:t>.</w:t>
      </w:r>
    </w:p>
    <w:p w:rsidR="0059372F" w:rsidRPr="001F646C" w:rsidRDefault="00AA5575" w:rsidP="0059372F">
      <w:pPr>
        <w:spacing w:after="120"/>
        <w:rPr>
          <w:szCs w:val="20"/>
        </w:rPr>
      </w:pPr>
      <w:r>
        <w:rPr>
          <w:szCs w:val="20"/>
        </w:rPr>
        <w:t>S</w:t>
      </w:r>
      <w:r w:rsidR="0059372F" w:rsidRPr="001F646C">
        <w:rPr>
          <w:szCs w:val="20"/>
        </w:rPr>
        <w:t xml:space="preserve">ubclause </w:t>
      </w:r>
      <w:r w:rsidR="00817C4C">
        <w:rPr>
          <w:szCs w:val="20"/>
        </w:rPr>
        <w:t>35A</w:t>
      </w:r>
      <w:r w:rsidR="0059372F" w:rsidRPr="001F646C">
        <w:rPr>
          <w:szCs w:val="20"/>
        </w:rPr>
        <w:t xml:space="preserve">(4) provides that if the </w:t>
      </w:r>
      <w:r>
        <w:rPr>
          <w:szCs w:val="20"/>
        </w:rPr>
        <w:t xml:space="preserve">Secretary of the old department </w:t>
      </w:r>
      <w:r w:rsidR="00813675">
        <w:rPr>
          <w:szCs w:val="20"/>
        </w:rPr>
        <w:t xml:space="preserve">has agreed in writing </w:t>
      </w:r>
      <w:r w:rsidR="00C804F6">
        <w:rPr>
          <w:szCs w:val="20"/>
        </w:rPr>
        <w:t>on</w:t>
      </w:r>
      <w:r w:rsidR="00813675">
        <w:rPr>
          <w:szCs w:val="20"/>
        </w:rPr>
        <w:t xml:space="preserve"> a date of effect and a date of return to the old department</w:t>
      </w:r>
      <w:r w:rsidR="00C804F6">
        <w:rPr>
          <w:szCs w:val="20"/>
        </w:rPr>
        <w:t xml:space="preserve"> for a temporary move</w:t>
      </w:r>
      <w:r w:rsidR="00813675">
        <w:rPr>
          <w:szCs w:val="20"/>
        </w:rPr>
        <w:t xml:space="preserve">, </w:t>
      </w:r>
      <w:r w:rsidR="0059372F" w:rsidRPr="001F646C">
        <w:rPr>
          <w:szCs w:val="20"/>
        </w:rPr>
        <w:t xml:space="preserve">the move takes effect </w:t>
      </w:r>
      <w:r w:rsidR="00CB6284">
        <w:rPr>
          <w:szCs w:val="20"/>
        </w:rPr>
        <w:t>according to the terms of the agreement</w:t>
      </w:r>
      <w:r w:rsidR="0059372F">
        <w:rPr>
          <w:szCs w:val="20"/>
        </w:rPr>
        <w:t xml:space="preserve">. If the </w:t>
      </w:r>
      <w:r w:rsidR="00817C4C">
        <w:rPr>
          <w:szCs w:val="20"/>
        </w:rPr>
        <w:t>Secretary</w:t>
      </w:r>
      <w:r w:rsidR="0059372F" w:rsidRPr="001F646C">
        <w:rPr>
          <w:szCs w:val="20"/>
        </w:rPr>
        <w:t xml:space="preserve"> </w:t>
      </w:r>
      <w:r w:rsidR="00C804F6">
        <w:rPr>
          <w:szCs w:val="20"/>
        </w:rPr>
        <w:t xml:space="preserve">of the old department </w:t>
      </w:r>
      <w:r w:rsidR="00904A0A">
        <w:rPr>
          <w:szCs w:val="20"/>
        </w:rPr>
        <w:t xml:space="preserve">has </w:t>
      </w:r>
      <w:r w:rsidR="0059372F" w:rsidRPr="001F646C">
        <w:rPr>
          <w:szCs w:val="20"/>
        </w:rPr>
        <w:t xml:space="preserve">not </w:t>
      </w:r>
      <w:r w:rsidR="00C804F6">
        <w:rPr>
          <w:szCs w:val="20"/>
        </w:rPr>
        <w:t>agree</w:t>
      </w:r>
      <w:r w:rsidR="00904A0A">
        <w:rPr>
          <w:szCs w:val="20"/>
        </w:rPr>
        <w:t>d</w:t>
      </w:r>
      <w:r w:rsidR="00C804F6">
        <w:rPr>
          <w:szCs w:val="20"/>
        </w:rPr>
        <w:t xml:space="preserve"> in writing on a date of effect and a date of return</w:t>
      </w:r>
      <w:r w:rsidR="0059372F" w:rsidRPr="001F646C">
        <w:rPr>
          <w:szCs w:val="20"/>
        </w:rPr>
        <w:t xml:space="preserve"> and the employee commences duties in the ne</w:t>
      </w:r>
      <w:r w:rsidR="0059372F">
        <w:rPr>
          <w:szCs w:val="20"/>
        </w:rPr>
        <w:t xml:space="preserve">w </w:t>
      </w:r>
      <w:r w:rsidR="00817C4C">
        <w:rPr>
          <w:szCs w:val="20"/>
        </w:rPr>
        <w:t>department</w:t>
      </w:r>
      <w:r w:rsidR="0059372F">
        <w:rPr>
          <w:szCs w:val="20"/>
        </w:rPr>
        <w:t>, the move takes effect</w:t>
      </w:r>
      <w:r w:rsidR="0059372F" w:rsidRPr="001F646C">
        <w:rPr>
          <w:szCs w:val="20"/>
        </w:rPr>
        <w:t xml:space="preserve"> </w:t>
      </w:r>
      <w:r w:rsidR="00CB6284">
        <w:rPr>
          <w:szCs w:val="20"/>
        </w:rPr>
        <w:t>on</w:t>
      </w:r>
      <w:r w:rsidR="00CB6284" w:rsidRPr="001F646C">
        <w:rPr>
          <w:szCs w:val="20"/>
        </w:rPr>
        <w:t xml:space="preserve"> the date the employ</w:t>
      </w:r>
      <w:r w:rsidR="00CB6284">
        <w:rPr>
          <w:szCs w:val="20"/>
        </w:rPr>
        <w:t xml:space="preserve">ee commences duties in the new department, </w:t>
      </w:r>
      <w:r w:rsidR="0059372F">
        <w:rPr>
          <w:szCs w:val="20"/>
        </w:rPr>
        <w:t xml:space="preserve">as an ongoing move to the new </w:t>
      </w:r>
      <w:r w:rsidR="00817C4C">
        <w:rPr>
          <w:szCs w:val="20"/>
        </w:rPr>
        <w:t>department</w:t>
      </w:r>
      <w:r w:rsidR="0059372F" w:rsidRPr="001F646C">
        <w:rPr>
          <w:szCs w:val="20"/>
        </w:rPr>
        <w:t xml:space="preserve"> at the employee</w:t>
      </w:r>
      <w:r w:rsidR="0059372F">
        <w:rPr>
          <w:szCs w:val="20"/>
        </w:rPr>
        <w:t>’</w:t>
      </w:r>
      <w:r w:rsidR="0059372F" w:rsidRPr="001F646C">
        <w:rPr>
          <w:szCs w:val="20"/>
        </w:rPr>
        <w:t>s existing classification</w:t>
      </w:r>
      <w:r w:rsidR="0059372F">
        <w:rPr>
          <w:szCs w:val="20"/>
        </w:rPr>
        <w:t>.</w:t>
      </w:r>
    </w:p>
    <w:p w:rsidR="0059372F" w:rsidRDefault="00C804F6" w:rsidP="0059372F">
      <w:pPr>
        <w:spacing w:after="120"/>
        <w:rPr>
          <w:szCs w:val="20"/>
        </w:rPr>
      </w:pPr>
      <w:r>
        <w:rPr>
          <w:szCs w:val="20"/>
        </w:rPr>
        <w:t>S</w:t>
      </w:r>
      <w:r w:rsidR="0059372F" w:rsidRPr="001F646C">
        <w:rPr>
          <w:szCs w:val="20"/>
        </w:rPr>
        <w:t xml:space="preserve">ubclause </w:t>
      </w:r>
      <w:proofErr w:type="gramStart"/>
      <w:r w:rsidR="00817C4C">
        <w:rPr>
          <w:szCs w:val="20"/>
        </w:rPr>
        <w:t>35A</w:t>
      </w:r>
      <w:r w:rsidR="0059372F" w:rsidRPr="001F646C">
        <w:rPr>
          <w:szCs w:val="20"/>
        </w:rPr>
        <w:t>(</w:t>
      </w:r>
      <w:proofErr w:type="gramEnd"/>
      <w:r w:rsidR="0059372F" w:rsidRPr="001F646C">
        <w:rPr>
          <w:szCs w:val="20"/>
        </w:rPr>
        <w:t xml:space="preserve">5) </w:t>
      </w:r>
      <w:r>
        <w:rPr>
          <w:szCs w:val="20"/>
        </w:rPr>
        <w:t>provides for a variation of the period of agreement mentioned in paragraph 35A(4</w:t>
      </w:r>
      <w:r w:rsidR="00542B09">
        <w:rPr>
          <w:szCs w:val="20"/>
        </w:rPr>
        <w:t>)(a)</w:t>
      </w:r>
      <w:r>
        <w:rPr>
          <w:szCs w:val="20"/>
        </w:rPr>
        <w:t xml:space="preserve"> where the Parliamentary Service employee and the Secretary of the new Department agree to vary the period of the move</w:t>
      </w:r>
      <w:r w:rsidR="00542B09">
        <w:rPr>
          <w:szCs w:val="20"/>
        </w:rPr>
        <w:t xml:space="preserve">, </w:t>
      </w:r>
      <w:r>
        <w:rPr>
          <w:szCs w:val="20"/>
        </w:rPr>
        <w:t>if the Secretary of the old Department approves the variation in writing</w:t>
      </w:r>
      <w:r w:rsidR="00542B09">
        <w:rPr>
          <w:szCs w:val="20"/>
        </w:rPr>
        <w:t>. I</w:t>
      </w:r>
      <w:r w:rsidR="0059372F">
        <w:rPr>
          <w:szCs w:val="20"/>
        </w:rPr>
        <w:t xml:space="preserve">f </w:t>
      </w:r>
      <w:r w:rsidR="0059372F" w:rsidRPr="001F646C">
        <w:rPr>
          <w:szCs w:val="20"/>
        </w:rPr>
        <w:t xml:space="preserve">the </w:t>
      </w:r>
      <w:r w:rsidR="00817C4C">
        <w:rPr>
          <w:szCs w:val="20"/>
        </w:rPr>
        <w:t>Secretary</w:t>
      </w:r>
      <w:r w:rsidR="0059372F" w:rsidRPr="001F646C">
        <w:rPr>
          <w:szCs w:val="20"/>
        </w:rPr>
        <w:t xml:space="preserve"> </w:t>
      </w:r>
      <w:r w:rsidR="00542B09">
        <w:rPr>
          <w:szCs w:val="20"/>
        </w:rPr>
        <w:t xml:space="preserve">of the old department </w:t>
      </w:r>
      <w:r w:rsidR="0059372F" w:rsidRPr="001F646C">
        <w:rPr>
          <w:szCs w:val="20"/>
        </w:rPr>
        <w:t>does not approve the variation in writing</w:t>
      </w:r>
      <w:r w:rsidR="0059372F">
        <w:rPr>
          <w:szCs w:val="20"/>
        </w:rPr>
        <w:t xml:space="preserve">, </w:t>
      </w:r>
      <w:r w:rsidR="0059372F" w:rsidRPr="001F646C">
        <w:rPr>
          <w:szCs w:val="20"/>
        </w:rPr>
        <w:t>the variation has no effect.</w:t>
      </w:r>
    </w:p>
    <w:p w:rsidR="00EF0632" w:rsidRDefault="00365075" w:rsidP="00EF0632">
      <w:pPr>
        <w:spacing w:after="120"/>
      </w:pPr>
      <w:r>
        <w:rPr>
          <w:b/>
        </w:rPr>
        <w:t>Item 5</w:t>
      </w:r>
      <w:r>
        <w:t xml:space="preserve"> </w:t>
      </w:r>
    </w:p>
    <w:p w:rsidR="00EF0632" w:rsidRDefault="00542B09" w:rsidP="00EF0632">
      <w:pPr>
        <w:spacing w:after="120"/>
      </w:pPr>
      <w:r w:rsidRPr="00A81828">
        <w:t>This</w:t>
      </w:r>
      <w:r>
        <w:rPr>
          <w:b/>
        </w:rPr>
        <w:t xml:space="preserve"> </w:t>
      </w:r>
      <w:r>
        <w:t xml:space="preserve">inserts a new clause 45A which </w:t>
      </w:r>
      <w:r w:rsidR="008244FB">
        <w:t>provi</w:t>
      </w:r>
      <w:r>
        <w:t>des</w:t>
      </w:r>
      <w:r w:rsidR="008244FB">
        <w:t xml:space="preserve"> for the suspension of employees </w:t>
      </w:r>
      <w:r>
        <w:t xml:space="preserve">from duties </w:t>
      </w:r>
      <w:r w:rsidR="008244FB">
        <w:t>on specified grounds and subject to safeguards.</w:t>
      </w:r>
      <w:r w:rsidR="00EF0632">
        <w:t xml:space="preserve"> </w:t>
      </w:r>
      <w:r>
        <w:t>The c</w:t>
      </w:r>
      <w:r>
        <w:rPr>
          <w:szCs w:val="20"/>
        </w:rPr>
        <w:t xml:space="preserve">lause is based on, and will operate in essentially the same way as, relevant provisions of subordinate legislation under the </w:t>
      </w:r>
      <w:r w:rsidRPr="00365075">
        <w:rPr>
          <w:i/>
          <w:szCs w:val="20"/>
        </w:rPr>
        <w:t>Public Service Act 1999</w:t>
      </w:r>
      <w:r>
        <w:rPr>
          <w:szCs w:val="20"/>
        </w:rPr>
        <w:t xml:space="preserve">. </w:t>
      </w:r>
    </w:p>
    <w:p w:rsidR="00EF0632" w:rsidRDefault="008244FB" w:rsidP="00EF0632">
      <w:pPr>
        <w:spacing w:after="120"/>
        <w:rPr>
          <w:szCs w:val="20"/>
          <w:lang w:eastAsia="en-US"/>
        </w:rPr>
      </w:pPr>
      <w:r>
        <w:t xml:space="preserve">Subclause </w:t>
      </w:r>
      <w:proofErr w:type="gramStart"/>
      <w:r>
        <w:t>45A(</w:t>
      </w:r>
      <w:proofErr w:type="gramEnd"/>
      <w:r>
        <w:t xml:space="preserve">1) </w:t>
      </w:r>
      <w:r>
        <w:rPr>
          <w:szCs w:val="20"/>
          <w:lang w:eastAsia="en-US"/>
        </w:rPr>
        <w:t>provides for the suspension of employees from duties. Suspension may occur if the Secretary of the employee’s department believes, on reasonable grounds</w:t>
      </w:r>
      <w:r w:rsidR="007534E4">
        <w:rPr>
          <w:szCs w:val="20"/>
          <w:lang w:eastAsia="en-US"/>
        </w:rPr>
        <w:t>,</w:t>
      </w:r>
      <w:r>
        <w:rPr>
          <w:szCs w:val="20"/>
          <w:lang w:eastAsia="en-US"/>
        </w:rPr>
        <w:t xml:space="preserve"> that the employee has, or may have, breached the Parliamentary Service Code of Conduct and that the suspension is in the public, or the department’s</w:t>
      </w:r>
      <w:r w:rsidR="007534E4">
        <w:rPr>
          <w:szCs w:val="20"/>
          <w:lang w:eastAsia="en-US"/>
        </w:rPr>
        <w:t>,</w:t>
      </w:r>
      <w:r>
        <w:rPr>
          <w:szCs w:val="20"/>
          <w:lang w:eastAsia="en-US"/>
        </w:rPr>
        <w:t xml:space="preserve"> interest.</w:t>
      </w:r>
      <w:r w:rsidR="00EF0632">
        <w:rPr>
          <w:szCs w:val="20"/>
          <w:lang w:eastAsia="en-US"/>
        </w:rPr>
        <w:t xml:space="preserve"> </w:t>
      </w:r>
    </w:p>
    <w:p w:rsidR="00EF0632" w:rsidRDefault="008244FB" w:rsidP="00EF0632">
      <w:pPr>
        <w:spacing w:after="120"/>
        <w:rPr>
          <w:szCs w:val="20"/>
          <w:lang w:eastAsia="en-US"/>
        </w:rPr>
      </w:pPr>
      <w:r>
        <w:rPr>
          <w:szCs w:val="20"/>
          <w:lang w:eastAsia="en-US"/>
        </w:rPr>
        <w:t xml:space="preserve">Subclause </w:t>
      </w:r>
      <w:proofErr w:type="gramStart"/>
      <w:r>
        <w:rPr>
          <w:szCs w:val="20"/>
          <w:lang w:eastAsia="en-US"/>
        </w:rPr>
        <w:t>45A(</w:t>
      </w:r>
      <w:proofErr w:type="gramEnd"/>
      <w:r>
        <w:rPr>
          <w:szCs w:val="20"/>
          <w:lang w:eastAsia="en-US"/>
        </w:rPr>
        <w:t>2) provides that suspension may be with remuneration.</w:t>
      </w:r>
      <w:r w:rsidR="00EF0632">
        <w:rPr>
          <w:szCs w:val="20"/>
          <w:lang w:eastAsia="en-US"/>
        </w:rPr>
        <w:t xml:space="preserve"> </w:t>
      </w:r>
    </w:p>
    <w:p w:rsidR="00EF0632" w:rsidRDefault="008244FB" w:rsidP="00EF0632">
      <w:pPr>
        <w:spacing w:after="120"/>
        <w:rPr>
          <w:szCs w:val="20"/>
          <w:lang w:eastAsia="en-US"/>
        </w:rPr>
      </w:pPr>
      <w:r>
        <w:rPr>
          <w:szCs w:val="20"/>
          <w:lang w:eastAsia="en-US"/>
        </w:rPr>
        <w:t xml:space="preserve">Subclause </w:t>
      </w:r>
      <w:proofErr w:type="gramStart"/>
      <w:r>
        <w:rPr>
          <w:szCs w:val="20"/>
          <w:lang w:eastAsia="en-US"/>
        </w:rPr>
        <w:t>45A(</w:t>
      </w:r>
      <w:proofErr w:type="gramEnd"/>
      <w:r>
        <w:rPr>
          <w:szCs w:val="20"/>
          <w:lang w:eastAsia="en-US"/>
        </w:rPr>
        <w:t>3) provides that, if the suspension is to be without remuneration, the period without remuneration is to be not more than 30 days unless exceptional circumstances apply.</w:t>
      </w:r>
      <w:r w:rsidR="00EF0632">
        <w:rPr>
          <w:szCs w:val="20"/>
          <w:lang w:eastAsia="en-US"/>
        </w:rPr>
        <w:t xml:space="preserve"> </w:t>
      </w:r>
    </w:p>
    <w:p w:rsidR="00EF0632" w:rsidRDefault="008244FB" w:rsidP="00EF0632">
      <w:pPr>
        <w:spacing w:after="120"/>
        <w:rPr>
          <w:szCs w:val="20"/>
          <w:lang w:eastAsia="en-US"/>
        </w:rPr>
      </w:pPr>
      <w:r>
        <w:rPr>
          <w:szCs w:val="20"/>
          <w:lang w:eastAsia="en-US"/>
        </w:rPr>
        <w:t xml:space="preserve">Subclause </w:t>
      </w:r>
      <w:proofErr w:type="gramStart"/>
      <w:r>
        <w:rPr>
          <w:szCs w:val="20"/>
          <w:lang w:eastAsia="en-US"/>
        </w:rPr>
        <w:t>45A(</w:t>
      </w:r>
      <w:proofErr w:type="gramEnd"/>
      <w:r>
        <w:rPr>
          <w:szCs w:val="20"/>
          <w:lang w:eastAsia="en-US"/>
        </w:rPr>
        <w:t>4) requires the Secretary of the employee’s department to review the suspension at reasonable intervals.</w:t>
      </w:r>
      <w:r w:rsidR="00EF0632">
        <w:rPr>
          <w:szCs w:val="20"/>
          <w:lang w:eastAsia="en-US"/>
        </w:rPr>
        <w:t xml:space="preserve"> </w:t>
      </w:r>
    </w:p>
    <w:p w:rsidR="00054380" w:rsidRDefault="008244FB" w:rsidP="00EF0632">
      <w:pPr>
        <w:spacing w:after="120"/>
        <w:rPr>
          <w:szCs w:val="20"/>
          <w:lang w:eastAsia="en-US"/>
        </w:rPr>
      </w:pPr>
      <w:r>
        <w:rPr>
          <w:szCs w:val="20"/>
          <w:lang w:eastAsia="en-US"/>
        </w:rPr>
        <w:t xml:space="preserve">Subclause 45A(5) requires the Secretary to end the suspension </w:t>
      </w:r>
      <w:r w:rsidR="00904A0A">
        <w:rPr>
          <w:szCs w:val="20"/>
          <w:lang w:eastAsia="en-US"/>
        </w:rPr>
        <w:t xml:space="preserve">immediately </w:t>
      </w:r>
      <w:r>
        <w:rPr>
          <w:szCs w:val="20"/>
          <w:lang w:eastAsia="en-US"/>
        </w:rPr>
        <w:t xml:space="preserve">if the Secretary no longer </w:t>
      </w:r>
      <w:r w:rsidR="00C53854">
        <w:rPr>
          <w:szCs w:val="20"/>
          <w:lang w:eastAsia="en-US"/>
        </w:rPr>
        <w:t>believes on reasonable grounds that either of the circumstances specified</w:t>
      </w:r>
      <w:r>
        <w:rPr>
          <w:szCs w:val="20"/>
          <w:lang w:eastAsia="en-US"/>
        </w:rPr>
        <w:t xml:space="preserve"> in subclause 45A(1)</w:t>
      </w:r>
      <w:r w:rsidR="00C53854">
        <w:rPr>
          <w:szCs w:val="20"/>
          <w:lang w:eastAsia="en-US"/>
        </w:rPr>
        <w:t xml:space="preserve"> applies</w:t>
      </w:r>
      <w:r>
        <w:rPr>
          <w:szCs w:val="20"/>
          <w:lang w:eastAsia="en-US"/>
        </w:rPr>
        <w:t>.</w:t>
      </w:r>
      <w:r w:rsidR="00EF0632">
        <w:rPr>
          <w:szCs w:val="20"/>
          <w:lang w:eastAsia="en-US"/>
        </w:rPr>
        <w:t xml:space="preserve">  </w:t>
      </w:r>
    </w:p>
    <w:p w:rsidR="00EF0632" w:rsidRDefault="008244FB" w:rsidP="00EF0632">
      <w:pPr>
        <w:spacing w:after="120"/>
        <w:rPr>
          <w:szCs w:val="20"/>
          <w:lang w:eastAsia="en-US"/>
        </w:rPr>
      </w:pPr>
      <w:r>
        <w:rPr>
          <w:szCs w:val="20"/>
          <w:lang w:eastAsia="en-US"/>
        </w:rPr>
        <w:t xml:space="preserve">Subclause </w:t>
      </w:r>
      <w:proofErr w:type="gramStart"/>
      <w:r>
        <w:rPr>
          <w:szCs w:val="20"/>
          <w:lang w:eastAsia="en-US"/>
        </w:rPr>
        <w:t>45A(</w:t>
      </w:r>
      <w:proofErr w:type="gramEnd"/>
      <w:r w:rsidR="0037749D">
        <w:rPr>
          <w:szCs w:val="20"/>
          <w:lang w:eastAsia="en-US"/>
        </w:rPr>
        <w:t xml:space="preserve">6) requires the Secretary to end the suspension </w:t>
      </w:r>
      <w:r w:rsidR="00054380">
        <w:rPr>
          <w:szCs w:val="20"/>
          <w:lang w:eastAsia="en-US"/>
        </w:rPr>
        <w:t>i</w:t>
      </w:r>
      <w:r w:rsidR="0037749D">
        <w:rPr>
          <w:szCs w:val="20"/>
          <w:lang w:eastAsia="en-US"/>
        </w:rPr>
        <w:t>f a sanction has been imposed on the employee for the relevant breach of the Code of Conduct.</w:t>
      </w:r>
      <w:r w:rsidR="00EF0632">
        <w:rPr>
          <w:szCs w:val="20"/>
          <w:lang w:eastAsia="en-US"/>
        </w:rPr>
        <w:t xml:space="preserve"> </w:t>
      </w:r>
    </w:p>
    <w:p w:rsidR="00451E96" w:rsidRDefault="008244FB" w:rsidP="00EF0632">
      <w:pPr>
        <w:spacing w:after="120"/>
        <w:rPr>
          <w:szCs w:val="20"/>
          <w:lang w:eastAsia="en-US"/>
        </w:rPr>
      </w:pPr>
      <w:r>
        <w:rPr>
          <w:szCs w:val="20"/>
          <w:lang w:eastAsia="en-US"/>
        </w:rPr>
        <w:t xml:space="preserve">Subclause </w:t>
      </w:r>
      <w:proofErr w:type="gramStart"/>
      <w:r>
        <w:rPr>
          <w:szCs w:val="20"/>
          <w:lang w:eastAsia="en-US"/>
        </w:rPr>
        <w:t>45A(</w:t>
      </w:r>
      <w:proofErr w:type="gramEnd"/>
      <w:r w:rsidR="0037749D">
        <w:rPr>
          <w:szCs w:val="20"/>
          <w:lang w:eastAsia="en-US"/>
        </w:rPr>
        <w:t xml:space="preserve">7) requires the Secretary, in exercising powers under this clause, to have due regard to procedural fairness unless the Secretary is satisfied, on reasonable grounds, that in the particular circumstances, this would not be appropriate. </w:t>
      </w:r>
    </w:p>
    <w:p w:rsidR="00EF0632" w:rsidRDefault="00EF0632" w:rsidP="00EF0632">
      <w:pPr>
        <w:spacing w:after="120"/>
        <w:rPr>
          <w:szCs w:val="20"/>
          <w:lang w:eastAsia="en-US"/>
        </w:rPr>
      </w:pPr>
    </w:p>
    <w:p w:rsidR="00EF0632" w:rsidRDefault="0037749D" w:rsidP="00EF0632">
      <w:pPr>
        <w:spacing w:after="120"/>
      </w:pPr>
      <w:r w:rsidRPr="0037749D">
        <w:rPr>
          <w:b/>
        </w:rPr>
        <w:t>Item 6</w:t>
      </w:r>
      <w:r>
        <w:t xml:space="preserve"> corrects a typographical error.</w:t>
      </w:r>
    </w:p>
    <w:p w:rsidR="0037749D" w:rsidRDefault="0037749D" w:rsidP="00EF0632">
      <w:pPr>
        <w:spacing w:after="120"/>
      </w:pPr>
      <w:r w:rsidRPr="0037749D">
        <w:rPr>
          <w:b/>
        </w:rPr>
        <w:t xml:space="preserve">Item </w:t>
      </w:r>
      <w:r>
        <w:rPr>
          <w:b/>
        </w:rPr>
        <w:t>7</w:t>
      </w:r>
      <w:r>
        <w:t xml:space="preserve"> corrects a typographical error.</w:t>
      </w:r>
    </w:p>
    <w:p w:rsidR="00EF0632" w:rsidRPr="0037749D" w:rsidRDefault="00EF0632" w:rsidP="00EF0632">
      <w:pPr>
        <w:spacing w:after="120"/>
      </w:pPr>
      <w:r w:rsidRPr="0037749D">
        <w:rPr>
          <w:b/>
        </w:rPr>
        <w:t xml:space="preserve">Item </w:t>
      </w:r>
      <w:r>
        <w:rPr>
          <w:b/>
        </w:rPr>
        <w:t>8</w:t>
      </w:r>
      <w:r>
        <w:t xml:space="preserve"> corrects a typographical error.</w:t>
      </w:r>
    </w:p>
    <w:sectPr w:rsidR="00EF0632" w:rsidRPr="003774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13" w:rsidRDefault="00D81613" w:rsidP="00E06799">
      <w:r>
        <w:separator/>
      </w:r>
    </w:p>
  </w:endnote>
  <w:endnote w:type="continuationSeparator" w:id="0">
    <w:p w:rsidR="00D81613" w:rsidRDefault="00D81613" w:rsidP="00E0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13" w:rsidRDefault="00D81613" w:rsidP="00E06799">
      <w:r>
        <w:separator/>
      </w:r>
    </w:p>
  </w:footnote>
  <w:footnote w:type="continuationSeparator" w:id="0">
    <w:p w:rsidR="00D81613" w:rsidRDefault="00D81613" w:rsidP="00E06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1502"/>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nsid w:val="3DFC3B81"/>
    <w:multiLevelType w:val="hybridMultilevel"/>
    <w:tmpl w:val="DB68A404"/>
    <w:lvl w:ilvl="0" w:tplc="300A7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422E29"/>
    <w:multiLevelType w:val="hybridMultilevel"/>
    <w:tmpl w:val="204A157E"/>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ED46F49"/>
    <w:multiLevelType w:val="hybridMultilevel"/>
    <w:tmpl w:val="1426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0A722D"/>
    <w:multiLevelType w:val="hybridMultilevel"/>
    <w:tmpl w:val="06BE27A0"/>
    <w:lvl w:ilvl="0" w:tplc="AFF4C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1B5368B"/>
    <w:multiLevelType w:val="hybridMultilevel"/>
    <w:tmpl w:val="782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84E4BA5"/>
    <w:multiLevelType w:val="hybridMultilevel"/>
    <w:tmpl w:val="7DC0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B9"/>
    <w:rsid w:val="00054380"/>
    <w:rsid w:val="00074BCC"/>
    <w:rsid w:val="000B0D11"/>
    <w:rsid w:val="000E1F18"/>
    <w:rsid w:val="0011081B"/>
    <w:rsid w:val="00115EE2"/>
    <w:rsid w:val="00197116"/>
    <w:rsid w:val="001A7A51"/>
    <w:rsid w:val="001E29DA"/>
    <w:rsid w:val="001F4269"/>
    <w:rsid w:val="002729F7"/>
    <w:rsid w:val="0029426E"/>
    <w:rsid w:val="002C3C21"/>
    <w:rsid w:val="002F5E8E"/>
    <w:rsid w:val="00316EE8"/>
    <w:rsid w:val="00365075"/>
    <w:rsid w:val="0037749D"/>
    <w:rsid w:val="003A0847"/>
    <w:rsid w:val="00451E96"/>
    <w:rsid w:val="00455FAF"/>
    <w:rsid w:val="004566F3"/>
    <w:rsid w:val="0046736A"/>
    <w:rsid w:val="00480B23"/>
    <w:rsid w:val="00520696"/>
    <w:rsid w:val="00542B09"/>
    <w:rsid w:val="0059372F"/>
    <w:rsid w:val="006163E0"/>
    <w:rsid w:val="00697C6A"/>
    <w:rsid w:val="006E1680"/>
    <w:rsid w:val="00726FEB"/>
    <w:rsid w:val="007534E4"/>
    <w:rsid w:val="007B3367"/>
    <w:rsid w:val="007E68B4"/>
    <w:rsid w:val="00801A2C"/>
    <w:rsid w:val="00812523"/>
    <w:rsid w:val="00813675"/>
    <w:rsid w:val="00817470"/>
    <w:rsid w:val="00817C4C"/>
    <w:rsid w:val="008244FB"/>
    <w:rsid w:val="00854C92"/>
    <w:rsid w:val="008C08D3"/>
    <w:rsid w:val="008E39A8"/>
    <w:rsid w:val="00904A0A"/>
    <w:rsid w:val="00991B4E"/>
    <w:rsid w:val="009C23CD"/>
    <w:rsid w:val="00A028B9"/>
    <w:rsid w:val="00A13B49"/>
    <w:rsid w:val="00A26710"/>
    <w:rsid w:val="00A6182F"/>
    <w:rsid w:val="00A81828"/>
    <w:rsid w:val="00AA5575"/>
    <w:rsid w:val="00AE3F03"/>
    <w:rsid w:val="00B8015E"/>
    <w:rsid w:val="00BD79A9"/>
    <w:rsid w:val="00C11480"/>
    <w:rsid w:val="00C4621E"/>
    <w:rsid w:val="00C53854"/>
    <w:rsid w:val="00C624C6"/>
    <w:rsid w:val="00C804F6"/>
    <w:rsid w:val="00CB6284"/>
    <w:rsid w:val="00CC72DA"/>
    <w:rsid w:val="00CD1A20"/>
    <w:rsid w:val="00D72126"/>
    <w:rsid w:val="00D751AA"/>
    <w:rsid w:val="00D80568"/>
    <w:rsid w:val="00D81613"/>
    <w:rsid w:val="00D86F47"/>
    <w:rsid w:val="00DA4FF8"/>
    <w:rsid w:val="00DC555D"/>
    <w:rsid w:val="00DF59C5"/>
    <w:rsid w:val="00E06799"/>
    <w:rsid w:val="00EF0632"/>
    <w:rsid w:val="00EF0C52"/>
    <w:rsid w:val="00FC2D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B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B9"/>
    <w:pPr>
      <w:ind w:left="720"/>
      <w:contextualSpacing/>
    </w:pPr>
  </w:style>
  <w:style w:type="paragraph" w:styleId="BalloonText">
    <w:name w:val="Balloon Text"/>
    <w:basedOn w:val="Normal"/>
    <w:link w:val="BalloonTextChar"/>
    <w:uiPriority w:val="99"/>
    <w:semiHidden/>
    <w:unhideWhenUsed/>
    <w:rsid w:val="00E06799"/>
    <w:rPr>
      <w:rFonts w:ascii="Tahoma" w:hAnsi="Tahoma" w:cs="Tahoma"/>
      <w:sz w:val="16"/>
      <w:szCs w:val="16"/>
    </w:rPr>
  </w:style>
  <w:style w:type="character" w:customStyle="1" w:styleId="BalloonTextChar">
    <w:name w:val="Balloon Text Char"/>
    <w:basedOn w:val="DefaultParagraphFont"/>
    <w:link w:val="BalloonText"/>
    <w:uiPriority w:val="99"/>
    <w:semiHidden/>
    <w:rsid w:val="00E06799"/>
    <w:rPr>
      <w:rFonts w:ascii="Tahoma" w:eastAsia="Times New Roman" w:hAnsi="Tahoma" w:cs="Tahoma"/>
      <w:sz w:val="16"/>
      <w:szCs w:val="16"/>
      <w:lang w:eastAsia="en-AU"/>
    </w:rPr>
  </w:style>
  <w:style w:type="paragraph" w:styleId="FootnoteText">
    <w:name w:val="footnote text"/>
    <w:basedOn w:val="Normal"/>
    <w:link w:val="FootnoteTextChar"/>
    <w:rsid w:val="00E06799"/>
    <w:rPr>
      <w:sz w:val="20"/>
      <w:szCs w:val="20"/>
    </w:rPr>
  </w:style>
  <w:style w:type="character" w:customStyle="1" w:styleId="FootnoteTextChar">
    <w:name w:val="Footnote Text Char"/>
    <w:basedOn w:val="DefaultParagraphFont"/>
    <w:link w:val="FootnoteText"/>
    <w:rsid w:val="00E0679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E06799"/>
    <w:rPr>
      <w:vertAlign w:val="superscript"/>
    </w:rPr>
  </w:style>
  <w:style w:type="paragraph" w:customStyle="1" w:styleId="subsection">
    <w:name w:val="subsection"/>
    <w:aliases w:val="ss"/>
    <w:basedOn w:val="Normal"/>
    <w:link w:val="subsectionChar"/>
    <w:rsid w:val="00D86F47"/>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D86F4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rsid w:val="00D86F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86F47"/>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11081B"/>
    <w:rPr>
      <w:sz w:val="16"/>
      <w:szCs w:val="16"/>
    </w:rPr>
  </w:style>
  <w:style w:type="paragraph" w:styleId="CommentText">
    <w:name w:val="annotation text"/>
    <w:basedOn w:val="Normal"/>
    <w:link w:val="CommentTextChar"/>
    <w:uiPriority w:val="99"/>
    <w:semiHidden/>
    <w:unhideWhenUsed/>
    <w:rsid w:val="0011081B"/>
    <w:rPr>
      <w:sz w:val="20"/>
      <w:szCs w:val="20"/>
    </w:rPr>
  </w:style>
  <w:style w:type="character" w:customStyle="1" w:styleId="CommentTextChar">
    <w:name w:val="Comment Text Char"/>
    <w:basedOn w:val="DefaultParagraphFont"/>
    <w:link w:val="CommentText"/>
    <w:uiPriority w:val="99"/>
    <w:semiHidden/>
    <w:rsid w:val="001108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1081B"/>
    <w:rPr>
      <w:b/>
      <w:bCs/>
    </w:rPr>
  </w:style>
  <w:style w:type="character" w:customStyle="1" w:styleId="CommentSubjectChar">
    <w:name w:val="Comment Subject Char"/>
    <w:basedOn w:val="CommentTextChar"/>
    <w:link w:val="CommentSubject"/>
    <w:uiPriority w:val="99"/>
    <w:semiHidden/>
    <w:rsid w:val="0011081B"/>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B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B9"/>
    <w:pPr>
      <w:ind w:left="720"/>
      <w:contextualSpacing/>
    </w:pPr>
  </w:style>
  <w:style w:type="paragraph" w:styleId="BalloonText">
    <w:name w:val="Balloon Text"/>
    <w:basedOn w:val="Normal"/>
    <w:link w:val="BalloonTextChar"/>
    <w:uiPriority w:val="99"/>
    <w:semiHidden/>
    <w:unhideWhenUsed/>
    <w:rsid w:val="00E06799"/>
    <w:rPr>
      <w:rFonts w:ascii="Tahoma" w:hAnsi="Tahoma" w:cs="Tahoma"/>
      <w:sz w:val="16"/>
      <w:szCs w:val="16"/>
    </w:rPr>
  </w:style>
  <w:style w:type="character" w:customStyle="1" w:styleId="BalloonTextChar">
    <w:name w:val="Balloon Text Char"/>
    <w:basedOn w:val="DefaultParagraphFont"/>
    <w:link w:val="BalloonText"/>
    <w:uiPriority w:val="99"/>
    <w:semiHidden/>
    <w:rsid w:val="00E06799"/>
    <w:rPr>
      <w:rFonts w:ascii="Tahoma" w:eastAsia="Times New Roman" w:hAnsi="Tahoma" w:cs="Tahoma"/>
      <w:sz w:val="16"/>
      <w:szCs w:val="16"/>
      <w:lang w:eastAsia="en-AU"/>
    </w:rPr>
  </w:style>
  <w:style w:type="paragraph" w:styleId="FootnoteText">
    <w:name w:val="footnote text"/>
    <w:basedOn w:val="Normal"/>
    <w:link w:val="FootnoteTextChar"/>
    <w:rsid w:val="00E06799"/>
    <w:rPr>
      <w:sz w:val="20"/>
      <w:szCs w:val="20"/>
    </w:rPr>
  </w:style>
  <w:style w:type="character" w:customStyle="1" w:styleId="FootnoteTextChar">
    <w:name w:val="Footnote Text Char"/>
    <w:basedOn w:val="DefaultParagraphFont"/>
    <w:link w:val="FootnoteText"/>
    <w:rsid w:val="00E0679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E06799"/>
    <w:rPr>
      <w:vertAlign w:val="superscript"/>
    </w:rPr>
  </w:style>
  <w:style w:type="paragraph" w:customStyle="1" w:styleId="subsection">
    <w:name w:val="subsection"/>
    <w:aliases w:val="ss"/>
    <w:basedOn w:val="Normal"/>
    <w:link w:val="subsectionChar"/>
    <w:rsid w:val="00D86F47"/>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D86F4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rsid w:val="00D86F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86F47"/>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11081B"/>
    <w:rPr>
      <w:sz w:val="16"/>
      <w:szCs w:val="16"/>
    </w:rPr>
  </w:style>
  <w:style w:type="paragraph" w:styleId="CommentText">
    <w:name w:val="annotation text"/>
    <w:basedOn w:val="Normal"/>
    <w:link w:val="CommentTextChar"/>
    <w:uiPriority w:val="99"/>
    <w:semiHidden/>
    <w:unhideWhenUsed/>
    <w:rsid w:val="0011081B"/>
    <w:rPr>
      <w:sz w:val="20"/>
      <w:szCs w:val="20"/>
    </w:rPr>
  </w:style>
  <w:style w:type="character" w:customStyle="1" w:styleId="CommentTextChar">
    <w:name w:val="Comment Text Char"/>
    <w:basedOn w:val="DefaultParagraphFont"/>
    <w:link w:val="CommentText"/>
    <w:uiPriority w:val="99"/>
    <w:semiHidden/>
    <w:rsid w:val="001108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1081B"/>
    <w:rPr>
      <w:b/>
      <w:bCs/>
    </w:rPr>
  </w:style>
  <w:style w:type="character" w:customStyle="1" w:styleId="CommentSubjectChar">
    <w:name w:val="Comment Subject Char"/>
    <w:basedOn w:val="CommentTextChar"/>
    <w:link w:val="CommentSubject"/>
    <w:uiPriority w:val="99"/>
    <w:semiHidden/>
    <w:rsid w:val="0011081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Bolitho</dc:creator>
  <cp:lastModifiedBy>David Bolitho</cp:lastModifiedBy>
  <cp:revision>3</cp:revision>
  <cp:lastPrinted>2013-11-22T02:46:00Z</cp:lastPrinted>
  <dcterms:created xsi:type="dcterms:W3CDTF">2013-11-22T03:28:00Z</dcterms:created>
  <dcterms:modified xsi:type="dcterms:W3CDTF">2013-12-04T05:26:00Z</dcterms:modified>
</cp:coreProperties>
</file>