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04" w:rsidRPr="00A1445D" w:rsidRDefault="00F24504" w:rsidP="00F24504">
      <w:pPr>
        <w:pStyle w:val="Default"/>
        <w:jc w:val="center"/>
        <w:rPr>
          <w:b/>
          <w:bCs/>
          <w:sz w:val="30"/>
          <w:szCs w:val="30"/>
        </w:rPr>
      </w:pPr>
      <w:r w:rsidRPr="00A1445D">
        <w:rPr>
          <w:b/>
          <w:bCs/>
          <w:sz w:val="30"/>
          <w:szCs w:val="30"/>
        </w:rPr>
        <w:t xml:space="preserve">ASIC CLASS </w:t>
      </w:r>
      <w:r w:rsidRPr="00B64CDE">
        <w:rPr>
          <w:b/>
          <w:bCs/>
          <w:sz w:val="30"/>
          <w:szCs w:val="30"/>
        </w:rPr>
        <w:t>ORDER [CO 13/</w:t>
      </w:r>
      <w:r w:rsidR="00B64CDE" w:rsidRPr="00B64CDE">
        <w:rPr>
          <w:b/>
          <w:bCs/>
          <w:sz w:val="30"/>
          <w:szCs w:val="30"/>
        </w:rPr>
        <w:t>1534</w:t>
      </w:r>
      <w:r w:rsidRPr="00B64CDE">
        <w:rPr>
          <w:b/>
          <w:bCs/>
          <w:sz w:val="30"/>
          <w:szCs w:val="30"/>
        </w:rPr>
        <w:t>]</w:t>
      </w:r>
    </w:p>
    <w:p w:rsidR="00F24504" w:rsidRPr="00A1445D" w:rsidRDefault="00F24504" w:rsidP="00F24504">
      <w:pPr>
        <w:pStyle w:val="Default"/>
        <w:rPr>
          <w:sz w:val="30"/>
          <w:szCs w:val="30"/>
        </w:rPr>
      </w:pPr>
    </w:p>
    <w:p w:rsidR="00F24504" w:rsidRDefault="00F24504" w:rsidP="00F24504">
      <w:pPr>
        <w:pStyle w:val="Default"/>
        <w:jc w:val="center"/>
        <w:rPr>
          <w:b/>
          <w:bCs/>
          <w:sz w:val="30"/>
          <w:szCs w:val="30"/>
        </w:rPr>
      </w:pPr>
      <w:r w:rsidRPr="00A1445D">
        <w:rPr>
          <w:b/>
          <w:bCs/>
          <w:sz w:val="30"/>
          <w:szCs w:val="30"/>
        </w:rPr>
        <w:t>EXPLANATORY STATEMENT</w:t>
      </w:r>
    </w:p>
    <w:p w:rsidR="00A1445D" w:rsidRPr="00A1445D" w:rsidRDefault="00A1445D" w:rsidP="00F24504">
      <w:pPr>
        <w:pStyle w:val="Default"/>
        <w:jc w:val="center"/>
        <w:rPr>
          <w:b/>
          <w:bCs/>
          <w:sz w:val="30"/>
          <w:szCs w:val="30"/>
        </w:rPr>
      </w:pPr>
    </w:p>
    <w:p w:rsidR="00F24504" w:rsidRPr="00F24504" w:rsidRDefault="00F24504" w:rsidP="00F24504">
      <w:pPr>
        <w:pStyle w:val="Default"/>
        <w:rPr>
          <w:sz w:val="23"/>
          <w:szCs w:val="23"/>
        </w:rPr>
      </w:pPr>
    </w:p>
    <w:p w:rsidR="00F24504" w:rsidRPr="00A1445D" w:rsidRDefault="00F24504" w:rsidP="00FB6CD2">
      <w:pPr>
        <w:pStyle w:val="Default"/>
        <w:jc w:val="center"/>
      </w:pPr>
      <w:r w:rsidRPr="00A1445D">
        <w:t>Prepared by the Australian Securities and Investments Commission</w:t>
      </w:r>
    </w:p>
    <w:p w:rsidR="00F24504" w:rsidRPr="00A1445D" w:rsidRDefault="00F24504" w:rsidP="00F24504">
      <w:pPr>
        <w:pStyle w:val="Default"/>
      </w:pPr>
    </w:p>
    <w:p w:rsidR="00F24504" w:rsidRPr="00A1445D" w:rsidRDefault="00FB6CD2" w:rsidP="00FB6CD2">
      <w:pPr>
        <w:pStyle w:val="Default"/>
        <w:jc w:val="center"/>
        <w:rPr>
          <w:i/>
        </w:rPr>
      </w:pPr>
      <w:r>
        <w:rPr>
          <w:i/>
        </w:rPr>
        <w:t>Corporations Act 2001</w:t>
      </w:r>
    </w:p>
    <w:p w:rsidR="00F24504" w:rsidRPr="00A1445D" w:rsidRDefault="00F24504" w:rsidP="00F24504">
      <w:pPr>
        <w:pStyle w:val="Default"/>
        <w:rPr>
          <w:iCs/>
        </w:rPr>
      </w:pPr>
    </w:p>
    <w:p w:rsidR="00F24504" w:rsidRPr="00A1445D" w:rsidRDefault="00F24504" w:rsidP="00F24504">
      <w:pPr>
        <w:pStyle w:val="Default"/>
      </w:pPr>
      <w:r w:rsidRPr="00A1445D">
        <w:t>The Australian Securities and Investments Commission (</w:t>
      </w:r>
      <w:r w:rsidRPr="00A1445D">
        <w:rPr>
          <w:b/>
          <w:bCs/>
          <w:i/>
          <w:iCs/>
        </w:rPr>
        <w:t>ASIC</w:t>
      </w:r>
      <w:r w:rsidRPr="00A1445D">
        <w:t>) makes Class Order [CO 13/</w:t>
      </w:r>
      <w:r w:rsidR="00B64CDE">
        <w:t>1534</w:t>
      </w:r>
      <w:r w:rsidR="0031734F">
        <w:t>]</w:t>
      </w:r>
      <w:r w:rsidRPr="00A1445D">
        <w:t xml:space="preserve"> under </w:t>
      </w:r>
      <w:r w:rsidR="00FB6CD2">
        <w:rPr>
          <w:bCs/>
        </w:rPr>
        <w:t xml:space="preserve">subsection 1020F(1) of the </w:t>
      </w:r>
      <w:r w:rsidR="00FB6CD2">
        <w:rPr>
          <w:bCs/>
          <w:i/>
        </w:rPr>
        <w:t xml:space="preserve">Corporations Act 2001 </w:t>
      </w:r>
      <w:r w:rsidRPr="00A1445D">
        <w:t xml:space="preserve">(the </w:t>
      </w:r>
      <w:r w:rsidRPr="00A1445D">
        <w:rPr>
          <w:b/>
          <w:bCs/>
          <w:i/>
          <w:iCs/>
        </w:rPr>
        <w:t>Act</w:t>
      </w:r>
      <w:r w:rsidRPr="00A1445D">
        <w:t xml:space="preserve">). </w:t>
      </w:r>
    </w:p>
    <w:p w:rsidR="00F24504" w:rsidRPr="00A1445D" w:rsidRDefault="00F24504" w:rsidP="00F24504">
      <w:pPr>
        <w:pStyle w:val="Default"/>
      </w:pPr>
    </w:p>
    <w:p w:rsidR="00F24504" w:rsidRDefault="00B3049B" w:rsidP="00F24504">
      <w:pPr>
        <w:pStyle w:val="Default"/>
      </w:pPr>
      <w:r>
        <w:t>Subsection</w:t>
      </w:r>
      <w:r w:rsidR="00F24504" w:rsidRPr="00A1445D">
        <w:t xml:space="preserve"> </w:t>
      </w:r>
      <w:proofErr w:type="gramStart"/>
      <w:r w:rsidR="00E94FF2">
        <w:rPr>
          <w:bCs/>
        </w:rPr>
        <w:t>1020F(</w:t>
      </w:r>
      <w:proofErr w:type="gramEnd"/>
      <w:r w:rsidR="00E94FF2">
        <w:rPr>
          <w:bCs/>
        </w:rPr>
        <w:t xml:space="preserve">1) of the Act </w:t>
      </w:r>
      <w:r w:rsidR="00392692">
        <w:rPr>
          <w:bCs/>
        </w:rPr>
        <w:t>provides that ASIC may exempt a class of persons from all or specified provisions of Part 7.9 of the Act</w:t>
      </w:r>
      <w:r w:rsidR="00F24504" w:rsidRPr="00A1445D">
        <w:t>.</w:t>
      </w:r>
      <w:r w:rsidR="00392692">
        <w:t xml:space="preserve"> Subsection </w:t>
      </w:r>
      <w:proofErr w:type="gramStart"/>
      <w:r w:rsidR="00392692">
        <w:t>1020F(</w:t>
      </w:r>
      <w:proofErr w:type="gramEnd"/>
      <w:r w:rsidR="00392692">
        <w:t>4) provides that an exemption may be subject to specified conditions.</w:t>
      </w:r>
      <w:r w:rsidR="00BF7FDC">
        <w:t xml:space="preserve"> A person seeking to rely on the </w:t>
      </w:r>
      <w:r>
        <w:t>exemption</w:t>
      </w:r>
      <w:r w:rsidR="00BF7FDC">
        <w:t xml:space="preserve"> must comply with </w:t>
      </w:r>
      <w:r w:rsidR="00BE39A1">
        <w:t>the</w:t>
      </w:r>
      <w:r w:rsidR="00BF7FDC">
        <w:t xml:space="preserve"> </w:t>
      </w:r>
      <w:r>
        <w:t xml:space="preserve">specified </w:t>
      </w:r>
      <w:r w:rsidR="00BF7FDC">
        <w:t>conditions.</w:t>
      </w:r>
    </w:p>
    <w:p w:rsidR="00392692" w:rsidRDefault="00392692" w:rsidP="00F24504">
      <w:pPr>
        <w:pStyle w:val="Default"/>
      </w:pPr>
    </w:p>
    <w:p w:rsidR="00F24504" w:rsidRPr="00A1445D" w:rsidRDefault="00F24504" w:rsidP="005A3A24">
      <w:pPr>
        <w:pStyle w:val="Default"/>
        <w:numPr>
          <w:ilvl w:val="0"/>
          <w:numId w:val="2"/>
        </w:numPr>
        <w:ind w:hanging="720"/>
        <w:rPr>
          <w:b/>
          <w:bCs/>
        </w:rPr>
      </w:pPr>
      <w:r w:rsidRPr="00A1445D">
        <w:rPr>
          <w:b/>
          <w:bCs/>
        </w:rPr>
        <w:t xml:space="preserve">Background </w:t>
      </w:r>
    </w:p>
    <w:p w:rsidR="005B0464" w:rsidRDefault="005B0464" w:rsidP="00F24504">
      <w:pPr>
        <w:pStyle w:val="Default"/>
      </w:pPr>
    </w:p>
    <w:p w:rsidR="00695E67" w:rsidRPr="00BC586A" w:rsidRDefault="00695E67" w:rsidP="0077640E">
      <w:pPr>
        <w:pStyle w:val="Default"/>
        <w:rPr>
          <w:lang w:val="en-US"/>
        </w:rPr>
      </w:pPr>
      <w:r w:rsidRPr="00BC586A">
        <w:rPr>
          <w:lang w:val="en-US"/>
        </w:rPr>
        <w:t xml:space="preserve">A trustee of a superannuation fund that offers to issue interests in the fund to a person is obliged to disclose information in a Product Disclosure Statement. </w:t>
      </w:r>
      <w:r w:rsidR="004A0ED7" w:rsidRPr="00BC586A">
        <w:rPr>
          <w:lang w:val="en-US"/>
        </w:rPr>
        <w:t xml:space="preserve">Product </w:t>
      </w:r>
      <w:r w:rsidRPr="00BC586A">
        <w:rPr>
          <w:lang w:val="en-US"/>
        </w:rPr>
        <w:t>D</w:t>
      </w:r>
      <w:r w:rsidR="004A0ED7" w:rsidRPr="00BC586A">
        <w:rPr>
          <w:lang w:val="en-US"/>
        </w:rPr>
        <w:t xml:space="preserve">isclosure </w:t>
      </w:r>
      <w:r w:rsidRPr="00BC586A">
        <w:rPr>
          <w:lang w:val="en-US"/>
        </w:rPr>
        <w:t>S</w:t>
      </w:r>
      <w:r w:rsidR="004A0ED7" w:rsidRPr="00BC586A">
        <w:rPr>
          <w:lang w:val="en-US"/>
        </w:rPr>
        <w:t xml:space="preserve">tatements provide key information to a person to assist them in making a decision with regards to joining a particular fund.  A </w:t>
      </w:r>
      <w:r w:rsidRPr="00BC586A">
        <w:rPr>
          <w:lang w:val="en-US"/>
        </w:rPr>
        <w:t>P</w:t>
      </w:r>
      <w:r w:rsidR="004A0ED7" w:rsidRPr="00BC586A">
        <w:rPr>
          <w:lang w:val="en-US"/>
        </w:rPr>
        <w:t xml:space="preserve">roduct </w:t>
      </w:r>
      <w:r w:rsidRPr="00BC586A">
        <w:rPr>
          <w:lang w:val="en-US"/>
        </w:rPr>
        <w:t>D</w:t>
      </w:r>
      <w:r w:rsidR="004A0ED7" w:rsidRPr="00BC586A">
        <w:rPr>
          <w:lang w:val="en-US"/>
        </w:rPr>
        <w:t xml:space="preserve">isclosure </w:t>
      </w:r>
      <w:r w:rsidRPr="00BC586A">
        <w:rPr>
          <w:lang w:val="en-US"/>
        </w:rPr>
        <w:t>S</w:t>
      </w:r>
      <w:r w:rsidR="004A0ED7" w:rsidRPr="00BC586A">
        <w:rPr>
          <w:lang w:val="en-US"/>
        </w:rPr>
        <w:t>tatement must provide information on fees and costs associated with the product</w:t>
      </w:r>
      <w:r w:rsidR="007E4E09" w:rsidRPr="00BC586A">
        <w:rPr>
          <w:lang w:val="en-US"/>
        </w:rPr>
        <w:t xml:space="preserve"> (among other things).  </w:t>
      </w:r>
    </w:p>
    <w:p w:rsidR="00695E67" w:rsidRPr="00BC586A" w:rsidRDefault="00695E67" w:rsidP="0077640E">
      <w:pPr>
        <w:pStyle w:val="Default"/>
        <w:rPr>
          <w:lang w:val="en-US"/>
        </w:rPr>
      </w:pPr>
    </w:p>
    <w:p w:rsidR="007E4E09" w:rsidRPr="00BC586A" w:rsidRDefault="00695E67" w:rsidP="0077640E">
      <w:pPr>
        <w:pStyle w:val="Default"/>
        <w:rPr>
          <w:lang w:val="en-US"/>
        </w:rPr>
      </w:pPr>
      <w:r w:rsidRPr="00BC586A">
        <w:rPr>
          <w:lang w:val="en-US"/>
        </w:rPr>
        <w:t>A trustee of a superannuation fund must also provide, generally every 12 months, a p</w:t>
      </w:r>
      <w:r w:rsidR="007E4E09" w:rsidRPr="00BC586A">
        <w:rPr>
          <w:lang w:val="en-US"/>
        </w:rPr>
        <w:t xml:space="preserve">eriodic statement </w:t>
      </w:r>
      <w:r w:rsidRPr="00BC586A">
        <w:rPr>
          <w:lang w:val="en-US"/>
        </w:rPr>
        <w:t xml:space="preserve">to a member of the fund to </w:t>
      </w:r>
      <w:r w:rsidR="007E4E09" w:rsidRPr="00BC586A">
        <w:rPr>
          <w:lang w:val="en-US"/>
        </w:rPr>
        <w:t xml:space="preserve">help </w:t>
      </w:r>
      <w:r w:rsidRPr="00BC586A">
        <w:rPr>
          <w:lang w:val="en-US"/>
        </w:rPr>
        <w:t>the</w:t>
      </w:r>
      <w:r w:rsidR="007E4E09" w:rsidRPr="00BC586A">
        <w:rPr>
          <w:lang w:val="en-US"/>
        </w:rPr>
        <w:t xml:space="preserve"> member understand their investment in </w:t>
      </w:r>
      <w:r w:rsidRPr="00BC586A">
        <w:rPr>
          <w:lang w:val="en-US"/>
        </w:rPr>
        <w:t>the fund</w:t>
      </w:r>
      <w:r w:rsidR="007E4E09" w:rsidRPr="00BC586A">
        <w:rPr>
          <w:lang w:val="en-US"/>
        </w:rPr>
        <w:t>.  This includes an understanding of fees and costs incurred during the relevant period.</w:t>
      </w:r>
    </w:p>
    <w:p w:rsidR="007E4E09" w:rsidRPr="00BC586A" w:rsidRDefault="007E4E09" w:rsidP="0077640E">
      <w:pPr>
        <w:pStyle w:val="Default"/>
        <w:rPr>
          <w:lang w:val="en-US"/>
        </w:rPr>
      </w:pPr>
    </w:p>
    <w:p w:rsidR="007E4E09" w:rsidRDefault="007E4E09" w:rsidP="0077640E">
      <w:pPr>
        <w:pStyle w:val="Default"/>
        <w:rPr>
          <w:lang w:val="en-US"/>
        </w:rPr>
      </w:pPr>
      <w:r w:rsidRPr="00BC586A">
        <w:rPr>
          <w:lang w:val="en-US"/>
        </w:rPr>
        <w:t xml:space="preserve">Fees and costs disclosure is heavily prescribed for both </w:t>
      </w:r>
      <w:r w:rsidR="00695E67" w:rsidRPr="00BC586A">
        <w:rPr>
          <w:lang w:val="en-US"/>
        </w:rPr>
        <w:t>P</w:t>
      </w:r>
      <w:r w:rsidRPr="00BC586A">
        <w:rPr>
          <w:lang w:val="en-US"/>
        </w:rPr>
        <w:t xml:space="preserve">roduct </w:t>
      </w:r>
      <w:r w:rsidR="00695E67" w:rsidRPr="00BC586A">
        <w:rPr>
          <w:lang w:val="en-US"/>
        </w:rPr>
        <w:t>D</w:t>
      </w:r>
      <w:r w:rsidRPr="00BC586A">
        <w:rPr>
          <w:lang w:val="en-US"/>
        </w:rPr>
        <w:t xml:space="preserve">isclosure </w:t>
      </w:r>
      <w:r w:rsidR="00695E67" w:rsidRPr="00BC586A">
        <w:rPr>
          <w:lang w:val="en-US"/>
        </w:rPr>
        <w:t>S</w:t>
      </w:r>
      <w:r w:rsidRPr="00BC586A">
        <w:rPr>
          <w:lang w:val="en-US"/>
        </w:rPr>
        <w:t>tatements and periodic statements</w:t>
      </w:r>
      <w:r w:rsidR="00203432" w:rsidRPr="00BC586A">
        <w:rPr>
          <w:lang w:val="en-US"/>
        </w:rPr>
        <w:t xml:space="preserve"> in relation to superannuation products</w:t>
      </w:r>
      <w:r w:rsidR="00BD4A44">
        <w:rPr>
          <w:lang w:val="en-US"/>
        </w:rPr>
        <w:t xml:space="preserve">.  </w:t>
      </w:r>
      <w:r>
        <w:rPr>
          <w:lang w:val="en-US"/>
        </w:rPr>
        <w:t>As a result of recent reforms in superannuation, fees and costs disclosure is changing.</w:t>
      </w:r>
    </w:p>
    <w:p w:rsidR="00565BC9" w:rsidRDefault="00565BC9" w:rsidP="0077640E">
      <w:pPr>
        <w:pStyle w:val="Default"/>
        <w:rPr>
          <w:lang w:val="en-US"/>
        </w:rPr>
      </w:pPr>
    </w:p>
    <w:p w:rsidR="004A3F05" w:rsidRPr="004D4FF2" w:rsidRDefault="00565BC9" w:rsidP="0077640E">
      <w:pPr>
        <w:pStyle w:val="Default"/>
        <w:rPr>
          <w:lang w:val="en-US"/>
        </w:rPr>
      </w:pPr>
      <w:r>
        <w:rPr>
          <w:lang w:val="en-US"/>
        </w:rPr>
        <w:t xml:space="preserve">The changes to the Corporations Regulations disclosure requirements in relation to fees and costs, reflect </w:t>
      </w:r>
      <w:r w:rsidR="004D4FF2">
        <w:rPr>
          <w:lang w:val="en-US"/>
        </w:rPr>
        <w:t xml:space="preserve">basic changes to fees and costs </w:t>
      </w:r>
      <w:r>
        <w:rPr>
          <w:lang w:val="en-US"/>
        </w:rPr>
        <w:t xml:space="preserve">already made to the </w:t>
      </w:r>
      <w:r>
        <w:rPr>
          <w:i/>
          <w:lang w:val="en-US"/>
        </w:rPr>
        <w:t>Superannuation Industry (Supervision) Act 1993</w:t>
      </w:r>
      <w:r>
        <w:rPr>
          <w:lang w:val="en-US"/>
        </w:rPr>
        <w:t xml:space="preserve"> </w:t>
      </w:r>
      <w:r w:rsidR="004A3F05">
        <w:rPr>
          <w:lang w:val="en-US"/>
        </w:rPr>
        <w:t xml:space="preserve">(SIS Act) </w:t>
      </w:r>
      <w:r>
        <w:rPr>
          <w:lang w:val="en-US"/>
        </w:rPr>
        <w:t xml:space="preserve">as a result of the </w:t>
      </w:r>
      <w:r w:rsidR="004D4FF2">
        <w:rPr>
          <w:i/>
          <w:lang w:val="en-US"/>
        </w:rPr>
        <w:t>Superannuation Legislation Amendment (Further MySuper Transparency Measures) Act 2012</w:t>
      </w:r>
      <w:r w:rsidR="004A3F05">
        <w:rPr>
          <w:i/>
          <w:lang w:val="en-US"/>
        </w:rPr>
        <w:t xml:space="preserve"> </w:t>
      </w:r>
      <w:r w:rsidR="004A3F05">
        <w:rPr>
          <w:lang w:val="en-US"/>
        </w:rPr>
        <w:t>and the MySuper changes</w:t>
      </w:r>
      <w:r w:rsidR="004D4FF2">
        <w:rPr>
          <w:lang w:val="en-US"/>
        </w:rPr>
        <w:t xml:space="preserve">.  </w:t>
      </w:r>
      <w:r w:rsidR="004A3F05">
        <w:rPr>
          <w:lang w:val="en-US"/>
        </w:rPr>
        <w:t>These changes restrict the types of fees that can be charged in some cases, or require other fees to only be charged on a cost recovery basis.  There are also changes to fee and cost terminology in the SIS Act which have required changes to the fee tables and templates in the Corporations Regulations.</w:t>
      </w:r>
    </w:p>
    <w:p w:rsidR="007E4E09" w:rsidRDefault="007E4E09" w:rsidP="0077640E">
      <w:pPr>
        <w:pStyle w:val="Default"/>
        <w:rPr>
          <w:lang w:val="en-US"/>
        </w:rPr>
      </w:pPr>
    </w:p>
    <w:p w:rsidR="00351C49" w:rsidRPr="00351C49" w:rsidRDefault="004A0ED7" w:rsidP="0077640E">
      <w:pPr>
        <w:pStyle w:val="Default"/>
        <w:rPr>
          <w:i/>
          <w:lang w:val="en-US"/>
        </w:rPr>
      </w:pPr>
      <w:r w:rsidRPr="004A0ED7">
        <w:rPr>
          <w:i/>
          <w:lang w:val="en-US"/>
        </w:rPr>
        <w:t>First Exemption</w:t>
      </w:r>
    </w:p>
    <w:p w:rsidR="00351C49" w:rsidRDefault="00351C49" w:rsidP="0077640E">
      <w:pPr>
        <w:pStyle w:val="Default"/>
        <w:rPr>
          <w:lang w:val="en-US"/>
        </w:rPr>
      </w:pPr>
    </w:p>
    <w:p w:rsidR="0077640E" w:rsidRPr="0077640E" w:rsidRDefault="0077640E" w:rsidP="0077640E">
      <w:pPr>
        <w:pStyle w:val="Default"/>
        <w:rPr>
          <w:lang w:val="en-US"/>
        </w:rPr>
      </w:pPr>
      <w:r w:rsidRPr="0077640E">
        <w:rPr>
          <w:lang w:val="en-US"/>
        </w:rPr>
        <w:t>With</w:t>
      </w:r>
      <w:r w:rsidR="009D0BCF">
        <w:rPr>
          <w:lang w:val="en-US"/>
        </w:rPr>
        <w:t xml:space="preserve"> respect to the F</w:t>
      </w:r>
      <w:r>
        <w:rPr>
          <w:lang w:val="en-US"/>
        </w:rPr>
        <w:t xml:space="preserve">irst </w:t>
      </w:r>
      <w:r w:rsidR="009D0BCF">
        <w:rPr>
          <w:lang w:val="en-US"/>
        </w:rPr>
        <w:t>E</w:t>
      </w:r>
      <w:r>
        <w:rPr>
          <w:lang w:val="en-US"/>
        </w:rPr>
        <w:t>xemption of the c</w:t>
      </w:r>
      <w:r w:rsidRPr="0077640E">
        <w:rPr>
          <w:lang w:val="en-US"/>
        </w:rPr>
        <w:t xml:space="preserve">lass order, </w:t>
      </w:r>
      <w:r>
        <w:rPr>
          <w:lang w:val="en-US"/>
        </w:rPr>
        <w:t>c</w:t>
      </w:r>
      <w:r w:rsidRPr="0077640E">
        <w:rPr>
          <w:lang w:val="en-US"/>
        </w:rPr>
        <w:t xml:space="preserve">hanges to disclosure with respect to fees and costs information in </w:t>
      </w:r>
      <w:r w:rsidR="00351C49">
        <w:rPr>
          <w:lang w:val="en-US"/>
        </w:rPr>
        <w:t>P</w:t>
      </w:r>
      <w:r w:rsidRPr="0077640E">
        <w:rPr>
          <w:lang w:val="en-US"/>
        </w:rPr>
        <w:t xml:space="preserve">roduct </w:t>
      </w:r>
      <w:r w:rsidR="00351C49">
        <w:rPr>
          <w:lang w:val="en-US"/>
        </w:rPr>
        <w:t>D</w:t>
      </w:r>
      <w:r w:rsidRPr="0077640E">
        <w:rPr>
          <w:lang w:val="en-US"/>
        </w:rPr>
        <w:t xml:space="preserve">isclosure </w:t>
      </w:r>
      <w:r w:rsidR="00351C49">
        <w:rPr>
          <w:lang w:val="en-US"/>
        </w:rPr>
        <w:t>S</w:t>
      </w:r>
      <w:r w:rsidRPr="0077640E">
        <w:rPr>
          <w:lang w:val="en-US"/>
        </w:rPr>
        <w:t xml:space="preserve">tatements and periodic statements for a superannuation product were made by items 7 to 68 and 70 to 86 of </w:t>
      </w:r>
      <w:r w:rsidRPr="0077640E">
        <w:rPr>
          <w:lang w:val="en-US"/>
        </w:rPr>
        <w:lastRenderedPageBreak/>
        <w:t xml:space="preserve">Schedule 1 of the </w:t>
      </w:r>
      <w:r w:rsidRPr="0077640E">
        <w:rPr>
          <w:i/>
          <w:lang w:val="en-US"/>
        </w:rPr>
        <w:t>Superannuation Legislation Amendment (MySuper Measures) Regulation 2013</w:t>
      </w:r>
      <w:r w:rsidRPr="0077640E">
        <w:rPr>
          <w:lang w:val="en-US"/>
        </w:rPr>
        <w:t xml:space="preserve"> which was introduced on 28 June 2013.  The changes to disclosure come into effect </w:t>
      </w:r>
      <w:r w:rsidR="00351C49">
        <w:rPr>
          <w:lang w:val="en-US"/>
        </w:rPr>
        <w:t xml:space="preserve">from </w:t>
      </w:r>
      <w:r w:rsidRPr="0077640E">
        <w:rPr>
          <w:lang w:val="en-US"/>
        </w:rPr>
        <w:t>31 December 2013.</w:t>
      </w:r>
    </w:p>
    <w:p w:rsidR="0077640E" w:rsidRPr="0077640E" w:rsidRDefault="0077640E" w:rsidP="0077640E">
      <w:pPr>
        <w:pStyle w:val="Default"/>
        <w:rPr>
          <w:lang w:val="en-US"/>
        </w:rPr>
      </w:pPr>
    </w:p>
    <w:p w:rsidR="0077640E" w:rsidRPr="0077640E" w:rsidRDefault="0077640E" w:rsidP="0077640E">
      <w:pPr>
        <w:pStyle w:val="Default"/>
        <w:rPr>
          <w:lang w:val="en-US"/>
        </w:rPr>
      </w:pPr>
      <w:r w:rsidRPr="0077640E">
        <w:rPr>
          <w:lang w:val="en-US"/>
        </w:rPr>
        <w:t>Feedback from industry associations indicates that compliance by 31 December 2013 would result in significant compliance co</w:t>
      </w:r>
      <w:r w:rsidR="00853CE6">
        <w:rPr>
          <w:lang w:val="en-US"/>
        </w:rPr>
        <w:t>sts</w:t>
      </w:r>
      <w:r w:rsidRPr="0077640E">
        <w:rPr>
          <w:lang w:val="en-US"/>
        </w:rPr>
        <w:t xml:space="preserve"> and imposes unreasonable burdens on trustees</w:t>
      </w:r>
      <w:r w:rsidR="004E4A20">
        <w:rPr>
          <w:lang w:val="en-US"/>
        </w:rPr>
        <w:t>.  In the transition period</w:t>
      </w:r>
      <w:r w:rsidR="004E4A20" w:rsidRPr="0010619E">
        <w:rPr>
          <w:lang w:val="en-US"/>
        </w:rPr>
        <w:t>,</w:t>
      </w:r>
      <w:r w:rsidR="004E4A20">
        <w:rPr>
          <w:lang w:val="en-US"/>
        </w:rPr>
        <w:t xml:space="preserve"> consumers will, however, continue to receive fee and cost information.</w:t>
      </w:r>
    </w:p>
    <w:p w:rsidR="0077640E" w:rsidRDefault="0077640E" w:rsidP="00F24504">
      <w:pPr>
        <w:pStyle w:val="Default"/>
      </w:pPr>
    </w:p>
    <w:p w:rsidR="005B0464" w:rsidRPr="005B0464" w:rsidRDefault="00961FC3" w:rsidP="005B0464">
      <w:pPr>
        <w:pStyle w:val="Default"/>
        <w:rPr>
          <w:lang w:val="en-US"/>
        </w:rPr>
      </w:pPr>
      <w:r>
        <w:rPr>
          <w:lang w:val="en-US"/>
        </w:rPr>
        <w:t>The</w:t>
      </w:r>
      <w:r w:rsidR="005B0464">
        <w:rPr>
          <w:lang w:val="en-US"/>
        </w:rPr>
        <w:t xml:space="preserve"> class order</w:t>
      </w:r>
      <w:r w:rsidR="005B0464" w:rsidRPr="005B0464">
        <w:rPr>
          <w:lang w:val="en-US"/>
        </w:rPr>
        <w:t xml:space="preserve"> </w:t>
      </w:r>
      <w:r w:rsidR="00F96E56">
        <w:rPr>
          <w:lang w:val="en-US"/>
        </w:rPr>
        <w:t>extends</w:t>
      </w:r>
      <w:r w:rsidR="005B0464" w:rsidRPr="005B0464">
        <w:rPr>
          <w:lang w:val="en-US"/>
        </w:rPr>
        <w:t xml:space="preserve"> the date of compliance from 31 December 2013 to </w:t>
      </w:r>
      <w:r w:rsidR="00F34118">
        <w:rPr>
          <w:lang w:val="en-US"/>
        </w:rPr>
        <w:t xml:space="preserve">1 July 2014 for </w:t>
      </w:r>
      <w:r w:rsidR="009B1DE7">
        <w:rPr>
          <w:lang w:val="en-US"/>
        </w:rPr>
        <w:t>Product Disclosure S</w:t>
      </w:r>
      <w:r w:rsidR="00F34118">
        <w:rPr>
          <w:lang w:val="en-US"/>
        </w:rPr>
        <w:t xml:space="preserve">tatements </w:t>
      </w:r>
      <w:r w:rsidR="0041149D">
        <w:rPr>
          <w:lang w:val="en-US"/>
        </w:rPr>
        <w:t xml:space="preserve">given </w:t>
      </w:r>
      <w:r w:rsidR="003629E5">
        <w:rPr>
          <w:lang w:val="en-US"/>
        </w:rPr>
        <w:t xml:space="preserve">on or </w:t>
      </w:r>
      <w:r w:rsidR="0041149D">
        <w:rPr>
          <w:lang w:val="en-US"/>
        </w:rPr>
        <w:t xml:space="preserve">after that date, </w:t>
      </w:r>
      <w:r w:rsidR="00F34118">
        <w:rPr>
          <w:lang w:val="en-US"/>
        </w:rPr>
        <w:t xml:space="preserve">and </w:t>
      </w:r>
      <w:r w:rsidR="0010619E">
        <w:rPr>
          <w:lang w:val="en-US"/>
        </w:rPr>
        <w:t xml:space="preserve">reporting periods </w:t>
      </w:r>
      <w:r w:rsidR="00F709F1">
        <w:rPr>
          <w:lang w:val="en-US"/>
        </w:rPr>
        <w:t xml:space="preserve">on or </w:t>
      </w:r>
      <w:r w:rsidR="0010619E">
        <w:rPr>
          <w:lang w:val="en-US"/>
        </w:rPr>
        <w:t xml:space="preserve">after </w:t>
      </w:r>
      <w:r w:rsidR="005B0464" w:rsidRPr="005B0464">
        <w:rPr>
          <w:lang w:val="en-US"/>
        </w:rPr>
        <w:t>1 July 2014</w:t>
      </w:r>
      <w:r w:rsidR="00F34118">
        <w:rPr>
          <w:lang w:val="en-US"/>
        </w:rPr>
        <w:t xml:space="preserve"> for </w:t>
      </w:r>
      <w:r w:rsidR="009B1DE7">
        <w:rPr>
          <w:lang w:val="en-US"/>
        </w:rPr>
        <w:t>p</w:t>
      </w:r>
      <w:r w:rsidR="00F34118">
        <w:rPr>
          <w:lang w:val="en-US"/>
        </w:rPr>
        <w:t>eriodic statements and aligns</w:t>
      </w:r>
      <w:r w:rsidR="00EE1EA7">
        <w:rPr>
          <w:lang w:val="en-US"/>
        </w:rPr>
        <w:t xml:space="preserve"> it</w:t>
      </w:r>
      <w:r w:rsidR="00EE1EA7" w:rsidRPr="00EE1EA7">
        <w:rPr>
          <w:lang w:val="en-US"/>
        </w:rPr>
        <w:t xml:space="preserve"> with the commencement date for </w:t>
      </w:r>
      <w:r w:rsidR="00FE17FF" w:rsidRPr="009B1DE7">
        <w:rPr>
          <w:lang w:val="en-US"/>
        </w:rPr>
        <w:t>managed investment products</w:t>
      </w:r>
      <w:r w:rsidR="00EE1EA7" w:rsidRPr="00EE1EA7">
        <w:rPr>
          <w:lang w:val="en-US"/>
        </w:rPr>
        <w:t xml:space="preserve">.  </w:t>
      </w:r>
    </w:p>
    <w:p w:rsidR="005B0464" w:rsidRDefault="005B0464" w:rsidP="00F24504">
      <w:pPr>
        <w:pStyle w:val="Default"/>
      </w:pPr>
    </w:p>
    <w:p w:rsidR="005B0464" w:rsidRPr="00961FC3" w:rsidRDefault="009E3725" w:rsidP="005B0464">
      <w:pPr>
        <w:pStyle w:val="Default"/>
        <w:rPr>
          <w:i/>
          <w:lang w:val="en-US"/>
        </w:rPr>
      </w:pPr>
      <w:r>
        <w:rPr>
          <w:i/>
          <w:lang w:val="en-US"/>
        </w:rPr>
        <w:t>Second E</w:t>
      </w:r>
      <w:r w:rsidR="00961FC3" w:rsidRPr="00961FC3">
        <w:rPr>
          <w:i/>
          <w:lang w:val="en-US"/>
        </w:rPr>
        <w:t>xemption</w:t>
      </w:r>
    </w:p>
    <w:p w:rsidR="005B0464" w:rsidRPr="00A1445D" w:rsidRDefault="005B0464" w:rsidP="00F24504">
      <w:pPr>
        <w:pStyle w:val="Default"/>
      </w:pPr>
    </w:p>
    <w:p w:rsidR="006E1FFA" w:rsidRPr="0077640E" w:rsidRDefault="009D0BCF" w:rsidP="00837893">
      <w:pPr>
        <w:pStyle w:val="Default"/>
      </w:pPr>
      <w:r>
        <w:t>With respect to the S</w:t>
      </w:r>
      <w:r w:rsidR="0077640E">
        <w:t>eco</w:t>
      </w:r>
      <w:r>
        <w:t>nd E</w:t>
      </w:r>
      <w:r w:rsidR="0077640E">
        <w:t>xemption of the class order, f</w:t>
      </w:r>
      <w:r w:rsidR="00D17836" w:rsidRPr="00D17836">
        <w:t xml:space="preserve">or the purposes of paragraph 1017D(5)(g) of the Act in relation to </w:t>
      </w:r>
      <w:r w:rsidR="00DF792B">
        <w:t xml:space="preserve">the </w:t>
      </w:r>
      <w:r w:rsidR="00D17836" w:rsidRPr="00D17836">
        <w:t xml:space="preserve">disclosure obligations </w:t>
      </w:r>
      <w:r w:rsidR="00DF792B">
        <w:t>of</w:t>
      </w:r>
      <w:r w:rsidR="00D17836" w:rsidRPr="00D17836">
        <w:t xml:space="preserve"> superannuation trustees </w:t>
      </w:r>
      <w:r w:rsidR="0077640E">
        <w:t xml:space="preserve">for </w:t>
      </w:r>
      <w:r w:rsidR="00D17836" w:rsidRPr="00D17836">
        <w:t xml:space="preserve">periodic statements, </w:t>
      </w:r>
      <w:r w:rsidR="00B3049B">
        <w:t>sub</w:t>
      </w:r>
      <w:r w:rsidR="0005463F" w:rsidRPr="008B67F0">
        <w:t>reg</w:t>
      </w:r>
      <w:r w:rsidR="00C63DFC" w:rsidRPr="008B67F0">
        <w:t xml:space="preserve">ulation </w:t>
      </w:r>
      <w:r w:rsidR="00787673">
        <w:t>7.9.20</w:t>
      </w:r>
      <w:r w:rsidR="001E1135">
        <w:t>(1)(o)</w:t>
      </w:r>
      <w:r w:rsidR="0005463F" w:rsidRPr="008B67F0">
        <w:t xml:space="preserve"> </w:t>
      </w:r>
      <w:r w:rsidR="002A0B13">
        <w:t xml:space="preserve">of </w:t>
      </w:r>
      <w:r w:rsidR="0005463F" w:rsidRPr="008B67F0">
        <w:t xml:space="preserve">the </w:t>
      </w:r>
      <w:r w:rsidR="0005463F" w:rsidRPr="008B67F0">
        <w:rPr>
          <w:i/>
        </w:rPr>
        <w:t xml:space="preserve">Corporations Regulations 2001 </w:t>
      </w:r>
      <w:r w:rsidR="00162F97" w:rsidRPr="00162F97">
        <w:t xml:space="preserve">(the </w:t>
      </w:r>
      <w:r w:rsidR="00162F97" w:rsidRPr="00162F97">
        <w:rPr>
          <w:b/>
          <w:i/>
        </w:rPr>
        <w:t>Regulations</w:t>
      </w:r>
      <w:r w:rsidR="00162F97" w:rsidRPr="00162F97">
        <w:t>)</w:t>
      </w:r>
      <w:r w:rsidR="001E1135">
        <w:t xml:space="preserve"> was</w:t>
      </w:r>
      <w:r w:rsidR="002A0B13">
        <w:rPr>
          <w:i/>
        </w:rPr>
        <w:t xml:space="preserve"> </w:t>
      </w:r>
      <w:r w:rsidR="004A7730" w:rsidRPr="004A7730">
        <w:t>introduced</w:t>
      </w:r>
      <w:r w:rsidR="000E7600">
        <w:rPr>
          <w:i/>
        </w:rPr>
        <w:t xml:space="preserve"> </w:t>
      </w:r>
      <w:r w:rsidR="0005463F" w:rsidRPr="000E7600">
        <w:t>by</w:t>
      </w:r>
      <w:r w:rsidR="0005463F" w:rsidRPr="008B67F0">
        <w:t xml:space="preserve"> </w:t>
      </w:r>
      <w:r w:rsidR="000E7600">
        <w:t xml:space="preserve">the </w:t>
      </w:r>
      <w:r w:rsidR="00837893" w:rsidRPr="00837893">
        <w:rPr>
          <w:bCs/>
          <w:i/>
        </w:rPr>
        <w:t>Superannuation Legislation Amendment</w:t>
      </w:r>
      <w:r w:rsidR="00756AFB">
        <w:rPr>
          <w:bCs/>
          <w:i/>
        </w:rPr>
        <w:t xml:space="preserve"> </w:t>
      </w:r>
      <w:r w:rsidR="00837893" w:rsidRPr="00837893">
        <w:rPr>
          <w:bCs/>
          <w:i/>
        </w:rPr>
        <w:t>(MySuper Measures) Regulation 2013</w:t>
      </w:r>
      <w:r w:rsidR="00837893">
        <w:rPr>
          <w:bCs/>
          <w:i/>
        </w:rPr>
        <w:t>.</w:t>
      </w:r>
    </w:p>
    <w:p w:rsidR="001E1135" w:rsidRDefault="001E1135" w:rsidP="00F7151A">
      <w:pPr>
        <w:pStyle w:val="Default"/>
      </w:pPr>
    </w:p>
    <w:p w:rsidR="00606433" w:rsidRDefault="00837893" w:rsidP="00F24504">
      <w:pPr>
        <w:pStyle w:val="Default"/>
      </w:pPr>
      <w:r>
        <w:t>S</w:t>
      </w:r>
      <w:r w:rsidR="001934F9" w:rsidRPr="001934F9">
        <w:t xml:space="preserve">ubregulation 7.9.20(1)(o) </w:t>
      </w:r>
      <w:r w:rsidR="001E1135">
        <w:t xml:space="preserve">notes that </w:t>
      </w:r>
      <w:r w:rsidR="001E1135" w:rsidRPr="001E1135">
        <w:t>for a regulated superannuation fund, if the trustee is required</w:t>
      </w:r>
      <w:r w:rsidR="00840B33">
        <w:t xml:space="preserve"> </w:t>
      </w:r>
      <w:r w:rsidR="001E1135" w:rsidRPr="001E1135">
        <w:t>to make publicly available a product dashboard for the</w:t>
      </w:r>
      <w:r w:rsidR="001E1135">
        <w:t xml:space="preserve"> </w:t>
      </w:r>
      <w:r w:rsidR="001E1135" w:rsidRPr="001E1135">
        <w:t xml:space="preserve">investment option, </w:t>
      </w:r>
      <w:r>
        <w:t xml:space="preserve">under section 1017BA of the Act, </w:t>
      </w:r>
      <w:r w:rsidR="001E1135" w:rsidRPr="001E1135">
        <w:t>the</w:t>
      </w:r>
      <w:r w:rsidR="001E1135">
        <w:t xml:space="preserve"> </w:t>
      </w:r>
      <w:r w:rsidR="001E1135" w:rsidRPr="001E1135">
        <w:t>latest product dash</w:t>
      </w:r>
      <w:r w:rsidR="00840B33">
        <w:t>board for the investment option</w:t>
      </w:r>
      <w:r w:rsidR="0084333F">
        <w:t xml:space="preserve"> </w:t>
      </w:r>
      <w:r w:rsidR="001E1135">
        <w:t>must be included</w:t>
      </w:r>
      <w:r w:rsidR="001E1135" w:rsidRPr="001E1135">
        <w:t>.</w:t>
      </w:r>
      <w:r w:rsidR="001E1135">
        <w:t xml:space="preserve">  This means t</w:t>
      </w:r>
      <w:r>
        <w:t xml:space="preserve">hat </w:t>
      </w:r>
      <w:r w:rsidR="00197D45">
        <w:t xml:space="preserve">the product dashboard would be required to be included as part of a periodic statement, </w:t>
      </w:r>
      <w:r w:rsidR="004B5B39">
        <w:t>including periodic statements</w:t>
      </w:r>
      <w:r w:rsidR="009D0BCF">
        <w:t xml:space="preserve"> </w:t>
      </w:r>
      <w:bookmarkStart w:id="0" w:name="_GoBack"/>
      <w:bookmarkEnd w:id="0"/>
      <w:r w:rsidR="00606433">
        <w:t xml:space="preserve">when a member </w:t>
      </w:r>
      <w:r w:rsidR="009D0BCF">
        <w:t>exits</w:t>
      </w:r>
      <w:r w:rsidR="00606433">
        <w:t xml:space="preserve"> the fund.</w:t>
      </w:r>
    </w:p>
    <w:p w:rsidR="00606433" w:rsidRDefault="00606433" w:rsidP="00F24504">
      <w:pPr>
        <w:pStyle w:val="Default"/>
      </w:pPr>
    </w:p>
    <w:p w:rsidR="00721696" w:rsidRDefault="00721696" w:rsidP="00721696">
      <w:pPr>
        <w:pStyle w:val="Default"/>
        <w:rPr>
          <w:lang w:val="en-US"/>
        </w:rPr>
      </w:pPr>
      <w:r w:rsidRPr="005B0464">
        <w:t>The class order provides interim relief from compliance with subregulation 7.9.20(1</w:t>
      </w:r>
      <w:proofErr w:type="gramStart"/>
      <w:r w:rsidRPr="005B0464">
        <w:t>)(</w:t>
      </w:r>
      <w:proofErr w:type="gramEnd"/>
      <w:r w:rsidRPr="005B0464">
        <w:t xml:space="preserve">o), if </w:t>
      </w:r>
      <w:r w:rsidRPr="005B0464">
        <w:rPr>
          <w:lang w:val="en-US"/>
        </w:rPr>
        <w:t>a trustee includes in the periodic statement</w:t>
      </w:r>
      <w:r w:rsidR="004E4A20">
        <w:rPr>
          <w:lang w:val="en-US"/>
        </w:rPr>
        <w:t>, or accompani</w:t>
      </w:r>
      <w:r w:rsidR="00D5043A">
        <w:rPr>
          <w:lang w:val="en-US"/>
        </w:rPr>
        <w:t>es the periodic statement with,</w:t>
      </w:r>
      <w:r w:rsidRPr="005B0464">
        <w:rPr>
          <w:lang w:val="en-US"/>
        </w:rPr>
        <w:t xml:space="preserve"> a website address </w:t>
      </w:r>
      <w:r w:rsidR="00C3206F">
        <w:rPr>
          <w:lang w:val="en-US"/>
        </w:rPr>
        <w:t>for the</w:t>
      </w:r>
      <w:r w:rsidRPr="005B0464">
        <w:t xml:space="preserve"> latest product dashboard for the investment option</w:t>
      </w:r>
      <w:r w:rsidRPr="005B0464">
        <w:rPr>
          <w:lang w:val="en-US"/>
        </w:rPr>
        <w:t>.  This also applies to periodic statements provided to members who are exiting the fund.</w:t>
      </w:r>
    </w:p>
    <w:p w:rsidR="002739E7" w:rsidRDefault="002739E7" w:rsidP="00F24504">
      <w:pPr>
        <w:pStyle w:val="Default"/>
      </w:pPr>
    </w:p>
    <w:p w:rsidR="004A7730" w:rsidRDefault="00F24504" w:rsidP="004A7730">
      <w:pPr>
        <w:pStyle w:val="Default"/>
        <w:numPr>
          <w:ilvl w:val="0"/>
          <w:numId w:val="2"/>
        </w:numPr>
        <w:ind w:left="360"/>
        <w:rPr>
          <w:b/>
          <w:bCs/>
        </w:rPr>
      </w:pPr>
      <w:r w:rsidRPr="00A1445D">
        <w:rPr>
          <w:b/>
          <w:bCs/>
        </w:rPr>
        <w:t xml:space="preserve">Purpose of the class order </w:t>
      </w:r>
    </w:p>
    <w:p w:rsidR="00425062" w:rsidRDefault="00425062" w:rsidP="00425062">
      <w:pPr>
        <w:pStyle w:val="Default"/>
      </w:pPr>
    </w:p>
    <w:p w:rsidR="005B0464" w:rsidRDefault="00961FC3" w:rsidP="00425062">
      <w:pPr>
        <w:pStyle w:val="Default"/>
        <w:rPr>
          <w:i/>
        </w:rPr>
      </w:pPr>
      <w:r w:rsidRPr="00961FC3">
        <w:rPr>
          <w:i/>
        </w:rPr>
        <w:t>First Exemption</w:t>
      </w:r>
    </w:p>
    <w:p w:rsidR="00961FC3" w:rsidRDefault="00961FC3" w:rsidP="00425062">
      <w:pPr>
        <w:pStyle w:val="Default"/>
      </w:pPr>
    </w:p>
    <w:p w:rsidR="005B0464" w:rsidRPr="005B0464" w:rsidRDefault="005B0464" w:rsidP="005B0464">
      <w:pPr>
        <w:pStyle w:val="Default"/>
        <w:rPr>
          <w:lang w:val="en-US"/>
        </w:rPr>
      </w:pPr>
      <w:r>
        <w:t xml:space="preserve">The purpose of the </w:t>
      </w:r>
      <w:r w:rsidR="00961FC3">
        <w:t>First Exemption</w:t>
      </w:r>
      <w:r>
        <w:t xml:space="preserve"> is to address the </w:t>
      </w:r>
      <w:r>
        <w:rPr>
          <w:lang w:val="en-US"/>
        </w:rPr>
        <w:t>compliance</w:t>
      </w:r>
      <w:r w:rsidR="00961FC3">
        <w:rPr>
          <w:lang w:val="en-US"/>
        </w:rPr>
        <w:t xml:space="preserve"> and administrative</w:t>
      </w:r>
      <w:r>
        <w:rPr>
          <w:lang w:val="en-US"/>
        </w:rPr>
        <w:t xml:space="preserve"> costs and </w:t>
      </w:r>
      <w:r w:rsidR="009D0BCF">
        <w:rPr>
          <w:lang w:val="en-US"/>
        </w:rPr>
        <w:t xml:space="preserve">the </w:t>
      </w:r>
      <w:r w:rsidRPr="005B0464">
        <w:rPr>
          <w:lang w:val="en-US"/>
        </w:rPr>
        <w:t>unreasonable b</w:t>
      </w:r>
      <w:r>
        <w:rPr>
          <w:lang w:val="en-US"/>
        </w:rPr>
        <w:t>urden</w:t>
      </w:r>
      <w:r w:rsidR="009D0BCF">
        <w:rPr>
          <w:lang w:val="en-US"/>
        </w:rPr>
        <w:t xml:space="preserve"> imposed</w:t>
      </w:r>
      <w:r>
        <w:rPr>
          <w:lang w:val="en-US"/>
        </w:rPr>
        <w:t xml:space="preserve"> on trustees</w:t>
      </w:r>
      <w:r w:rsidR="009D0BCF">
        <w:t xml:space="preserve"> associated with compliance by </w:t>
      </w:r>
      <w:r w:rsidRPr="005B0464">
        <w:rPr>
          <w:lang w:val="en-US"/>
        </w:rPr>
        <w:t>31 December 2013</w:t>
      </w:r>
      <w:r w:rsidR="009D0BCF">
        <w:rPr>
          <w:lang w:val="en-US"/>
        </w:rPr>
        <w:t>.</w:t>
      </w:r>
    </w:p>
    <w:p w:rsidR="005B0464" w:rsidRDefault="005B0464" w:rsidP="00425062">
      <w:pPr>
        <w:pStyle w:val="Default"/>
      </w:pPr>
    </w:p>
    <w:p w:rsidR="005B0464" w:rsidRPr="005B0464" w:rsidRDefault="00961FC3" w:rsidP="005B0464">
      <w:pPr>
        <w:pStyle w:val="Default"/>
        <w:rPr>
          <w:i/>
          <w:lang w:val="en-US"/>
        </w:rPr>
      </w:pPr>
      <w:r>
        <w:rPr>
          <w:i/>
          <w:lang w:val="en-US"/>
        </w:rPr>
        <w:t>Second Exemption</w:t>
      </w:r>
    </w:p>
    <w:p w:rsidR="005B0464" w:rsidRDefault="005B0464" w:rsidP="00425062">
      <w:pPr>
        <w:pStyle w:val="Default"/>
      </w:pPr>
    </w:p>
    <w:p w:rsidR="00D0218C" w:rsidRDefault="00425062" w:rsidP="00D0218C">
      <w:pPr>
        <w:pStyle w:val="Default"/>
      </w:pPr>
      <w:r w:rsidRPr="00425062">
        <w:t xml:space="preserve">The purpose of the </w:t>
      </w:r>
      <w:r w:rsidR="00961FC3">
        <w:t xml:space="preserve">Second Exemption is to </w:t>
      </w:r>
      <w:r w:rsidR="004B5B39">
        <w:t xml:space="preserve">address the </w:t>
      </w:r>
      <w:r w:rsidR="00961FC3">
        <w:t xml:space="preserve">compliance and </w:t>
      </w:r>
      <w:r w:rsidR="004B5B39">
        <w:t>administrative cost</w:t>
      </w:r>
      <w:r w:rsidR="00961FC3">
        <w:t>s</w:t>
      </w:r>
      <w:r w:rsidR="004B5B39">
        <w:t xml:space="preserve"> and </w:t>
      </w:r>
      <w:r w:rsidR="00951159">
        <w:t xml:space="preserve">the </w:t>
      </w:r>
      <w:r w:rsidR="00961FC3">
        <w:t xml:space="preserve">unreasonable </w:t>
      </w:r>
      <w:r w:rsidR="004B5B39">
        <w:t>burden</w:t>
      </w:r>
      <w:r w:rsidR="009D0BCF">
        <w:t xml:space="preserve"> imposed on trustees by</w:t>
      </w:r>
      <w:r w:rsidR="004B5B39">
        <w:t xml:space="preserve"> including hard copies of product dashboard</w:t>
      </w:r>
      <w:r w:rsidR="004E4A20">
        <w:t>s in periodic statements.</w:t>
      </w:r>
    </w:p>
    <w:p w:rsidR="002739E7" w:rsidRDefault="002739E7" w:rsidP="00D0218C">
      <w:pPr>
        <w:pStyle w:val="Default"/>
      </w:pPr>
    </w:p>
    <w:p w:rsidR="00D0218C" w:rsidRDefault="004B5B39" w:rsidP="00D0218C">
      <w:pPr>
        <w:pStyle w:val="Default"/>
      </w:pPr>
      <w:r>
        <w:lastRenderedPageBreak/>
        <w:t xml:space="preserve">This approach </w:t>
      </w:r>
      <w:r w:rsidR="000C08B2">
        <w:t>is</w:t>
      </w:r>
      <w:r>
        <w:t xml:space="preserve"> consistent with policy.  </w:t>
      </w:r>
      <w:r w:rsidR="00D0218C">
        <w:t xml:space="preserve">Product dashboards are required to be made publicly available </w:t>
      </w:r>
      <w:r w:rsidR="002739E7">
        <w:t xml:space="preserve">on the trustee's website </w:t>
      </w:r>
      <w:r w:rsidR="00D0218C">
        <w:t xml:space="preserve">under </w:t>
      </w:r>
      <w:r w:rsidR="005B0464">
        <w:t>section</w:t>
      </w:r>
      <w:r w:rsidR="004C1591">
        <w:t xml:space="preserve"> </w:t>
      </w:r>
      <w:r w:rsidR="00D0218C">
        <w:t xml:space="preserve">1017B of the Act.  </w:t>
      </w:r>
      <w:r w:rsidR="00C122AC">
        <w:t>P</w:t>
      </w:r>
      <w:r w:rsidR="002739E7">
        <w:t xml:space="preserve">roviding a member a </w:t>
      </w:r>
      <w:r w:rsidR="004C1591">
        <w:t>website address for</w:t>
      </w:r>
      <w:r w:rsidR="002739E7">
        <w:t xml:space="preserve"> the product dashboard on the trustee's website in the periodic statement </w:t>
      </w:r>
      <w:r>
        <w:t>is</w:t>
      </w:r>
      <w:r w:rsidR="002739E7">
        <w:t xml:space="preserve"> consistent with policy objectives and achieve</w:t>
      </w:r>
      <w:r w:rsidR="009415FC">
        <w:t>s</w:t>
      </w:r>
      <w:r w:rsidR="002739E7">
        <w:t xml:space="preserve"> more effective and ef</w:t>
      </w:r>
      <w:r w:rsidR="00853CE6">
        <w:t>ficient disclosure for members</w:t>
      </w:r>
      <w:r w:rsidR="002739E7">
        <w:t xml:space="preserve">.  </w:t>
      </w:r>
    </w:p>
    <w:p w:rsidR="00EC3339" w:rsidRDefault="00EC3339" w:rsidP="00D0218C">
      <w:pPr>
        <w:pStyle w:val="Default"/>
      </w:pPr>
    </w:p>
    <w:p w:rsidR="00EC3339" w:rsidRDefault="00EC3339" w:rsidP="00D0218C">
      <w:pPr>
        <w:pStyle w:val="Default"/>
      </w:pPr>
      <w:r>
        <w:t xml:space="preserve">The exemption will apply </w:t>
      </w:r>
      <w:r w:rsidR="00951159">
        <w:t xml:space="preserve">to periodic statements </w:t>
      </w:r>
      <w:r w:rsidR="00775C74">
        <w:t>given</w:t>
      </w:r>
      <w:r w:rsidR="005B6B4D">
        <w:t xml:space="preserve"> in relation to</w:t>
      </w:r>
      <w:r w:rsidR="005B6B4D" w:rsidRPr="005B6B4D">
        <w:rPr>
          <w:color w:val="auto"/>
          <w:lang w:val="en-US" w:eastAsia="en-US"/>
        </w:rPr>
        <w:t xml:space="preserve"> </w:t>
      </w:r>
      <w:r w:rsidR="005B6B4D" w:rsidRPr="005B6B4D">
        <w:rPr>
          <w:lang w:val="en-US"/>
        </w:rPr>
        <w:t xml:space="preserve">reporting periods </w:t>
      </w:r>
      <w:r w:rsidR="005B6B4D">
        <w:rPr>
          <w:lang w:val="en-US"/>
        </w:rPr>
        <w:t xml:space="preserve">ending </w:t>
      </w:r>
      <w:r w:rsidR="00951159">
        <w:t>before</w:t>
      </w:r>
      <w:r w:rsidR="00175511">
        <w:t>1 January 2015</w:t>
      </w:r>
      <w:r>
        <w:t xml:space="preserve">, to allow for further consideration and consultation </w:t>
      </w:r>
      <w:r w:rsidR="00951159">
        <w:t>on</w:t>
      </w:r>
      <w:r>
        <w:t xml:space="preserve"> the requirement in </w:t>
      </w:r>
      <w:proofErr w:type="spellStart"/>
      <w:r w:rsidRPr="00EC3339">
        <w:t>subregulation</w:t>
      </w:r>
      <w:proofErr w:type="spellEnd"/>
      <w:r w:rsidRPr="00EC3339">
        <w:t xml:space="preserve"> 7.9.20(1)(o)</w:t>
      </w:r>
      <w:r>
        <w:t xml:space="preserve"> of the Regulations.  </w:t>
      </w:r>
    </w:p>
    <w:p w:rsidR="00D0218C" w:rsidRDefault="00D0218C" w:rsidP="00D0218C">
      <w:pPr>
        <w:pStyle w:val="Default"/>
      </w:pPr>
    </w:p>
    <w:p w:rsidR="00F24504" w:rsidRPr="00A1445D" w:rsidRDefault="00F24504" w:rsidP="00F24504">
      <w:pPr>
        <w:pStyle w:val="Default"/>
      </w:pPr>
    </w:p>
    <w:p w:rsidR="004A7730" w:rsidRDefault="00F24504" w:rsidP="004A7730">
      <w:pPr>
        <w:pStyle w:val="Default"/>
        <w:numPr>
          <w:ilvl w:val="0"/>
          <w:numId w:val="2"/>
        </w:numPr>
        <w:ind w:left="360"/>
        <w:rPr>
          <w:b/>
          <w:bCs/>
        </w:rPr>
      </w:pPr>
      <w:r w:rsidRPr="00A1445D">
        <w:rPr>
          <w:b/>
          <w:bCs/>
        </w:rPr>
        <w:t xml:space="preserve">Operation of the class order </w:t>
      </w:r>
    </w:p>
    <w:p w:rsidR="009D6440" w:rsidRDefault="009D6440" w:rsidP="00FD330D">
      <w:pPr>
        <w:pStyle w:val="Default"/>
      </w:pPr>
    </w:p>
    <w:p w:rsidR="005B0464" w:rsidRPr="005B0464" w:rsidRDefault="00961FC3" w:rsidP="005B0464">
      <w:pPr>
        <w:pStyle w:val="Default"/>
      </w:pPr>
      <w:r>
        <w:t>The First E</w:t>
      </w:r>
      <w:r w:rsidR="005B0464">
        <w:t>xemption</w:t>
      </w:r>
      <w:r w:rsidR="009D0BCF">
        <w:t xml:space="preserve"> will</w:t>
      </w:r>
      <w:r w:rsidR="005B0464" w:rsidRPr="005B0464">
        <w:t xml:space="preserve"> a</w:t>
      </w:r>
      <w:r w:rsidR="005B0464">
        <w:t>pply</w:t>
      </w:r>
      <w:r w:rsidR="009B1DE7">
        <w:t xml:space="preserve"> with respect to P</w:t>
      </w:r>
      <w:r w:rsidR="00175511">
        <w:t>roduct</w:t>
      </w:r>
      <w:r w:rsidR="009B1DE7">
        <w:t xml:space="preserve"> Disclosure S</w:t>
      </w:r>
      <w:r w:rsidR="00175511">
        <w:t xml:space="preserve">tatements given before 1 July 2014 and with respect </w:t>
      </w:r>
      <w:r w:rsidR="0041149D">
        <w:t xml:space="preserve">to </w:t>
      </w:r>
      <w:r w:rsidR="00175511">
        <w:t>periodic statements given</w:t>
      </w:r>
      <w:r w:rsidR="005B0464">
        <w:t xml:space="preserve"> </w:t>
      </w:r>
      <w:r w:rsidR="00DF2773">
        <w:t xml:space="preserve">in relation to reporting periods ending </w:t>
      </w:r>
      <w:r w:rsidR="00FE17FF" w:rsidRPr="009B1DE7">
        <w:t>before 1 July 2014</w:t>
      </w:r>
      <w:r w:rsidR="005B0464">
        <w:t>.</w:t>
      </w:r>
      <w:r w:rsidR="00EC3339">
        <w:t xml:space="preserve">  </w:t>
      </w:r>
    </w:p>
    <w:p w:rsidR="005B0464" w:rsidRDefault="005B0464" w:rsidP="00FD330D">
      <w:pPr>
        <w:pStyle w:val="Default"/>
      </w:pPr>
    </w:p>
    <w:p w:rsidR="00864F1C" w:rsidRDefault="0086582A" w:rsidP="00864F1C">
      <w:pPr>
        <w:pStyle w:val="Default"/>
      </w:pPr>
      <w:r>
        <w:t xml:space="preserve">The </w:t>
      </w:r>
      <w:r w:rsidR="00961FC3">
        <w:t>Second E</w:t>
      </w:r>
      <w:r w:rsidR="005B0464">
        <w:t>xemption</w:t>
      </w:r>
      <w:r w:rsidR="00961FC3">
        <w:t xml:space="preserve"> will</w:t>
      </w:r>
      <w:r w:rsidR="00864F1C">
        <w:t xml:space="preserve"> </w:t>
      </w:r>
      <w:r w:rsidR="00775C74">
        <w:t xml:space="preserve">apply </w:t>
      </w:r>
      <w:r w:rsidR="00951159">
        <w:t xml:space="preserve">to periodic statements </w:t>
      </w:r>
      <w:r w:rsidR="00775C74">
        <w:t>given</w:t>
      </w:r>
      <w:r w:rsidR="005B6B4D">
        <w:t xml:space="preserve"> in relation to reporting periods ending</w:t>
      </w:r>
      <w:r w:rsidR="00951159">
        <w:t xml:space="preserve"> before</w:t>
      </w:r>
      <w:r w:rsidR="00175511">
        <w:t xml:space="preserve"> 1 January</w:t>
      </w:r>
      <w:r w:rsidR="00522831">
        <w:t xml:space="preserve"> 201</w:t>
      </w:r>
      <w:r w:rsidR="00175511">
        <w:t>5</w:t>
      </w:r>
      <w:r w:rsidR="00864F1C">
        <w:t xml:space="preserve">. </w:t>
      </w:r>
    </w:p>
    <w:p w:rsidR="002A0B13" w:rsidRDefault="002A0B13" w:rsidP="00864F1C">
      <w:pPr>
        <w:pStyle w:val="Default"/>
      </w:pPr>
    </w:p>
    <w:p w:rsidR="002A0B13" w:rsidRPr="00A1445D" w:rsidRDefault="002A0B13" w:rsidP="00864F1C">
      <w:pPr>
        <w:pStyle w:val="Default"/>
      </w:pPr>
      <w:r>
        <w:t>The exemption</w:t>
      </w:r>
      <w:r w:rsidR="005B0464">
        <w:t>s</w:t>
      </w:r>
      <w:r>
        <w:t xml:space="preserve"> provided by the class order does not prevent a trustee of a superannuation fund from complying with the Act and Regulations as made.   </w:t>
      </w:r>
    </w:p>
    <w:p w:rsidR="00F24504" w:rsidRPr="00A1445D" w:rsidRDefault="00F24504" w:rsidP="00F24504">
      <w:pPr>
        <w:pStyle w:val="Default"/>
      </w:pPr>
    </w:p>
    <w:p w:rsidR="004A7730" w:rsidRDefault="00F24504" w:rsidP="004A7730">
      <w:pPr>
        <w:pStyle w:val="Default"/>
        <w:numPr>
          <w:ilvl w:val="0"/>
          <w:numId w:val="2"/>
        </w:numPr>
        <w:ind w:left="360"/>
        <w:rPr>
          <w:b/>
          <w:bCs/>
        </w:rPr>
      </w:pPr>
      <w:r w:rsidRPr="00A1445D">
        <w:rPr>
          <w:b/>
          <w:bCs/>
        </w:rPr>
        <w:t xml:space="preserve">Consultation </w:t>
      </w:r>
    </w:p>
    <w:p w:rsidR="00F24504" w:rsidRPr="00A1445D" w:rsidRDefault="00F24504" w:rsidP="00F24504">
      <w:pPr>
        <w:pStyle w:val="Default"/>
      </w:pPr>
    </w:p>
    <w:p w:rsidR="00582445" w:rsidRDefault="00F24504" w:rsidP="00F24504">
      <w:pPr>
        <w:pStyle w:val="Default"/>
      </w:pPr>
      <w:r w:rsidRPr="00A1445D">
        <w:t xml:space="preserve">ASIC has consulted with the </w:t>
      </w:r>
      <w:r w:rsidR="00230480">
        <w:t xml:space="preserve">Commonwealth </w:t>
      </w:r>
      <w:r w:rsidRPr="00A1445D">
        <w:t>Treasury</w:t>
      </w:r>
      <w:r w:rsidR="000E7600">
        <w:t xml:space="preserve">. </w:t>
      </w:r>
      <w:r w:rsidR="00775C74">
        <w:t xml:space="preserve"> </w:t>
      </w:r>
      <w:r w:rsidR="000E7600">
        <w:t>Treasury</w:t>
      </w:r>
      <w:r w:rsidRPr="00A1445D">
        <w:t xml:space="preserve"> </w:t>
      </w:r>
      <w:r w:rsidR="00582445">
        <w:t xml:space="preserve">has confirmed that the </w:t>
      </w:r>
      <w:r w:rsidR="00582445" w:rsidRPr="00582445">
        <w:t>approach</w:t>
      </w:r>
      <w:r w:rsidR="00582445">
        <w:t xml:space="preserve"> taken</w:t>
      </w:r>
      <w:r w:rsidR="00582445" w:rsidRPr="00582445">
        <w:t xml:space="preserve"> is consistent with the Government's </w:t>
      </w:r>
      <w:r w:rsidR="0086582A">
        <w:t>policy.</w:t>
      </w:r>
      <w:r w:rsidR="00582445">
        <w:t xml:space="preserve"> </w:t>
      </w:r>
    </w:p>
    <w:p w:rsidR="00944AE0" w:rsidRDefault="00944AE0" w:rsidP="00F24504">
      <w:pPr>
        <w:pStyle w:val="Default"/>
      </w:pPr>
    </w:p>
    <w:p w:rsidR="00944AE0" w:rsidRDefault="00944AE0" w:rsidP="00F24504">
      <w:pPr>
        <w:pStyle w:val="Default"/>
      </w:pPr>
      <w:r w:rsidRPr="00F96E56">
        <w:t>APRA has also been consulted.</w:t>
      </w:r>
    </w:p>
    <w:p w:rsidR="00582445" w:rsidRDefault="00582445" w:rsidP="00F24504">
      <w:pPr>
        <w:pStyle w:val="Default"/>
      </w:pPr>
    </w:p>
    <w:p w:rsidR="00582445" w:rsidRDefault="00582445" w:rsidP="00F24504">
      <w:pPr>
        <w:pStyle w:val="Default"/>
      </w:pPr>
      <w:r>
        <w:t>ASIC also consulted with a number of industry associations.</w:t>
      </w:r>
      <w:r w:rsidR="00AD7155">
        <w:t xml:space="preserve"> </w:t>
      </w:r>
      <w:r>
        <w:t xml:space="preserve"> </w:t>
      </w:r>
      <w:r w:rsidR="00DB4E90">
        <w:t xml:space="preserve">The feedback received from the industry associations has been taken into account </w:t>
      </w:r>
      <w:r w:rsidR="00A456B0">
        <w:t>in the development of</w:t>
      </w:r>
      <w:r w:rsidR="00DB4E90">
        <w:t xml:space="preserve"> th</w:t>
      </w:r>
      <w:r w:rsidR="00A456B0">
        <w:t>e</w:t>
      </w:r>
      <w:r w:rsidR="00DB4E90">
        <w:t xml:space="preserve"> class order. </w:t>
      </w:r>
    </w:p>
    <w:p w:rsidR="00083CE9" w:rsidRDefault="00083CE9" w:rsidP="00F24504">
      <w:pPr>
        <w:pStyle w:val="Default"/>
      </w:pPr>
    </w:p>
    <w:p w:rsidR="00F16B5F" w:rsidRDefault="00F24504" w:rsidP="00AF769C">
      <w:pPr>
        <w:pStyle w:val="Default"/>
      </w:pPr>
      <w:r w:rsidRPr="00A1445D">
        <w:t xml:space="preserve">The Office of Best Practice Regulation </w:t>
      </w:r>
      <w:r w:rsidR="00230480">
        <w:t xml:space="preserve">has </w:t>
      </w:r>
      <w:r w:rsidRPr="00A1445D">
        <w:t xml:space="preserve">confirmed that a Regulation Impact Statement </w:t>
      </w:r>
      <w:r w:rsidR="000E7600">
        <w:t xml:space="preserve">is </w:t>
      </w:r>
      <w:r w:rsidRPr="00A1445D">
        <w:t xml:space="preserve">not necessary. </w:t>
      </w:r>
    </w:p>
    <w:p w:rsidR="00774A36" w:rsidRPr="00A1445D" w:rsidRDefault="003A0CAF" w:rsidP="00774A36">
      <w:pPr>
        <w:pStyle w:val="Default"/>
        <w:jc w:val="center"/>
      </w:pPr>
      <w:r w:rsidRPr="00A1445D">
        <w:br w:type="page"/>
      </w:r>
      <w:r w:rsidRPr="00A1445D">
        <w:rPr>
          <w:b/>
          <w:bCs/>
        </w:rPr>
        <w:lastRenderedPageBreak/>
        <w:t>Statement of Compatibility with Human Rights</w:t>
      </w:r>
      <w:r w:rsidR="0086582A">
        <w:rPr>
          <w:b/>
          <w:bCs/>
        </w:rPr>
        <w:br/>
      </w:r>
    </w:p>
    <w:p w:rsidR="00774A36" w:rsidRPr="00A1445D" w:rsidRDefault="003A0CAF" w:rsidP="00774A36">
      <w:pPr>
        <w:pStyle w:val="Default"/>
        <w:jc w:val="center"/>
      </w:pPr>
      <w:r w:rsidRPr="00A1445D">
        <w:rPr>
          <w:i/>
          <w:iCs/>
        </w:rPr>
        <w:t>Prepared in accordance with Part 3 of the Human Rights (Parliamentary Scrutiny) Act 2011</w:t>
      </w:r>
      <w:r w:rsidR="0086582A">
        <w:rPr>
          <w:i/>
          <w:iCs/>
        </w:rPr>
        <w:br/>
      </w:r>
    </w:p>
    <w:p w:rsidR="00774A36" w:rsidRPr="00A1445D" w:rsidRDefault="00DB4E90" w:rsidP="00774A3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ASIC Class </w:t>
      </w:r>
      <w:r w:rsidRPr="00B64CDE">
        <w:rPr>
          <w:b/>
          <w:bCs/>
        </w:rPr>
        <w:t>Order [CO 13/</w:t>
      </w:r>
      <w:r w:rsidR="00B64CDE" w:rsidRPr="00B64CDE">
        <w:rPr>
          <w:b/>
          <w:bCs/>
        </w:rPr>
        <w:t>1534</w:t>
      </w:r>
      <w:r w:rsidR="003A0CAF" w:rsidRPr="00B64CDE">
        <w:rPr>
          <w:b/>
          <w:bCs/>
        </w:rPr>
        <w:t>]</w:t>
      </w:r>
      <w:r w:rsidR="003A0CAF" w:rsidRPr="00A1445D">
        <w:rPr>
          <w:b/>
          <w:bCs/>
        </w:rPr>
        <w:t xml:space="preserve"> 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</w:pPr>
      <w:r w:rsidRPr="00A1445D">
        <w:t xml:space="preserve">This class order is compatible with the human rights and freedoms recognised or declared in the international instruments listed in section 3 of the </w:t>
      </w:r>
      <w:r w:rsidRPr="00A1445D">
        <w:rPr>
          <w:i/>
          <w:iCs/>
        </w:rPr>
        <w:t>Human Rights (Parliamentary Scrutiny) Act 2011</w:t>
      </w:r>
      <w:r w:rsidRPr="00A1445D">
        <w:t>.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Overview of the class order</w:t>
      </w:r>
    </w:p>
    <w:p w:rsidR="00774A36" w:rsidRPr="00A1445D" w:rsidRDefault="00774A36" w:rsidP="00774A36">
      <w:pPr>
        <w:pStyle w:val="Default"/>
        <w:jc w:val="both"/>
      </w:pPr>
    </w:p>
    <w:p w:rsidR="00C3206F" w:rsidRDefault="00C3206F" w:rsidP="00C3206F">
      <w:pPr>
        <w:pStyle w:val="Default"/>
        <w:rPr>
          <w:lang w:val="en-US"/>
        </w:rPr>
      </w:pPr>
    </w:p>
    <w:p w:rsidR="00C3206F" w:rsidRPr="00C3206F" w:rsidRDefault="00C3206F" w:rsidP="00C3206F">
      <w:pPr>
        <w:pStyle w:val="Default"/>
        <w:rPr>
          <w:i/>
          <w:lang w:val="en-US"/>
        </w:rPr>
      </w:pPr>
      <w:r w:rsidRPr="00C3206F">
        <w:rPr>
          <w:i/>
          <w:lang w:val="en-US"/>
        </w:rPr>
        <w:t>First Exemption</w:t>
      </w:r>
    </w:p>
    <w:p w:rsidR="00C3206F" w:rsidRDefault="00C3206F" w:rsidP="00C3206F">
      <w:pPr>
        <w:pStyle w:val="Default"/>
        <w:rPr>
          <w:lang w:val="en-US"/>
        </w:rPr>
      </w:pPr>
    </w:p>
    <w:p w:rsidR="00C3206F" w:rsidRPr="00C3206F" w:rsidRDefault="00C3206F" w:rsidP="00C3206F">
      <w:pPr>
        <w:pStyle w:val="Default"/>
        <w:rPr>
          <w:lang w:val="en-US"/>
        </w:rPr>
      </w:pPr>
      <w:r w:rsidRPr="00C3206F">
        <w:rPr>
          <w:lang w:val="en-US"/>
        </w:rPr>
        <w:t xml:space="preserve">Changes to disclosure with respect to fees and costs information in </w:t>
      </w:r>
      <w:r w:rsidR="00351C49">
        <w:rPr>
          <w:lang w:val="en-US"/>
        </w:rPr>
        <w:t>P</w:t>
      </w:r>
      <w:r w:rsidRPr="00C3206F">
        <w:rPr>
          <w:lang w:val="en-US"/>
        </w:rPr>
        <w:t xml:space="preserve">roduct </w:t>
      </w:r>
      <w:r w:rsidR="00351C49">
        <w:rPr>
          <w:lang w:val="en-US"/>
        </w:rPr>
        <w:t>D</w:t>
      </w:r>
      <w:r w:rsidRPr="00C3206F">
        <w:rPr>
          <w:lang w:val="en-US"/>
        </w:rPr>
        <w:t xml:space="preserve">isclosure </w:t>
      </w:r>
      <w:r w:rsidR="00351C49">
        <w:rPr>
          <w:lang w:val="en-US"/>
        </w:rPr>
        <w:t>S</w:t>
      </w:r>
      <w:r w:rsidRPr="00C3206F">
        <w:rPr>
          <w:lang w:val="en-US"/>
        </w:rPr>
        <w:t xml:space="preserve">tatements and periodic statements for a superannuation product were made by the </w:t>
      </w:r>
      <w:r w:rsidRPr="00C3206F">
        <w:rPr>
          <w:i/>
          <w:lang w:val="en-US"/>
        </w:rPr>
        <w:t>Superannuation Legislation Amendment (MySuper Measures) Regulation 2013</w:t>
      </w:r>
      <w:r w:rsidRPr="00C3206F">
        <w:rPr>
          <w:lang w:val="en-US"/>
        </w:rPr>
        <w:t xml:space="preserve"> which was introduced on 28 June 2013.  The changes to disclosure come into effect </w:t>
      </w:r>
      <w:r w:rsidR="008C0F74">
        <w:rPr>
          <w:lang w:val="en-US"/>
        </w:rPr>
        <w:t xml:space="preserve">from </w:t>
      </w:r>
      <w:r w:rsidRPr="00C3206F">
        <w:rPr>
          <w:lang w:val="en-US"/>
        </w:rPr>
        <w:t>31 December 2013.</w:t>
      </w:r>
    </w:p>
    <w:p w:rsidR="00C3206F" w:rsidRPr="00C3206F" w:rsidRDefault="00C3206F" w:rsidP="00C3206F">
      <w:pPr>
        <w:pStyle w:val="Default"/>
        <w:rPr>
          <w:lang w:val="en-US"/>
        </w:rPr>
      </w:pPr>
    </w:p>
    <w:p w:rsidR="00C3206F" w:rsidRPr="00C3206F" w:rsidRDefault="00C3206F" w:rsidP="00C3206F">
      <w:pPr>
        <w:pStyle w:val="Default"/>
        <w:rPr>
          <w:lang w:val="en-US"/>
        </w:rPr>
      </w:pPr>
      <w:r w:rsidRPr="00C3206F">
        <w:rPr>
          <w:lang w:val="en-US"/>
        </w:rPr>
        <w:t xml:space="preserve">Feedback from industry associations indicates that compliance by 31 December 2013 would result </w:t>
      </w:r>
      <w:r w:rsidR="00F96E56">
        <w:rPr>
          <w:lang w:val="en-US"/>
        </w:rPr>
        <w:t>in significant compliance costs</w:t>
      </w:r>
      <w:r w:rsidRPr="00C3206F">
        <w:rPr>
          <w:lang w:val="en-US"/>
        </w:rPr>
        <w:t xml:space="preserve"> and imposes unreasonable burdens on trustees.</w:t>
      </w:r>
    </w:p>
    <w:p w:rsidR="00C3206F" w:rsidRPr="00C3206F" w:rsidRDefault="00C3206F" w:rsidP="00C3206F">
      <w:pPr>
        <w:pStyle w:val="Default"/>
      </w:pPr>
    </w:p>
    <w:p w:rsidR="00C3206F" w:rsidRPr="00C3206F" w:rsidRDefault="00F96E56" w:rsidP="00C3206F">
      <w:pPr>
        <w:pStyle w:val="Default"/>
        <w:jc w:val="both"/>
        <w:rPr>
          <w:lang w:val="en-US"/>
        </w:rPr>
      </w:pPr>
      <w:r>
        <w:rPr>
          <w:lang w:val="en-US"/>
        </w:rPr>
        <w:t>The purpose of the</w:t>
      </w:r>
      <w:r w:rsidR="00C3206F" w:rsidRPr="00C3206F">
        <w:rPr>
          <w:lang w:val="en-US"/>
        </w:rPr>
        <w:t xml:space="preserve"> </w:t>
      </w:r>
      <w:r>
        <w:rPr>
          <w:lang w:val="en-US"/>
        </w:rPr>
        <w:t>First Exemption</w:t>
      </w:r>
      <w:r w:rsidR="00C3206F" w:rsidRPr="00C3206F">
        <w:rPr>
          <w:lang w:val="en-US"/>
        </w:rPr>
        <w:t xml:space="preserve"> is to</w:t>
      </w:r>
      <w:r w:rsidR="00775C74" w:rsidRPr="00775C74">
        <w:rPr>
          <w:color w:val="auto"/>
          <w:szCs w:val="20"/>
          <w:lang w:eastAsia="en-US"/>
        </w:rPr>
        <w:t xml:space="preserve"> </w:t>
      </w:r>
      <w:r w:rsidR="00775C74" w:rsidRPr="00775C74">
        <w:t xml:space="preserve">address the compliance and administrative costs and unreasonable burden imposed on trustees </w:t>
      </w:r>
      <w:r w:rsidR="00351C49">
        <w:t xml:space="preserve">of superannuation funds </w:t>
      </w:r>
      <w:r w:rsidR="00775C74" w:rsidRPr="00775C74">
        <w:t>by</w:t>
      </w:r>
      <w:r w:rsidR="00C3206F" w:rsidRPr="00C3206F">
        <w:rPr>
          <w:lang w:val="en-US"/>
        </w:rPr>
        <w:t xml:space="preserve"> </w:t>
      </w:r>
      <w:r>
        <w:rPr>
          <w:lang w:val="en-US"/>
        </w:rPr>
        <w:t>extend</w:t>
      </w:r>
      <w:r w:rsidR="00775C74">
        <w:rPr>
          <w:lang w:val="en-US"/>
        </w:rPr>
        <w:t>ing</w:t>
      </w:r>
      <w:r w:rsidR="00C3206F" w:rsidRPr="00C3206F">
        <w:rPr>
          <w:lang w:val="en-US"/>
        </w:rPr>
        <w:t xml:space="preserve"> the date of compliance from 31 December 2013</w:t>
      </w:r>
      <w:r w:rsidR="0010619E">
        <w:rPr>
          <w:lang w:val="en-US"/>
        </w:rPr>
        <w:t xml:space="preserve"> to</w:t>
      </w:r>
      <w:r w:rsidR="009B1DE7">
        <w:rPr>
          <w:lang w:val="en-US"/>
        </w:rPr>
        <w:t xml:space="preserve"> 1 July 2014 for Product Disclosure S</w:t>
      </w:r>
      <w:r w:rsidR="00175511">
        <w:rPr>
          <w:lang w:val="en-US"/>
        </w:rPr>
        <w:t xml:space="preserve">tatements and </w:t>
      </w:r>
      <w:r w:rsidR="0010619E">
        <w:rPr>
          <w:lang w:val="en-US"/>
        </w:rPr>
        <w:t xml:space="preserve">reporting periods </w:t>
      </w:r>
      <w:r w:rsidR="00F709F1">
        <w:rPr>
          <w:lang w:val="en-US"/>
        </w:rPr>
        <w:t xml:space="preserve">on or </w:t>
      </w:r>
      <w:r w:rsidR="0010619E">
        <w:rPr>
          <w:lang w:val="en-US"/>
        </w:rPr>
        <w:t>after</w:t>
      </w:r>
      <w:r w:rsidR="00C3206F" w:rsidRPr="00C3206F">
        <w:rPr>
          <w:lang w:val="en-US"/>
        </w:rPr>
        <w:t xml:space="preserve"> </w:t>
      </w:r>
      <w:r w:rsidR="00C3206F" w:rsidRPr="0010619E">
        <w:rPr>
          <w:lang w:val="en-US"/>
        </w:rPr>
        <w:t>1 July 2014</w:t>
      </w:r>
      <w:r w:rsidR="00175511">
        <w:rPr>
          <w:lang w:val="en-US"/>
        </w:rPr>
        <w:t xml:space="preserve"> for periodic statements</w:t>
      </w:r>
      <w:r w:rsidR="00C3206F" w:rsidRPr="0010619E">
        <w:rPr>
          <w:lang w:val="en-US"/>
        </w:rPr>
        <w:t>.</w:t>
      </w:r>
      <w:r w:rsidR="00C3206F" w:rsidRPr="00C3206F">
        <w:rPr>
          <w:lang w:val="en-US"/>
        </w:rPr>
        <w:t xml:space="preserve">  </w:t>
      </w:r>
    </w:p>
    <w:p w:rsidR="00C3206F" w:rsidRDefault="00C3206F" w:rsidP="00864F1C">
      <w:pPr>
        <w:pStyle w:val="Default"/>
        <w:jc w:val="both"/>
      </w:pPr>
    </w:p>
    <w:p w:rsidR="00C3206F" w:rsidRPr="00C3206F" w:rsidRDefault="00C3206F" w:rsidP="00864F1C">
      <w:pPr>
        <w:pStyle w:val="Default"/>
        <w:jc w:val="both"/>
        <w:rPr>
          <w:i/>
        </w:rPr>
      </w:pPr>
      <w:r w:rsidRPr="00C3206F">
        <w:rPr>
          <w:i/>
        </w:rPr>
        <w:t>Second Exemption</w:t>
      </w:r>
    </w:p>
    <w:p w:rsidR="007D7CE5" w:rsidRDefault="007D7CE5" w:rsidP="00864F1C">
      <w:pPr>
        <w:pStyle w:val="Default"/>
        <w:jc w:val="both"/>
      </w:pPr>
    </w:p>
    <w:p w:rsidR="007D7CE5" w:rsidRPr="007D7CE5" w:rsidRDefault="009D0BCF" w:rsidP="007D7CE5">
      <w:pPr>
        <w:pStyle w:val="Default"/>
      </w:pPr>
      <w:r>
        <w:t>Subregulation</w:t>
      </w:r>
      <w:r w:rsidR="004C1591">
        <w:t xml:space="preserve"> </w:t>
      </w:r>
      <w:r w:rsidR="007D7CE5" w:rsidRPr="007D7CE5">
        <w:t>7.9.20(1)(o) was made on 28 June 2013</w:t>
      </w:r>
      <w:r w:rsidR="00DF0721">
        <w:t xml:space="preserve"> </w:t>
      </w:r>
      <w:r w:rsidR="004C1591">
        <w:t>and</w:t>
      </w:r>
      <w:r w:rsidR="007D7CE5" w:rsidRPr="007D7CE5">
        <w:t xml:space="preserve"> requires </w:t>
      </w:r>
      <w:r w:rsidR="004C1591">
        <w:t>that</w:t>
      </w:r>
      <w:r w:rsidR="007D7CE5" w:rsidRPr="007D7CE5">
        <w:t xml:space="preserve"> where a trustee </w:t>
      </w:r>
      <w:r w:rsidR="00351C49">
        <w:t xml:space="preserve">of a superannuation fund </w:t>
      </w:r>
      <w:r w:rsidR="007D7CE5" w:rsidRPr="007D7CE5">
        <w:t xml:space="preserve">is required to make publicly available a product dashboard for the investment option, under section 1017BA of the Act, the latest product dashboard for the investment option must be included.  This means that </w:t>
      </w:r>
      <w:r w:rsidR="00AA3303">
        <w:t>a</w:t>
      </w:r>
      <w:r w:rsidR="00AA3303" w:rsidRPr="007D7CE5">
        <w:t xml:space="preserve"> </w:t>
      </w:r>
      <w:r w:rsidR="007D7CE5" w:rsidRPr="007D7CE5">
        <w:t xml:space="preserve">product dashboard would be required to </w:t>
      </w:r>
      <w:r w:rsidR="00C122AC" w:rsidRPr="00C122AC">
        <w:t xml:space="preserve">be included as part of a periodic statement, including </w:t>
      </w:r>
      <w:r w:rsidR="00C122AC">
        <w:t>a periodic statement</w:t>
      </w:r>
      <w:r w:rsidR="00CD7364">
        <w:t xml:space="preserve"> </w:t>
      </w:r>
      <w:r w:rsidR="00C122AC" w:rsidRPr="00C122AC">
        <w:t>when a member exits the fund.</w:t>
      </w:r>
    </w:p>
    <w:p w:rsidR="007D7CE5" w:rsidRDefault="007D7CE5" w:rsidP="00864F1C">
      <w:pPr>
        <w:pStyle w:val="Default"/>
        <w:jc w:val="both"/>
      </w:pPr>
    </w:p>
    <w:p w:rsidR="00522831" w:rsidRDefault="00522831" w:rsidP="00864F1C">
      <w:pPr>
        <w:pStyle w:val="Default"/>
        <w:jc w:val="both"/>
      </w:pPr>
      <w:r w:rsidRPr="00522831">
        <w:t>The class order provides interim relief from compliance with subregulation 7.9.20(1</w:t>
      </w:r>
      <w:proofErr w:type="gramStart"/>
      <w:r w:rsidRPr="00522831">
        <w:t>)(</w:t>
      </w:r>
      <w:proofErr w:type="gramEnd"/>
      <w:r w:rsidRPr="00522831">
        <w:t xml:space="preserve">o), if </w:t>
      </w:r>
      <w:r w:rsidRPr="00522831">
        <w:rPr>
          <w:lang w:val="en-US"/>
        </w:rPr>
        <w:t xml:space="preserve">a trustee includes in the periodic statement a website address </w:t>
      </w:r>
      <w:r w:rsidR="009D0BCF">
        <w:rPr>
          <w:lang w:val="en-US"/>
        </w:rPr>
        <w:t xml:space="preserve">for </w:t>
      </w:r>
      <w:r w:rsidRPr="00522831">
        <w:t>the latest product dashboard for the investment option</w:t>
      </w:r>
      <w:r w:rsidR="007646FE">
        <w:t>.</w:t>
      </w:r>
      <w:r w:rsidRPr="00522831">
        <w:rPr>
          <w:lang w:val="en-US"/>
        </w:rPr>
        <w:t xml:space="preserve">  </w:t>
      </w:r>
    </w:p>
    <w:p w:rsidR="005D016E" w:rsidRDefault="005D016E" w:rsidP="00864F1C">
      <w:pPr>
        <w:pStyle w:val="Default"/>
        <w:jc w:val="both"/>
      </w:pPr>
    </w:p>
    <w:p w:rsidR="009D0BCF" w:rsidRPr="009D0BCF" w:rsidRDefault="009D0BCF" w:rsidP="009D0BCF">
      <w:pPr>
        <w:pStyle w:val="Default"/>
        <w:jc w:val="both"/>
      </w:pPr>
      <w:r w:rsidRPr="009D0BCF">
        <w:t xml:space="preserve">The purpose of the </w:t>
      </w:r>
      <w:r w:rsidR="00F96E56">
        <w:t>Second Exemption</w:t>
      </w:r>
      <w:r w:rsidRPr="009D0BCF">
        <w:t xml:space="preserve"> is to address the compliance and administrative costs and unreasonable burden imposed on trustees by including hard copies of product dashboards.</w:t>
      </w:r>
    </w:p>
    <w:p w:rsidR="003535A8" w:rsidRDefault="003535A8" w:rsidP="00864F1C">
      <w:pPr>
        <w:pStyle w:val="Default"/>
        <w:jc w:val="both"/>
      </w:pP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>Human rights implications</w:t>
      </w:r>
    </w:p>
    <w:p w:rsidR="00774A36" w:rsidRPr="00A1445D" w:rsidRDefault="00774A36" w:rsidP="00774A36">
      <w:pPr>
        <w:pStyle w:val="Default"/>
        <w:jc w:val="both"/>
      </w:pPr>
    </w:p>
    <w:p w:rsidR="00774A36" w:rsidRPr="00A1445D" w:rsidRDefault="003A0CAF" w:rsidP="00774A36">
      <w:pPr>
        <w:pStyle w:val="Default"/>
        <w:jc w:val="both"/>
      </w:pPr>
      <w:r w:rsidRPr="00A1445D">
        <w:t>This class order does not engage any of the applicable rights or freedoms.</w:t>
      </w:r>
    </w:p>
    <w:p w:rsidR="00774A36" w:rsidRPr="00A1445D" w:rsidRDefault="003A0CAF" w:rsidP="00774A36">
      <w:pPr>
        <w:pStyle w:val="Default"/>
        <w:jc w:val="both"/>
      </w:pPr>
      <w:r w:rsidRPr="00A1445D">
        <w:t xml:space="preserve"> </w:t>
      </w:r>
    </w:p>
    <w:p w:rsidR="00774A36" w:rsidRPr="00A1445D" w:rsidRDefault="003A0CAF" w:rsidP="00774A36">
      <w:pPr>
        <w:pStyle w:val="Default"/>
        <w:jc w:val="both"/>
        <w:rPr>
          <w:b/>
          <w:bCs/>
        </w:rPr>
      </w:pPr>
      <w:r w:rsidRPr="00A1445D">
        <w:rPr>
          <w:b/>
          <w:bCs/>
        </w:rPr>
        <w:t xml:space="preserve">Conclusion </w:t>
      </w:r>
    </w:p>
    <w:p w:rsidR="00774A36" w:rsidRPr="00A1445D" w:rsidRDefault="00774A36" w:rsidP="00774A36">
      <w:pPr>
        <w:pStyle w:val="Default"/>
        <w:jc w:val="both"/>
      </w:pPr>
    </w:p>
    <w:p w:rsidR="00C935CF" w:rsidRPr="00A1445D" w:rsidRDefault="003A0CAF">
      <w:pPr>
        <w:pStyle w:val="Default"/>
        <w:jc w:val="both"/>
      </w:pPr>
      <w:r w:rsidRPr="00A1445D">
        <w:t>This class order is compatible with human rights as it does not raise any human rights issues.</w:t>
      </w:r>
    </w:p>
    <w:sectPr w:rsidR="00C935CF" w:rsidRPr="00A1445D" w:rsidSect="00B3049B">
      <w:headerReference w:type="defaul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7F" w:rsidRDefault="00EE347F" w:rsidP="00DF04D3">
      <w:r>
        <w:separator/>
      </w:r>
    </w:p>
  </w:endnote>
  <w:endnote w:type="continuationSeparator" w:id="0">
    <w:p w:rsidR="00EE347F" w:rsidRDefault="00EE347F" w:rsidP="00DF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7F" w:rsidRDefault="00EE347F" w:rsidP="00DF04D3">
      <w:r>
        <w:separator/>
      </w:r>
    </w:p>
  </w:footnote>
  <w:footnote w:type="continuationSeparator" w:id="0">
    <w:p w:rsidR="00EE347F" w:rsidRDefault="00EE347F" w:rsidP="00DF0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49" w:rsidRDefault="009D2E0E">
    <w:pPr>
      <w:pStyle w:val="Header"/>
      <w:jc w:val="center"/>
    </w:pPr>
    <w:sdt>
      <w:sdtPr>
        <w:id w:val="1208895766"/>
        <w:docPartObj>
          <w:docPartGallery w:val="Page Numbers (Top of Page)"/>
          <w:docPartUnique/>
        </w:docPartObj>
      </w:sdtPr>
      <w:sdtContent>
        <w:fldSimple w:instr=" PAGE   \* MERGEFORMAT ">
          <w:r w:rsidR="00D65483">
            <w:rPr>
              <w:noProof/>
            </w:rPr>
            <w:t>2</w:t>
          </w:r>
        </w:fldSimple>
      </w:sdtContent>
    </w:sdt>
  </w:p>
  <w:p w:rsidR="00351C49" w:rsidRDefault="00351C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557"/>
    <w:multiLevelType w:val="hybridMultilevel"/>
    <w:tmpl w:val="8618DC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6E47"/>
    <w:multiLevelType w:val="hybridMultilevel"/>
    <w:tmpl w:val="BE1477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79F9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172EB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24479"/>
    <w:multiLevelType w:val="hybridMultilevel"/>
    <w:tmpl w:val="2E000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71B8C"/>
    <w:multiLevelType w:val="hybridMultilevel"/>
    <w:tmpl w:val="0A5E1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456A2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B08EE"/>
    <w:multiLevelType w:val="hybridMultilevel"/>
    <w:tmpl w:val="79F40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36A42"/>
    <w:multiLevelType w:val="hybridMultilevel"/>
    <w:tmpl w:val="64EE5F4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49310E4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7D040C1"/>
    <w:multiLevelType w:val="hybridMultilevel"/>
    <w:tmpl w:val="BD0612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E483E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B5A5FBC"/>
    <w:multiLevelType w:val="multilevel"/>
    <w:tmpl w:val="C07CFE3A"/>
    <w:lvl w:ilvl="0">
      <w:start w:val="1"/>
      <w:numFmt w:val="decimal"/>
      <w:pStyle w:val="RPG-BodyTextNumbered"/>
      <w:lvlText w:val="%1"/>
      <w:lvlJc w:val="left"/>
      <w:pPr>
        <w:tabs>
          <w:tab w:val="num" w:pos="851"/>
        </w:tabs>
        <w:ind w:left="851" w:hanging="426"/>
      </w:pPr>
      <w:rPr>
        <w:rFonts w:hint="default"/>
        <w:sz w:val="18"/>
      </w:rPr>
    </w:lvl>
    <w:lvl w:ilvl="1">
      <w:start w:val="1"/>
      <w:numFmt w:val="lowerLetter"/>
      <w:pStyle w:val="RPG-SublistLevel1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sz w:val="18"/>
      </w:rPr>
    </w:lvl>
    <w:lvl w:ilvl="2">
      <w:start w:val="1"/>
      <w:numFmt w:val="lowerRoman"/>
      <w:pStyle w:val="RPG-SublistLevel2"/>
      <w:lvlText w:val="(%3)"/>
      <w:lvlJc w:val="left"/>
      <w:pPr>
        <w:tabs>
          <w:tab w:val="num" w:pos="1701"/>
        </w:tabs>
        <w:ind w:left="1701" w:hanging="425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CD65266"/>
    <w:multiLevelType w:val="hybridMultilevel"/>
    <w:tmpl w:val="24A660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E07B1"/>
    <w:multiLevelType w:val="hybridMultilevel"/>
    <w:tmpl w:val="9E0EEF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5">
      <w:start w:val="1"/>
      <w:numFmt w:val="upperLetter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24514"/>
    <w:multiLevelType w:val="hybridMultilevel"/>
    <w:tmpl w:val="845C3E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9"/>
  </w:num>
  <w:num w:numId="22">
    <w:abstractNumId w:val="12"/>
  </w:num>
  <w:num w:numId="23">
    <w:abstractNumId w:val="12"/>
  </w:num>
  <w:num w:numId="24">
    <w:abstractNumId w:val="6"/>
  </w:num>
  <w:num w:numId="25">
    <w:abstractNumId w:val="13"/>
  </w:num>
  <w:num w:numId="26">
    <w:abstractNumId w:val="3"/>
  </w:num>
  <w:num w:numId="27">
    <w:abstractNumId w:val="10"/>
  </w:num>
  <w:num w:numId="28">
    <w:abstractNumId w:val="15"/>
  </w:num>
  <w:num w:numId="29">
    <w:abstractNumId w:val="14"/>
  </w:num>
  <w:num w:numId="30">
    <w:abstractNumId w:val="1"/>
  </w:num>
  <w:num w:numId="31">
    <w:abstractNumId w:val="7"/>
  </w:num>
  <w:num w:numId="32">
    <w:abstractNumId w:val="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F04D3"/>
    <w:rsid w:val="0000796A"/>
    <w:rsid w:val="0001231E"/>
    <w:rsid w:val="000512B3"/>
    <w:rsid w:val="0005463F"/>
    <w:rsid w:val="00080CFD"/>
    <w:rsid w:val="00083CE9"/>
    <w:rsid w:val="000957D9"/>
    <w:rsid w:val="000A5889"/>
    <w:rsid w:val="000B5578"/>
    <w:rsid w:val="000C08B2"/>
    <w:rsid w:val="000D4170"/>
    <w:rsid w:val="000D5AE3"/>
    <w:rsid w:val="000E4358"/>
    <w:rsid w:val="000E7600"/>
    <w:rsid w:val="000F5E5C"/>
    <w:rsid w:val="00105DE3"/>
    <w:rsid w:val="0010619E"/>
    <w:rsid w:val="0012686B"/>
    <w:rsid w:val="0013428E"/>
    <w:rsid w:val="00160A1D"/>
    <w:rsid w:val="00162F97"/>
    <w:rsid w:val="00165455"/>
    <w:rsid w:val="00175511"/>
    <w:rsid w:val="00180D94"/>
    <w:rsid w:val="00186C28"/>
    <w:rsid w:val="001934F9"/>
    <w:rsid w:val="00195C52"/>
    <w:rsid w:val="00195CA6"/>
    <w:rsid w:val="00197D45"/>
    <w:rsid w:val="001B1093"/>
    <w:rsid w:val="001B2A94"/>
    <w:rsid w:val="001C24A0"/>
    <w:rsid w:val="001C5374"/>
    <w:rsid w:val="001C5DE3"/>
    <w:rsid w:val="001E1135"/>
    <w:rsid w:val="001E7184"/>
    <w:rsid w:val="001F3784"/>
    <w:rsid w:val="00201844"/>
    <w:rsid w:val="00203432"/>
    <w:rsid w:val="00206F89"/>
    <w:rsid w:val="002134B2"/>
    <w:rsid w:val="00230480"/>
    <w:rsid w:val="002508D7"/>
    <w:rsid w:val="002739E7"/>
    <w:rsid w:val="00280F32"/>
    <w:rsid w:val="002A0B13"/>
    <w:rsid w:val="002A1564"/>
    <w:rsid w:val="002D0106"/>
    <w:rsid w:val="002D547F"/>
    <w:rsid w:val="002F652B"/>
    <w:rsid w:val="0030277F"/>
    <w:rsid w:val="00302C13"/>
    <w:rsid w:val="00303742"/>
    <w:rsid w:val="0030752C"/>
    <w:rsid w:val="00316651"/>
    <w:rsid w:val="0031734F"/>
    <w:rsid w:val="00330BC3"/>
    <w:rsid w:val="00351C49"/>
    <w:rsid w:val="003535A8"/>
    <w:rsid w:val="003629E5"/>
    <w:rsid w:val="00385989"/>
    <w:rsid w:val="00392692"/>
    <w:rsid w:val="003A06AF"/>
    <w:rsid w:val="003A0CAF"/>
    <w:rsid w:val="003B5CA5"/>
    <w:rsid w:val="003C7CD0"/>
    <w:rsid w:val="003D4747"/>
    <w:rsid w:val="0041017B"/>
    <w:rsid w:val="0041149D"/>
    <w:rsid w:val="0042189D"/>
    <w:rsid w:val="00425062"/>
    <w:rsid w:val="00425B2C"/>
    <w:rsid w:val="00464585"/>
    <w:rsid w:val="004749B4"/>
    <w:rsid w:val="00480CA9"/>
    <w:rsid w:val="00484409"/>
    <w:rsid w:val="00486AAC"/>
    <w:rsid w:val="00490022"/>
    <w:rsid w:val="004A0ED7"/>
    <w:rsid w:val="004A361D"/>
    <w:rsid w:val="004A3F05"/>
    <w:rsid w:val="004A7730"/>
    <w:rsid w:val="004B5B39"/>
    <w:rsid w:val="004C0BD0"/>
    <w:rsid w:val="004C13A9"/>
    <w:rsid w:val="004C1591"/>
    <w:rsid w:val="004C21F5"/>
    <w:rsid w:val="004C43C9"/>
    <w:rsid w:val="004C4DD9"/>
    <w:rsid w:val="004D00A8"/>
    <w:rsid w:val="004D4FF2"/>
    <w:rsid w:val="004E4A20"/>
    <w:rsid w:val="005071F0"/>
    <w:rsid w:val="00510FC8"/>
    <w:rsid w:val="00522831"/>
    <w:rsid w:val="00523842"/>
    <w:rsid w:val="00536EED"/>
    <w:rsid w:val="00541DF3"/>
    <w:rsid w:val="0054248A"/>
    <w:rsid w:val="00550D50"/>
    <w:rsid w:val="005556E5"/>
    <w:rsid w:val="00565BC9"/>
    <w:rsid w:val="00567772"/>
    <w:rsid w:val="00582445"/>
    <w:rsid w:val="0058498F"/>
    <w:rsid w:val="005A3A24"/>
    <w:rsid w:val="005A6813"/>
    <w:rsid w:val="005B0464"/>
    <w:rsid w:val="005B340C"/>
    <w:rsid w:val="005B6B4D"/>
    <w:rsid w:val="005C3C2A"/>
    <w:rsid w:val="005C6B2D"/>
    <w:rsid w:val="005D016E"/>
    <w:rsid w:val="005D6F88"/>
    <w:rsid w:val="005F33F1"/>
    <w:rsid w:val="006045C9"/>
    <w:rsid w:val="00606433"/>
    <w:rsid w:val="00626291"/>
    <w:rsid w:val="00627753"/>
    <w:rsid w:val="006620E8"/>
    <w:rsid w:val="00695E67"/>
    <w:rsid w:val="006A3CDA"/>
    <w:rsid w:val="006B7F66"/>
    <w:rsid w:val="006C0F2F"/>
    <w:rsid w:val="006C141C"/>
    <w:rsid w:val="006C1D26"/>
    <w:rsid w:val="006E1FFA"/>
    <w:rsid w:val="007137D9"/>
    <w:rsid w:val="00721696"/>
    <w:rsid w:val="00727185"/>
    <w:rsid w:val="00745C3A"/>
    <w:rsid w:val="00756AFB"/>
    <w:rsid w:val="00757984"/>
    <w:rsid w:val="007646FE"/>
    <w:rsid w:val="007731B2"/>
    <w:rsid w:val="00774A36"/>
    <w:rsid w:val="00775C74"/>
    <w:rsid w:val="0077640E"/>
    <w:rsid w:val="00787673"/>
    <w:rsid w:val="007A4407"/>
    <w:rsid w:val="007D11F9"/>
    <w:rsid w:val="007D7CE5"/>
    <w:rsid w:val="007E4E09"/>
    <w:rsid w:val="007E5030"/>
    <w:rsid w:val="00816F46"/>
    <w:rsid w:val="00822811"/>
    <w:rsid w:val="00837893"/>
    <w:rsid w:val="008408E7"/>
    <w:rsid w:val="00840B33"/>
    <w:rsid w:val="0084333F"/>
    <w:rsid w:val="008472FE"/>
    <w:rsid w:val="00853CE6"/>
    <w:rsid w:val="00864A3D"/>
    <w:rsid w:val="00864F1C"/>
    <w:rsid w:val="0086582A"/>
    <w:rsid w:val="008876F5"/>
    <w:rsid w:val="008924B6"/>
    <w:rsid w:val="00894FE3"/>
    <w:rsid w:val="008A2955"/>
    <w:rsid w:val="008A3899"/>
    <w:rsid w:val="008B4619"/>
    <w:rsid w:val="008B67F0"/>
    <w:rsid w:val="008C0F74"/>
    <w:rsid w:val="008C5887"/>
    <w:rsid w:val="008D2980"/>
    <w:rsid w:val="008D58D9"/>
    <w:rsid w:val="008F097D"/>
    <w:rsid w:val="008F4C23"/>
    <w:rsid w:val="008F5DB1"/>
    <w:rsid w:val="00900ED7"/>
    <w:rsid w:val="00905C79"/>
    <w:rsid w:val="00910B72"/>
    <w:rsid w:val="00916FB0"/>
    <w:rsid w:val="009415FC"/>
    <w:rsid w:val="00944AE0"/>
    <w:rsid w:val="0094612C"/>
    <w:rsid w:val="00951159"/>
    <w:rsid w:val="00954180"/>
    <w:rsid w:val="00961FC3"/>
    <w:rsid w:val="00973B37"/>
    <w:rsid w:val="00977C0D"/>
    <w:rsid w:val="009844BF"/>
    <w:rsid w:val="00984BAA"/>
    <w:rsid w:val="00997C23"/>
    <w:rsid w:val="009A1A82"/>
    <w:rsid w:val="009A240E"/>
    <w:rsid w:val="009A2FC0"/>
    <w:rsid w:val="009B1DE7"/>
    <w:rsid w:val="009B2B23"/>
    <w:rsid w:val="009D0BCF"/>
    <w:rsid w:val="009D2E0E"/>
    <w:rsid w:val="009D6440"/>
    <w:rsid w:val="009E10E4"/>
    <w:rsid w:val="009E3725"/>
    <w:rsid w:val="009E7212"/>
    <w:rsid w:val="009F0555"/>
    <w:rsid w:val="009F331F"/>
    <w:rsid w:val="00A1445D"/>
    <w:rsid w:val="00A4252F"/>
    <w:rsid w:val="00A456B0"/>
    <w:rsid w:val="00A53247"/>
    <w:rsid w:val="00A55291"/>
    <w:rsid w:val="00A618DC"/>
    <w:rsid w:val="00A63677"/>
    <w:rsid w:val="00A65DE8"/>
    <w:rsid w:val="00A67CEA"/>
    <w:rsid w:val="00A73064"/>
    <w:rsid w:val="00A85BCA"/>
    <w:rsid w:val="00AA3303"/>
    <w:rsid w:val="00AA6161"/>
    <w:rsid w:val="00AC2552"/>
    <w:rsid w:val="00AC744D"/>
    <w:rsid w:val="00AC7D7E"/>
    <w:rsid w:val="00AD0A0E"/>
    <w:rsid w:val="00AD252C"/>
    <w:rsid w:val="00AD2C95"/>
    <w:rsid w:val="00AD7155"/>
    <w:rsid w:val="00AE4354"/>
    <w:rsid w:val="00AF3A7C"/>
    <w:rsid w:val="00AF769C"/>
    <w:rsid w:val="00B03B31"/>
    <w:rsid w:val="00B26935"/>
    <w:rsid w:val="00B3049B"/>
    <w:rsid w:val="00B540A7"/>
    <w:rsid w:val="00B57720"/>
    <w:rsid w:val="00B64CDE"/>
    <w:rsid w:val="00B86497"/>
    <w:rsid w:val="00B918A1"/>
    <w:rsid w:val="00BC586A"/>
    <w:rsid w:val="00BD2ECF"/>
    <w:rsid w:val="00BD4A44"/>
    <w:rsid w:val="00BE39A1"/>
    <w:rsid w:val="00BE5855"/>
    <w:rsid w:val="00BF72D9"/>
    <w:rsid w:val="00BF7FDC"/>
    <w:rsid w:val="00C025DA"/>
    <w:rsid w:val="00C046AA"/>
    <w:rsid w:val="00C122AC"/>
    <w:rsid w:val="00C24AD1"/>
    <w:rsid w:val="00C3206F"/>
    <w:rsid w:val="00C536E6"/>
    <w:rsid w:val="00C54F5B"/>
    <w:rsid w:val="00C56CCE"/>
    <w:rsid w:val="00C63DFC"/>
    <w:rsid w:val="00C844B1"/>
    <w:rsid w:val="00C85EE9"/>
    <w:rsid w:val="00C91F0F"/>
    <w:rsid w:val="00C935CF"/>
    <w:rsid w:val="00CB0FF5"/>
    <w:rsid w:val="00CD7364"/>
    <w:rsid w:val="00CE0B07"/>
    <w:rsid w:val="00CE1391"/>
    <w:rsid w:val="00CF7B37"/>
    <w:rsid w:val="00D0218C"/>
    <w:rsid w:val="00D17836"/>
    <w:rsid w:val="00D23F99"/>
    <w:rsid w:val="00D5043A"/>
    <w:rsid w:val="00D5494C"/>
    <w:rsid w:val="00D558FA"/>
    <w:rsid w:val="00D65483"/>
    <w:rsid w:val="00D66B4F"/>
    <w:rsid w:val="00D965C5"/>
    <w:rsid w:val="00DA5794"/>
    <w:rsid w:val="00DB4E90"/>
    <w:rsid w:val="00DD44A3"/>
    <w:rsid w:val="00DD78EB"/>
    <w:rsid w:val="00DE6888"/>
    <w:rsid w:val="00DF04D3"/>
    <w:rsid w:val="00DF0721"/>
    <w:rsid w:val="00DF2773"/>
    <w:rsid w:val="00DF792B"/>
    <w:rsid w:val="00E3239B"/>
    <w:rsid w:val="00E52D6B"/>
    <w:rsid w:val="00E604B5"/>
    <w:rsid w:val="00E60C9D"/>
    <w:rsid w:val="00E652C9"/>
    <w:rsid w:val="00E738E2"/>
    <w:rsid w:val="00E7756B"/>
    <w:rsid w:val="00E8796B"/>
    <w:rsid w:val="00E94FF2"/>
    <w:rsid w:val="00EC1FEE"/>
    <w:rsid w:val="00EC3339"/>
    <w:rsid w:val="00ED6809"/>
    <w:rsid w:val="00ED6F06"/>
    <w:rsid w:val="00EE1EA7"/>
    <w:rsid w:val="00EE347F"/>
    <w:rsid w:val="00F11975"/>
    <w:rsid w:val="00F16B5F"/>
    <w:rsid w:val="00F17306"/>
    <w:rsid w:val="00F24504"/>
    <w:rsid w:val="00F34118"/>
    <w:rsid w:val="00F65CEC"/>
    <w:rsid w:val="00F709F1"/>
    <w:rsid w:val="00F7151A"/>
    <w:rsid w:val="00F74AED"/>
    <w:rsid w:val="00F7571C"/>
    <w:rsid w:val="00F8236E"/>
    <w:rsid w:val="00F87109"/>
    <w:rsid w:val="00F93BF3"/>
    <w:rsid w:val="00F96E56"/>
    <w:rsid w:val="00FB6CD2"/>
    <w:rsid w:val="00FC2FEB"/>
    <w:rsid w:val="00FC6AF3"/>
    <w:rsid w:val="00FD330D"/>
    <w:rsid w:val="00FD52EB"/>
    <w:rsid w:val="00FD5CBE"/>
    <w:rsid w:val="00FE17FF"/>
    <w:rsid w:val="00FE5A16"/>
    <w:rsid w:val="00FE6A53"/>
    <w:rsid w:val="00FF19E9"/>
    <w:rsid w:val="00FF24DA"/>
    <w:rsid w:val="00FF453D"/>
    <w:rsid w:val="00FF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8C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01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017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F76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PG-BodyTextNumbered">
    <w:name w:val="RPG - Body Text (Numbered)"/>
    <w:basedOn w:val="Normal"/>
    <w:link w:val="RPG-BodyTextNumberedChar"/>
    <w:qFormat/>
    <w:rsid w:val="0012686B"/>
    <w:pPr>
      <w:numPr>
        <w:numId w:val="3"/>
      </w:numPr>
      <w:spacing w:before="200"/>
    </w:pPr>
    <w:rPr>
      <w:rFonts w:eastAsia="Calibri"/>
      <w:sz w:val="22"/>
      <w:szCs w:val="22"/>
    </w:rPr>
  </w:style>
  <w:style w:type="paragraph" w:customStyle="1" w:styleId="RPG-SublistLevel1">
    <w:name w:val="RPG - Sublist Level 1"/>
    <w:basedOn w:val="RPG-BodyTextNumbered"/>
    <w:qFormat/>
    <w:rsid w:val="0012686B"/>
    <w:pPr>
      <w:numPr>
        <w:ilvl w:val="1"/>
      </w:numPr>
      <w:spacing w:before="120"/>
    </w:pPr>
  </w:style>
  <w:style w:type="paragraph" w:customStyle="1" w:styleId="RPG-SublistLevel2">
    <w:name w:val="RPG - Sublist Level 2"/>
    <w:basedOn w:val="RPG-SublistLevel1"/>
    <w:qFormat/>
    <w:rsid w:val="0012686B"/>
    <w:pPr>
      <w:numPr>
        <w:ilvl w:val="2"/>
      </w:numPr>
    </w:pPr>
  </w:style>
  <w:style w:type="character" w:customStyle="1" w:styleId="RPG-BodyTextNumberedChar">
    <w:name w:val="RPG - Body Text (Numbered) Char"/>
    <w:basedOn w:val="DefaultParagraphFont"/>
    <w:link w:val="RPG-BodyTextNumbered"/>
    <w:rsid w:val="00490022"/>
    <w:rPr>
      <w:rFonts w:eastAsia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5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4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4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47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7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6440"/>
    <w:pPr>
      <w:ind w:left="720"/>
      <w:contextualSpacing/>
    </w:pPr>
  </w:style>
  <w:style w:type="paragraph" w:styleId="Revision">
    <w:name w:val="Revision"/>
    <w:hidden/>
    <w:uiPriority w:val="99"/>
    <w:semiHidden/>
    <w:rsid w:val="008B67F0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049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8C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01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1017B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AF76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PG-BodyTextNumbered">
    <w:name w:val="RPG - Body Text (Numbered)"/>
    <w:basedOn w:val="Normal"/>
    <w:link w:val="RPG-BodyTextNumberedChar"/>
    <w:qFormat/>
    <w:rsid w:val="0012686B"/>
    <w:pPr>
      <w:numPr>
        <w:numId w:val="3"/>
      </w:numPr>
      <w:spacing w:before="200"/>
    </w:pPr>
    <w:rPr>
      <w:rFonts w:eastAsia="Calibri"/>
      <w:sz w:val="22"/>
      <w:szCs w:val="22"/>
    </w:rPr>
  </w:style>
  <w:style w:type="paragraph" w:customStyle="1" w:styleId="RPG-SublistLevel1">
    <w:name w:val="RPG - Sublist Level 1"/>
    <w:basedOn w:val="RPG-BodyTextNumbered"/>
    <w:qFormat/>
    <w:rsid w:val="0012686B"/>
    <w:pPr>
      <w:numPr>
        <w:ilvl w:val="1"/>
      </w:numPr>
      <w:spacing w:before="120"/>
    </w:pPr>
  </w:style>
  <w:style w:type="paragraph" w:customStyle="1" w:styleId="RPG-SublistLevel2">
    <w:name w:val="RPG - Sublist Level 2"/>
    <w:basedOn w:val="RPG-SublistLevel1"/>
    <w:qFormat/>
    <w:rsid w:val="0012686B"/>
    <w:pPr>
      <w:numPr>
        <w:ilvl w:val="2"/>
      </w:numPr>
    </w:pPr>
  </w:style>
  <w:style w:type="character" w:customStyle="1" w:styleId="RPG-BodyTextNumberedChar">
    <w:name w:val="RPG - Body Text (Numbered) Char"/>
    <w:basedOn w:val="DefaultParagraphFont"/>
    <w:link w:val="RPG-BodyTextNumbered"/>
    <w:rsid w:val="00490022"/>
    <w:rPr>
      <w:rFonts w:eastAsia="Calibri"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5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4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4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47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7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D6440"/>
    <w:pPr>
      <w:ind w:left="720"/>
      <w:contextualSpacing/>
    </w:pPr>
  </w:style>
  <w:style w:type="paragraph" w:styleId="Revision">
    <w:name w:val="Revision"/>
    <w:hidden/>
    <w:uiPriority w:val="99"/>
    <w:semiHidden/>
    <w:rsid w:val="008B67F0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049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6D5C-9DF7-4197-8A05-5280F398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Taing</dc:creator>
  <cp:lastModifiedBy>Jenny Taing</cp:lastModifiedBy>
  <cp:revision>2</cp:revision>
  <cp:lastPrinted>2013-12-05T04:59:00Z</cp:lastPrinted>
  <dcterms:created xsi:type="dcterms:W3CDTF">2013-12-06T01:03:00Z</dcterms:created>
  <dcterms:modified xsi:type="dcterms:W3CDTF">2013-12-06T01:03:00Z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A3990212</vt:lpwstr>
  </property>
  <property fmtid="{D5CDD505-2E9C-101B-9397-08002B2CF9AE}" pid="4" name="Objective-Title">
    <vt:lpwstr>20131111 - Class Order ES</vt:lpwstr>
  </property>
  <property fmtid="{D5CDD505-2E9C-101B-9397-08002B2CF9AE}" pid="5" name="Objective-Comment">
    <vt:lpwstr/>
  </property>
  <property fmtid="{D5CDD505-2E9C-101B-9397-08002B2CF9AE}" pid="6" name="Objective-CreationStamp">
    <vt:filetime>2013-11-11T05:39:24Z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2013-11-11T23:16:34Z</vt:filetime>
  </property>
  <property fmtid="{D5CDD505-2E9C-101B-9397-08002B2CF9AE}" pid="11" name="Objective-Owner">
    <vt:lpwstr>Adele Rentsch</vt:lpwstr>
  </property>
  <property fmtid="{D5CDD505-2E9C-101B-9397-08002B2CF9AE}" pid="12" name="Objective-Path">
    <vt:lpwstr>ASIC BCS:REGULATION &amp; COMPLIANCE:Applications:Investment Management:Other Relief:Financial Services Council - 20131011:</vt:lpwstr>
  </property>
  <property fmtid="{D5CDD505-2E9C-101B-9397-08002B2CF9AE}" pid="13" name="Objective-Parent">
    <vt:lpwstr>Financial Services Council - 20131011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i4>5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  <property fmtid="{D5CDD505-2E9C-101B-9397-08002B2CF9AE}" pid="22" name="_AdHocReviewCycleID">
    <vt:i4>-1296239676</vt:i4>
  </property>
  <property fmtid="{D5CDD505-2E9C-101B-9397-08002B2CF9AE}" pid="23" name="_NewReviewCycle">
    <vt:lpwstr/>
  </property>
  <property fmtid="{D5CDD505-2E9C-101B-9397-08002B2CF9AE}" pid="24" name="_EmailSubject">
    <vt:lpwstr>FW: Job for first thing Wednesday [DLM=Sensitive]</vt:lpwstr>
  </property>
  <property fmtid="{D5CDD505-2E9C-101B-9397-08002B2CF9AE}" pid="25" name="_AuthorEmail">
    <vt:lpwstr>Matthew.Burston@TREASURY.GOV.AU</vt:lpwstr>
  </property>
  <property fmtid="{D5CDD505-2E9C-101B-9397-08002B2CF9AE}" pid="26" name="_AuthorEmailDisplayName">
    <vt:lpwstr>Burston, Matthew</vt:lpwstr>
  </property>
  <property fmtid="{D5CDD505-2E9C-101B-9397-08002B2CF9AE}" pid="27" name="_ReviewingToolsShownOnce">
    <vt:lpwstr/>
  </property>
</Properties>
</file>