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D8" w:rsidRPr="00464136" w:rsidRDefault="00A85CD8" w:rsidP="00A85CD8">
      <w:pPr>
        <w:ind w:left="720"/>
        <w:jc w:val="center"/>
        <w:rPr>
          <w:b/>
          <w:bCs/>
          <w:szCs w:val="24"/>
        </w:rPr>
      </w:pPr>
      <w:r w:rsidRPr="00464136">
        <w:rPr>
          <w:b/>
          <w:bCs/>
          <w:szCs w:val="24"/>
        </w:rPr>
        <w:t>Australian Securities and Investments Commission</w:t>
      </w:r>
      <w:r w:rsidRPr="00464136">
        <w:rPr>
          <w:b/>
          <w:bCs/>
          <w:szCs w:val="24"/>
        </w:rPr>
        <w:br/>
        <w:t xml:space="preserve">Corporations Act 2001 — </w:t>
      </w:r>
      <w:r>
        <w:rPr>
          <w:b/>
          <w:bCs/>
          <w:szCs w:val="24"/>
        </w:rPr>
        <w:t xml:space="preserve">Subsection </w:t>
      </w:r>
      <w:proofErr w:type="gramStart"/>
      <w:r>
        <w:rPr>
          <w:b/>
          <w:bCs/>
          <w:szCs w:val="24"/>
        </w:rPr>
        <w:t>1020F(</w:t>
      </w:r>
      <w:proofErr w:type="gramEnd"/>
      <w:r>
        <w:rPr>
          <w:b/>
          <w:bCs/>
          <w:szCs w:val="24"/>
        </w:rPr>
        <w:t xml:space="preserve">1) </w:t>
      </w:r>
      <w:r w:rsidRPr="00464136">
        <w:rPr>
          <w:b/>
          <w:bCs/>
          <w:szCs w:val="24"/>
        </w:rPr>
        <w:t xml:space="preserve">— </w:t>
      </w:r>
      <w:r>
        <w:rPr>
          <w:b/>
          <w:bCs/>
          <w:szCs w:val="24"/>
        </w:rPr>
        <w:t>Exemption</w:t>
      </w:r>
      <w:r w:rsidR="00CF126A">
        <w:rPr>
          <w:b/>
          <w:bCs/>
          <w:szCs w:val="24"/>
        </w:rPr>
        <w:t>s</w:t>
      </w:r>
    </w:p>
    <w:p w:rsidR="00A85CD8" w:rsidRPr="00464136" w:rsidRDefault="00A85CD8" w:rsidP="00A85CD8">
      <w:pPr>
        <w:spacing w:before="0"/>
        <w:ind w:left="567"/>
        <w:rPr>
          <w:szCs w:val="24"/>
          <w:lang w:val="en-US"/>
        </w:rPr>
      </w:pPr>
    </w:p>
    <w:p w:rsidR="00A85CD8" w:rsidRPr="00464136" w:rsidRDefault="00A85CD8" w:rsidP="00A85CD8">
      <w:pPr>
        <w:spacing w:before="0"/>
        <w:ind w:left="567" w:hanging="567"/>
        <w:rPr>
          <w:b/>
          <w:szCs w:val="24"/>
          <w:lang w:val="en-US"/>
        </w:rPr>
      </w:pPr>
      <w:r w:rsidRPr="00464136">
        <w:rPr>
          <w:b/>
          <w:szCs w:val="24"/>
          <w:lang w:val="en-US"/>
        </w:rPr>
        <w:t>Enabling legislation</w:t>
      </w:r>
    </w:p>
    <w:p w:rsidR="00A85CD8" w:rsidRPr="00464136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A85CD8" w:rsidRPr="00464136" w:rsidRDefault="00A85CD8" w:rsidP="00A85CD8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1.</w:t>
      </w:r>
      <w:r w:rsidRPr="00464136">
        <w:rPr>
          <w:szCs w:val="24"/>
          <w:lang w:val="en-US"/>
        </w:rPr>
        <w:tab/>
        <w:t xml:space="preserve">The Australian Securities and Investments Commission makes this instrument under </w:t>
      </w:r>
      <w:r>
        <w:rPr>
          <w:szCs w:val="24"/>
          <w:lang w:val="en-US"/>
        </w:rPr>
        <w:t xml:space="preserve">subsection </w:t>
      </w:r>
      <w:proofErr w:type="gramStart"/>
      <w:r>
        <w:rPr>
          <w:szCs w:val="24"/>
          <w:lang w:val="en-US"/>
        </w:rPr>
        <w:t>1020F(</w:t>
      </w:r>
      <w:proofErr w:type="gramEnd"/>
      <w:r>
        <w:rPr>
          <w:szCs w:val="24"/>
          <w:lang w:val="en-US"/>
        </w:rPr>
        <w:t xml:space="preserve">1) </w:t>
      </w:r>
      <w:r w:rsidRPr="00A85CD8">
        <w:rPr>
          <w:szCs w:val="24"/>
          <w:lang w:val="en-US"/>
        </w:rPr>
        <w:t xml:space="preserve">of the </w:t>
      </w:r>
      <w:r w:rsidRPr="00A85CD8">
        <w:rPr>
          <w:i/>
          <w:szCs w:val="24"/>
          <w:lang w:val="en-US"/>
        </w:rPr>
        <w:t xml:space="preserve">Corporations Act </w:t>
      </w:r>
      <w:r w:rsidRPr="00A85CD8">
        <w:rPr>
          <w:i/>
          <w:iCs/>
          <w:szCs w:val="24"/>
          <w:lang w:val="en-US"/>
        </w:rPr>
        <w:t xml:space="preserve">2001 </w:t>
      </w:r>
      <w:r w:rsidRPr="00A85CD8">
        <w:rPr>
          <w:szCs w:val="24"/>
          <w:lang w:val="en-US"/>
        </w:rPr>
        <w:t xml:space="preserve">(the </w:t>
      </w:r>
      <w:r w:rsidRPr="00A85CD8">
        <w:rPr>
          <w:b/>
          <w:i/>
          <w:szCs w:val="24"/>
          <w:lang w:val="en-US"/>
        </w:rPr>
        <w:t>Act</w:t>
      </w:r>
      <w:r w:rsidRPr="00464136">
        <w:rPr>
          <w:szCs w:val="24"/>
          <w:lang w:val="en-US"/>
        </w:rPr>
        <w:t>).</w:t>
      </w:r>
    </w:p>
    <w:p w:rsidR="00A85CD8" w:rsidRPr="00464136" w:rsidRDefault="00A85CD8" w:rsidP="00A85CD8">
      <w:pPr>
        <w:pStyle w:val="FootnoteText"/>
        <w:ind w:left="567"/>
        <w:rPr>
          <w:sz w:val="24"/>
          <w:szCs w:val="24"/>
        </w:rPr>
      </w:pPr>
    </w:p>
    <w:p w:rsidR="00A85CD8" w:rsidRPr="00464136" w:rsidRDefault="00A85CD8" w:rsidP="00A85CD8">
      <w:pPr>
        <w:pStyle w:val="FootnoteText"/>
        <w:ind w:left="567" w:hanging="567"/>
        <w:rPr>
          <w:b/>
          <w:sz w:val="24"/>
          <w:szCs w:val="24"/>
        </w:rPr>
      </w:pPr>
      <w:r w:rsidRPr="00464136">
        <w:rPr>
          <w:b/>
          <w:sz w:val="24"/>
          <w:szCs w:val="24"/>
        </w:rPr>
        <w:t>Title</w:t>
      </w:r>
    </w:p>
    <w:p w:rsidR="00A85CD8" w:rsidRPr="00464136" w:rsidRDefault="00A85CD8" w:rsidP="00A85CD8">
      <w:pPr>
        <w:pStyle w:val="FootnoteText"/>
        <w:ind w:left="567" w:hanging="567"/>
        <w:rPr>
          <w:sz w:val="24"/>
          <w:szCs w:val="24"/>
        </w:rPr>
      </w:pPr>
    </w:p>
    <w:p w:rsidR="00A85CD8" w:rsidRPr="00464136" w:rsidRDefault="00A85CD8" w:rsidP="00A85CD8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2.</w:t>
      </w:r>
      <w:r w:rsidRPr="00464136">
        <w:rPr>
          <w:szCs w:val="24"/>
          <w:lang w:val="en-US"/>
        </w:rPr>
        <w:tab/>
        <w:t xml:space="preserve">This instrument is ASIC </w:t>
      </w:r>
      <w:r>
        <w:rPr>
          <w:szCs w:val="24"/>
          <w:lang w:val="en-US"/>
        </w:rPr>
        <w:t>Class Order</w:t>
      </w:r>
      <w:r w:rsidRPr="00464136">
        <w:rPr>
          <w:szCs w:val="24"/>
          <w:lang w:val="en-US"/>
        </w:rPr>
        <w:t xml:space="preserve"> [</w:t>
      </w:r>
      <w:r>
        <w:rPr>
          <w:szCs w:val="24"/>
          <w:lang w:val="en-US"/>
        </w:rPr>
        <w:t xml:space="preserve">CO </w:t>
      </w:r>
      <w:r w:rsidRPr="00464136">
        <w:rPr>
          <w:szCs w:val="24"/>
          <w:lang w:val="en-US"/>
        </w:rPr>
        <w:t>1</w:t>
      </w:r>
      <w:r>
        <w:rPr>
          <w:szCs w:val="24"/>
          <w:lang w:val="en-US"/>
        </w:rPr>
        <w:t>3</w:t>
      </w:r>
      <w:r w:rsidRPr="00464136">
        <w:rPr>
          <w:szCs w:val="24"/>
          <w:lang w:val="en-US"/>
        </w:rPr>
        <w:t>/</w:t>
      </w:r>
      <w:r w:rsidR="005D6AAF">
        <w:rPr>
          <w:szCs w:val="24"/>
          <w:lang w:val="en-US"/>
        </w:rPr>
        <w:t>1534]</w:t>
      </w:r>
      <w:r w:rsidRPr="00464136">
        <w:rPr>
          <w:szCs w:val="24"/>
          <w:lang w:val="en-US"/>
        </w:rPr>
        <w:t>.</w:t>
      </w:r>
    </w:p>
    <w:p w:rsidR="00A85CD8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A85CD8" w:rsidRPr="00DD630F" w:rsidRDefault="00A85CD8" w:rsidP="00A85CD8">
      <w:pPr>
        <w:spacing w:before="0"/>
        <w:ind w:left="567" w:hanging="567"/>
        <w:rPr>
          <w:b/>
          <w:szCs w:val="24"/>
          <w:lang w:val="en-US"/>
        </w:rPr>
      </w:pPr>
      <w:r w:rsidRPr="00DD630F">
        <w:rPr>
          <w:b/>
          <w:szCs w:val="24"/>
          <w:lang w:val="en-US"/>
        </w:rPr>
        <w:t xml:space="preserve">Commencement </w:t>
      </w:r>
    </w:p>
    <w:p w:rsidR="00A85CD8" w:rsidRPr="00464136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A85CD8" w:rsidRDefault="00A85CD8" w:rsidP="00A85CD8">
      <w:pPr>
        <w:overflowPunct/>
        <w:autoSpaceDE/>
        <w:autoSpaceDN/>
        <w:adjustRightInd/>
        <w:spacing w:before="0"/>
        <w:ind w:left="567" w:hanging="567"/>
        <w:textAlignment w:val="auto"/>
        <w:rPr>
          <w:rFonts w:eastAsiaTheme="minorHAnsi"/>
          <w:szCs w:val="24"/>
          <w:lang w:val="en-US"/>
        </w:rPr>
      </w:pPr>
      <w:r w:rsidRPr="0086261B">
        <w:rPr>
          <w:rFonts w:eastAsiaTheme="minorHAnsi"/>
          <w:szCs w:val="24"/>
          <w:lang w:val="en-US"/>
        </w:rPr>
        <w:t>3.</w:t>
      </w:r>
      <w:r w:rsidRPr="0086261B">
        <w:rPr>
          <w:rFonts w:eastAsiaTheme="minorHAnsi"/>
          <w:szCs w:val="24"/>
          <w:lang w:val="en-US"/>
        </w:rPr>
        <w:tab/>
        <w:t xml:space="preserve">This instrument commences on the day it is registered under the </w:t>
      </w:r>
      <w:r w:rsidRPr="0086261B">
        <w:rPr>
          <w:rFonts w:eastAsiaTheme="minorHAnsi"/>
          <w:i/>
          <w:szCs w:val="24"/>
          <w:lang w:val="en-US"/>
        </w:rPr>
        <w:t>Legislative Instruments Act 2003</w:t>
      </w:r>
      <w:r w:rsidRPr="0086261B">
        <w:rPr>
          <w:rFonts w:eastAsiaTheme="minorHAnsi"/>
          <w:szCs w:val="24"/>
          <w:lang w:val="en-US"/>
        </w:rPr>
        <w:t>.</w:t>
      </w:r>
    </w:p>
    <w:p w:rsidR="00A85CD8" w:rsidRPr="0086261B" w:rsidRDefault="00A85CD8" w:rsidP="00A85CD8">
      <w:pPr>
        <w:overflowPunct/>
        <w:autoSpaceDE/>
        <w:autoSpaceDN/>
        <w:adjustRightInd/>
        <w:spacing w:before="0"/>
        <w:ind w:left="567" w:hanging="567"/>
        <w:textAlignment w:val="auto"/>
        <w:rPr>
          <w:rFonts w:eastAsiaTheme="minorHAnsi"/>
          <w:szCs w:val="24"/>
          <w:lang w:val="en-US"/>
        </w:rPr>
      </w:pPr>
    </w:p>
    <w:p w:rsidR="00A85CD8" w:rsidRPr="0086261B" w:rsidRDefault="00A85CD8" w:rsidP="00A85CD8">
      <w:pPr>
        <w:overflowPunct/>
        <w:autoSpaceDE/>
        <w:autoSpaceDN/>
        <w:adjustRightInd/>
        <w:spacing w:before="0"/>
        <w:ind w:left="1134" w:right="142" w:hanging="567"/>
        <w:textAlignment w:val="auto"/>
        <w:rPr>
          <w:rFonts w:eastAsiaTheme="minorHAnsi" w:cstheme="minorBidi"/>
          <w:b/>
          <w:sz w:val="18"/>
          <w:szCs w:val="18"/>
          <w:lang w:val="en-US"/>
        </w:rPr>
      </w:pPr>
      <w:r w:rsidRPr="0086261B">
        <w:rPr>
          <w:rFonts w:eastAsiaTheme="minorHAnsi" w:cstheme="minorBidi"/>
          <w:sz w:val="18"/>
          <w:szCs w:val="18"/>
          <w:lang w:val="en-US"/>
        </w:rPr>
        <w:t>Note:</w:t>
      </w:r>
      <w:r w:rsidRPr="0086261B">
        <w:rPr>
          <w:rFonts w:eastAsiaTheme="minorHAnsi" w:cstheme="minorBidi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86261B">
        <w:rPr>
          <w:rFonts w:eastAsiaTheme="minorHAnsi" w:cstheme="minorBidi"/>
          <w:i/>
          <w:sz w:val="18"/>
          <w:szCs w:val="18"/>
          <w:lang w:val="en-US"/>
        </w:rPr>
        <w:t>(</w:t>
      </w:r>
      <w:r w:rsidRPr="0086261B">
        <w:rPr>
          <w:rFonts w:eastAsiaTheme="minorHAnsi" w:cstheme="minorBidi"/>
          <w:b/>
          <w:bCs/>
          <w:i/>
          <w:sz w:val="18"/>
          <w:szCs w:val="18"/>
          <w:lang w:val="en-US"/>
        </w:rPr>
        <w:t>FRLI</w:t>
      </w:r>
      <w:r w:rsidRPr="0086261B">
        <w:rPr>
          <w:rFonts w:eastAsiaTheme="minorHAnsi" w:cstheme="minorBidi"/>
          <w:i/>
          <w:sz w:val="18"/>
          <w:szCs w:val="18"/>
          <w:lang w:val="en-US"/>
        </w:rPr>
        <w:t xml:space="preserve">) 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in electronic form: see </w:t>
      </w:r>
      <w:r w:rsidRPr="0086261B">
        <w:rPr>
          <w:rFonts w:eastAsiaTheme="minorHAnsi" w:cstheme="minorBidi"/>
          <w:i/>
          <w:spacing w:val="4"/>
          <w:sz w:val="18"/>
          <w:szCs w:val="18"/>
          <w:lang w:val="en-US"/>
        </w:rPr>
        <w:t xml:space="preserve">Legislative Instruments Act </w:t>
      </w:r>
      <w:r w:rsidRPr="0086261B">
        <w:rPr>
          <w:rFonts w:eastAsiaTheme="minorHAnsi" w:cstheme="minorBidi"/>
          <w:i/>
          <w:iCs/>
          <w:sz w:val="18"/>
          <w:szCs w:val="18"/>
          <w:lang w:val="en-US"/>
        </w:rPr>
        <w:t>2003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, section 4 (definition of </w:t>
      </w:r>
      <w:r w:rsidRPr="0086261B">
        <w:rPr>
          <w:rFonts w:eastAsiaTheme="minorHAnsi" w:cstheme="minorBidi"/>
          <w:b/>
          <w:bCs/>
          <w:i/>
          <w:iCs/>
          <w:sz w:val="18"/>
          <w:szCs w:val="18"/>
          <w:lang w:val="en-US"/>
        </w:rPr>
        <w:t>register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).  The FRLI may be accessed at </w:t>
      </w:r>
      <w:hyperlink r:id="rId8" w:history="1">
        <w:r w:rsidRPr="0086261B">
          <w:rPr>
            <w:rFonts w:eastAsiaTheme="minorHAnsi" w:cstheme="minorBidi"/>
            <w:color w:val="0000FF"/>
            <w:sz w:val="18"/>
            <w:szCs w:val="18"/>
            <w:u w:val="single"/>
          </w:rPr>
          <w:t>http://www.frli.gov.au/</w:t>
        </w:r>
      </w:hyperlink>
      <w:r w:rsidRPr="0086261B">
        <w:rPr>
          <w:rFonts w:eastAsiaTheme="minorHAnsi" w:cstheme="minorBidi"/>
          <w:sz w:val="18"/>
          <w:szCs w:val="18"/>
          <w:lang w:val="en-US"/>
        </w:rPr>
        <w:t>.</w:t>
      </w:r>
    </w:p>
    <w:p w:rsidR="00A85CD8" w:rsidRPr="00464136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A85CD8" w:rsidRDefault="00CF126A" w:rsidP="00A85CD8">
      <w:pPr>
        <w:spacing w:before="0"/>
        <w:ind w:left="567" w:hanging="567"/>
        <w:rPr>
          <w:b/>
          <w:szCs w:val="24"/>
          <w:lang w:val="en-US"/>
        </w:rPr>
      </w:pPr>
      <w:r>
        <w:rPr>
          <w:b/>
          <w:szCs w:val="24"/>
          <w:lang w:val="en-US"/>
        </w:rPr>
        <w:t>First e</w:t>
      </w:r>
      <w:r w:rsidR="00A85CD8">
        <w:rPr>
          <w:b/>
          <w:szCs w:val="24"/>
          <w:lang w:val="en-US"/>
        </w:rPr>
        <w:t>xemption</w:t>
      </w:r>
    </w:p>
    <w:p w:rsidR="00A85CD8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CA4C81" w:rsidRDefault="00CA4C81" w:rsidP="00A85CD8">
      <w:pPr>
        <w:spacing w:before="0"/>
        <w:ind w:left="567" w:hanging="567"/>
        <w:rPr>
          <w:i/>
          <w:szCs w:val="24"/>
          <w:lang w:val="en-US"/>
        </w:rPr>
      </w:pPr>
      <w:r w:rsidRPr="00CA4C81">
        <w:rPr>
          <w:i/>
          <w:szCs w:val="24"/>
          <w:lang w:val="en-US"/>
        </w:rPr>
        <w:t xml:space="preserve">Deferral of </w:t>
      </w:r>
      <w:r>
        <w:rPr>
          <w:i/>
          <w:szCs w:val="24"/>
          <w:lang w:val="en-US"/>
        </w:rPr>
        <w:t>amendments affecting PDS and periodic statement disclosure</w:t>
      </w:r>
    </w:p>
    <w:p w:rsidR="00CA4C81" w:rsidRDefault="00CA4C81" w:rsidP="00A85CD8">
      <w:pPr>
        <w:spacing w:before="0"/>
        <w:ind w:left="567" w:hanging="567"/>
        <w:rPr>
          <w:szCs w:val="24"/>
          <w:lang w:val="en-US"/>
        </w:rPr>
      </w:pPr>
    </w:p>
    <w:p w:rsidR="00536C11" w:rsidRDefault="00A85CD8" w:rsidP="00A85CD8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4.</w:t>
      </w:r>
      <w:r w:rsidRPr="00464136">
        <w:rPr>
          <w:szCs w:val="24"/>
          <w:lang w:val="en-US"/>
        </w:rPr>
        <w:tab/>
      </w:r>
      <w:r w:rsidRPr="00DB018B">
        <w:rPr>
          <w:szCs w:val="24"/>
          <w:lang w:val="en-US"/>
        </w:rPr>
        <w:t>A trustee of a regulated superannuation fund (other than a self-managed superannuation fund) does not have to comply with</w:t>
      </w:r>
      <w:r w:rsidR="004F6B36">
        <w:rPr>
          <w:szCs w:val="24"/>
          <w:lang w:val="en-US"/>
        </w:rPr>
        <w:t xml:space="preserve"> regulations made for the purposes of</w:t>
      </w:r>
      <w:r w:rsidR="00536C11">
        <w:rPr>
          <w:szCs w:val="24"/>
          <w:lang w:val="en-US"/>
        </w:rPr>
        <w:t>:</w:t>
      </w:r>
    </w:p>
    <w:p w:rsidR="00536C11" w:rsidRDefault="00536C11" w:rsidP="00A85CD8">
      <w:pPr>
        <w:spacing w:before="0"/>
        <w:ind w:left="567" w:hanging="567"/>
        <w:rPr>
          <w:szCs w:val="24"/>
          <w:lang w:val="en-US"/>
        </w:rPr>
      </w:pPr>
    </w:p>
    <w:p w:rsidR="00536C11" w:rsidRDefault="00536C11" w:rsidP="00536C11">
      <w:pPr>
        <w:spacing w:before="0"/>
        <w:ind w:left="1134" w:hanging="567"/>
        <w:rPr>
          <w:szCs w:val="24"/>
          <w:lang w:val="en-US"/>
        </w:rPr>
      </w:pPr>
      <w:r>
        <w:rPr>
          <w:szCs w:val="24"/>
          <w:lang w:val="en-US"/>
        </w:rPr>
        <w:t>(a)</w:t>
      </w:r>
      <w:r>
        <w:rPr>
          <w:szCs w:val="24"/>
          <w:lang w:val="en-US"/>
        </w:rPr>
        <w:tab/>
        <w:t>Division 2 of Part 7.9 of the Act</w:t>
      </w:r>
      <w:r w:rsidR="00CA4C81">
        <w:rPr>
          <w:szCs w:val="24"/>
          <w:lang w:val="en-US"/>
        </w:rPr>
        <w:t xml:space="preserve"> (Product Disclosure Statements)</w:t>
      </w:r>
      <w:r>
        <w:rPr>
          <w:szCs w:val="24"/>
          <w:lang w:val="en-US"/>
        </w:rPr>
        <w:t>; or</w:t>
      </w:r>
    </w:p>
    <w:p w:rsidR="00536C11" w:rsidRDefault="00536C11" w:rsidP="00536C11">
      <w:pPr>
        <w:spacing w:before="0"/>
        <w:ind w:left="1134" w:hanging="567"/>
        <w:rPr>
          <w:szCs w:val="24"/>
          <w:lang w:val="en-US"/>
        </w:rPr>
      </w:pPr>
    </w:p>
    <w:p w:rsidR="004F6B36" w:rsidRDefault="00536C11" w:rsidP="00536C11">
      <w:pPr>
        <w:spacing w:before="0"/>
        <w:ind w:left="1134" w:hanging="567"/>
        <w:rPr>
          <w:szCs w:val="24"/>
          <w:lang w:val="en-US"/>
        </w:rPr>
      </w:pPr>
      <w:r>
        <w:rPr>
          <w:szCs w:val="24"/>
          <w:lang w:val="en-US"/>
        </w:rPr>
        <w:t>(b)</w:t>
      </w:r>
      <w:r>
        <w:rPr>
          <w:szCs w:val="24"/>
          <w:lang w:val="en-US"/>
        </w:rPr>
        <w:tab/>
      </w:r>
      <w:proofErr w:type="gramStart"/>
      <w:r>
        <w:rPr>
          <w:szCs w:val="24"/>
          <w:lang w:val="en-US"/>
        </w:rPr>
        <w:t>section</w:t>
      </w:r>
      <w:proofErr w:type="gramEnd"/>
      <w:r>
        <w:rPr>
          <w:szCs w:val="24"/>
          <w:lang w:val="en-US"/>
        </w:rPr>
        <w:t xml:space="preserve"> 1017D</w:t>
      </w:r>
      <w:r w:rsidR="004F6B36">
        <w:rPr>
          <w:szCs w:val="24"/>
          <w:lang w:val="en-US"/>
        </w:rPr>
        <w:t xml:space="preserve"> of the Act</w:t>
      </w:r>
      <w:r w:rsidR="00CA4C81">
        <w:rPr>
          <w:szCs w:val="24"/>
          <w:lang w:val="en-US"/>
        </w:rPr>
        <w:t xml:space="preserve"> (periodic </w:t>
      </w:r>
      <w:r w:rsidR="00CF126A">
        <w:rPr>
          <w:szCs w:val="24"/>
          <w:lang w:val="en-US"/>
        </w:rPr>
        <w:t>statements</w:t>
      </w:r>
      <w:r w:rsidR="00CA4C81">
        <w:rPr>
          <w:szCs w:val="24"/>
          <w:lang w:val="en-US"/>
        </w:rPr>
        <w:t>)</w:t>
      </w:r>
      <w:r w:rsidR="004F6B36">
        <w:rPr>
          <w:szCs w:val="24"/>
          <w:lang w:val="en-US"/>
        </w:rPr>
        <w:t>;</w:t>
      </w:r>
    </w:p>
    <w:p w:rsidR="004F6B36" w:rsidRDefault="004F6B36" w:rsidP="00536C11">
      <w:pPr>
        <w:spacing w:before="0"/>
        <w:ind w:left="1134" w:hanging="567"/>
        <w:rPr>
          <w:szCs w:val="24"/>
          <w:lang w:val="en-US"/>
        </w:rPr>
      </w:pPr>
    </w:p>
    <w:p w:rsidR="00514443" w:rsidRDefault="004F6B36" w:rsidP="004F6B36">
      <w:pPr>
        <w:spacing w:before="0"/>
        <w:ind w:left="567"/>
        <w:rPr>
          <w:szCs w:val="24"/>
          <w:lang w:val="en-US"/>
        </w:rPr>
      </w:pPr>
      <w:proofErr w:type="gramStart"/>
      <w:r>
        <w:rPr>
          <w:szCs w:val="24"/>
          <w:lang w:val="en-US"/>
        </w:rPr>
        <w:t>to</w:t>
      </w:r>
      <w:proofErr w:type="gramEnd"/>
      <w:r>
        <w:rPr>
          <w:szCs w:val="24"/>
          <w:lang w:val="en-US"/>
        </w:rPr>
        <w:t xml:space="preserve"> the extent those regulations </w:t>
      </w:r>
      <w:r w:rsidR="00514443">
        <w:rPr>
          <w:szCs w:val="24"/>
          <w:lang w:val="en-US"/>
        </w:rPr>
        <w:t xml:space="preserve">were </w:t>
      </w:r>
      <w:r>
        <w:rPr>
          <w:szCs w:val="24"/>
          <w:lang w:val="en-US"/>
        </w:rPr>
        <w:t>amend</w:t>
      </w:r>
      <w:r w:rsidR="00514443">
        <w:rPr>
          <w:szCs w:val="24"/>
          <w:lang w:val="en-US"/>
        </w:rPr>
        <w:t>ed</w:t>
      </w:r>
      <w:r>
        <w:rPr>
          <w:szCs w:val="24"/>
          <w:lang w:val="en-US"/>
        </w:rPr>
        <w:t xml:space="preserve"> </w:t>
      </w:r>
      <w:r w:rsidR="00D175B4">
        <w:rPr>
          <w:szCs w:val="24"/>
          <w:lang w:val="en-US"/>
        </w:rPr>
        <w:t xml:space="preserve">or </w:t>
      </w:r>
      <w:r>
        <w:rPr>
          <w:szCs w:val="24"/>
          <w:lang w:val="en-US"/>
        </w:rPr>
        <w:t>made by items 7 to 68 and 70</w:t>
      </w:r>
      <w:r w:rsidR="00514443">
        <w:rPr>
          <w:szCs w:val="24"/>
          <w:lang w:val="en-US"/>
        </w:rPr>
        <w:t> </w:t>
      </w:r>
      <w:r>
        <w:rPr>
          <w:szCs w:val="24"/>
          <w:lang w:val="en-US"/>
        </w:rPr>
        <w:t>to</w:t>
      </w:r>
      <w:r w:rsidR="00514443">
        <w:rPr>
          <w:szCs w:val="24"/>
          <w:lang w:val="en-US"/>
        </w:rPr>
        <w:t> </w:t>
      </w:r>
      <w:r>
        <w:rPr>
          <w:szCs w:val="24"/>
          <w:lang w:val="en-US"/>
        </w:rPr>
        <w:t xml:space="preserve">86 of Schedule 1 to the </w:t>
      </w:r>
      <w:r w:rsidRPr="00514443">
        <w:rPr>
          <w:i/>
          <w:szCs w:val="24"/>
          <w:lang w:val="en-US"/>
        </w:rPr>
        <w:t xml:space="preserve">Superannuation Legislation Amendment (MySuper </w:t>
      </w:r>
      <w:r w:rsidR="00514443" w:rsidRPr="00514443">
        <w:rPr>
          <w:i/>
          <w:szCs w:val="24"/>
          <w:lang w:val="en-US"/>
        </w:rPr>
        <w:t>M</w:t>
      </w:r>
      <w:r w:rsidRPr="00514443">
        <w:rPr>
          <w:i/>
          <w:szCs w:val="24"/>
          <w:lang w:val="en-US"/>
        </w:rPr>
        <w:t xml:space="preserve">easures) </w:t>
      </w:r>
      <w:r w:rsidR="00514443" w:rsidRPr="00514443">
        <w:rPr>
          <w:i/>
          <w:szCs w:val="24"/>
          <w:lang w:val="en-US"/>
        </w:rPr>
        <w:t>Regulation 2013</w:t>
      </w:r>
      <w:r w:rsidR="00514443">
        <w:rPr>
          <w:szCs w:val="24"/>
          <w:lang w:val="en-US"/>
        </w:rPr>
        <w:t>.</w:t>
      </w:r>
    </w:p>
    <w:p w:rsidR="00514443" w:rsidRDefault="00514443" w:rsidP="004F6B36">
      <w:pPr>
        <w:spacing w:before="0"/>
        <w:ind w:left="567"/>
        <w:rPr>
          <w:szCs w:val="24"/>
          <w:lang w:val="en-US"/>
        </w:rPr>
      </w:pPr>
    </w:p>
    <w:p w:rsidR="00CF1322" w:rsidRDefault="00924F03" w:rsidP="00A85CD8">
      <w:pPr>
        <w:spacing w:before="0"/>
        <w:ind w:left="567" w:hanging="567"/>
        <w:rPr>
          <w:szCs w:val="24"/>
          <w:lang w:val="en-US"/>
        </w:rPr>
      </w:pPr>
      <w:r>
        <w:rPr>
          <w:szCs w:val="24"/>
          <w:lang w:val="en-US"/>
        </w:rPr>
        <w:t>5</w:t>
      </w:r>
      <w:r w:rsidR="00A85CD8">
        <w:rPr>
          <w:szCs w:val="24"/>
          <w:lang w:val="en-US"/>
        </w:rPr>
        <w:t>.</w:t>
      </w:r>
      <w:r w:rsidR="00A85CD8">
        <w:rPr>
          <w:szCs w:val="24"/>
          <w:lang w:val="en-US"/>
        </w:rPr>
        <w:tab/>
        <w:t>Th</w:t>
      </w:r>
      <w:r w:rsidR="005D6AAF">
        <w:rPr>
          <w:szCs w:val="24"/>
          <w:lang w:val="en-US"/>
        </w:rPr>
        <w:t>is</w:t>
      </w:r>
      <w:r w:rsidR="00CF126A">
        <w:rPr>
          <w:szCs w:val="24"/>
          <w:lang w:val="en-US"/>
        </w:rPr>
        <w:t xml:space="preserve"> </w:t>
      </w:r>
      <w:r w:rsidR="005D6AAF">
        <w:rPr>
          <w:szCs w:val="24"/>
          <w:lang w:val="en-US"/>
        </w:rPr>
        <w:t xml:space="preserve">first </w:t>
      </w:r>
      <w:r w:rsidR="00CF126A">
        <w:rPr>
          <w:szCs w:val="24"/>
          <w:lang w:val="en-US"/>
        </w:rPr>
        <w:t xml:space="preserve">exemption only </w:t>
      </w:r>
      <w:r w:rsidR="00A85CD8">
        <w:rPr>
          <w:szCs w:val="24"/>
          <w:lang w:val="en-US"/>
        </w:rPr>
        <w:t>appl</w:t>
      </w:r>
      <w:r w:rsidR="00CF126A">
        <w:rPr>
          <w:szCs w:val="24"/>
          <w:lang w:val="en-US"/>
        </w:rPr>
        <w:t>ies</w:t>
      </w:r>
      <w:r w:rsidR="00EE17F5">
        <w:rPr>
          <w:szCs w:val="24"/>
          <w:lang w:val="en-US"/>
        </w:rPr>
        <w:t xml:space="preserve"> </w:t>
      </w:r>
      <w:r w:rsidR="00CF126A">
        <w:rPr>
          <w:szCs w:val="24"/>
          <w:lang w:val="en-US"/>
        </w:rPr>
        <w:t xml:space="preserve">in relation </w:t>
      </w:r>
      <w:r w:rsidR="00EE17F5">
        <w:rPr>
          <w:szCs w:val="24"/>
          <w:lang w:val="en-US"/>
        </w:rPr>
        <w:t>to</w:t>
      </w:r>
      <w:r w:rsidR="00CF1322">
        <w:rPr>
          <w:szCs w:val="24"/>
          <w:lang w:val="en-US"/>
        </w:rPr>
        <w:t>:</w:t>
      </w:r>
    </w:p>
    <w:p w:rsidR="00CF1322" w:rsidRDefault="00CF1322" w:rsidP="00A85CD8">
      <w:pPr>
        <w:spacing w:before="0"/>
        <w:ind w:left="567" w:hanging="567"/>
        <w:rPr>
          <w:szCs w:val="24"/>
          <w:lang w:val="en-US"/>
        </w:rPr>
      </w:pPr>
    </w:p>
    <w:p w:rsidR="003529B8" w:rsidRPr="003529B8" w:rsidRDefault="003529B8" w:rsidP="003529B8">
      <w:pPr>
        <w:spacing w:before="0"/>
        <w:ind w:left="1134" w:hanging="567"/>
        <w:rPr>
          <w:szCs w:val="24"/>
          <w:lang w:val="en-US"/>
        </w:rPr>
      </w:pPr>
      <w:r w:rsidRPr="003529B8">
        <w:rPr>
          <w:szCs w:val="24"/>
          <w:lang w:val="en-US"/>
        </w:rPr>
        <w:t>(</w:t>
      </w:r>
      <w:r>
        <w:rPr>
          <w:szCs w:val="24"/>
          <w:lang w:val="en-US"/>
        </w:rPr>
        <w:t>a</w:t>
      </w:r>
      <w:r w:rsidRPr="003529B8">
        <w:rPr>
          <w:szCs w:val="24"/>
          <w:lang w:val="en-US"/>
        </w:rPr>
        <w:t>)</w:t>
      </w:r>
      <w:r w:rsidRPr="003529B8">
        <w:rPr>
          <w:szCs w:val="24"/>
          <w:lang w:val="en-US"/>
        </w:rPr>
        <w:tab/>
        <w:t>Product Disclosure Statements given before 1 July 2014</w:t>
      </w:r>
      <w:r>
        <w:rPr>
          <w:szCs w:val="24"/>
          <w:lang w:val="en-US"/>
        </w:rPr>
        <w:t>; and</w:t>
      </w:r>
    </w:p>
    <w:p w:rsidR="003529B8" w:rsidRDefault="003529B8" w:rsidP="003529B8">
      <w:pPr>
        <w:spacing w:before="0"/>
        <w:ind w:left="1134" w:hanging="567"/>
        <w:rPr>
          <w:szCs w:val="24"/>
          <w:lang w:val="en-US"/>
        </w:rPr>
      </w:pPr>
    </w:p>
    <w:p w:rsidR="00A85CD8" w:rsidRDefault="00CF1322" w:rsidP="003529B8">
      <w:pPr>
        <w:spacing w:before="0"/>
        <w:ind w:left="1134" w:hanging="567"/>
        <w:rPr>
          <w:szCs w:val="24"/>
          <w:lang w:val="en-US"/>
        </w:rPr>
      </w:pPr>
      <w:r>
        <w:rPr>
          <w:szCs w:val="24"/>
          <w:lang w:val="en-US"/>
        </w:rPr>
        <w:t>(</w:t>
      </w:r>
      <w:r w:rsidR="003529B8">
        <w:rPr>
          <w:szCs w:val="24"/>
          <w:lang w:val="en-US"/>
        </w:rPr>
        <w:t>b</w:t>
      </w:r>
      <w:r>
        <w:rPr>
          <w:szCs w:val="24"/>
          <w:lang w:val="en-US"/>
        </w:rPr>
        <w:t>)</w:t>
      </w:r>
      <w:r>
        <w:rPr>
          <w:szCs w:val="24"/>
          <w:lang w:val="en-US"/>
        </w:rPr>
        <w:tab/>
      </w:r>
      <w:proofErr w:type="gramStart"/>
      <w:r>
        <w:rPr>
          <w:szCs w:val="24"/>
          <w:lang w:val="en-US"/>
        </w:rPr>
        <w:t>periodic</w:t>
      </w:r>
      <w:proofErr w:type="gramEnd"/>
      <w:r>
        <w:rPr>
          <w:szCs w:val="24"/>
          <w:lang w:val="en-US"/>
        </w:rPr>
        <w:t xml:space="preserve"> statements given </w:t>
      </w:r>
      <w:r w:rsidR="00BC31B7">
        <w:rPr>
          <w:szCs w:val="24"/>
          <w:lang w:val="en-US"/>
        </w:rPr>
        <w:t xml:space="preserve">under section 1017D of the Act </w:t>
      </w:r>
      <w:r w:rsidR="009B214D">
        <w:rPr>
          <w:szCs w:val="24"/>
          <w:lang w:val="en-US"/>
        </w:rPr>
        <w:t xml:space="preserve">in relation to reporting periods ending </w:t>
      </w:r>
      <w:r w:rsidR="00D175B4">
        <w:rPr>
          <w:szCs w:val="24"/>
          <w:lang w:val="en-US"/>
        </w:rPr>
        <w:t>be</w:t>
      </w:r>
      <w:r w:rsidR="00CF126A">
        <w:rPr>
          <w:szCs w:val="24"/>
          <w:lang w:val="en-US"/>
        </w:rPr>
        <w:t xml:space="preserve">fore </w:t>
      </w:r>
      <w:r w:rsidR="00A85CD8">
        <w:rPr>
          <w:szCs w:val="24"/>
          <w:lang w:val="en-US"/>
        </w:rPr>
        <w:t>1</w:t>
      </w:r>
      <w:r w:rsidR="009B214D">
        <w:rPr>
          <w:szCs w:val="24"/>
          <w:lang w:val="en-US"/>
        </w:rPr>
        <w:t> </w:t>
      </w:r>
      <w:r w:rsidR="00A85CD8">
        <w:rPr>
          <w:szCs w:val="24"/>
          <w:lang w:val="en-US"/>
        </w:rPr>
        <w:t>July</w:t>
      </w:r>
      <w:r w:rsidR="009B214D">
        <w:rPr>
          <w:szCs w:val="24"/>
          <w:lang w:val="en-US"/>
        </w:rPr>
        <w:t> </w:t>
      </w:r>
      <w:r w:rsidR="00A85CD8">
        <w:rPr>
          <w:szCs w:val="24"/>
          <w:lang w:val="en-US"/>
        </w:rPr>
        <w:t>2014</w:t>
      </w:r>
      <w:r w:rsidR="003529B8">
        <w:rPr>
          <w:szCs w:val="24"/>
          <w:lang w:val="en-US"/>
        </w:rPr>
        <w:t>.</w:t>
      </w:r>
    </w:p>
    <w:p w:rsidR="00A85CD8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CF126A" w:rsidRPr="00464136" w:rsidRDefault="004B4D23" w:rsidP="00CF126A">
      <w:pPr>
        <w:spacing w:before="0"/>
        <w:ind w:left="567" w:hanging="567"/>
        <w:rPr>
          <w:szCs w:val="24"/>
          <w:lang w:val="en-US"/>
        </w:rPr>
      </w:pPr>
      <w:r>
        <w:rPr>
          <w:b/>
          <w:szCs w:val="24"/>
          <w:lang w:val="en-US"/>
        </w:rPr>
        <w:t xml:space="preserve">Second </w:t>
      </w:r>
      <w:r w:rsidR="00CF126A">
        <w:rPr>
          <w:b/>
          <w:szCs w:val="24"/>
          <w:lang w:val="en-US"/>
        </w:rPr>
        <w:t>Exemption</w:t>
      </w:r>
    </w:p>
    <w:p w:rsidR="00CF126A" w:rsidRDefault="00CF126A" w:rsidP="00CF126A">
      <w:pPr>
        <w:spacing w:before="0"/>
        <w:ind w:left="567" w:hanging="567"/>
        <w:rPr>
          <w:szCs w:val="24"/>
          <w:lang w:val="en-US"/>
        </w:rPr>
      </w:pPr>
    </w:p>
    <w:p w:rsidR="00CF126A" w:rsidRPr="00CF126A" w:rsidRDefault="00CF126A" w:rsidP="00CF126A">
      <w:pPr>
        <w:spacing w:before="0"/>
        <w:ind w:left="567" w:hanging="567"/>
        <w:rPr>
          <w:i/>
          <w:szCs w:val="24"/>
          <w:lang w:val="en-US"/>
        </w:rPr>
      </w:pPr>
      <w:r w:rsidRPr="00CF126A">
        <w:rPr>
          <w:i/>
          <w:szCs w:val="24"/>
          <w:lang w:val="en-US"/>
        </w:rPr>
        <w:t xml:space="preserve">Latest product dashboard </w:t>
      </w:r>
      <w:r w:rsidR="00D175B4">
        <w:rPr>
          <w:i/>
          <w:szCs w:val="24"/>
          <w:lang w:val="en-US"/>
        </w:rPr>
        <w:t>in periodic statement</w:t>
      </w:r>
    </w:p>
    <w:p w:rsidR="00CF126A" w:rsidRDefault="00CF126A" w:rsidP="00CF126A">
      <w:pPr>
        <w:spacing w:before="0"/>
        <w:ind w:left="567" w:hanging="567"/>
        <w:rPr>
          <w:szCs w:val="24"/>
          <w:lang w:val="en-US"/>
        </w:rPr>
      </w:pPr>
    </w:p>
    <w:p w:rsidR="00CF126A" w:rsidRPr="003B0DA7" w:rsidRDefault="00CF126A" w:rsidP="00CF126A">
      <w:pPr>
        <w:spacing w:before="0"/>
        <w:ind w:left="567" w:hanging="567"/>
        <w:rPr>
          <w:szCs w:val="24"/>
          <w:lang w:val="en-US"/>
        </w:rPr>
      </w:pPr>
      <w:r>
        <w:rPr>
          <w:szCs w:val="24"/>
          <w:lang w:val="en-US"/>
        </w:rPr>
        <w:t>6</w:t>
      </w:r>
      <w:r w:rsidRPr="00464136">
        <w:rPr>
          <w:szCs w:val="24"/>
          <w:lang w:val="en-US"/>
        </w:rPr>
        <w:t>.</w:t>
      </w:r>
      <w:r w:rsidRPr="00464136">
        <w:rPr>
          <w:szCs w:val="24"/>
          <w:lang w:val="en-US"/>
        </w:rPr>
        <w:tab/>
      </w:r>
      <w:r>
        <w:rPr>
          <w:szCs w:val="24"/>
          <w:lang w:val="en-US"/>
        </w:rPr>
        <w:t xml:space="preserve">A trustee of a regulated superannuation fund (other than a self-managed superannuation fund) that is required </w:t>
      </w:r>
      <w:r w:rsidRPr="00C773C9">
        <w:rPr>
          <w:szCs w:val="24"/>
        </w:rPr>
        <w:t xml:space="preserve">to make publicly available a product </w:t>
      </w:r>
      <w:r w:rsidRPr="00C773C9">
        <w:rPr>
          <w:szCs w:val="24"/>
        </w:rPr>
        <w:lastRenderedPageBreak/>
        <w:t>dashboard for the</w:t>
      </w:r>
      <w:r>
        <w:rPr>
          <w:szCs w:val="24"/>
        </w:rPr>
        <w:t xml:space="preserve"> </w:t>
      </w:r>
      <w:r w:rsidRPr="00C773C9">
        <w:rPr>
          <w:szCs w:val="24"/>
        </w:rPr>
        <w:t>investment option, under section 1017BA of the Act</w:t>
      </w:r>
      <w:r>
        <w:rPr>
          <w:szCs w:val="24"/>
        </w:rPr>
        <w:t xml:space="preserve">, </w:t>
      </w:r>
      <w:r>
        <w:rPr>
          <w:szCs w:val="24"/>
          <w:lang w:val="en-US"/>
        </w:rPr>
        <w:t xml:space="preserve">does not have to comply with section 1017D of the Act to the extent that provision requires the </w:t>
      </w:r>
      <w:r w:rsidRPr="00D21242">
        <w:rPr>
          <w:szCs w:val="24"/>
        </w:rPr>
        <w:t xml:space="preserve">trustee </w:t>
      </w:r>
      <w:r>
        <w:rPr>
          <w:szCs w:val="24"/>
          <w:lang w:val="en-US"/>
        </w:rPr>
        <w:t xml:space="preserve">to comply with paragraph </w:t>
      </w:r>
      <w:r w:rsidRPr="00F45F73">
        <w:rPr>
          <w:szCs w:val="24"/>
          <w:lang w:val="en-US"/>
        </w:rPr>
        <w:t>7.9.20(1</w:t>
      </w:r>
      <w:proofErr w:type="gramStart"/>
      <w:r w:rsidRPr="00F45F73">
        <w:rPr>
          <w:szCs w:val="24"/>
          <w:lang w:val="en-US"/>
        </w:rPr>
        <w:t>)(</w:t>
      </w:r>
      <w:proofErr w:type="gramEnd"/>
      <w:r w:rsidRPr="00F45F73">
        <w:rPr>
          <w:szCs w:val="24"/>
          <w:lang w:val="en-US"/>
        </w:rPr>
        <w:t>o)</w:t>
      </w:r>
      <w:r>
        <w:rPr>
          <w:szCs w:val="24"/>
          <w:lang w:val="en-US"/>
        </w:rPr>
        <w:t xml:space="preserve"> of the </w:t>
      </w:r>
      <w:r w:rsidRPr="003B0DA7">
        <w:rPr>
          <w:i/>
          <w:szCs w:val="24"/>
          <w:lang w:val="en-US"/>
        </w:rPr>
        <w:t>Corporations</w:t>
      </w:r>
      <w:r w:rsidR="003B0DA7" w:rsidRPr="003B0DA7">
        <w:rPr>
          <w:i/>
          <w:szCs w:val="24"/>
          <w:lang w:val="en-US"/>
        </w:rPr>
        <w:t> </w:t>
      </w:r>
      <w:r w:rsidRPr="003B0DA7">
        <w:rPr>
          <w:i/>
          <w:szCs w:val="24"/>
          <w:lang w:val="en-US"/>
        </w:rPr>
        <w:t>Regulations</w:t>
      </w:r>
      <w:r w:rsidR="003B0DA7" w:rsidRPr="003B0DA7">
        <w:rPr>
          <w:i/>
          <w:szCs w:val="24"/>
          <w:lang w:val="en-US"/>
        </w:rPr>
        <w:t> </w:t>
      </w:r>
      <w:r w:rsidRPr="003B0DA7">
        <w:rPr>
          <w:i/>
          <w:szCs w:val="24"/>
          <w:lang w:val="en-US"/>
        </w:rPr>
        <w:t>2001</w:t>
      </w:r>
      <w:r w:rsidRPr="003B0DA7">
        <w:rPr>
          <w:szCs w:val="24"/>
          <w:lang w:val="en-US"/>
        </w:rPr>
        <w:t>.</w:t>
      </w:r>
    </w:p>
    <w:p w:rsidR="0068192A" w:rsidRDefault="0068192A" w:rsidP="00CF126A">
      <w:pPr>
        <w:spacing w:before="0"/>
        <w:ind w:left="567" w:hanging="567"/>
        <w:rPr>
          <w:szCs w:val="24"/>
          <w:lang w:val="en-US"/>
        </w:rPr>
      </w:pPr>
    </w:p>
    <w:p w:rsidR="0068192A" w:rsidRDefault="0068192A" w:rsidP="0068192A">
      <w:pPr>
        <w:spacing w:before="0"/>
        <w:ind w:left="567" w:hanging="567"/>
        <w:rPr>
          <w:szCs w:val="24"/>
          <w:lang w:val="en-US"/>
        </w:rPr>
      </w:pPr>
      <w:r>
        <w:rPr>
          <w:szCs w:val="24"/>
          <w:lang w:val="en-US"/>
        </w:rPr>
        <w:t>7.</w:t>
      </w:r>
      <w:r>
        <w:rPr>
          <w:szCs w:val="24"/>
          <w:lang w:val="en-US"/>
        </w:rPr>
        <w:tab/>
        <w:t>T</w:t>
      </w:r>
      <w:r w:rsidRPr="00BF64C6">
        <w:rPr>
          <w:szCs w:val="24"/>
        </w:rPr>
        <w:t>h</w:t>
      </w:r>
      <w:r w:rsidR="005D6AAF">
        <w:rPr>
          <w:szCs w:val="24"/>
        </w:rPr>
        <w:t>is</w:t>
      </w:r>
      <w:r>
        <w:rPr>
          <w:szCs w:val="24"/>
        </w:rPr>
        <w:t xml:space="preserve"> </w:t>
      </w:r>
      <w:r w:rsidR="005D6AAF">
        <w:rPr>
          <w:szCs w:val="24"/>
        </w:rPr>
        <w:t xml:space="preserve">second </w:t>
      </w:r>
      <w:r>
        <w:rPr>
          <w:szCs w:val="24"/>
        </w:rPr>
        <w:t xml:space="preserve">exemption only </w:t>
      </w:r>
      <w:r w:rsidRPr="00BF64C6">
        <w:rPr>
          <w:szCs w:val="24"/>
        </w:rPr>
        <w:t xml:space="preserve">applies </w:t>
      </w:r>
      <w:r w:rsidRPr="0068192A">
        <w:rPr>
          <w:szCs w:val="24"/>
          <w:lang w:val="en-US"/>
        </w:rPr>
        <w:t>in relation to</w:t>
      </w:r>
      <w:r>
        <w:rPr>
          <w:szCs w:val="24"/>
          <w:lang w:val="en-US"/>
        </w:rPr>
        <w:t xml:space="preserve"> </w:t>
      </w:r>
      <w:r w:rsidRPr="0068192A">
        <w:rPr>
          <w:szCs w:val="24"/>
          <w:lang w:val="en-US"/>
        </w:rPr>
        <w:t xml:space="preserve">periodic statements given </w:t>
      </w:r>
      <w:r w:rsidR="00BC31B7">
        <w:rPr>
          <w:szCs w:val="24"/>
          <w:lang w:val="en-US"/>
        </w:rPr>
        <w:t xml:space="preserve">under section 1017D of the Act in relation to reporting periods ending </w:t>
      </w:r>
      <w:r w:rsidR="00267D1E">
        <w:rPr>
          <w:szCs w:val="24"/>
          <w:lang w:val="en-US"/>
        </w:rPr>
        <w:t>before 1</w:t>
      </w:r>
      <w:r w:rsidR="005D6AAF">
        <w:rPr>
          <w:szCs w:val="24"/>
          <w:lang w:val="en-US"/>
        </w:rPr>
        <w:t> </w:t>
      </w:r>
      <w:r w:rsidR="00267D1E">
        <w:rPr>
          <w:szCs w:val="24"/>
          <w:lang w:val="en-US"/>
        </w:rPr>
        <w:t>January 2015</w:t>
      </w:r>
      <w:r w:rsidRPr="00BF64C6">
        <w:rPr>
          <w:szCs w:val="24"/>
        </w:rPr>
        <w:t>.</w:t>
      </w:r>
    </w:p>
    <w:p w:rsidR="00CF126A" w:rsidRDefault="00CF126A" w:rsidP="00CF126A">
      <w:pPr>
        <w:spacing w:before="0"/>
        <w:ind w:left="567" w:hanging="567"/>
        <w:rPr>
          <w:szCs w:val="24"/>
          <w:lang w:val="en-US"/>
        </w:rPr>
      </w:pPr>
    </w:p>
    <w:p w:rsidR="00CF126A" w:rsidRPr="004B4D23" w:rsidRDefault="00CF126A" w:rsidP="00CF126A">
      <w:pPr>
        <w:spacing w:before="0"/>
        <w:ind w:left="567" w:hanging="567"/>
        <w:rPr>
          <w:i/>
          <w:szCs w:val="24"/>
          <w:lang w:val="en-US"/>
        </w:rPr>
      </w:pPr>
      <w:r w:rsidRPr="004B4D23">
        <w:rPr>
          <w:i/>
          <w:szCs w:val="24"/>
          <w:lang w:val="en-US"/>
        </w:rPr>
        <w:t>Condition</w:t>
      </w:r>
    </w:p>
    <w:p w:rsidR="00CF126A" w:rsidRDefault="00CF126A" w:rsidP="00CF126A">
      <w:pPr>
        <w:spacing w:before="0"/>
        <w:rPr>
          <w:szCs w:val="24"/>
          <w:lang w:val="en-US"/>
        </w:rPr>
      </w:pPr>
    </w:p>
    <w:p w:rsidR="00CF126A" w:rsidRDefault="0068192A" w:rsidP="00CF126A">
      <w:pPr>
        <w:spacing w:before="0"/>
        <w:ind w:left="567" w:hanging="567"/>
        <w:rPr>
          <w:szCs w:val="24"/>
          <w:lang w:val="en-US"/>
        </w:rPr>
      </w:pPr>
      <w:r>
        <w:rPr>
          <w:szCs w:val="24"/>
          <w:lang w:val="en-US"/>
        </w:rPr>
        <w:t>8</w:t>
      </w:r>
      <w:r w:rsidR="00CF126A">
        <w:rPr>
          <w:szCs w:val="24"/>
          <w:lang w:val="en-US"/>
        </w:rPr>
        <w:t>.</w:t>
      </w:r>
      <w:r w:rsidR="00CF126A">
        <w:rPr>
          <w:szCs w:val="24"/>
          <w:lang w:val="en-US"/>
        </w:rPr>
        <w:tab/>
        <w:t>A trustee that is relying on th</w:t>
      </w:r>
      <w:r w:rsidR="004B4D23">
        <w:rPr>
          <w:szCs w:val="24"/>
          <w:lang w:val="en-US"/>
        </w:rPr>
        <w:t xml:space="preserve">e </w:t>
      </w:r>
      <w:r w:rsidR="005D6AAF">
        <w:rPr>
          <w:szCs w:val="24"/>
          <w:lang w:val="en-US"/>
        </w:rPr>
        <w:t xml:space="preserve">second </w:t>
      </w:r>
      <w:r w:rsidR="004B4D23">
        <w:rPr>
          <w:szCs w:val="24"/>
          <w:lang w:val="en-US"/>
        </w:rPr>
        <w:t xml:space="preserve">exemption </w:t>
      </w:r>
      <w:r w:rsidR="00CF126A">
        <w:rPr>
          <w:szCs w:val="24"/>
          <w:lang w:val="en-US"/>
        </w:rPr>
        <w:t>must include in, or in a document accompanying, the periodic statement:</w:t>
      </w:r>
    </w:p>
    <w:p w:rsidR="00CF126A" w:rsidRDefault="00CF126A" w:rsidP="00CF126A">
      <w:pPr>
        <w:spacing w:before="0"/>
        <w:ind w:left="567" w:hanging="567"/>
        <w:rPr>
          <w:szCs w:val="24"/>
          <w:lang w:val="en-US"/>
        </w:rPr>
      </w:pPr>
    </w:p>
    <w:p w:rsidR="00CF126A" w:rsidRDefault="00CF126A" w:rsidP="00CF126A">
      <w:pPr>
        <w:spacing w:before="0"/>
        <w:ind w:left="1134" w:hanging="567"/>
        <w:rPr>
          <w:szCs w:val="24"/>
        </w:rPr>
      </w:pPr>
      <w:r>
        <w:rPr>
          <w:szCs w:val="24"/>
          <w:lang w:val="en-US"/>
        </w:rPr>
        <w:t>(a)</w:t>
      </w:r>
      <w:r>
        <w:rPr>
          <w:szCs w:val="24"/>
          <w:lang w:val="en-US"/>
        </w:rPr>
        <w:tab/>
      </w:r>
      <w:proofErr w:type="gramStart"/>
      <w:r>
        <w:rPr>
          <w:szCs w:val="24"/>
          <w:lang w:val="en-US"/>
        </w:rPr>
        <w:t>a</w:t>
      </w:r>
      <w:proofErr w:type="gramEnd"/>
      <w:r>
        <w:rPr>
          <w:szCs w:val="24"/>
          <w:lang w:val="en-US"/>
        </w:rPr>
        <w:t xml:space="preserve"> website address for </w:t>
      </w:r>
      <w:r w:rsidRPr="00221C9C">
        <w:rPr>
          <w:szCs w:val="24"/>
        </w:rPr>
        <w:t>the latest product dashboard for the investment option</w:t>
      </w:r>
      <w:r>
        <w:rPr>
          <w:szCs w:val="24"/>
        </w:rPr>
        <w:t>; and</w:t>
      </w:r>
    </w:p>
    <w:p w:rsidR="00CF126A" w:rsidRDefault="00CF126A" w:rsidP="00CF126A">
      <w:pPr>
        <w:spacing w:before="0"/>
        <w:ind w:left="1134" w:hanging="567"/>
        <w:rPr>
          <w:szCs w:val="24"/>
        </w:rPr>
      </w:pPr>
    </w:p>
    <w:p w:rsidR="00CF126A" w:rsidRDefault="00CF126A" w:rsidP="00CF126A">
      <w:pPr>
        <w:spacing w:before="0"/>
        <w:ind w:left="1134" w:hanging="567"/>
        <w:rPr>
          <w:szCs w:val="24"/>
          <w:lang w:val="en-US"/>
        </w:rPr>
      </w:pPr>
      <w:r>
        <w:rPr>
          <w:szCs w:val="24"/>
        </w:rPr>
        <w:t>(b)</w:t>
      </w:r>
      <w:r>
        <w:rPr>
          <w:szCs w:val="24"/>
        </w:rPr>
        <w:tab/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statement to the effect that the </w:t>
      </w:r>
      <w:r w:rsidRPr="004509DA">
        <w:rPr>
          <w:szCs w:val="24"/>
        </w:rPr>
        <w:t>latest product dashboard for the investment option</w:t>
      </w:r>
      <w:r>
        <w:rPr>
          <w:szCs w:val="24"/>
        </w:rPr>
        <w:t xml:space="preserve"> can be found at the website address</w:t>
      </w:r>
      <w:r>
        <w:rPr>
          <w:szCs w:val="24"/>
          <w:lang w:val="en-US"/>
        </w:rPr>
        <w:t>.</w:t>
      </w:r>
    </w:p>
    <w:p w:rsidR="00CF126A" w:rsidRDefault="00CF126A" w:rsidP="00A85CD8">
      <w:pPr>
        <w:spacing w:before="0"/>
        <w:ind w:left="567" w:hanging="567"/>
        <w:rPr>
          <w:b/>
          <w:szCs w:val="24"/>
          <w:lang w:val="en-US"/>
        </w:rPr>
      </w:pPr>
    </w:p>
    <w:p w:rsidR="00A85CD8" w:rsidRPr="0034082A" w:rsidRDefault="00A85CD8" w:rsidP="00A85CD8">
      <w:pPr>
        <w:spacing w:before="0"/>
        <w:ind w:left="567" w:hanging="567"/>
        <w:rPr>
          <w:b/>
          <w:szCs w:val="24"/>
          <w:lang w:val="en-US"/>
        </w:rPr>
      </w:pPr>
      <w:r w:rsidRPr="0034082A">
        <w:rPr>
          <w:b/>
          <w:szCs w:val="24"/>
          <w:lang w:val="en-US"/>
        </w:rPr>
        <w:t>Interpretation</w:t>
      </w:r>
    </w:p>
    <w:p w:rsidR="00A85CD8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A85CD8" w:rsidRDefault="0068192A" w:rsidP="00A85CD8">
      <w:pPr>
        <w:spacing w:before="0"/>
        <w:ind w:left="567" w:hanging="567"/>
        <w:rPr>
          <w:szCs w:val="24"/>
          <w:lang w:val="en-US"/>
        </w:rPr>
      </w:pPr>
      <w:r>
        <w:rPr>
          <w:szCs w:val="24"/>
          <w:lang w:val="en-US"/>
        </w:rPr>
        <w:t>9</w:t>
      </w:r>
      <w:r w:rsidR="00A85CD8">
        <w:rPr>
          <w:szCs w:val="24"/>
          <w:lang w:val="en-US"/>
        </w:rPr>
        <w:t>.</w:t>
      </w:r>
      <w:r w:rsidR="00A85CD8">
        <w:rPr>
          <w:szCs w:val="24"/>
          <w:lang w:val="en-US"/>
        </w:rPr>
        <w:tab/>
      </w:r>
      <w:proofErr w:type="gramStart"/>
      <w:r w:rsidR="00A85CD8">
        <w:rPr>
          <w:szCs w:val="24"/>
          <w:lang w:val="en-US"/>
        </w:rPr>
        <w:t>In</w:t>
      </w:r>
      <w:proofErr w:type="gramEnd"/>
      <w:r w:rsidR="00A85CD8">
        <w:rPr>
          <w:szCs w:val="24"/>
          <w:lang w:val="en-US"/>
        </w:rPr>
        <w:t xml:space="preserve"> this instrument:</w:t>
      </w:r>
    </w:p>
    <w:p w:rsidR="00A85CD8" w:rsidRDefault="00A85CD8" w:rsidP="00A85CD8">
      <w:pPr>
        <w:spacing w:before="0"/>
        <w:ind w:left="567" w:hanging="567"/>
        <w:rPr>
          <w:szCs w:val="24"/>
          <w:lang w:val="en-US"/>
        </w:rPr>
      </w:pPr>
    </w:p>
    <w:p w:rsidR="00A85CD8" w:rsidRDefault="00A85CD8" w:rsidP="00A85CD8">
      <w:pPr>
        <w:spacing w:before="0"/>
        <w:ind w:left="567"/>
        <w:rPr>
          <w:bCs/>
          <w:szCs w:val="24"/>
        </w:rPr>
      </w:pPr>
      <w:proofErr w:type="gramStart"/>
      <w:r w:rsidRPr="00A1595D">
        <w:rPr>
          <w:b/>
          <w:bCs/>
          <w:i/>
          <w:szCs w:val="24"/>
        </w:rPr>
        <w:t>regulated</w:t>
      </w:r>
      <w:proofErr w:type="gramEnd"/>
      <w:r w:rsidRPr="00A1595D">
        <w:rPr>
          <w:b/>
          <w:bCs/>
          <w:i/>
          <w:szCs w:val="24"/>
        </w:rPr>
        <w:t xml:space="preserve"> superannuation fund</w:t>
      </w:r>
      <w:r>
        <w:rPr>
          <w:bCs/>
          <w:szCs w:val="24"/>
        </w:rPr>
        <w:t xml:space="preserve"> has the same meaning as in the </w:t>
      </w:r>
      <w:r w:rsidRPr="00A1595D">
        <w:rPr>
          <w:bCs/>
          <w:i/>
          <w:szCs w:val="24"/>
        </w:rPr>
        <w:t>Superannuation Industry (Supervision) Act 1993</w:t>
      </w:r>
      <w:r>
        <w:rPr>
          <w:bCs/>
          <w:szCs w:val="24"/>
        </w:rPr>
        <w:t>.</w:t>
      </w:r>
    </w:p>
    <w:p w:rsidR="00A85CD8" w:rsidRDefault="00A85CD8" w:rsidP="00A85CD8">
      <w:pPr>
        <w:spacing w:before="0"/>
        <w:ind w:left="567"/>
        <w:rPr>
          <w:bCs/>
          <w:szCs w:val="24"/>
        </w:rPr>
      </w:pPr>
    </w:p>
    <w:p w:rsidR="00A85CD8" w:rsidRPr="003B02A1" w:rsidRDefault="00A85CD8" w:rsidP="00A85CD8">
      <w:pPr>
        <w:spacing w:before="0"/>
        <w:ind w:left="567"/>
        <w:rPr>
          <w:bCs/>
          <w:szCs w:val="24"/>
        </w:rPr>
      </w:pPr>
      <w:proofErr w:type="gramStart"/>
      <w:r>
        <w:rPr>
          <w:b/>
          <w:bCs/>
          <w:i/>
          <w:szCs w:val="24"/>
        </w:rPr>
        <w:t>self-managed</w:t>
      </w:r>
      <w:proofErr w:type="gramEnd"/>
      <w:r>
        <w:rPr>
          <w:b/>
          <w:bCs/>
          <w:i/>
          <w:szCs w:val="24"/>
        </w:rPr>
        <w:t xml:space="preserve"> </w:t>
      </w:r>
      <w:r w:rsidRPr="003B02A1">
        <w:rPr>
          <w:b/>
          <w:bCs/>
          <w:i/>
          <w:szCs w:val="24"/>
        </w:rPr>
        <w:t>superannuation fund</w:t>
      </w:r>
      <w:r w:rsidRPr="003B02A1">
        <w:rPr>
          <w:bCs/>
          <w:szCs w:val="24"/>
        </w:rPr>
        <w:t xml:space="preserve"> has the </w:t>
      </w:r>
      <w:r>
        <w:rPr>
          <w:bCs/>
          <w:szCs w:val="24"/>
        </w:rPr>
        <w:t xml:space="preserve">same meaning as in </w:t>
      </w:r>
      <w:r w:rsidRPr="003B02A1">
        <w:rPr>
          <w:bCs/>
          <w:szCs w:val="24"/>
        </w:rPr>
        <w:t xml:space="preserve">the </w:t>
      </w:r>
      <w:r w:rsidRPr="003B02A1">
        <w:rPr>
          <w:bCs/>
          <w:i/>
          <w:szCs w:val="24"/>
        </w:rPr>
        <w:t>Superannuation Industry (Supervision) Act 1993</w:t>
      </w:r>
      <w:r w:rsidRPr="003B02A1">
        <w:rPr>
          <w:bCs/>
          <w:szCs w:val="24"/>
        </w:rPr>
        <w:t>.</w:t>
      </w:r>
    </w:p>
    <w:p w:rsidR="00CA4C81" w:rsidRDefault="00CA4C81" w:rsidP="00CA4C81">
      <w:pPr>
        <w:spacing w:before="0"/>
        <w:ind w:left="567" w:hanging="567"/>
        <w:rPr>
          <w:b/>
          <w:szCs w:val="24"/>
          <w:lang w:val="en-US"/>
        </w:rPr>
      </w:pPr>
    </w:p>
    <w:p w:rsidR="00CA4C81" w:rsidRDefault="00CA4C81" w:rsidP="00CA4C81">
      <w:pPr>
        <w:spacing w:before="0"/>
        <w:rPr>
          <w:szCs w:val="24"/>
        </w:rPr>
      </w:pPr>
    </w:p>
    <w:p w:rsidR="004B4D23" w:rsidRDefault="004B4D23" w:rsidP="00CA4C81">
      <w:pPr>
        <w:spacing w:before="0"/>
        <w:rPr>
          <w:szCs w:val="24"/>
        </w:rPr>
      </w:pPr>
    </w:p>
    <w:p w:rsidR="004B4D23" w:rsidRDefault="004B4D23" w:rsidP="00CA4C81">
      <w:pPr>
        <w:spacing w:before="0"/>
        <w:rPr>
          <w:szCs w:val="24"/>
        </w:rPr>
      </w:pPr>
    </w:p>
    <w:p w:rsidR="00CA4C81" w:rsidRDefault="00CA4C81" w:rsidP="00CA4C81">
      <w:pPr>
        <w:spacing w:before="0"/>
        <w:rPr>
          <w:szCs w:val="24"/>
        </w:rPr>
      </w:pPr>
      <w:r>
        <w:rPr>
          <w:szCs w:val="24"/>
        </w:rPr>
        <w:t xml:space="preserve">Dated this </w:t>
      </w:r>
      <w:r w:rsidR="005D6AAF">
        <w:rPr>
          <w:szCs w:val="24"/>
        </w:rPr>
        <w:t>5</w:t>
      </w:r>
      <w:r w:rsidR="00C552FF" w:rsidRPr="00C552FF">
        <w:rPr>
          <w:szCs w:val="24"/>
          <w:vertAlign w:val="superscript"/>
        </w:rPr>
        <w:t>th</w:t>
      </w:r>
      <w:r w:rsidR="00C552FF">
        <w:rPr>
          <w:szCs w:val="24"/>
        </w:rPr>
        <w:t xml:space="preserve"> </w:t>
      </w:r>
      <w:r w:rsidR="009B214D">
        <w:rPr>
          <w:szCs w:val="24"/>
        </w:rPr>
        <w:t>day of December</w:t>
      </w:r>
      <w:r>
        <w:rPr>
          <w:szCs w:val="24"/>
        </w:rPr>
        <w:t xml:space="preserve"> 2013</w:t>
      </w:r>
    </w:p>
    <w:p w:rsidR="00C552FF" w:rsidRDefault="00C552FF" w:rsidP="00CA4C81">
      <w:pPr>
        <w:spacing w:before="0"/>
        <w:rPr>
          <w:szCs w:val="24"/>
        </w:rPr>
      </w:pPr>
    </w:p>
    <w:p w:rsidR="005D6AAF" w:rsidRDefault="005D6AAF" w:rsidP="00CA4C81">
      <w:pPr>
        <w:spacing w:before="0"/>
        <w:rPr>
          <w:szCs w:val="24"/>
        </w:rPr>
      </w:pPr>
    </w:p>
    <w:p w:rsidR="00CA4C81" w:rsidRDefault="00CA4C81" w:rsidP="00CA4C81">
      <w:pPr>
        <w:spacing w:before="0"/>
        <w:rPr>
          <w:szCs w:val="24"/>
        </w:rPr>
      </w:pPr>
    </w:p>
    <w:p w:rsidR="00CA4C81" w:rsidRDefault="00CA4C81" w:rsidP="00CA4C81">
      <w:pPr>
        <w:spacing w:before="0"/>
        <w:rPr>
          <w:szCs w:val="24"/>
        </w:rPr>
      </w:pPr>
      <w:r>
        <w:rPr>
          <w:szCs w:val="24"/>
        </w:rPr>
        <w:t>Signed by Grant Moodie</w:t>
      </w:r>
    </w:p>
    <w:p w:rsidR="00CA4C81" w:rsidRPr="00464136" w:rsidRDefault="00CA4C81" w:rsidP="00CA4C81">
      <w:pPr>
        <w:spacing w:before="0"/>
        <w:rPr>
          <w:lang w:val="en-US"/>
        </w:rPr>
      </w:pPr>
      <w:proofErr w:type="gramStart"/>
      <w:r>
        <w:rPr>
          <w:szCs w:val="24"/>
        </w:rPr>
        <w:t>as</w:t>
      </w:r>
      <w:proofErr w:type="gramEnd"/>
      <w:r>
        <w:rPr>
          <w:szCs w:val="24"/>
        </w:rPr>
        <w:t xml:space="preserve"> a delegate of the Australian Securities and Investments Commission</w:t>
      </w:r>
    </w:p>
    <w:p w:rsidR="00CA4C81" w:rsidRDefault="00CA4C81" w:rsidP="00CA4C81"/>
    <w:sectPr w:rsidR="00CA4C81" w:rsidSect="00E562DF">
      <w:headerReference w:type="defaul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2D" w:rsidRDefault="0094642D" w:rsidP="00680559">
      <w:pPr>
        <w:spacing w:before="0"/>
      </w:pPr>
      <w:r>
        <w:separator/>
      </w:r>
    </w:p>
  </w:endnote>
  <w:endnote w:type="continuationSeparator" w:id="0">
    <w:p w:rsidR="0094642D" w:rsidRDefault="0094642D" w:rsidP="0068055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2D" w:rsidRDefault="0094642D" w:rsidP="00680559">
      <w:pPr>
        <w:spacing w:before="0"/>
      </w:pPr>
      <w:r>
        <w:separator/>
      </w:r>
    </w:p>
  </w:footnote>
  <w:footnote w:type="continuationSeparator" w:id="0">
    <w:p w:rsidR="0094642D" w:rsidRDefault="0094642D" w:rsidP="0068055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64672"/>
      <w:docPartObj>
        <w:docPartGallery w:val="Page Numbers (Top of Page)"/>
        <w:docPartUnique/>
      </w:docPartObj>
    </w:sdtPr>
    <w:sdtContent>
      <w:p w:rsidR="00E52E9C" w:rsidRDefault="00664524">
        <w:pPr>
          <w:pStyle w:val="Header"/>
          <w:jc w:val="center"/>
        </w:pPr>
        <w:r>
          <w:fldChar w:fldCharType="begin"/>
        </w:r>
        <w:r w:rsidR="0034082A">
          <w:instrText xml:space="preserve"> PAGE   \* MERGEFORMAT </w:instrText>
        </w:r>
        <w:r>
          <w:fldChar w:fldCharType="separate"/>
        </w:r>
        <w:r w:rsidR="008F1F2F">
          <w:rPr>
            <w:noProof/>
          </w:rPr>
          <w:t>2</w:t>
        </w:r>
        <w:r>
          <w:fldChar w:fldCharType="end"/>
        </w:r>
      </w:p>
    </w:sdtContent>
  </w:sdt>
  <w:p w:rsidR="00E52E9C" w:rsidRDefault="008F1F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7E78"/>
    <w:multiLevelType w:val="hybridMultilevel"/>
    <w:tmpl w:val="8B4204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25139"/>
    <w:multiLevelType w:val="hybridMultilevel"/>
    <w:tmpl w:val="8B4204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357"/>
    <w:rsid w:val="0000208E"/>
    <w:rsid w:val="000258A4"/>
    <w:rsid w:val="0003635C"/>
    <w:rsid w:val="00047DC5"/>
    <w:rsid w:val="00065B09"/>
    <w:rsid w:val="00092622"/>
    <w:rsid w:val="00095D7C"/>
    <w:rsid w:val="000970E1"/>
    <w:rsid w:val="00097357"/>
    <w:rsid w:val="000D566D"/>
    <w:rsid w:val="00136529"/>
    <w:rsid w:val="0016659A"/>
    <w:rsid w:val="001A09E5"/>
    <w:rsid w:val="00211FED"/>
    <w:rsid w:val="002160AF"/>
    <w:rsid w:val="00221DDC"/>
    <w:rsid w:val="00232452"/>
    <w:rsid w:val="00262253"/>
    <w:rsid w:val="00267D1E"/>
    <w:rsid w:val="00276823"/>
    <w:rsid w:val="00282947"/>
    <w:rsid w:val="00296499"/>
    <w:rsid w:val="002B4297"/>
    <w:rsid w:val="002C55DF"/>
    <w:rsid w:val="00313BC0"/>
    <w:rsid w:val="0031736A"/>
    <w:rsid w:val="003234FA"/>
    <w:rsid w:val="0034082A"/>
    <w:rsid w:val="0034345C"/>
    <w:rsid w:val="00350422"/>
    <w:rsid w:val="003529B8"/>
    <w:rsid w:val="0036590C"/>
    <w:rsid w:val="003A2C11"/>
    <w:rsid w:val="003A5AA9"/>
    <w:rsid w:val="003B00B2"/>
    <w:rsid w:val="003B02A1"/>
    <w:rsid w:val="003B0DA7"/>
    <w:rsid w:val="003C1F0A"/>
    <w:rsid w:val="00421277"/>
    <w:rsid w:val="0042754A"/>
    <w:rsid w:val="00442165"/>
    <w:rsid w:val="00444B16"/>
    <w:rsid w:val="00473989"/>
    <w:rsid w:val="00477B14"/>
    <w:rsid w:val="00477FB9"/>
    <w:rsid w:val="004923AD"/>
    <w:rsid w:val="004B0F13"/>
    <w:rsid w:val="004B4D23"/>
    <w:rsid w:val="004F6B36"/>
    <w:rsid w:val="00514443"/>
    <w:rsid w:val="00536C11"/>
    <w:rsid w:val="00583807"/>
    <w:rsid w:val="005A024A"/>
    <w:rsid w:val="005C61E2"/>
    <w:rsid w:val="005D3D8F"/>
    <w:rsid w:val="005D6AAF"/>
    <w:rsid w:val="005F33E8"/>
    <w:rsid w:val="00603E81"/>
    <w:rsid w:val="00664524"/>
    <w:rsid w:val="00680559"/>
    <w:rsid w:val="0068192A"/>
    <w:rsid w:val="00681DE5"/>
    <w:rsid w:val="006B1AA8"/>
    <w:rsid w:val="006D1790"/>
    <w:rsid w:val="006D3A6B"/>
    <w:rsid w:val="006D738F"/>
    <w:rsid w:val="006E5C1C"/>
    <w:rsid w:val="00715FB6"/>
    <w:rsid w:val="00732C04"/>
    <w:rsid w:val="00760605"/>
    <w:rsid w:val="0077499F"/>
    <w:rsid w:val="00792496"/>
    <w:rsid w:val="007B3911"/>
    <w:rsid w:val="007C333F"/>
    <w:rsid w:val="007E1A96"/>
    <w:rsid w:val="007E4CAE"/>
    <w:rsid w:val="007F5B5E"/>
    <w:rsid w:val="008868F8"/>
    <w:rsid w:val="008B1A1F"/>
    <w:rsid w:val="008B659D"/>
    <w:rsid w:val="008C5A40"/>
    <w:rsid w:val="008C7C8B"/>
    <w:rsid w:val="008D532B"/>
    <w:rsid w:val="008F1F2F"/>
    <w:rsid w:val="008F3CAB"/>
    <w:rsid w:val="00915821"/>
    <w:rsid w:val="00920990"/>
    <w:rsid w:val="00924F03"/>
    <w:rsid w:val="00930E26"/>
    <w:rsid w:val="00931302"/>
    <w:rsid w:val="00935B5C"/>
    <w:rsid w:val="0094642D"/>
    <w:rsid w:val="00963183"/>
    <w:rsid w:val="00983EDD"/>
    <w:rsid w:val="009936BF"/>
    <w:rsid w:val="009A3A16"/>
    <w:rsid w:val="009B214D"/>
    <w:rsid w:val="00A1595D"/>
    <w:rsid w:val="00A84C14"/>
    <w:rsid w:val="00A85CD8"/>
    <w:rsid w:val="00A871AA"/>
    <w:rsid w:val="00A918F6"/>
    <w:rsid w:val="00AD46B0"/>
    <w:rsid w:val="00B62810"/>
    <w:rsid w:val="00B644C6"/>
    <w:rsid w:val="00B74B68"/>
    <w:rsid w:val="00B95F6A"/>
    <w:rsid w:val="00BA4522"/>
    <w:rsid w:val="00BC31B7"/>
    <w:rsid w:val="00BC5055"/>
    <w:rsid w:val="00BD5EAC"/>
    <w:rsid w:val="00BE2F29"/>
    <w:rsid w:val="00C03DD5"/>
    <w:rsid w:val="00C141BE"/>
    <w:rsid w:val="00C25881"/>
    <w:rsid w:val="00C31370"/>
    <w:rsid w:val="00C35EA2"/>
    <w:rsid w:val="00C552FF"/>
    <w:rsid w:val="00C741A5"/>
    <w:rsid w:val="00C8287A"/>
    <w:rsid w:val="00CA4C81"/>
    <w:rsid w:val="00CC2D8C"/>
    <w:rsid w:val="00CF126A"/>
    <w:rsid w:val="00CF1322"/>
    <w:rsid w:val="00D175B4"/>
    <w:rsid w:val="00D2242C"/>
    <w:rsid w:val="00D23592"/>
    <w:rsid w:val="00D571CC"/>
    <w:rsid w:val="00D91219"/>
    <w:rsid w:val="00DB018B"/>
    <w:rsid w:val="00DD0224"/>
    <w:rsid w:val="00DE6003"/>
    <w:rsid w:val="00E05868"/>
    <w:rsid w:val="00E27AC3"/>
    <w:rsid w:val="00E73B8E"/>
    <w:rsid w:val="00E838AF"/>
    <w:rsid w:val="00EB5134"/>
    <w:rsid w:val="00ED69EF"/>
    <w:rsid w:val="00EE17F5"/>
    <w:rsid w:val="00EF65DA"/>
    <w:rsid w:val="00F04D03"/>
    <w:rsid w:val="00F168B5"/>
    <w:rsid w:val="00F40B30"/>
    <w:rsid w:val="00F60AFE"/>
    <w:rsid w:val="00F77B2F"/>
    <w:rsid w:val="00F92683"/>
    <w:rsid w:val="00FA6DDB"/>
    <w:rsid w:val="00FB4BEC"/>
    <w:rsid w:val="00FB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57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97357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357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735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735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E2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F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C611-DEDE-4304-A58F-4A6DD6CD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Jenny Taing</cp:lastModifiedBy>
  <cp:revision>2</cp:revision>
  <cp:lastPrinted>2013-11-21T05:46:00Z</cp:lastPrinted>
  <dcterms:created xsi:type="dcterms:W3CDTF">2013-12-05T05:32:00Z</dcterms:created>
  <dcterms:modified xsi:type="dcterms:W3CDTF">2013-12-05T05:32:00Z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A4000829</vt:lpwstr>
  </property>
  <property fmtid="{D5CDD505-2E9C-101B-9397-08002B2CF9AE}" pid="4" name="Objective-Title">
    <vt:lpwstr>Class Order CO 13-1534</vt:lpwstr>
  </property>
  <property fmtid="{D5CDD505-2E9C-101B-9397-08002B2CF9AE}" pid="5" name="Objective-Comment">
    <vt:lpwstr/>
  </property>
  <property fmtid="{D5CDD505-2E9C-101B-9397-08002B2CF9AE}" pid="6" name="Objective-CreationStamp">
    <vt:filetime>2013-11-22T05:02:41Z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2013-12-05T05:17:56Z</vt:filetime>
  </property>
  <property fmtid="{D5CDD505-2E9C-101B-9397-08002B2CF9AE}" pid="10" name="Objective-ModificationStamp">
    <vt:filetime>2013-12-05T05:17:56Z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20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