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D21" w:rsidRPr="00744CB7" w:rsidRDefault="00430D21" w:rsidP="00430D21">
      <w:pPr>
        <w:pStyle w:val="Bullet"/>
        <w:numPr>
          <w:ilvl w:val="0"/>
          <w:numId w:val="0"/>
        </w:numPr>
        <w:tabs>
          <w:tab w:val="left" w:pos="1985"/>
          <w:tab w:val="left" w:pos="4678"/>
        </w:tabs>
        <w:spacing w:after="0"/>
        <w:ind w:left="1985" w:hanging="1985"/>
        <w:jc w:val="center"/>
      </w:pPr>
      <w:r>
        <w:rPr>
          <w:noProof/>
          <w:lang w:eastAsia="en-AU"/>
        </w:rPr>
        <w:drawing>
          <wp:inline distT="0" distB="0" distL="0" distR="0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D21" w:rsidRDefault="00430D21" w:rsidP="00430D21">
      <w:pPr>
        <w:spacing w:before="100" w:beforeAutospacing="1" w:after="100" w:afterAutospacing="1"/>
        <w:jc w:val="center"/>
        <w:rPr>
          <w:b/>
          <w:bCs/>
          <w:lang w:eastAsia="en-AU"/>
        </w:rPr>
      </w:pPr>
    </w:p>
    <w:p w:rsidR="00430D21" w:rsidRPr="00744CB7" w:rsidRDefault="00430D21" w:rsidP="00430D21">
      <w:pPr>
        <w:spacing w:before="100" w:beforeAutospacing="1" w:after="100" w:afterAutospacing="1"/>
        <w:jc w:val="center"/>
        <w:rPr>
          <w:lang w:eastAsia="en-AU"/>
        </w:rPr>
      </w:pPr>
      <w:r w:rsidRPr="00744CB7">
        <w:rPr>
          <w:b/>
          <w:bCs/>
          <w:lang w:eastAsia="en-AU"/>
        </w:rPr>
        <w:t>Commonwealth of Australia</w:t>
      </w:r>
    </w:p>
    <w:p w:rsidR="00430D21" w:rsidRPr="00744CB7" w:rsidRDefault="00430D21" w:rsidP="00430D21">
      <w:pPr>
        <w:spacing w:before="100" w:beforeAutospacing="1" w:after="100" w:afterAutospacing="1"/>
        <w:jc w:val="center"/>
        <w:rPr>
          <w:lang w:eastAsia="en-AU"/>
        </w:rPr>
      </w:pPr>
      <w:r w:rsidRPr="00744CB7">
        <w:rPr>
          <w:b/>
          <w:bCs/>
          <w:i/>
          <w:iCs/>
          <w:lang w:eastAsia="en-AU"/>
        </w:rPr>
        <w:t>Higher Education Support Act 2003 </w:t>
      </w:r>
    </w:p>
    <w:p w:rsidR="00430D21" w:rsidRPr="00744CB7" w:rsidRDefault="00430D21" w:rsidP="00430D21">
      <w:pPr>
        <w:spacing w:before="100" w:beforeAutospacing="1" w:after="100" w:afterAutospacing="1"/>
        <w:jc w:val="center"/>
        <w:rPr>
          <w:lang w:eastAsia="en-AU"/>
        </w:rPr>
      </w:pPr>
      <w:r>
        <w:rPr>
          <w:b/>
          <w:bCs/>
          <w:lang w:eastAsia="en-AU"/>
        </w:rPr>
        <w:t>COMMONWEALTH GRANT SCHEME</w:t>
      </w:r>
      <w:r w:rsidRPr="00744CB7">
        <w:rPr>
          <w:b/>
          <w:bCs/>
          <w:lang w:eastAsia="en-AU"/>
        </w:rPr>
        <w:t xml:space="preserve"> GUIDELINES 2012 </w:t>
      </w:r>
    </w:p>
    <w:p w:rsidR="00430D21" w:rsidRPr="00744CB7" w:rsidRDefault="00430D21" w:rsidP="00430D21">
      <w:pPr>
        <w:spacing w:before="100" w:beforeAutospacing="1" w:after="100" w:afterAutospacing="1"/>
        <w:jc w:val="center"/>
        <w:rPr>
          <w:lang w:eastAsia="en-AU"/>
        </w:rPr>
      </w:pPr>
      <w:r w:rsidRPr="00744CB7">
        <w:rPr>
          <w:u w:val="single"/>
          <w:lang w:eastAsia="en-AU"/>
        </w:rPr>
        <w:t xml:space="preserve">Amendments to Guidelines made pursuant to section 238-10 of the </w:t>
      </w:r>
      <w:r w:rsidRPr="00744CB7">
        <w:rPr>
          <w:i/>
          <w:iCs/>
          <w:u w:val="single"/>
          <w:lang w:eastAsia="en-AU"/>
        </w:rPr>
        <w:t>Higher Education Support Act 2003</w:t>
      </w:r>
    </w:p>
    <w:p w:rsidR="00430D21" w:rsidRDefault="00430D21" w:rsidP="00430D21">
      <w:pPr>
        <w:spacing w:before="100" w:beforeAutospacing="1" w:after="100" w:afterAutospacing="1"/>
        <w:jc w:val="center"/>
        <w:rPr>
          <w:lang w:eastAsia="en-AU"/>
        </w:rPr>
      </w:pPr>
      <w:r w:rsidRPr="00744CB7">
        <w:rPr>
          <w:lang w:eastAsia="en-AU"/>
        </w:rPr>
        <w:t> </w:t>
      </w:r>
    </w:p>
    <w:p w:rsidR="00430D21" w:rsidRPr="00744CB7" w:rsidRDefault="00430D21" w:rsidP="00430D21">
      <w:pPr>
        <w:spacing w:before="100" w:beforeAutospacing="1" w:after="100" w:afterAutospacing="1"/>
        <w:rPr>
          <w:lang w:eastAsia="en-AU"/>
        </w:rPr>
      </w:pPr>
      <w:r w:rsidRPr="00744CB7">
        <w:rPr>
          <w:lang w:eastAsia="en-AU"/>
        </w:rPr>
        <w:t xml:space="preserve">I, </w:t>
      </w:r>
      <w:r>
        <w:rPr>
          <w:lang w:eastAsia="en-AU"/>
        </w:rPr>
        <w:t xml:space="preserve">Christopher </w:t>
      </w:r>
      <w:proofErr w:type="spellStart"/>
      <w:r>
        <w:rPr>
          <w:lang w:eastAsia="en-AU"/>
        </w:rPr>
        <w:t>Pyne</w:t>
      </w:r>
      <w:proofErr w:type="spellEnd"/>
      <w:r w:rsidRPr="00744CB7">
        <w:rPr>
          <w:lang w:eastAsia="en-AU"/>
        </w:rPr>
        <w:t>, Minister for</w:t>
      </w:r>
      <w:r>
        <w:rPr>
          <w:lang w:eastAsia="en-AU"/>
        </w:rPr>
        <w:t xml:space="preserve"> Education</w:t>
      </w:r>
      <w:r w:rsidRPr="00744CB7">
        <w:rPr>
          <w:lang w:eastAsia="en-AU"/>
        </w:rPr>
        <w:t>, pursuant to section 238</w:t>
      </w:r>
      <w:r w:rsidRPr="00744CB7">
        <w:rPr>
          <w:lang w:eastAsia="en-AU"/>
        </w:rPr>
        <w:noBreakHyphen/>
        <w:t xml:space="preserve">10 of the </w:t>
      </w:r>
      <w:r w:rsidRPr="00744CB7">
        <w:rPr>
          <w:i/>
          <w:iCs/>
          <w:lang w:eastAsia="en-AU"/>
        </w:rPr>
        <w:t>Higher Education Support Act 2003</w:t>
      </w:r>
      <w:r w:rsidRPr="00744CB7">
        <w:rPr>
          <w:lang w:eastAsia="en-AU"/>
        </w:rPr>
        <w:t xml:space="preserve"> (the Act), make the attached </w:t>
      </w:r>
      <w:r>
        <w:rPr>
          <w:lang w:eastAsia="en-AU"/>
        </w:rPr>
        <w:t>a</w:t>
      </w:r>
      <w:r w:rsidRPr="00744CB7">
        <w:rPr>
          <w:lang w:eastAsia="en-AU"/>
        </w:rPr>
        <w:t xml:space="preserve">mendment to the </w:t>
      </w:r>
      <w:r>
        <w:rPr>
          <w:i/>
          <w:iCs/>
          <w:lang w:eastAsia="en-AU"/>
        </w:rPr>
        <w:t>Commonwealth Grant Scheme Guidelines</w:t>
      </w:r>
      <w:r w:rsidRPr="00744CB7">
        <w:rPr>
          <w:i/>
          <w:iCs/>
          <w:lang w:eastAsia="en-AU"/>
        </w:rPr>
        <w:t xml:space="preserve"> 2012</w:t>
      </w:r>
      <w:r w:rsidRPr="00744CB7">
        <w:rPr>
          <w:lang w:eastAsia="en-AU"/>
        </w:rPr>
        <w:t xml:space="preserve"> which provide for matters under </w:t>
      </w:r>
      <w:r>
        <w:rPr>
          <w:lang w:eastAsia="en-AU"/>
        </w:rPr>
        <w:t>Part 2-2</w:t>
      </w:r>
      <w:r w:rsidRPr="00744CB7">
        <w:rPr>
          <w:lang w:eastAsia="en-AU"/>
        </w:rPr>
        <w:t xml:space="preserve"> </w:t>
      </w:r>
      <w:r>
        <w:rPr>
          <w:lang w:eastAsia="en-AU"/>
        </w:rPr>
        <w:t xml:space="preserve">and section 93-10 </w:t>
      </w:r>
      <w:r w:rsidRPr="00744CB7">
        <w:rPr>
          <w:lang w:eastAsia="en-AU"/>
        </w:rPr>
        <w:t>of the Act.</w:t>
      </w:r>
    </w:p>
    <w:p w:rsidR="00430D21" w:rsidRPr="00744CB7" w:rsidRDefault="00430D21" w:rsidP="00430D21">
      <w:pPr>
        <w:spacing w:before="100" w:beforeAutospacing="1" w:after="100" w:afterAutospacing="1"/>
        <w:rPr>
          <w:lang w:eastAsia="en-AU"/>
        </w:rPr>
      </w:pPr>
      <w:r>
        <w:rPr>
          <w:lang w:eastAsia="en-AU"/>
        </w:rPr>
        <w:t> </w:t>
      </w:r>
    </w:p>
    <w:p w:rsidR="00430D21" w:rsidRDefault="00430D21" w:rsidP="00430D21">
      <w:pPr>
        <w:spacing w:before="100" w:beforeAutospacing="1" w:after="100" w:afterAutospacing="1"/>
        <w:rPr>
          <w:lang w:eastAsia="en-AU"/>
        </w:rPr>
      </w:pPr>
      <w:r w:rsidRPr="00744CB7">
        <w:rPr>
          <w:lang w:eastAsia="en-AU"/>
        </w:rPr>
        <w:t>Dated</w:t>
      </w:r>
      <w:r w:rsidR="000D3986">
        <w:rPr>
          <w:lang w:eastAsia="en-AU"/>
        </w:rPr>
        <w:t xml:space="preserve"> this              10</w:t>
      </w:r>
      <w:bookmarkStart w:id="0" w:name="_GoBack"/>
      <w:bookmarkEnd w:id="0"/>
      <w:r>
        <w:rPr>
          <w:lang w:eastAsia="en-AU"/>
        </w:rPr>
        <w:t>th                  day of              December                      2013</w:t>
      </w:r>
      <w:r w:rsidRPr="00744CB7">
        <w:rPr>
          <w:lang w:eastAsia="en-AU"/>
        </w:rPr>
        <w:t xml:space="preserve"> </w:t>
      </w:r>
      <w:r>
        <w:rPr>
          <w:lang w:eastAsia="en-AU"/>
        </w:rPr>
        <w:t xml:space="preserve">   </w:t>
      </w:r>
    </w:p>
    <w:p w:rsidR="00430D21" w:rsidRPr="00744CB7" w:rsidRDefault="00430D21" w:rsidP="00430D21">
      <w:pPr>
        <w:spacing w:before="100" w:beforeAutospacing="1" w:after="100" w:afterAutospacing="1"/>
        <w:rPr>
          <w:lang w:eastAsia="en-AU"/>
        </w:rPr>
      </w:pPr>
      <w:r>
        <w:rPr>
          <w:lang w:eastAsia="en-AU"/>
        </w:rPr>
        <w:t>Signed</w:t>
      </w:r>
    </w:p>
    <w:p w:rsidR="00430D21" w:rsidRPr="00744CB7" w:rsidRDefault="00430D21" w:rsidP="00430D21">
      <w:pPr>
        <w:spacing w:before="100" w:beforeAutospacing="1" w:after="100" w:afterAutospacing="1"/>
        <w:rPr>
          <w:lang w:eastAsia="en-AU"/>
        </w:rPr>
      </w:pPr>
      <w:r w:rsidRPr="00744CB7">
        <w:rPr>
          <w:lang w:eastAsia="en-AU"/>
        </w:rPr>
        <w:t>  </w:t>
      </w:r>
    </w:p>
    <w:p w:rsidR="00430D21" w:rsidRPr="00744CB7" w:rsidRDefault="00430D21" w:rsidP="00430D21">
      <w:pPr>
        <w:spacing w:before="100" w:beforeAutospacing="1" w:after="100" w:afterAutospacing="1"/>
        <w:rPr>
          <w:lang w:eastAsia="en-AU"/>
        </w:rPr>
      </w:pPr>
      <w:r w:rsidRPr="00744CB7">
        <w:rPr>
          <w:lang w:eastAsia="en-AU"/>
        </w:rPr>
        <w:t> </w:t>
      </w:r>
    </w:p>
    <w:p w:rsidR="00430D21" w:rsidRPr="00744CB7" w:rsidRDefault="00430D21" w:rsidP="00430D21">
      <w:pPr>
        <w:spacing w:before="100" w:beforeAutospacing="1" w:after="100" w:afterAutospacing="1"/>
        <w:rPr>
          <w:lang w:eastAsia="en-AU"/>
        </w:rPr>
      </w:pPr>
      <w:r w:rsidRPr="00744CB7">
        <w:rPr>
          <w:lang w:eastAsia="en-AU"/>
        </w:rPr>
        <w:t>_____________________________</w:t>
      </w:r>
    </w:p>
    <w:p w:rsidR="00430D21" w:rsidRPr="00744CB7" w:rsidRDefault="00430D21" w:rsidP="00430D21">
      <w:pPr>
        <w:spacing w:after="0"/>
        <w:rPr>
          <w:lang w:eastAsia="en-AU"/>
        </w:rPr>
      </w:pPr>
      <w:r>
        <w:rPr>
          <w:lang w:eastAsia="en-AU"/>
        </w:rPr>
        <w:t xml:space="preserve">Christopher </w:t>
      </w:r>
      <w:proofErr w:type="spellStart"/>
      <w:r>
        <w:rPr>
          <w:lang w:eastAsia="en-AU"/>
        </w:rPr>
        <w:t>Pyne</w:t>
      </w:r>
      <w:proofErr w:type="spellEnd"/>
    </w:p>
    <w:p w:rsidR="00430D21" w:rsidRPr="00744CB7" w:rsidRDefault="00430D21" w:rsidP="00430D21">
      <w:pPr>
        <w:spacing w:after="100" w:afterAutospacing="1"/>
        <w:rPr>
          <w:lang w:eastAsia="en-AU"/>
        </w:rPr>
      </w:pPr>
      <w:r w:rsidRPr="00744CB7">
        <w:rPr>
          <w:lang w:eastAsia="en-AU"/>
        </w:rPr>
        <w:t xml:space="preserve">Minister for </w:t>
      </w:r>
      <w:r>
        <w:rPr>
          <w:lang w:eastAsia="en-AU"/>
        </w:rPr>
        <w:t>Education</w:t>
      </w:r>
    </w:p>
    <w:p w:rsidR="00430D21" w:rsidRPr="00744CB7" w:rsidRDefault="00430D21" w:rsidP="00430D21">
      <w:pPr>
        <w:spacing w:before="100" w:beforeAutospacing="1" w:after="100" w:afterAutospacing="1"/>
        <w:jc w:val="center"/>
        <w:rPr>
          <w:lang w:eastAsia="en-AU"/>
        </w:rPr>
      </w:pPr>
      <w:r w:rsidRPr="00744CB7">
        <w:rPr>
          <w:color w:val="FF0000"/>
          <w:lang w:eastAsia="en-AU"/>
        </w:rPr>
        <w:br w:type="page"/>
      </w:r>
      <w:r w:rsidRPr="00744CB7">
        <w:rPr>
          <w:b/>
          <w:bCs/>
          <w:caps/>
          <w:sz w:val="28"/>
          <w:szCs w:val="28"/>
          <w:lang w:eastAsia="en-AU"/>
        </w:rPr>
        <w:lastRenderedPageBreak/>
        <w:t>Commonwealth of Australia</w:t>
      </w:r>
    </w:p>
    <w:p w:rsidR="00430D21" w:rsidRPr="00744CB7" w:rsidRDefault="00430D21" w:rsidP="00430D21">
      <w:pPr>
        <w:spacing w:before="100" w:beforeAutospacing="1" w:after="100" w:afterAutospacing="1"/>
        <w:jc w:val="center"/>
        <w:rPr>
          <w:lang w:eastAsia="en-AU"/>
        </w:rPr>
      </w:pPr>
      <w:r w:rsidRPr="00744CB7">
        <w:rPr>
          <w:b/>
          <w:bCs/>
          <w:sz w:val="28"/>
          <w:szCs w:val="28"/>
          <w:lang w:eastAsia="en-AU"/>
        </w:rPr>
        <w:t> </w:t>
      </w:r>
      <w:r w:rsidRPr="00744CB7">
        <w:rPr>
          <w:b/>
          <w:bCs/>
          <w:i/>
          <w:iCs/>
          <w:sz w:val="28"/>
          <w:szCs w:val="28"/>
          <w:lang w:eastAsia="en-AU"/>
        </w:rPr>
        <w:t>Higher Education Support Act 2003</w:t>
      </w:r>
    </w:p>
    <w:p w:rsidR="00430D21" w:rsidRPr="00744CB7" w:rsidRDefault="00430D21" w:rsidP="00430D21">
      <w:pPr>
        <w:spacing w:before="100" w:beforeAutospacing="1" w:after="100" w:afterAutospacing="1"/>
        <w:jc w:val="center"/>
        <w:rPr>
          <w:lang w:eastAsia="en-AU"/>
        </w:rPr>
      </w:pPr>
      <w:r w:rsidRPr="00744CB7">
        <w:rPr>
          <w:b/>
          <w:bCs/>
          <w:i/>
          <w:iCs/>
          <w:sz w:val="28"/>
          <w:szCs w:val="28"/>
          <w:lang w:eastAsia="en-AU"/>
        </w:rPr>
        <w:t> </w:t>
      </w:r>
    </w:p>
    <w:p w:rsidR="00430D21" w:rsidRPr="00744CB7" w:rsidRDefault="00430D21" w:rsidP="00430D21">
      <w:pPr>
        <w:spacing w:before="100" w:beforeAutospacing="1" w:after="100" w:afterAutospacing="1"/>
        <w:jc w:val="center"/>
        <w:rPr>
          <w:lang w:eastAsia="en-AU"/>
        </w:rPr>
      </w:pPr>
      <w:r w:rsidRPr="00744CB7">
        <w:rPr>
          <w:b/>
          <w:bCs/>
          <w:i/>
          <w:iCs/>
          <w:sz w:val="28"/>
          <w:szCs w:val="28"/>
          <w:lang w:eastAsia="en-AU"/>
        </w:rPr>
        <w:t> </w:t>
      </w:r>
    </w:p>
    <w:p w:rsidR="00430D21" w:rsidRPr="00744CB7" w:rsidRDefault="00430D21" w:rsidP="00430D21">
      <w:pPr>
        <w:spacing w:before="100" w:beforeAutospacing="1" w:after="100" w:afterAutospacing="1"/>
        <w:jc w:val="center"/>
        <w:rPr>
          <w:lang w:eastAsia="en-AU"/>
        </w:rPr>
      </w:pPr>
      <w:r>
        <w:rPr>
          <w:b/>
          <w:bCs/>
          <w:sz w:val="28"/>
          <w:szCs w:val="28"/>
          <w:lang w:eastAsia="en-AU"/>
        </w:rPr>
        <w:t xml:space="preserve">Commonwealth Grant Scheme Guidelines 2012 - </w:t>
      </w:r>
      <w:r w:rsidRPr="00744CB7">
        <w:rPr>
          <w:b/>
          <w:bCs/>
          <w:sz w:val="28"/>
          <w:szCs w:val="28"/>
          <w:lang w:eastAsia="en-AU"/>
        </w:rPr>
        <w:t xml:space="preserve">Amendment No. </w:t>
      </w:r>
      <w:r>
        <w:rPr>
          <w:b/>
          <w:bCs/>
          <w:sz w:val="28"/>
          <w:szCs w:val="28"/>
          <w:lang w:eastAsia="en-AU"/>
        </w:rPr>
        <w:t xml:space="preserve">1 </w:t>
      </w:r>
    </w:p>
    <w:p w:rsidR="00430D21" w:rsidRPr="00744CB7" w:rsidRDefault="00430D21" w:rsidP="00430D21">
      <w:pPr>
        <w:spacing w:before="100" w:beforeAutospacing="1" w:after="100" w:afterAutospacing="1"/>
        <w:rPr>
          <w:lang w:eastAsia="en-AU"/>
        </w:rPr>
      </w:pPr>
      <w:r w:rsidRPr="00744CB7">
        <w:rPr>
          <w:b/>
          <w:bCs/>
          <w:i/>
          <w:iCs/>
          <w:lang w:eastAsia="en-AU"/>
        </w:rPr>
        <w:t> </w:t>
      </w:r>
    </w:p>
    <w:p w:rsidR="00430D21" w:rsidRPr="00744CB7" w:rsidRDefault="00430D21" w:rsidP="00430D21">
      <w:pPr>
        <w:spacing w:before="100" w:beforeAutospacing="1" w:after="100" w:afterAutospacing="1"/>
        <w:rPr>
          <w:lang w:eastAsia="en-AU"/>
        </w:rPr>
      </w:pPr>
      <w:r w:rsidRPr="00744CB7">
        <w:rPr>
          <w:b/>
          <w:bCs/>
          <w:lang w:eastAsia="en-AU"/>
        </w:rPr>
        <w:t>1                  CITATION</w:t>
      </w:r>
    </w:p>
    <w:p w:rsidR="00430D21" w:rsidRPr="00744CB7" w:rsidRDefault="00430D21" w:rsidP="00430D21">
      <w:pPr>
        <w:spacing w:before="100" w:beforeAutospacing="1" w:after="100" w:afterAutospacing="1"/>
        <w:rPr>
          <w:lang w:eastAsia="en-AU"/>
        </w:rPr>
      </w:pPr>
      <w:r w:rsidRPr="00744CB7">
        <w:rPr>
          <w:lang w:eastAsia="en-AU"/>
        </w:rPr>
        <w:t xml:space="preserve">This legislative instrument may be cited as Amendment No. </w:t>
      </w:r>
      <w:r>
        <w:rPr>
          <w:lang w:eastAsia="en-AU"/>
        </w:rPr>
        <w:t>1</w:t>
      </w:r>
      <w:r w:rsidRPr="00744CB7">
        <w:rPr>
          <w:lang w:eastAsia="en-AU"/>
        </w:rPr>
        <w:t xml:space="preserve"> to the </w:t>
      </w:r>
      <w:r>
        <w:rPr>
          <w:i/>
          <w:iCs/>
          <w:lang w:eastAsia="en-AU"/>
        </w:rPr>
        <w:t xml:space="preserve">Commonwealth Grant Scheme </w:t>
      </w:r>
      <w:r w:rsidRPr="00744CB7">
        <w:rPr>
          <w:i/>
          <w:iCs/>
          <w:lang w:eastAsia="en-AU"/>
        </w:rPr>
        <w:t>Guidelines 2012</w:t>
      </w:r>
      <w:r w:rsidRPr="00744CB7">
        <w:rPr>
          <w:lang w:eastAsia="en-AU"/>
        </w:rPr>
        <w:t>.</w:t>
      </w:r>
    </w:p>
    <w:p w:rsidR="00430D21" w:rsidRPr="00744CB7" w:rsidRDefault="00430D21" w:rsidP="00430D21">
      <w:pPr>
        <w:spacing w:before="100" w:beforeAutospacing="1" w:after="100" w:afterAutospacing="1"/>
        <w:rPr>
          <w:lang w:eastAsia="en-AU"/>
        </w:rPr>
      </w:pPr>
      <w:r w:rsidRPr="00744CB7">
        <w:rPr>
          <w:lang w:eastAsia="en-AU"/>
        </w:rPr>
        <w:t> </w:t>
      </w:r>
      <w:r w:rsidRPr="00744CB7">
        <w:rPr>
          <w:b/>
          <w:bCs/>
          <w:lang w:eastAsia="en-AU"/>
        </w:rPr>
        <w:t xml:space="preserve">2                  AUTHORITY </w:t>
      </w:r>
    </w:p>
    <w:p w:rsidR="00430D21" w:rsidRPr="00744CB7" w:rsidRDefault="00430D21" w:rsidP="00430D21">
      <w:pPr>
        <w:spacing w:before="100" w:beforeAutospacing="1" w:after="100" w:afterAutospacing="1"/>
        <w:rPr>
          <w:lang w:eastAsia="en-AU"/>
        </w:rPr>
      </w:pPr>
      <w:r w:rsidRPr="00744CB7">
        <w:rPr>
          <w:lang w:eastAsia="en-AU"/>
        </w:rPr>
        <w:t xml:space="preserve">This legislative instrument is made under section 238-10 of the </w:t>
      </w:r>
      <w:r w:rsidRPr="00744CB7">
        <w:rPr>
          <w:i/>
          <w:iCs/>
          <w:lang w:eastAsia="en-AU"/>
        </w:rPr>
        <w:t xml:space="preserve">Higher Education Support Act 2003 </w:t>
      </w:r>
      <w:r w:rsidRPr="00744CB7">
        <w:rPr>
          <w:lang w:eastAsia="en-AU"/>
        </w:rPr>
        <w:t>(the Act)</w:t>
      </w:r>
      <w:r>
        <w:rPr>
          <w:lang w:eastAsia="en-AU"/>
        </w:rPr>
        <w:t xml:space="preserve"> </w:t>
      </w:r>
      <w:r>
        <w:t>for the purposes of Part 2-2 and section 93-10 of the Act</w:t>
      </w:r>
      <w:r>
        <w:rPr>
          <w:bCs/>
          <w:iCs/>
        </w:rPr>
        <w:t xml:space="preserve">, and subsection 33(3) of the </w:t>
      </w:r>
      <w:r>
        <w:rPr>
          <w:bCs/>
          <w:i/>
          <w:iCs/>
        </w:rPr>
        <w:t>Acts Interpretation Act 1901</w:t>
      </w:r>
      <w:r w:rsidRPr="00744CB7">
        <w:rPr>
          <w:i/>
          <w:iCs/>
          <w:lang w:eastAsia="en-AU"/>
        </w:rPr>
        <w:t>.</w:t>
      </w:r>
    </w:p>
    <w:p w:rsidR="00430D21" w:rsidRPr="00744CB7" w:rsidRDefault="00430D21" w:rsidP="00430D21">
      <w:pPr>
        <w:spacing w:before="100" w:beforeAutospacing="1" w:after="100" w:afterAutospacing="1"/>
        <w:rPr>
          <w:lang w:eastAsia="en-AU"/>
        </w:rPr>
      </w:pPr>
      <w:r w:rsidRPr="00744CB7">
        <w:rPr>
          <w:b/>
          <w:bCs/>
          <w:lang w:eastAsia="en-AU"/>
        </w:rPr>
        <w:t xml:space="preserve">3                  </w:t>
      </w:r>
      <w:r>
        <w:rPr>
          <w:b/>
          <w:bCs/>
          <w:lang w:eastAsia="en-AU"/>
        </w:rPr>
        <w:t>COMMENCEMENT</w:t>
      </w:r>
    </w:p>
    <w:p w:rsidR="00430D21" w:rsidRPr="00DA3C24" w:rsidRDefault="00430D21" w:rsidP="00430D21">
      <w:pPr>
        <w:spacing w:before="100" w:beforeAutospacing="1" w:after="100" w:afterAutospacing="1"/>
        <w:ind w:left="108"/>
        <w:rPr>
          <w:lang w:eastAsia="en-AU"/>
        </w:rPr>
      </w:pPr>
      <w:r w:rsidRPr="00DA3C24">
        <w:rPr>
          <w:lang w:eastAsia="en-AU"/>
        </w:rPr>
        <w:t xml:space="preserve">This legislative instrument takes effect on </w:t>
      </w:r>
      <w:r>
        <w:rPr>
          <w:lang w:eastAsia="en-AU"/>
        </w:rPr>
        <w:t>the day after it is registered on the Federal Register of Legislative Instruments</w:t>
      </w:r>
      <w:r w:rsidRPr="00DA3C24">
        <w:rPr>
          <w:bCs/>
          <w:i/>
        </w:rPr>
        <w:t>.</w:t>
      </w:r>
    </w:p>
    <w:p w:rsidR="00430D21" w:rsidRPr="00744CB7" w:rsidRDefault="00430D21" w:rsidP="00430D21">
      <w:pPr>
        <w:spacing w:before="100" w:beforeAutospacing="1" w:after="100" w:afterAutospacing="1"/>
        <w:rPr>
          <w:lang w:eastAsia="en-AU"/>
        </w:rPr>
      </w:pPr>
      <w:r>
        <w:rPr>
          <w:b/>
          <w:bCs/>
          <w:lang w:eastAsia="en-AU"/>
        </w:rPr>
        <w:t>4</w:t>
      </w:r>
      <w:r w:rsidRPr="00744CB7">
        <w:rPr>
          <w:b/>
          <w:bCs/>
          <w:lang w:eastAsia="en-AU"/>
        </w:rPr>
        <w:t>                 </w:t>
      </w:r>
      <w:r>
        <w:rPr>
          <w:b/>
          <w:bCs/>
          <w:lang w:eastAsia="en-AU"/>
        </w:rPr>
        <w:t xml:space="preserve"> AMENDMENT</w:t>
      </w:r>
    </w:p>
    <w:p w:rsidR="00430D21" w:rsidRPr="00503080" w:rsidRDefault="00430D21" w:rsidP="00430D21">
      <w:pPr>
        <w:spacing w:before="100" w:beforeAutospacing="1" w:after="100" w:afterAutospacing="1"/>
        <w:rPr>
          <w:lang w:eastAsia="en-AU"/>
        </w:rPr>
      </w:pPr>
      <w:r w:rsidRPr="00744CB7">
        <w:rPr>
          <w:lang w:eastAsia="en-AU"/>
        </w:rPr>
        <w:t xml:space="preserve">This legislative </w:t>
      </w:r>
      <w:r>
        <w:rPr>
          <w:lang w:eastAsia="en-AU"/>
        </w:rPr>
        <w:t xml:space="preserve">instrument amends the </w:t>
      </w:r>
      <w:r>
        <w:rPr>
          <w:i/>
          <w:lang w:eastAsia="en-AU"/>
        </w:rPr>
        <w:t>Commonwealth Grant Scheme Guidelines 2012</w:t>
      </w:r>
      <w:r>
        <w:rPr>
          <w:lang w:eastAsia="en-AU"/>
        </w:rPr>
        <w:t xml:space="preserve"> registered on 13 December 2012 (</w:t>
      </w:r>
      <w:proofErr w:type="spellStart"/>
      <w:r>
        <w:rPr>
          <w:rFonts w:cs="Arial"/>
          <w:color w:val="000000"/>
        </w:rPr>
        <w:t>F2012L02442</w:t>
      </w:r>
      <w:proofErr w:type="spellEnd"/>
      <w:r>
        <w:rPr>
          <w:rFonts w:cs="Arial"/>
          <w:color w:val="000000"/>
        </w:rPr>
        <w:t>).</w:t>
      </w:r>
    </w:p>
    <w:p w:rsidR="00430D21" w:rsidRPr="00744CB7" w:rsidRDefault="00430D21" w:rsidP="00430D21">
      <w:pPr>
        <w:spacing w:before="100" w:beforeAutospacing="1" w:after="100" w:afterAutospacing="1"/>
        <w:rPr>
          <w:lang w:eastAsia="en-AU"/>
        </w:rPr>
      </w:pPr>
      <w:r>
        <w:rPr>
          <w:b/>
          <w:bCs/>
          <w:color w:val="FF0000"/>
          <w:lang w:eastAsia="en-AU"/>
        </w:rPr>
        <w:br w:type="page"/>
      </w:r>
      <w:r w:rsidRPr="00744CB7">
        <w:rPr>
          <w:b/>
          <w:bCs/>
          <w:lang w:eastAsia="en-AU"/>
        </w:rPr>
        <w:lastRenderedPageBreak/>
        <w:t>PURPOSE</w:t>
      </w:r>
    </w:p>
    <w:p w:rsidR="00430D21" w:rsidRPr="00744CB7" w:rsidRDefault="00430D21" w:rsidP="00430D21">
      <w:pPr>
        <w:spacing w:before="100" w:beforeAutospacing="1" w:after="100" w:afterAutospacing="1"/>
        <w:rPr>
          <w:lang w:eastAsia="en-AU"/>
        </w:rPr>
      </w:pPr>
      <w:r w:rsidRPr="00744CB7">
        <w:rPr>
          <w:lang w:eastAsia="en-AU"/>
        </w:rPr>
        <w:t>The purpose of this legislative instrument is to:</w:t>
      </w:r>
    </w:p>
    <w:p w:rsidR="00430D21" w:rsidRDefault="00430D21" w:rsidP="00430D21">
      <w:pPr>
        <w:numPr>
          <w:ilvl w:val="0"/>
          <w:numId w:val="2"/>
        </w:numPr>
        <w:spacing w:before="100" w:beforeAutospacing="1" w:after="100" w:afterAutospacing="1"/>
        <w:rPr>
          <w:lang w:eastAsia="en-AU"/>
        </w:rPr>
      </w:pPr>
      <w:r>
        <w:rPr>
          <w:lang w:eastAsia="en-AU"/>
        </w:rPr>
        <w:t>amend Chapter 1 to clarify various definitions; and</w:t>
      </w:r>
    </w:p>
    <w:p w:rsidR="00430D21" w:rsidRPr="00744CB7" w:rsidRDefault="00430D21" w:rsidP="00430D21">
      <w:pPr>
        <w:numPr>
          <w:ilvl w:val="0"/>
          <w:numId w:val="2"/>
        </w:numPr>
        <w:spacing w:before="100" w:beforeAutospacing="1" w:after="100" w:afterAutospacing="1"/>
        <w:rPr>
          <w:lang w:eastAsia="en-AU"/>
        </w:rPr>
      </w:pPr>
      <w:proofErr w:type="gramStart"/>
      <w:r w:rsidRPr="00744CB7">
        <w:rPr>
          <w:lang w:eastAsia="en-AU"/>
        </w:rPr>
        <w:t>amend</w:t>
      </w:r>
      <w:proofErr w:type="gramEnd"/>
      <w:r w:rsidRPr="00744CB7">
        <w:rPr>
          <w:lang w:eastAsia="en-AU"/>
        </w:rPr>
        <w:t xml:space="preserve"> Chapter</w:t>
      </w:r>
      <w:r>
        <w:rPr>
          <w:lang w:eastAsia="en-AU"/>
        </w:rPr>
        <w:t>s</w:t>
      </w:r>
      <w:r w:rsidRPr="00744CB7">
        <w:rPr>
          <w:lang w:eastAsia="en-AU"/>
        </w:rPr>
        <w:t xml:space="preserve"> </w:t>
      </w:r>
      <w:r>
        <w:rPr>
          <w:lang w:eastAsia="en-AU"/>
        </w:rPr>
        <w:t>3, 5 and 6</w:t>
      </w:r>
      <w:r w:rsidRPr="00744CB7">
        <w:rPr>
          <w:lang w:eastAsia="en-AU"/>
        </w:rPr>
        <w:t xml:space="preserve"> of the </w:t>
      </w:r>
      <w:r>
        <w:rPr>
          <w:i/>
          <w:iCs/>
          <w:lang w:eastAsia="en-AU"/>
        </w:rPr>
        <w:t>Commonwealth Grant Scheme</w:t>
      </w:r>
      <w:r w:rsidRPr="00744CB7">
        <w:rPr>
          <w:i/>
          <w:iCs/>
          <w:lang w:eastAsia="en-AU"/>
        </w:rPr>
        <w:t xml:space="preserve"> Guidelines 2012</w:t>
      </w:r>
      <w:r w:rsidRPr="00744CB7">
        <w:rPr>
          <w:lang w:eastAsia="en-AU"/>
        </w:rPr>
        <w:t xml:space="preserve"> to </w:t>
      </w:r>
      <w:r>
        <w:t xml:space="preserve">update the amount of various loadings paid under the </w:t>
      </w:r>
      <w:proofErr w:type="spellStart"/>
      <w:r>
        <w:t>CGS</w:t>
      </w:r>
      <w:proofErr w:type="spellEnd"/>
      <w:r>
        <w:t xml:space="preserve"> to</w:t>
      </w:r>
      <w:r w:rsidRPr="00034545">
        <w:t xml:space="preserve"> </w:t>
      </w:r>
      <w:r>
        <w:t>apply</w:t>
      </w:r>
      <w:r w:rsidRPr="00034545">
        <w:t xml:space="preserve"> the efficiency dividend</w:t>
      </w:r>
      <w:r>
        <w:t xml:space="preserve"> to university funding. The efficiency dividend was a savings measure included in the 2013</w:t>
      </w:r>
      <w:r>
        <w:noBreakHyphen/>
        <w:t>14 Budget</w:t>
      </w:r>
      <w:r>
        <w:rPr>
          <w:lang w:eastAsia="en-AU"/>
        </w:rPr>
        <w:t>.</w:t>
      </w:r>
    </w:p>
    <w:p w:rsidR="00430D21" w:rsidRPr="005D2EDF" w:rsidRDefault="00430D21" w:rsidP="00430D21">
      <w:pPr>
        <w:keepNext/>
        <w:spacing w:before="100" w:beforeAutospacing="1" w:after="100" w:afterAutospacing="1"/>
        <w:rPr>
          <w:lang w:eastAsia="en-AU"/>
        </w:rPr>
      </w:pPr>
      <w:r w:rsidRPr="005D2EDF">
        <w:rPr>
          <w:b/>
          <w:bCs/>
          <w:lang w:eastAsia="en-AU"/>
        </w:rPr>
        <w:t xml:space="preserve">ITEM </w:t>
      </w:r>
      <w:r>
        <w:rPr>
          <w:b/>
          <w:bCs/>
          <w:lang w:eastAsia="en-AU"/>
        </w:rPr>
        <w:t>1 – Paragraph</w:t>
      </w:r>
      <w:r w:rsidRPr="005D2EDF">
        <w:rPr>
          <w:b/>
          <w:bCs/>
          <w:lang w:eastAsia="en-AU"/>
        </w:rPr>
        <w:t xml:space="preserve"> </w:t>
      </w:r>
      <w:r>
        <w:rPr>
          <w:b/>
          <w:bCs/>
          <w:lang w:eastAsia="en-AU"/>
        </w:rPr>
        <w:t>1.5.1</w:t>
      </w:r>
    </w:p>
    <w:p w:rsidR="00430D21" w:rsidRDefault="00430D21" w:rsidP="00430D21">
      <w:pPr>
        <w:keepNext/>
        <w:spacing w:before="100" w:beforeAutospacing="1" w:after="100" w:afterAutospacing="1"/>
        <w:rPr>
          <w:lang w:eastAsia="en-AU"/>
        </w:rPr>
      </w:pPr>
      <w:r w:rsidRPr="005D2EDF">
        <w:rPr>
          <w:lang w:eastAsia="en-AU"/>
        </w:rPr>
        <w:t xml:space="preserve">Repeal </w:t>
      </w:r>
      <w:r>
        <w:rPr>
          <w:lang w:eastAsia="en-AU"/>
        </w:rPr>
        <w:t>the paragraph 1.5.1</w:t>
      </w:r>
      <w:r w:rsidRPr="005D2EDF">
        <w:rPr>
          <w:lang w:eastAsia="en-AU"/>
        </w:rPr>
        <w:t xml:space="preserve"> and substitute:</w:t>
      </w:r>
    </w:p>
    <w:p w:rsidR="00430D21" w:rsidRPr="003C0A46" w:rsidRDefault="00430D21" w:rsidP="00430D21">
      <w:pPr>
        <w:spacing w:after="0"/>
      </w:pPr>
      <w:r w:rsidRPr="003C0A46" w:rsidDel="00DB6D01">
        <w:t>1.5.1        In these Guidelines, unless the contrary intention appears:</w:t>
      </w:r>
      <w:bookmarkStart w:id="1" w:name="OLE_LINK63"/>
      <w:bookmarkStart w:id="2" w:name="OLE_LINK64"/>
    </w:p>
    <w:p w:rsidR="00430D21" w:rsidRPr="003C0A46" w:rsidRDefault="00430D21" w:rsidP="00430D21">
      <w:pPr>
        <w:spacing w:after="0"/>
        <w:rPr>
          <w:i/>
        </w:rPr>
      </w:pPr>
    </w:p>
    <w:p w:rsidR="00430D21" w:rsidRPr="003C0A46" w:rsidRDefault="00430D21" w:rsidP="00430D21">
      <w:pPr>
        <w:ind w:left="3402" w:hanging="3402"/>
      </w:pPr>
      <w:proofErr w:type="spellStart"/>
      <w:r w:rsidRPr="003C0A46" w:rsidDel="00DB6D01">
        <w:rPr>
          <w:i/>
        </w:rPr>
        <w:t>ASGC</w:t>
      </w:r>
      <w:proofErr w:type="spellEnd"/>
      <w:r w:rsidRPr="003C0A46" w:rsidDel="00DB6D01">
        <w:rPr>
          <w:i/>
        </w:rPr>
        <w:t xml:space="preserve"> Remoteness Structure</w:t>
      </w:r>
      <w:r w:rsidRPr="003C0A46" w:rsidDel="00DB6D01">
        <w:rPr>
          <w:i/>
        </w:rPr>
        <w:tab/>
      </w:r>
      <w:r w:rsidRPr="003C0A46" w:rsidDel="00DB6D01">
        <w:t xml:space="preserve">means the Australian Standard Geographical Classification </w:t>
      </w:r>
      <w:r>
        <w:t>(</w:t>
      </w:r>
      <w:proofErr w:type="spellStart"/>
      <w:r>
        <w:t>AS</w:t>
      </w:r>
      <w:r w:rsidRPr="003C0A46" w:rsidDel="00DB6D01">
        <w:t>GC</w:t>
      </w:r>
      <w:proofErr w:type="spellEnd"/>
      <w:r w:rsidRPr="003C0A46" w:rsidDel="00DB6D01">
        <w:t>) Remoteness Structure published by the Australian Bureau of Statistics (ABS)</w:t>
      </w:r>
    </w:p>
    <w:p w:rsidR="00430D21" w:rsidRPr="003C0A46" w:rsidRDefault="00430D21" w:rsidP="00430D21">
      <w:pPr>
        <w:spacing w:after="0"/>
        <w:ind w:left="3402"/>
      </w:pPr>
    </w:p>
    <w:p w:rsidR="00430D21" w:rsidRPr="003C0A46" w:rsidDel="00DB6D01" w:rsidRDefault="00430D21" w:rsidP="00430D21">
      <w:pPr>
        <w:spacing w:after="0"/>
        <w:ind w:left="3402" w:hanging="3402"/>
      </w:pPr>
      <w:proofErr w:type="spellStart"/>
      <w:r w:rsidRPr="003C0A46" w:rsidDel="00DB6D01">
        <w:rPr>
          <w:i/>
        </w:rPr>
        <w:t>ASGS</w:t>
      </w:r>
      <w:proofErr w:type="spellEnd"/>
      <w:r w:rsidRPr="003C0A46">
        <w:rPr>
          <w:i/>
        </w:rPr>
        <w:t xml:space="preserve"> Remoteness Structure</w:t>
      </w:r>
      <w:r w:rsidRPr="003C0A46" w:rsidDel="00DB6D01">
        <w:rPr>
          <w:i/>
        </w:rPr>
        <w:tab/>
      </w:r>
      <w:r w:rsidRPr="003C0A46" w:rsidDel="00DB6D01">
        <w:t>means the Australian Statistical Geography Standard</w:t>
      </w:r>
      <w:r w:rsidRPr="003C0A46">
        <w:t xml:space="preserve"> (</w:t>
      </w:r>
      <w:proofErr w:type="spellStart"/>
      <w:r w:rsidRPr="003C0A46">
        <w:t>ASGS</w:t>
      </w:r>
      <w:proofErr w:type="spellEnd"/>
      <w:r w:rsidRPr="003C0A46">
        <w:t>) Remoteness Structure published by the ABS</w:t>
      </w:r>
      <w:r w:rsidRPr="003C0A46" w:rsidDel="00DB6D01">
        <w:t xml:space="preserve"> which </w:t>
      </w:r>
      <w:r w:rsidRPr="003C0A46">
        <w:t xml:space="preserve">replaces the </w:t>
      </w:r>
      <w:proofErr w:type="spellStart"/>
      <w:r w:rsidRPr="003C0A46">
        <w:t>ASGC</w:t>
      </w:r>
      <w:proofErr w:type="spellEnd"/>
      <w:r w:rsidRPr="003C0A46">
        <w:t xml:space="preserve"> Remoteness Structure from December 2012</w:t>
      </w:r>
    </w:p>
    <w:p w:rsidR="00430D21" w:rsidRPr="003C0A46" w:rsidRDefault="00430D21" w:rsidP="00430D21">
      <w:pPr>
        <w:spacing w:after="0"/>
      </w:pPr>
    </w:p>
    <w:p w:rsidR="00430D21" w:rsidRPr="005B38BB" w:rsidRDefault="00430D21" w:rsidP="00430D21">
      <w:pPr>
        <w:spacing w:after="0"/>
        <w:ind w:left="3402" w:hanging="3402"/>
      </w:pPr>
      <w:proofErr w:type="gramStart"/>
      <w:r w:rsidRPr="003C0A46" w:rsidDel="00DB6D01">
        <w:rPr>
          <w:i/>
        </w:rPr>
        <w:t>campus</w:t>
      </w:r>
      <w:proofErr w:type="gramEnd"/>
      <w:r w:rsidRPr="003C0A46" w:rsidDel="00DB6D01">
        <w:tab/>
      </w:r>
      <w:r w:rsidRPr="003C0A46">
        <w:t xml:space="preserve">means the physical </w:t>
      </w:r>
      <w:r w:rsidRPr="005B38BB">
        <w:t xml:space="preserve">location at which a </w:t>
      </w:r>
      <w:r w:rsidRPr="005B38BB">
        <w:rPr>
          <w:iCs/>
        </w:rPr>
        <w:t>provider</w:t>
      </w:r>
      <w:r w:rsidRPr="005B38BB">
        <w:t xml:space="preserve"> delivers a unit of study. For on-line/distance education courses or where studies require attendance at locations such as a health centre, teaching hospital or agricultural farm, the </w:t>
      </w:r>
      <w:r w:rsidRPr="005B38BB">
        <w:rPr>
          <w:iCs/>
        </w:rPr>
        <w:t>campus</w:t>
      </w:r>
      <w:r w:rsidRPr="005B38BB">
        <w:t xml:space="preserve"> is the location from which the course is administered</w:t>
      </w:r>
    </w:p>
    <w:bookmarkEnd w:id="1"/>
    <w:bookmarkEnd w:id="2"/>
    <w:p w:rsidR="00430D21" w:rsidRPr="005B38BB" w:rsidDel="00DB6D01" w:rsidRDefault="00430D21" w:rsidP="00430D21">
      <w:pPr>
        <w:spacing w:after="0"/>
      </w:pPr>
    </w:p>
    <w:p w:rsidR="00430D21" w:rsidRPr="005B38BB" w:rsidRDefault="00430D21" w:rsidP="00430D21">
      <w:pPr>
        <w:spacing w:after="0"/>
        <w:ind w:left="3402" w:hanging="3402"/>
      </w:pPr>
      <w:r w:rsidRPr="005B38BB" w:rsidDel="00DB6D01">
        <w:rPr>
          <w:i/>
          <w:iCs/>
        </w:rPr>
        <w:t>Department</w:t>
      </w:r>
      <w:r w:rsidRPr="005B38BB" w:rsidDel="00DB6D01">
        <w:tab/>
      </w:r>
      <w:r w:rsidRPr="005B38BB">
        <w:t xml:space="preserve">means in accordance with the Administrative Arrangement Order, the Department responsible for administering Parts 2-2 and 3-2 of the </w:t>
      </w:r>
      <w:r w:rsidRPr="005B38BB">
        <w:rPr>
          <w:i/>
        </w:rPr>
        <w:t>Act</w:t>
      </w:r>
      <w:r w:rsidRPr="005B38BB">
        <w:t>, or part thereof.</w:t>
      </w:r>
    </w:p>
    <w:p w:rsidR="00430D21" w:rsidRPr="005B38BB" w:rsidDel="00DB6D01" w:rsidRDefault="00430D21" w:rsidP="00430D21">
      <w:pPr>
        <w:spacing w:after="0"/>
        <w:rPr>
          <w:i/>
          <w:iCs/>
        </w:rPr>
      </w:pPr>
    </w:p>
    <w:p w:rsidR="00430D21" w:rsidRPr="003C0A46" w:rsidDel="00DB6D01" w:rsidRDefault="00430D21" w:rsidP="00430D21">
      <w:pPr>
        <w:spacing w:after="0"/>
        <w:ind w:left="3402" w:hanging="3402"/>
      </w:pPr>
      <w:proofErr w:type="gramStart"/>
      <w:r w:rsidRPr="005B38BB" w:rsidDel="00DB6D01">
        <w:rPr>
          <w:i/>
          <w:iCs/>
        </w:rPr>
        <w:t>external</w:t>
      </w:r>
      <w:proofErr w:type="gramEnd"/>
      <w:r w:rsidRPr="005B38BB" w:rsidDel="00DB6D01">
        <w:rPr>
          <w:i/>
          <w:iCs/>
        </w:rPr>
        <w:t xml:space="preserve">  </w:t>
      </w:r>
      <w:r w:rsidRPr="005B38BB" w:rsidDel="00DB6D01">
        <w:rPr>
          <w:i/>
          <w:iCs/>
        </w:rPr>
        <w:tab/>
      </w:r>
      <w:r w:rsidRPr="005B38BB" w:rsidDel="00DB6D01">
        <w:rPr>
          <w:iCs/>
        </w:rPr>
        <w:t xml:space="preserve">means a mode of attendance for a unit of study </w:t>
      </w:r>
      <w:r w:rsidRPr="005B38BB">
        <w:rPr>
          <w:iCs/>
        </w:rPr>
        <w:t>for which</w:t>
      </w:r>
      <w:r w:rsidRPr="005B38BB" w:rsidDel="00DB6D01">
        <w:rPr>
          <w:iCs/>
        </w:rPr>
        <w:t xml:space="preserve"> the </w:t>
      </w:r>
      <w:r w:rsidRPr="005B38BB" w:rsidDel="00DB6D01">
        <w:rPr>
          <w:i/>
          <w:iCs/>
        </w:rPr>
        <w:t>provider</w:t>
      </w:r>
      <w:r w:rsidRPr="005B38BB" w:rsidDel="00DB6D01">
        <w:rPr>
          <w:iCs/>
        </w:rPr>
        <w:t xml:space="preserve"> delivers the course materials to the student and the student is not required to attend classes on </w:t>
      </w:r>
      <w:r w:rsidRPr="005B38BB" w:rsidDel="00DB6D01">
        <w:rPr>
          <w:i/>
          <w:iCs/>
        </w:rPr>
        <w:t>campus</w:t>
      </w:r>
      <w:r w:rsidRPr="005B38BB" w:rsidDel="00DB6D01">
        <w:rPr>
          <w:iCs/>
        </w:rPr>
        <w:t xml:space="preserve"> on a regular basis</w:t>
      </w:r>
    </w:p>
    <w:p w:rsidR="00430D21" w:rsidRPr="003C0A46" w:rsidRDefault="00430D21" w:rsidP="00430D21">
      <w:pPr>
        <w:spacing w:after="0"/>
        <w:rPr>
          <w:i/>
          <w:iCs/>
        </w:rPr>
      </w:pPr>
    </w:p>
    <w:p w:rsidR="00430D21" w:rsidRDefault="00430D21" w:rsidP="00430D21">
      <w:pPr>
        <w:spacing w:after="0"/>
        <w:ind w:left="3402" w:hanging="3402"/>
        <w:rPr>
          <w:iCs/>
        </w:rPr>
      </w:pPr>
      <w:proofErr w:type="gramStart"/>
      <w:r w:rsidRPr="003C0A46" w:rsidDel="00DB6D01">
        <w:rPr>
          <w:i/>
          <w:iCs/>
        </w:rPr>
        <w:t>headquarters</w:t>
      </w:r>
      <w:proofErr w:type="gramEnd"/>
      <w:r w:rsidRPr="003C0A46" w:rsidDel="00DB6D01">
        <w:rPr>
          <w:i/>
          <w:iCs/>
        </w:rPr>
        <w:tab/>
      </w:r>
      <w:r w:rsidRPr="003C0A46" w:rsidDel="00DB6D01">
        <w:rPr>
          <w:iCs/>
        </w:rPr>
        <w:t xml:space="preserve">is a </w:t>
      </w:r>
      <w:r w:rsidRPr="003C0A46">
        <w:rPr>
          <w:i/>
          <w:iCs/>
        </w:rPr>
        <w:t>provider’s</w:t>
      </w:r>
      <w:r w:rsidRPr="003C0A46" w:rsidDel="00DB6D01">
        <w:rPr>
          <w:iCs/>
        </w:rPr>
        <w:t xml:space="preserve"> </w:t>
      </w:r>
      <w:r w:rsidRPr="003C0A46">
        <w:rPr>
          <w:i/>
          <w:iCs/>
        </w:rPr>
        <w:t xml:space="preserve">campus </w:t>
      </w:r>
      <w:r w:rsidRPr="003C0A46" w:rsidDel="00DB6D01">
        <w:rPr>
          <w:iCs/>
        </w:rPr>
        <w:t xml:space="preserve">location which has the largest </w:t>
      </w:r>
      <w:r w:rsidRPr="003C0A46">
        <w:rPr>
          <w:i/>
          <w:iCs/>
        </w:rPr>
        <w:t xml:space="preserve">internal </w:t>
      </w:r>
      <w:r w:rsidRPr="003C0A46" w:rsidDel="00DB6D01">
        <w:rPr>
          <w:iCs/>
        </w:rPr>
        <w:t xml:space="preserve">and </w:t>
      </w:r>
      <w:r w:rsidRPr="003C0A46">
        <w:rPr>
          <w:i/>
          <w:iCs/>
        </w:rPr>
        <w:t>multi-modal</w:t>
      </w:r>
      <w:r w:rsidRPr="003C0A46" w:rsidDel="00DB6D01">
        <w:rPr>
          <w:iCs/>
        </w:rPr>
        <w:t xml:space="preserve"> </w:t>
      </w:r>
      <w:proofErr w:type="spellStart"/>
      <w:r w:rsidRPr="003C0A46" w:rsidDel="00DB6D01">
        <w:rPr>
          <w:iCs/>
        </w:rPr>
        <w:t>EFTSL</w:t>
      </w:r>
      <w:proofErr w:type="spellEnd"/>
      <w:r w:rsidRPr="003C0A46" w:rsidDel="00DB6D01">
        <w:rPr>
          <w:iCs/>
        </w:rPr>
        <w:t xml:space="preserve"> of Commonwealth supported students</w:t>
      </w:r>
    </w:p>
    <w:p w:rsidR="00430D21" w:rsidRDefault="00430D21" w:rsidP="00430D21">
      <w:pPr>
        <w:spacing w:after="0"/>
        <w:ind w:left="3402" w:hanging="3402"/>
        <w:rPr>
          <w:i/>
          <w:iCs/>
        </w:rPr>
      </w:pPr>
    </w:p>
    <w:p w:rsidR="00430D21" w:rsidRPr="00F46B78" w:rsidDel="00DB6D01" w:rsidRDefault="00430D21" w:rsidP="00430D21">
      <w:pPr>
        <w:spacing w:after="0"/>
        <w:ind w:left="3402" w:hanging="3402"/>
      </w:pPr>
      <w:proofErr w:type="spellStart"/>
      <w:r>
        <w:rPr>
          <w:i/>
        </w:rPr>
        <w:t>HEIMS</w:t>
      </w:r>
      <w:proofErr w:type="spellEnd"/>
      <w:r>
        <w:rPr>
          <w:i/>
        </w:rPr>
        <w:tab/>
      </w:r>
      <w:r w:rsidRPr="003C0A46" w:rsidDel="00DB6D01">
        <w:t xml:space="preserve">means the Higher Education Information Management System </w:t>
      </w:r>
    </w:p>
    <w:p w:rsidR="00430D21" w:rsidRPr="003C0A46" w:rsidDel="00DB6D01" w:rsidRDefault="00430D21" w:rsidP="00430D21">
      <w:pPr>
        <w:spacing w:after="0"/>
        <w:rPr>
          <w:i/>
          <w:iCs/>
        </w:rPr>
      </w:pPr>
    </w:p>
    <w:p w:rsidR="00430D21" w:rsidRPr="003C0A46" w:rsidRDefault="00430D21" w:rsidP="00430D21">
      <w:pPr>
        <w:spacing w:after="0"/>
        <w:ind w:left="3402" w:hanging="3402"/>
      </w:pPr>
      <w:proofErr w:type="spellStart"/>
      <w:r w:rsidRPr="003C0A46">
        <w:rPr>
          <w:i/>
          <w:iCs/>
        </w:rPr>
        <w:t>HESC</w:t>
      </w:r>
      <w:proofErr w:type="spellEnd"/>
      <w:r w:rsidRPr="003C0A46" w:rsidDel="00DB6D01">
        <w:tab/>
        <w:t xml:space="preserve">means </w:t>
      </w:r>
      <w:r w:rsidRPr="003C0A46">
        <w:t xml:space="preserve">the </w:t>
      </w:r>
      <w:r w:rsidRPr="003C0A46" w:rsidDel="00DB6D01">
        <w:t>Higher Education Student</w:t>
      </w:r>
      <w:r w:rsidRPr="003C0A46">
        <w:t xml:space="preserve"> </w:t>
      </w:r>
      <w:r w:rsidRPr="003C0A46" w:rsidDel="00DB6D01">
        <w:t>Collection</w:t>
      </w:r>
      <w:r w:rsidRPr="003C0A46">
        <w:t xml:space="preserve"> which is a component of the Higher Education Statistics Collection required under subsection 19-70(1) of the Act</w:t>
      </w:r>
    </w:p>
    <w:p w:rsidR="00430D21" w:rsidRPr="003C0A46" w:rsidDel="00DB6D01" w:rsidRDefault="00430D21" w:rsidP="00430D21">
      <w:pPr>
        <w:spacing w:after="0"/>
      </w:pPr>
    </w:p>
    <w:p w:rsidR="00430D21" w:rsidRDefault="00430D21" w:rsidP="00430D21">
      <w:pPr>
        <w:spacing w:after="0"/>
        <w:ind w:left="3402" w:hanging="3402"/>
      </w:pPr>
      <w:proofErr w:type="gramStart"/>
      <w:r w:rsidRPr="003C0A46" w:rsidDel="00DB6D01">
        <w:rPr>
          <w:i/>
        </w:rPr>
        <w:t>internal</w:t>
      </w:r>
      <w:proofErr w:type="gramEnd"/>
      <w:r w:rsidRPr="003C0A46" w:rsidDel="00DB6D01">
        <w:tab/>
        <w:t xml:space="preserve">means a mode of attendance for a unit of study </w:t>
      </w:r>
      <w:r>
        <w:t xml:space="preserve">for which </w:t>
      </w:r>
      <w:r w:rsidRPr="003C0A46" w:rsidDel="00DB6D01">
        <w:t xml:space="preserve">the student must attend classes at the </w:t>
      </w:r>
      <w:r w:rsidRPr="003C0A46" w:rsidDel="00DB6D01">
        <w:rPr>
          <w:i/>
        </w:rPr>
        <w:t xml:space="preserve">provider’s </w:t>
      </w:r>
      <w:r w:rsidRPr="003C0A46" w:rsidDel="00DB6D01">
        <w:t>facilities on a regular basis</w:t>
      </w:r>
    </w:p>
    <w:p w:rsidR="00430D21" w:rsidRDefault="00430D21" w:rsidP="00430D21">
      <w:pPr>
        <w:spacing w:after="0"/>
        <w:ind w:left="3402" w:hanging="3402"/>
      </w:pPr>
    </w:p>
    <w:p w:rsidR="00430D21" w:rsidRPr="005B38BB" w:rsidRDefault="00430D21" w:rsidP="00430D21">
      <w:pPr>
        <w:spacing w:after="0"/>
        <w:ind w:left="3402" w:hanging="3402"/>
      </w:pPr>
      <w:r w:rsidRPr="005B38BB">
        <w:rPr>
          <w:i/>
        </w:rPr>
        <w:t>Minister</w:t>
      </w:r>
      <w:r w:rsidRPr="005B38BB" w:rsidDel="00DB6D01">
        <w:rPr>
          <w:i/>
        </w:rPr>
        <w:tab/>
      </w:r>
      <w:r w:rsidRPr="005B38BB">
        <w:t xml:space="preserve">means, in accordance with the Administrative Arrangement Order, the Minister responsible for administering Part 2-2 and 3-2 of the Act,  or part thereof, or the Secretary or APS employee of the Department when acting under a delegation made pursuant to Sections 238 1 and  238-5 of the Act.  </w:t>
      </w:r>
    </w:p>
    <w:p w:rsidR="00430D21" w:rsidRPr="005B38BB" w:rsidRDefault="00430D21" w:rsidP="00430D21">
      <w:pPr>
        <w:spacing w:after="0"/>
        <w:ind w:left="3402" w:hanging="3402"/>
        <w:rPr>
          <w:i/>
        </w:rPr>
      </w:pPr>
      <w:r>
        <w:rPr>
          <w:i/>
        </w:rPr>
        <w:softHyphen/>
      </w:r>
      <w:r>
        <w:rPr>
          <w:i/>
        </w:rPr>
        <w:softHyphen/>
      </w:r>
    </w:p>
    <w:p w:rsidR="00430D21" w:rsidRPr="003C0A46" w:rsidRDefault="00430D21" w:rsidP="00430D21">
      <w:pPr>
        <w:spacing w:after="0"/>
        <w:ind w:left="3402" w:hanging="3357"/>
      </w:pPr>
      <w:proofErr w:type="gramStart"/>
      <w:r w:rsidRPr="005B38BB" w:rsidDel="00DB6D01">
        <w:rPr>
          <w:i/>
        </w:rPr>
        <w:t>multi-modal</w:t>
      </w:r>
      <w:proofErr w:type="gramEnd"/>
      <w:r w:rsidRPr="005B38BB" w:rsidDel="00DB6D01">
        <w:rPr>
          <w:i/>
        </w:rPr>
        <w:tab/>
      </w:r>
      <w:r w:rsidRPr="005B38BB" w:rsidDel="00DB6D01">
        <w:t>means a mode of attendance</w:t>
      </w:r>
      <w:r w:rsidRPr="003C0A46" w:rsidDel="00DB6D01">
        <w:t xml:space="preserve"> for a unit of study that is undertaken partially in an </w:t>
      </w:r>
      <w:r w:rsidRPr="003C0A46">
        <w:rPr>
          <w:i/>
        </w:rPr>
        <w:t xml:space="preserve">internal </w:t>
      </w:r>
      <w:r w:rsidRPr="003C0A46" w:rsidDel="00DB6D01">
        <w:t xml:space="preserve">mode of attendance and partially in an </w:t>
      </w:r>
      <w:r w:rsidRPr="003C0A46">
        <w:rPr>
          <w:i/>
        </w:rPr>
        <w:t>external</w:t>
      </w:r>
      <w:r w:rsidRPr="003C0A46" w:rsidDel="00DB6D01">
        <w:t xml:space="preserve"> mode</w:t>
      </w:r>
      <w:r>
        <w:t>.</w:t>
      </w:r>
    </w:p>
    <w:p w:rsidR="00430D21" w:rsidRPr="003C0A46" w:rsidDel="00DB6D01" w:rsidRDefault="00430D21" w:rsidP="00430D21">
      <w:pPr>
        <w:spacing w:after="0"/>
        <w:ind w:left="3402" w:hanging="3357"/>
      </w:pPr>
    </w:p>
    <w:p w:rsidR="00430D21" w:rsidRPr="00DA4A07" w:rsidDel="00DB6D01" w:rsidRDefault="00430D21" w:rsidP="00430D21">
      <w:pPr>
        <w:spacing w:after="0"/>
        <w:rPr>
          <w:iCs/>
        </w:rPr>
      </w:pPr>
      <w:proofErr w:type="gramStart"/>
      <w:r w:rsidRPr="003C0A46" w:rsidDel="00DB6D01">
        <w:rPr>
          <w:i/>
        </w:rPr>
        <w:t>provider</w:t>
      </w:r>
      <w:proofErr w:type="gramEnd"/>
      <w:r w:rsidRPr="003C0A46" w:rsidDel="00DB6D01">
        <w:rPr>
          <w:i/>
        </w:rPr>
        <w:tab/>
      </w:r>
      <w:r w:rsidRPr="003C0A46" w:rsidDel="00DB6D01">
        <w:tab/>
      </w:r>
      <w:r w:rsidRPr="003C0A46">
        <w:tab/>
      </w:r>
      <w:r>
        <w:t xml:space="preserve">         </w:t>
      </w:r>
      <w:r w:rsidRPr="003C0A46" w:rsidDel="00DB6D01">
        <w:t>means</w:t>
      </w:r>
      <w:r w:rsidRPr="003C0A46" w:rsidDel="00DB6D01">
        <w:rPr>
          <w:i/>
        </w:rPr>
        <w:t xml:space="preserve"> </w:t>
      </w:r>
      <w:r w:rsidRPr="003C0A46" w:rsidDel="00DB6D01">
        <w:t>Higher Education Provider</w:t>
      </w:r>
      <w:r>
        <w:t xml:space="preserve"> </w:t>
      </w:r>
    </w:p>
    <w:p w:rsidR="00430D21" w:rsidRDefault="00430D21" w:rsidP="00430D21">
      <w:pPr>
        <w:keepNext/>
        <w:spacing w:before="100" w:beforeAutospacing="1" w:after="100" w:afterAutospacing="1"/>
        <w:ind w:left="1440" w:hanging="1440"/>
        <w:rPr>
          <w:b/>
          <w:bCs/>
          <w:iCs/>
          <w:lang w:eastAsia="en-AU"/>
        </w:rPr>
      </w:pPr>
      <w:r>
        <w:rPr>
          <w:b/>
          <w:bCs/>
          <w:iCs/>
          <w:lang w:eastAsia="en-AU"/>
        </w:rPr>
        <w:t>ITEM 2 – Paragraph 4.10.5</w:t>
      </w:r>
    </w:p>
    <w:p w:rsidR="00430D21" w:rsidRDefault="00430D21" w:rsidP="00430D21">
      <w:pPr>
        <w:keepNext/>
        <w:spacing w:before="100" w:beforeAutospacing="1" w:after="100" w:afterAutospacing="1"/>
        <w:rPr>
          <w:bCs/>
          <w:iCs/>
          <w:lang w:eastAsia="en-AU"/>
        </w:rPr>
      </w:pPr>
      <w:r w:rsidRPr="004844C9">
        <w:rPr>
          <w:bCs/>
          <w:iCs/>
          <w:lang w:eastAsia="en-AU"/>
        </w:rPr>
        <w:t xml:space="preserve">Repeal </w:t>
      </w:r>
      <w:r>
        <w:rPr>
          <w:bCs/>
          <w:iCs/>
          <w:lang w:eastAsia="en-AU"/>
        </w:rPr>
        <w:t>paragraph</w:t>
      </w:r>
      <w:r w:rsidRPr="004844C9">
        <w:rPr>
          <w:bCs/>
          <w:iCs/>
          <w:lang w:eastAsia="en-AU"/>
        </w:rPr>
        <w:t xml:space="preserve"> 4.10.5</w:t>
      </w:r>
      <w:r>
        <w:rPr>
          <w:bCs/>
          <w:iCs/>
          <w:lang w:eastAsia="en-AU"/>
        </w:rPr>
        <w:t xml:space="preserve"> and substitute:</w:t>
      </w:r>
    </w:p>
    <w:p w:rsidR="00430D21" w:rsidRDefault="00430D21" w:rsidP="00430D21">
      <w:pPr>
        <w:ind w:left="1080" w:hanging="1080"/>
      </w:pPr>
      <w:r>
        <w:rPr>
          <w:rFonts w:cs="Arial"/>
          <w:szCs w:val="22"/>
        </w:rPr>
        <w:t>4.10.5</w:t>
      </w:r>
      <w:r w:rsidRPr="0092319C">
        <w:rPr>
          <w:rFonts w:cs="Arial"/>
          <w:szCs w:val="22"/>
        </w:rPr>
        <w:tab/>
      </w:r>
      <w:r w:rsidRPr="003C0A46">
        <w:t>The total amount of regional loading available</w:t>
      </w:r>
      <w:r>
        <w:t xml:space="preserve"> in each year is fixed. The amount available for 2012 to 2016 is set out in the table below.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5"/>
        <w:gridCol w:w="4137"/>
      </w:tblGrid>
      <w:tr w:rsidR="00430D21" w:rsidTr="00E45353">
        <w:tc>
          <w:tcPr>
            <w:tcW w:w="4643" w:type="dxa"/>
            <w:shd w:val="clear" w:color="auto" w:fill="auto"/>
          </w:tcPr>
          <w:p w:rsidR="00430D21" w:rsidRDefault="00430D21" w:rsidP="00E45353">
            <w:r>
              <w:t>2012</w:t>
            </w:r>
          </w:p>
        </w:tc>
        <w:tc>
          <w:tcPr>
            <w:tcW w:w="4643" w:type="dxa"/>
            <w:shd w:val="clear" w:color="auto" w:fill="auto"/>
          </w:tcPr>
          <w:p w:rsidR="00430D21" w:rsidRDefault="00430D21" w:rsidP="00E45353">
            <w:r>
              <w:t>$63,559,565</w:t>
            </w:r>
          </w:p>
        </w:tc>
      </w:tr>
      <w:tr w:rsidR="00430D21" w:rsidTr="00E45353">
        <w:tc>
          <w:tcPr>
            <w:tcW w:w="4643" w:type="dxa"/>
            <w:shd w:val="clear" w:color="auto" w:fill="auto"/>
          </w:tcPr>
          <w:p w:rsidR="00430D21" w:rsidRDefault="00430D21" w:rsidP="00E45353">
            <w:r>
              <w:t>2013</w:t>
            </w:r>
          </w:p>
        </w:tc>
        <w:tc>
          <w:tcPr>
            <w:tcW w:w="4643" w:type="dxa"/>
            <w:shd w:val="clear" w:color="auto" w:fill="auto"/>
          </w:tcPr>
          <w:p w:rsidR="00430D21" w:rsidRDefault="00430D21" w:rsidP="00E45353">
            <w:r>
              <w:t>$65,948,301</w:t>
            </w:r>
          </w:p>
        </w:tc>
      </w:tr>
      <w:tr w:rsidR="00430D21" w:rsidTr="00E45353">
        <w:tc>
          <w:tcPr>
            <w:tcW w:w="4643" w:type="dxa"/>
            <w:shd w:val="clear" w:color="auto" w:fill="auto"/>
          </w:tcPr>
          <w:p w:rsidR="00430D21" w:rsidRDefault="00430D21" w:rsidP="00E45353">
            <w:r>
              <w:t>2014</w:t>
            </w:r>
          </w:p>
        </w:tc>
        <w:tc>
          <w:tcPr>
            <w:tcW w:w="4643" w:type="dxa"/>
            <w:shd w:val="clear" w:color="auto" w:fill="auto"/>
          </w:tcPr>
          <w:p w:rsidR="00430D21" w:rsidRDefault="00430D21" w:rsidP="00E45353">
            <w:r>
              <w:t>$66,537,164</w:t>
            </w:r>
          </w:p>
        </w:tc>
      </w:tr>
      <w:tr w:rsidR="00430D21" w:rsidTr="00E45353">
        <w:tc>
          <w:tcPr>
            <w:tcW w:w="4643" w:type="dxa"/>
            <w:shd w:val="clear" w:color="auto" w:fill="auto"/>
          </w:tcPr>
          <w:p w:rsidR="00430D21" w:rsidRDefault="00430D21" w:rsidP="00E45353">
            <w:r>
              <w:t>2015</w:t>
            </w:r>
          </w:p>
        </w:tc>
        <w:tc>
          <w:tcPr>
            <w:tcW w:w="4643" w:type="dxa"/>
            <w:shd w:val="clear" w:color="auto" w:fill="auto"/>
          </w:tcPr>
          <w:p w:rsidR="00430D21" w:rsidRDefault="00430D21" w:rsidP="00E45353">
            <w:r>
              <w:t xml:space="preserve">2014 amount multiplied by </w:t>
            </w:r>
            <w:r w:rsidRPr="00FE0845">
              <w:t>0.9875</w:t>
            </w:r>
            <w:r>
              <w:t xml:space="preserve"> and then </w:t>
            </w:r>
            <w:r w:rsidRPr="003C0A46">
              <w:t xml:space="preserve">indexed in accordance with the method set out in Part 5-6 of </w:t>
            </w:r>
            <w:r w:rsidRPr="00C864E8">
              <w:t>the Act</w:t>
            </w:r>
            <w:r>
              <w:t>.</w:t>
            </w:r>
          </w:p>
        </w:tc>
      </w:tr>
      <w:tr w:rsidR="00430D21" w:rsidTr="00E45353">
        <w:tc>
          <w:tcPr>
            <w:tcW w:w="4643" w:type="dxa"/>
            <w:shd w:val="clear" w:color="auto" w:fill="auto"/>
          </w:tcPr>
          <w:p w:rsidR="00430D21" w:rsidRDefault="00430D21" w:rsidP="00E45353">
            <w:r>
              <w:t xml:space="preserve">2016 </w:t>
            </w:r>
          </w:p>
        </w:tc>
        <w:tc>
          <w:tcPr>
            <w:tcW w:w="4643" w:type="dxa"/>
            <w:shd w:val="clear" w:color="auto" w:fill="auto"/>
          </w:tcPr>
          <w:p w:rsidR="00430D21" w:rsidRDefault="00430D21" w:rsidP="00E45353">
            <w:r>
              <w:t xml:space="preserve">2015 amount </w:t>
            </w:r>
            <w:r w:rsidRPr="003C0A46">
              <w:t xml:space="preserve">indexed in accordance with the method set out in Part 5-6 of </w:t>
            </w:r>
            <w:r w:rsidRPr="00C864E8">
              <w:t>the Act</w:t>
            </w:r>
            <w:r>
              <w:t>.</w:t>
            </w:r>
          </w:p>
        </w:tc>
      </w:tr>
    </w:tbl>
    <w:p w:rsidR="00430D21" w:rsidRDefault="00430D21" w:rsidP="00430D21">
      <w:pPr>
        <w:ind w:left="1080" w:hanging="1080"/>
      </w:pPr>
    </w:p>
    <w:p w:rsidR="00430D21" w:rsidRDefault="00430D21" w:rsidP="00430D21">
      <w:pPr>
        <w:ind w:left="1080"/>
      </w:pPr>
      <w:r>
        <w:t xml:space="preserve">The amount for 2017 and later years is the amount for the previous year </w:t>
      </w:r>
      <w:r w:rsidRPr="003C0A46">
        <w:t xml:space="preserve">indexed in accordance with the method set out in Part 5-6 of </w:t>
      </w:r>
      <w:r w:rsidRPr="00C864E8">
        <w:t xml:space="preserve">the </w:t>
      </w:r>
      <w:r w:rsidRPr="007D36FF">
        <w:rPr>
          <w:i/>
        </w:rPr>
        <w:t>Act</w:t>
      </w:r>
      <w:r>
        <w:t>.</w:t>
      </w:r>
    </w:p>
    <w:p w:rsidR="00430D21" w:rsidRDefault="00430D21" w:rsidP="00430D21">
      <w:pPr>
        <w:ind w:left="1080" w:hanging="1080"/>
        <w:rPr>
          <w:b/>
        </w:rPr>
      </w:pPr>
      <w:r w:rsidRPr="00D535D3">
        <w:rPr>
          <w:b/>
        </w:rPr>
        <w:t xml:space="preserve">ITEM </w:t>
      </w:r>
      <w:r>
        <w:rPr>
          <w:b/>
        </w:rPr>
        <w:t>3</w:t>
      </w:r>
      <w:r w:rsidRPr="00D535D3">
        <w:rPr>
          <w:b/>
        </w:rPr>
        <w:t xml:space="preserve"> </w:t>
      </w:r>
      <w:r>
        <w:rPr>
          <w:b/>
        </w:rPr>
        <w:t>–</w:t>
      </w:r>
      <w:r w:rsidRPr="00D535D3">
        <w:rPr>
          <w:b/>
        </w:rPr>
        <w:t xml:space="preserve"> </w:t>
      </w:r>
      <w:r>
        <w:rPr>
          <w:b/>
        </w:rPr>
        <w:t>Paragraph 4.15.1</w:t>
      </w:r>
    </w:p>
    <w:p w:rsidR="00430D21" w:rsidRDefault="00430D21" w:rsidP="00430D21">
      <w:pPr>
        <w:ind w:left="1080" w:hanging="1080"/>
      </w:pPr>
      <w:r w:rsidRPr="00D535D3">
        <w:t xml:space="preserve">Repeal paragraph </w:t>
      </w:r>
      <w:r>
        <w:t>4.15.1 and substitute:</w:t>
      </w:r>
    </w:p>
    <w:p w:rsidR="00430D21" w:rsidRPr="00DB0D2E" w:rsidRDefault="00430D21" w:rsidP="00430D21">
      <w:pPr>
        <w:ind w:left="851" w:hanging="851"/>
      </w:pPr>
      <w:r w:rsidRPr="003C0A46">
        <w:t>4.15.1</w:t>
      </w:r>
      <w:r w:rsidRPr="003C0A46">
        <w:tab/>
        <w:t xml:space="preserve">A </w:t>
      </w:r>
      <w:r w:rsidRPr="003C0A46">
        <w:rPr>
          <w:i/>
        </w:rPr>
        <w:t>provider</w:t>
      </w:r>
      <w:r w:rsidRPr="003C0A46">
        <w:t xml:space="preserve"> is eligible for regional loading if it is a Table A or Table B </w:t>
      </w:r>
      <w:r w:rsidRPr="003C0A46">
        <w:rPr>
          <w:i/>
        </w:rPr>
        <w:t>provider</w:t>
      </w:r>
      <w:r w:rsidRPr="003C0A46">
        <w:t xml:space="preserve"> under section</w:t>
      </w:r>
      <w:r>
        <w:t>s</w:t>
      </w:r>
      <w:r w:rsidRPr="003C0A46">
        <w:t xml:space="preserve"> 16-15 </w:t>
      </w:r>
      <w:r>
        <w:t xml:space="preserve">or 16-20 </w:t>
      </w:r>
      <w:r w:rsidRPr="003C0A46">
        <w:t xml:space="preserve">of the </w:t>
      </w:r>
      <w:r w:rsidRPr="007D36FF">
        <w:rPr>
          <w:i/>
        </w:rPr>
        <w:t xml:space="preserve">Act </w:t>
      </w:r>
      <w:r>
        <w:t>respectively</w:t>
      </w:r>
      <w:r w:rsidRPr="003C0A46">
        <w:t>.</w:t>
      </w:r>
    </w:p>
    <w:p w:rsidR="00430D21" w:rsidRDefault="00430D21" w:rsidP="00430D21">
      <w:pPr>
        <w:keepNext/>
        <w:spacing w:before="100" w:beforeAutospacing="1" w:after="100" w:afterAutospacing="1"/>
        <w:rPr>
          <w:b/>
          <w:bCs/>
          <w:iCs/>
          <w:lang w:eastAsia="en-AU"/>
        </w:rPr>
      </w:pPr>
      <w:r>
        <w:rPr>
          <w:b/>
          <w:bCs/>
          <w:iCs/>
          <w:lang w:eastAsia="en-AU"/>
        </w:rPr>
        <w:t>ITEM 4 – Paragraph 5.10.1</w:t>
      </w:r>
    </w:p>
    <w:p w:rsidR="00430D21" w:rsidRDefault="00430D21" w:rsidP="00430D21">
      <w:pPr>
        <w:keepNext/>
        <w:spacing w:before="100" w:beforeAutospacing="1" w:after="100" w:afterAutospacing="1"/>
        <w:rPr>
          <w:bCs/>
          <w:iCs/>
          <w:lang w:eastAsia="en-AU"/>
        </w:rPr>
      </w:pPr>
      <w:r w:rsidRPr="004844C9">
        <w:rPr>
          <w:bCs/>
          <w:iCs/>
          <w:lang w:eastAsia="en-AU"/>
        </w:rPr>
        <w:t xml:space="preserve">Repeal </w:t>
      </w:r>
      <w:r>
        <w:rPr>
          <w:bCs/>
          <w:iCs/>
          <w:lang w:eastAsia="en-AU"/>
        </w:rPr>
        <w:t>p</w:t>
      </w:r>
      <w:r w:rsidRPr="00770DC4">
        <w:rPr>
          <w:bCs/>
          <w:iCs/>
          <w:lang w:eastAsia="en-AU"/>
        </w:rPr>
        <w:t>aragraph</w:t>
      </w:r>
      <w:r w:rsidRPr="004844C9">
        <w:rPr>
          <w:bCs/>
          <w:iCs/>
          <w:lang w:eastAsia="en-AU"/>
        </w:rPr>
        <w:t xml:space="preserve"> </w:t>
      </w:r>
      <w:r>
        <w:rPr>
          <w:bCs/>
          <w:iCs/>
          <w:lang w:eastAsia="en-AU"/>
        </w:rPr>
        <w:t>5.10.1 and substitute:</w:t>
      </w:r>
    </w:p>
    <w:p w:rsidR="00430D21" w:rsidRDefault="00430D21" w:rsidP="00430D21">
      <w:pPr>
        <w:ind w:left="1080" w:hanging="1080"/>
      </w:pPr>
      <w:r>
        <w:t xml:space="preserve">5.10.1 </w:t>
      </w:r>
      <w:r>
        <w:tab/>
        <w:t>The amount of medical student loading (A) payable to a provider for a year will be calculated in accordance with the following formula:</w:t>
      </w:r>
    </w:p>
    <w:p w:rsidR="00430D21" w:rsidRDefault="00430D21" w:rsidP="00430D21">
      <w:pPr>
        <w:ind w:left="1080" w:hanging="360"/>
      </w:pPr>
      <w:r>
        <w:t>A=B times C</w:t>
      </w:r>
    </w:p>
    <w:p w:rsidR="00430D21" w:rsidRDefault="00430D21" w:rsidP="00430D21">
      <w:pPr>
        <w:ind w:left="1080" w:hanging="360"/>
      </w:pPr>
      <w:r>
        <w:t>Where:</w:t>
      </w:r>
    </w:p>
    <w:p w:rsidR="00430D21" w:rsidRDefault="00430D21" w:rsidP="00430D21">
      <w:pPr>
        <w:ind w:left="1080" w:hanging="360"/>
      </w:pPr>
      <w:r>
        <w:t>B is the student load determined in accordance with paragraph 5.10.5.</w:t>
      </w:r>
    </w:p>
    <w:p w:rsidR="00430D21" w:rsidRDefault="00430D21" w:rsidP="00430D21">
      <w:pPr>
        <w:ind w:left="1080" w:hanging="360"/>
      </w:pPr>
      <w:r>
        <w:t>C is the amount of medical student loading per Commonwealth supported place for the relevant year in a medical course of study.</w:t>
      </w:r>
    </w:p>
    <w:p w:rsidR="00430D21" w:rsidRDefault="00430D21" w:rsidP="00430D21">
      <w:pPr>
        <w:ind w:left="1134" w:hanging="1134"/>
      </w:pPr>
      <w:r>
        <w:t>5.10.2</w:t>
      </w:r>
      <w:r>
        <w:tab/>
      </w:r>
      <w:r w:rsidRPr="003C0A46">
        <w:t xml:space="preserve">The total amount of </w:t>
      </w:r>
      <w:r>
        <w:t xml:space="preserve">medical student </w:t>
      </w:r>
      <w:r w:rsidRPr="003C0A46">
        <w:t xml:space="preserve">loading </w:t>
      </w:r>
      <w:r>
        <w:t>per Commonwealth supported place for 2013 to 2016</w:t>
      </w:r>
      <w:r w:rsidRPr="003C0A46">
        <w:t xml:space="preserve"> </w:t>
      </w:r>
      <w:r>
        <w:t>is set out in the table below.</w:t>
      </w: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3"/>
        <w:gridCol w:w="3983"/>
      </w:tblGrid>
      <w:tr w:rsidR="00430D21" w:rsidRPr="0096544B" w:rsidTr="00E45353">
        <w:tc>
          <w:tcPr>
            <w:tcW w:w="4063" w:type="dxa"/>
            <w:shd w:val="clear" w:color="auto" w:fill="auto"/>
          </w:tcPr>
          <w:p w:rsidR="00430D21" w:rsidRPr="00087C65" w:rsidRDefault="00430D21" w:rsidP="00E45353">
            <w:pPr>
              <w:rPr>
                <w:bCs/>
              </w:rPr>
            </w:pPr>
            <w:r w:rsidRPr="00087C65">
              <w:rPr>
                <w:bCs/>
              </w:rPr>
              <w:t>2013</w:t>
            </w:r>
          </w:p>
        </w:tc>
        <w:tc>
          <w:tcPr>
            <w:tcW w:w="3983" w:type="dxa"/>
            <w:shd w:val="clear" w:color="auto" w:fill="auto"/>
          </w:tcPr>
          <w:p w:rsidR="00430D21" w:rsidRPr="002A042E" w:rsidRDefault="00430D21" w:rsidP="00E45353">
            <w:pPr>
              <w:rPr>
                <w:rFonts w:ascii="Calibri" w:eastAsia="Calibri" w:hAnsi="Calibri"/>
              </w:rPr>
            </w:pPr>
            <w:r w:rsidRPr="00087C65">
              <w:t>$1,291</w:t>
            </w:r>
          </w:p>
        </w:tc>
      </w:tr>
      <w:tr w:rsidR="00430D21" w:rsidRPr="0096544B" w:rsidTr="00E45353">
        <w:tc>
          <w:tcPr>
            <w:tcW w:w="4063" w:type="dxa"/>
            <w:shd w:val="clear" w:color="auto" w:fill="auto"/>
          </w:tcPr>
          <w:p w:rsidR="00430D21" w:rsidRPr="00087C65" w:rsidRDefault="00430D21" w:rsidP="00E45353">
            <w:pPr>
              <w:rPr>
                <w:bCs/>
              </w:rPr>
            </w:pPr>
            <w:r w:rsidRPr="00087C65">
              <w:rPr>
                <w:bCs/>
              </w:rPr>
              <w:t>2014</w:t>
            </w:r>
          </w:p>
        </w:tc>
        <w:tc>
          <w:tcPr>
            <w:tcW w:w="3983" w:type="dxa"/>
            <w:shd w:val="clear" w:color="auto" w:fill="auto"/>
          </w:tcPr>
          <w:p w:rsidR="00430D21" w:rsidRPr="002A042E" w:rsidRDefault="00430D21" w:rsidP="00E45353">
            <w:pPr>
              <w:rPr>
                <w:rFonts w:ascii="Calibri" w:eastAsia="Calibri" w:hAnsi="Calibri"/>
              </w:rPr>
            </w:pPr>
            <w:r w:rsidRPr="00087C65">
              <w:t>$1,303</w:t>
            </w:r>
          </w:p>
        </w:tc>
      </w:tr>
      <w:tr w:rsidR="00430D21" w:rsidRPr="0096544B" w:rsidTr="00E45353">
        <w:tc>
          <w:tcPr>
            <w:tcW w:w="4063" w:type="dxa"/>
            <w:shd w:val="clear" w:color="auto" w:fill="auto"/>
          </w:tcPr>
          <w:p w:rsidR="00430D21" w:rsidRPr="00087C65" w:rsidRDefault="00430D21" w:rsidP="00E45353">
            <w:r w:rsidRPr="00087C65">
              <w:t>2015</w:t>
            </w:r>
          </w:p>
        </w:tc>
        <w:tc>
          <w:tcPr>
            <w:tcW w:w="3983" w:type="dxa"/>
            <w:shd w:val="clear" w:color="auto" w:fill="auto"/>
          </w:tcPr>
          <w:p w:rsidR="00430D21" w:rsidRPr="00087C65" w:rsidRDefault="00430D21" w:rsidP="00E45353">
            <w:r w:rsidRPr="00087C65">
              <w:t xml:space="preserve">2014 amount multiplied by 0.9875 and then indexed in accordance with the method set out in Part 5-6 of the </w:t>
            </w:r>
            <w:r w:rsidRPr="007D36FF">
              <w:rPr>
                <w:i/>
              </w:rPr>
              <w:t>Act</w:t>
            </w:r>
            <w:r w:rsidRPr="00087C65">
              <w:t>.</w:t>
            </w:r>
          </w:p>
        </w:tc>
      </w:tr>
      <w:tr w:rsidR="00430D21" w:rsidRPr="0096544B" w:rsidTr="00E45353">
        <w:tc>
          <w:tcPr>
            <w:tcW w:w="4063" w:type="dxa"/>
            <w:shd w:val="clear" w:color="auto" w:fill="auto"/>
          </w:tcPr>
          <w:p w:rsidR="00430D21" w:rsidRDefault="00430D21" w:rsidP="00E45353">
            <w:r>
              <w:t>2016</w:t>
            </w:r>
          </w:p>
        </w:tc>
        <w:tc>
          <w:tcPr>
            <w:tcW w:w="3983" w:type="dxa"/>
            <w:shd w:val="clear" w:color="auto" w:fill="auto"/>
          </w:tcPr>
          <w:p w:rsidR="00430D21" w:rsidRDefault="00430D21" w:rsidP="00E45353">
            <w:r>
              <w:t xml:space="preserve">2015 amount </w:t>
            </w:r>
            <w:r w:rsidRPr="003C0A46">
              <w:t xml:space="preserve">indexed in accordance with the method set out in Part 5-6 of </w:t>
            </w:r>
            <w:r w:rsidRPr="00C864E8">
              <w:t xml:space="preserve">the </w:t>
            </w:r>
            <w:r w:rsidRPr="007D36FF">
              <w:rPr>
                <w:i/>
              </w:rPr>
              <w:t>Act</w:t>
            </w:r>
            <w:r>
              <w:t>.</w:t>
            </w:r>
          </w:p>
        </w:tc>
      </w:tr>
    </w:tbl>
    <w:p w:rsidR="00430D21" w:rsidRDefault="00430D21" w:rsidP="00430D21">
      <w:pPr>
        <w:ind w:left="1134"/>
        <w:rPr>
          <w:bCs/>
        </w:rPr>
      </w:pPr>
    </w:p>
    <w:p w:rsidR="00430D21" w:rsidRPr="00994403" w:rsidRDefault="00430D21" w:rsidP="00430D21">
      <w:pPr>
        <w:ind w:left="1080"/>
        <w:rPr>
          <w:bCs/>
        </w:rPr>
      </w:pPr>
      <w:r>
        <w:t xml:space="preserve">The amount for 2017 and later years is the amount for the previous year </w:t>
      </w:r>
      <w:r w:rsidRPr="003C0A46">
        <w:t xml:space="preserve">indexed in accordance with the method set out in Part 5-6 of </w:t>
      </w:r>
      <w:r w:rsidRPr="00C864E8">
        <w:t xml:space="preserve">the </w:t>
      </w:r>
      <w:r w:rsidRPr="007D36FF">
        <w:rPr>
          <w:i/>
        </w:rPr>
        <w:t>Act.</w:t>
      </w:r>
    </w:p>
    <w:p w:rsidR="00430D21" w:rsidRDefault="00430D21" w:rsidP="00430D21">
      <w:pPr>
        <w:keepNext/>
        <w:spacing w:before="100" w:beforeAutospacing="1" w:after="100" w:afterAutospacing="1"/>
        <w:rPr>
          <w:b/>
          <w:bCs/>
          <w:iCs/>
          <w:lang w:eastAsia="en-AU"/>
        </w:rPr>
      </w:pPr>
      <w:r>
        <w:rPr>
          <w:b/>
          <w:bCs/>
          <w:iCs/>
          <w:lang w:eastAsia="en-AU"/>
        </w:rPr>
        <w:t>ITEM 5 – Paragraph 6.5.1</w:t>
      </w:r>
    </w:p>
    <w:p w:rsidR="00430D21" w:rsidRDefault="00430D21" w:rsidP="00430D21">
      <w:pPr>
        <w:keepNext/>
        <w:spacing w:before="100" w:beforeAutospacing="1" w:after="100" w:afterAutospacing="1"/>
        <w:rPr>
          <w:bCs/>
          <w:iCs/>
          <w:lang w:eastAsia="en-AU"/>
        </w:rPr>
      </w:pPr>
      <w:r w:rsidRPr="004844C9">
        <w:rPr>
          <w:bCs/>
          <w:iCs/>
          <w:lang w:eastAsia="en-AU"/>
        </w:rPr>
        <w:t xml:space="preserve">Repeal </w:t>
      </w:r>
      <w:r w:rsidRPr="00770DC4">
        <w:rPr>
          <w:bCs/>
          <w:iCs/>
          <w:lang w:eastAsia="en-AU"/>
        </w:rPr>
        <w:t>paragraph</w:t>
      </w:r>
      <w:r w:rsidRPr="004844C9">
        <w:rPr>
          <w:bCs/>
          <w:iCs/>
          <w:lang w:eastAsia="en-AU"/>
        </w:rPr>
        <w:t xml:space="preserve"> </w:t>
      </w:r>
      <w:r>
        <w:rPr>
          <w:bCs/>
          <w:iCs/>
          <w:lang w:eastAsia="en-AU"/>
        </w:rPr>
        <w:t>6.5.1 and substitute:</w:t>
      </w:r>
    </w:p>
    <w:p w:rsidR="00430D21" w:rsidRPr="003C0A46" w:rsidRDefault="00430D21" w:rsidP="00430D21">
      <w:pPr>
        <w:ind w:left="1134" w:hanging="1134"/>
      </w:pPr>
      <w:r>
        <w:t>6.5</w:t>
      </w:r>
      <w:r w:rsidRPr="007647FC">
        <w:t>.1</w:t>
      </w:r>
      <w:r w:rsidRPr="007647FC">
        <w:tab/>
      </w:r>
      <w:r w:rsidRPr="003C0A46">
        <w:t xml:space="preserve">The amount of enabling loading (A) payable to a </w:t>
      </w:r>
      <w:r w:rsidRPr="003C0A46">
        <w:rPr>
          <w:i/>
        </w:rPr>
        <w:t>provider</w:t>
      </w:r>
      <w:r w:rsidRPr="003C0A46">
        <w:t xml:space="preserve"> for a year will be calculated in accorda</w:t>
      </w:r>
      <w:r>
        <w:t>nce with the following formula:</w:t>
      </w:r>
    </w:p>
    <w:p w:rsidR="00430D21" w:rsidRPr="007647FC" w:rsidRDefault="00430D21" w:rsidP="00430D21">
      <w:pPr>
        <w:rPr>
          <w:bCs/>
        </w:rPr>
      </w:pPr>
      <w:r>
        <w:tab/>
      </w:r>
      <w:r>
        <w:tab/>
      </w:r>
      <w:r w:rsidRPr="003C0A46">
        <w:t>A = B times C</w:t>
      </w:r>
    </w:p>
    <w:p w:rsidR="00430D21" w:rsidRPr="003C0A46" w:rsidRDefault="00430D21" w:rsidP="00430D21">
      <w:pPr>
        <w:ind w:left="567" w:firstLine="567"/>
      </w:pPr>
      <w:proofErr w:type="gramStart"/>
      <w:r w:rsidRPr="003C0A46">
        <w:t>where</w:t>
      </w:r>
      <w:proofErr w:type="gramEnd"/>
      <w:r w:rsidRPr="003C0A46">
        <w:t xml:space="preserve">: </w:t>
      </w:r>
    </w:p>
    <w:p w:rsidR="00430D21" w:rsidRPr="003C0A46" w:rsidRDefault="00430D21" w:rsidP="00430D21">
      <w:pPr>
        <w:ind w:left="1134"/>
      </w:pPr>
      <w:r w:rsidRPr="003C0A46">
        <w:rPr>
          <w:bCs/>
        </w:rPr>
        <w:t>B</w:t>
      </w:r>
      <w:r w:rsidRPr="003C0A46">
        <w:tab/>
        <w:t xml:space="preserve">is the number of Commonwealth supported places in enabling courses of study allocated to the </w:t>
      </w:r>
      <w:r w:rsidRPr="003C0A46">
        <w:rPr>
          <w:i/>
        </w:rPr>
        <w:t>provider</w:t>
      </w:r>
      <w:r w:rsidRPr="003C0A46">
        <w:t xml:space="preserve"> for the grant year in the </w:t>
      </w:r>
      <w:r w:rsidRPr="003C0A46">
        <w:rPr>
          <w:i/>
        </w:rPr>
        <w:t>provider’s</w:t>
      </w:r>
      <w:r w:rsidRPr="003C0A46">
        <w:t xml:space="preserve"> Commonwealth Grant Scheme funding agreement for that year.</w:t>
      </w:r>
    </w:p>
    <w:p w:rsidR="00430D21" w:rsidRDefault="00430D21" w:rsidP="00430D21">
      <w:pPr>
        <w:ind w:left="1134"/>
        <w:rPr>
          <w:bCs/>
        </w:rPr>
      </w:pPr>
      <w:r w:rsidRPr="007647FC">
        <w:rPr>
          <w:bCs/>
        </w:rPr>
        <w:t>C</w:t>
      </w:r>
      <w:r w:rsidRPr="007647FC">
        <w:rPr>
          <w:bCs/>
        </w:rPr>
        <w:tab/>
        <w:t xml:space="preserve">is the amount of enabling loading per Commonwealth supported place </w:t>
      </w:r>
      <w:r>
        <w:rPr>
          <w:bCs/>
        </w:rPr>
        <w:t>for the relevant year</w:t>
      </w:r>
      <w:r w:rsidRPr="007647FC">
        <w:rPr>
          <w:bCs/>
        </w:rPr>
        <w:t xml:space="preserve">. </w:t>
      </w:r>
    </w:p>
    <w:p w:rsidR="00430D21" w:rsidRDefault="00430D21" w:rsidP="00430D21">
      <w:pPr>
        <w:ind w:left="1134" w:hanging="1134"/>
      </w:pPr>
      <w:r>
        <w:t>6.5.2</w:t>
      </w:r>
      <w:r>
        <w:tab/>
      </w:r>
      <w:r w:rsidRPr="003C0A46">
        <w:t xml:space="preserve">The total amount of </w:t>
      </w:r>
      <w:r>
        <w:t xml:space="preserve">enabling </w:t>
      </w:r>
      <w:r w:rsidRPr="003C0A46">
        <w:t xml:space="preserve">loading </w:t>
      </w:r>
      <w:r>
        <w:t>per Commonwealth supported place for 2013 to 2016</w:t>
      </w:r>
      <w:r w:rsidRPr="003C0A46">
        <w:t xml:space="preserve"> </w:t>
      </w:r>
      <w:r>
        <w:t>is set out in the table below.</w:t>
      </w: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9"/>
        <w:gridCol w:w="4069"/>
      </w:tblGrid>
      <w:tr w:rsidR="00430D21" w:rsidRPr="0096544B" w:rsidTr="00E45353">
        <w:tc>
          <w:tcPr>
            <w:tcW w:w="4063" w:type="dxa"/>
            <w:shd w:val="clear" w:color="auto" w:fill="auto"/>
          </w:tcPr>
          <w:p w:rsidR="00430D21" w:rsidRPr="0096544B" w:rsidRDefault="00430D21" w:rsidP="00E45353">
            <w:pPr>
              <w:rPr>
                <w:bCs/>
              </w:rPr>
            </w:pPr>
            <w:r w:rsidRPr="0096544B">
              <w:rPr>
                <w:bCs/>
              </w:rPr>
              <w:t>2013</w:t>
            </w:r>
          </w:p>
        </w:tc>
        <w:tc>
          <w:tcPr>
            <w:tcW w:w="4089" w:type="dxa"/>
            <w:shd w:val="clear" w:color="auto" w:fill="auto"/>
          </w:tcPr>
          <w:p w:rsidR="00430D21" w:rsidRPr="0096544B" w:rsidRDefault="00430D21" w:rsidP="00E45353">
            <w:pPr>
              <w:rPr>
                <w:bCs/>
              </w:rPr>
            </w:pPr>
            <w:r w:rsidRPr="0096544B">
              <w:rPr>
                <w:bCs/>
              </w:rPr>
              <w:t>$2,500</w:t>
            </w:r>
          </w:p>
        </w:tc>
      </w:tr>
      <w:tr w:rsidR="00430D21" w:rsidRPr="0096544B" w:rsidTr="00E45353">
        <w:tc>
          <w:tcPr>
            <w:tcW w:w="4063" w:type="dxa"/>
            <w:shd w:val="clear" w:color="auto" w:fill="auto"/>
          </w:tcPr>
          <w:p w:rsidR="00430D21" w:rsidRPr="0096544B" w:rsidRDefault="00430D21" w:rsidP="00E45353">
            <w:pPr>
              <w:rPr>
                <w:bCs/>
              </w:rPr>
            </w:pPr>
            <w:r w:rsidRPr="0096544B">
              <w:rPr>
                <w:bCs/>
              </w:rPr>
              <w:t>2014</w:t>
            </w:r>
          </w:p>
        </w:tc>
        <w:tc>
          <w:tcPr>
            <w:tcW w:w="4089" w:type="dxa"/>
            <w:shd w:val="clear" w:color="auto" w:fill="auto"/>
          </w:tcPr>
          <w:p w:rsidR="00430D21" w:rsidRPr="0096544B" w:rsidRDefault="00430D21" w:rsidP="00E45353">
            <w:pPr>
              <w:rPr>
                <w:bCs/>
              </w:rPr>
            </w:pPr>
            <w:r w:rsidRPr="0096544B">
              <w:rPr>
                <w:bCs/>
              </w:rPr>
              <w:t>$3,006</w:t>
            </w:r>
          </w:p>
        </w:tc>
      </w:tr>
      <w:tr w:rsidR="00430D21" w:rsidRPr="0096544B" w:rsidTr="00E45353">
        <w:tc>
          <w:tcPr>
            <w:tcW w:w="4063" w:type="dxa"/>
            <w:shd w:val="clear" w:color="auto" w:fill="auto"/>
          </w:tcPr>
          <w:p w:rsidR="00430D21" w:rsidRDefault="00430D21" w:rsidP="00E45353">
            <w:r>
              <w:t>2015</w:t>
            </w:r>
          </w:p>
        </w:tc>
        <w:tc>
          <w:tcPr>
            <w:tcW w:w="4089" w:type="dxa"/>
            <w:shd w:val="clear" w:color="auto" w:fill="auto"/>
          </w:tcPr>
          <w:p w:rsidR="00430D21" w:rsidRDefault="00430D21" w:rsidP="00E45353">
            <w:r>
              <w:t xml:space="preserve">2014 amount multiplied by </w:t>
            </w:r>
            <w:r w:rsidRPr="00FE0845">
              <w:t>0.9875</w:t>
            </w:r>
            <w:r>
              <w:t xml:space="preserve"> and </w:t>
            </w:r>
            <w:r w:rsidRPr="003C0A46">
              <w:t xml:space="preserve">indexed in accordance with the method set out in Part 5-6 of </w:t>
            </w:r>
            <w:r w:rsidRPr="00C864E8">
              <w:t xml:space="preserve">the </w:t>
            </w:r>
            <w:r w:rsidRPr="007D36FF">
              <w:rPr>
                <w:i/>
              </w:rPr>
              <w:t>Act</w:t>
            </w:r>
            <w:r>
              <w:t>.</w:t>
            </w:r>
          </w:p>
        </w:tc>
      </w:tr>
      <w:tr w:rsidR="00430D21" w:rsidRPr="0096544B" w:rsidTr="00E45353">
        <w:tc>
          <w:tcPr>
            <w:tcW w:w="4063" w:type="dxa"/>
            <w:shd w:val="clear" w:color="auto" w:fill="auto"/>
          </w:tcPr>
          <w:p w:rsidR="00430D21" w:rsidRDefault="00430D21" w:rsidP="00E45353">
            <w:r>
              <w:t xml:space="preserve">2016 </w:t>
            </w:r>
          </w:p>
        </w:tc>
        <w:tc>
          <w:tcPr>
            <w:tcW w:w="4089" w:type="dxa"/>
            <w:shd w:val="clear" w:color="auto" w:fill="auto"/>
          </w:tcPr>
          <w:p w:rsidR="00430D21" w:rsidRDefault="00430D21" w:rsidP="00E45353">
            <w:r>
              <w:t xml:space="preserve">2015 amount </w:t>
            </w:r>
            <w:r w:rsidRPr="003C0A46">
              <w:t xml:space="preserve">indexed in accordance with the method set out in Part 5-6 of </w:t>
            </w:r>
            <w:r w:rsidRPr="00C864E8">
              <w:t xml:space="preserve">the </w:t>
            </w:r>
            <w:r w:rsidRPr="007D36FF">
              <w:rPr>
                <w:i/>
              </w:rPr>
              <w:t>Act</w:t>
            </w:r>
            <w:r>
              <w:t>.</w:t>
            </w:r>
          </w:p>
        </w:tc>
      </w:tr>
    </w:tbl>
    <w:p w:rsidR="00430D21" w:rsidRDefault="00430D21" w:rsidP="00430D21">
      <w:pPr>
        <w:ind w:left="1134"/>
        <w:rPr>
          <w:bCs/>
        </w:rPr>
      </w:pPr>
    </w:p>
    <w:p w:rsidR="00430D21" w:rsidRDefault="00430D21" w:rsidP="00430D21">
      <w:pPr>
        <w:ind w:left="1080"/>
        <w:rPr>
          <w:bCs/>
        </w:rPr>
      </w:pPr>
      <w:r>
        <w:t xml:space="preserve">The amount for 2017 and later years is the amount for the previous year </w:t>
      </w:r>
      <w:r w:rsidRPr="003C0A46">
        <w:t xml:space="preserve">indexed in accordance with the method set out in Part 5-6 of </w:t>
      </w:r>
      <w:r w:rsidRPr="00C864E8">
        <w:t xml:space="preserve">the </w:t>
      </w:r>
      <w:r w:rsidRPr="007D36FF">
        <w:rPr>
          <w:i/>
        </w:rPr>
        <w:t>Act</w:t>
      </w:r>
      <w:r>
        <w:t>.</w:t>
      </w:r>
    </w:p>
    <w:p w:rsidR="003E6123" w:rsidRDefault="003E6123"/>
    <w:sectPr w:rsidR="003E61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4F49"/>
    <w:multiLevelType w:val="multilevel"/>
    <w:tmpl w:val="D98AFEB0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22BE1304"/>
    <w:multiLevelType w:val="hybridMultilevel"/>
    <w:tmpl w:val="C8D66C54"/>
    <w:lvl w:ilvl="0" w:tplc="0C090017">
      <w:start w:val="1"/>
      <w:numFmt w:val="lowerLetter"/>
      <w:lvlText w:val="%1)"/>
      <w:lvlJc w:val="left"/>
      <w:pPr>
        <w:tabs>
          <w:tab w:val="num" w:pos="787"/>
        </w:tabs>
        <w:ind w:left="787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D21"/>
    <w:rsid w:val="000D3986"/>
    <w:rsid w:val="003E6123"/>
    <w:rsid w:val="0043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D21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Normal"/>
    <w:link w:val="BulletChar"/>
    <w:rsid w:val="00430D21"/>
    <w:pPr>
      <w:numPr>
        <w:numId w:val="1"/>
      </w:numPr>
    </w:pPr>
  </w:style>
  <w:style w:type="paragraph" w:customStyle="1" w:styleId="Dash">
    <w:name w:val="Dash"/>
    <w:basedOn w:val="Normal"/>
    <w:rsid w:val="00430D21"/>
    <w:pPr>
      <w:numPr>
        <w:ilvl w:val="1"/>
        <w:numId w:val="1"/>
      </w:numPr>
    </w:pPr>
  </w:style>
  <w:style w:type="paragraph" w:customStyle="1" w:styleId="DoubleDot">
    <w:name w:val="Double Dot"/>
    <w:basedOn w:val="Normal"/>
    <w:rsid w:val="00430D21"/>
    <w:pPr>
      <w:numPr>
        <w:ilvl w:val="2"/>
        <w:numId w:val="1"/>
      </w:numPr>
    </w:pPr>
  </w:style>
  <w:style w:type="character" w:customStyle="1" w:styleId="BulletChar">
    <w:name w:val="Bullet Char"/>
    <w:link w:val="Bullet"/>
    <w:rsid w:val="00430D2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D2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D2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D21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Normal"/>
    <w:link w:val="BulletChar"/>
    <w:rsid w:val="00430D21"/>
    <w:pPr>
      <w:numPr>
        <w:numId w:val="1"/>
      </w:numPr>
    </w:pPr>
  </w:style>
  <w:style w:type="paragraph" w:customStyle="1" w:styleId="Dash">
    <w:name w:val="Dash"/>
    <w:basedOn w:val="Normal"/>
    <w:rsid w:val="00430D21"/>
    <w:pPr>
      <w:numPr>
        <w:ilvl w:val="1"/>
        <w:numId w:val="1"/>
      </w:numPr>
    </w:pPr>
  </w:style>
  <w:style w:type="paragraph" w:customStyle="1" w:styleId="DoubleDot">
    <w:name w:val="Double Dot"/>
    <w:basedOn w:val="Normal"/>
    <w:rsid w:val="00430D21"/>
    <w:pPr>
      <w:numPr>
        <w:ilvl w:val="2"/>
        <w:numId w:val="1"/>
      </w:numPr>
    </w:pPr>
  </w:style>
  <w:style w:type="character" w:customStyle="1" w:styleId="BulletChar">
    <w:name w:val="Bullet Char"/>
    <w:link w:val="Bullet"/>
    <w:rsid w:val="00430D2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D2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D2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6848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Pulford</dc:creator>
  <cp:lastModifiedBy>Nicole Pulford</cp:lastModifiedBy>
  <cp:revision>2</cp:revision>
  <dcterms:created xsi:type="dcterms:W3CDTF">2013-12-10T22:17:00Z</dcterms:created>
  <dcterms:modified xsi:type="dcterms:W3CDTF">2013-12-10T22:22:00Z</dcterms:modified>
</cp:coreProperties>
</file>