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F5" w:rsidRDefault="00CE6CF5" w:rsidP="00CE6CF5">
      <w:r>
        <w:rPr>
          <w:noProof/>
        </w:rPr>
        <w:drawing>
          <wp:inline distT="0" distB="0" distL="0" distR="0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61" w:rsidRDefault="00DC6761" w:rsidP="00CE6CF5">
      <w:pPr>
        <w:pBdr>
          <w:bottom w:val="single" w:sz="4" w:space="3" w:color="auto"/>
        </w:pBdr>
        <w:spacing w:before="480"/>
        <w:rPr>
          <w:rFonts w:ascii="Arial" w:hAnsi="Arial" w:cs="Arial"/>
          <w:b/>
          <w:bCs/>
          <w:sz w:val="40"/>
          <w:szCs w:val="40"/>
        </w:rPr>
      </w:pPr>
      <w:r w:rsidRPr="00DC6761">
        <w:rPr>
          <w:rFonts w:ascii="Arial" w:hAnsi="Arial" w:cs="Arial"/>
          <w:b/>
          <w:bCs/>
          <w:sz w:val="40"/>
          <w:szCs w:val="40"/>
        </w:rPr>
        <w:t>Radiocommunications (</w:t>
      </w:r>
      <w:r w:rsidR="00704346">
        <w:rPr>
          <w:rFonts w:ascii="Arial" w:hAnsi="Arial" w:cs="Arial"/>
          <w:b/>
          <w:bCs/>
          <w:sz w:val="40"/>
          <w:szCs w:val="40"/>
        </w:rPr>
        <w:t>26.5</w:t>
      </w:r>
      <w:r w:rsidR="00A65BDF" w:rsidRPr="00A65BDF">
        <w:rPr>
          <w:b/>
          <w:sz w:val="40"/>
          <w:szCs w:val="40"/>
        </w:rPr>
        <w:t>–</w:t>
      </w:r>
      <w:r w:rsidRPr="00DC6761">
        <w:rPr>
          <w:rFonts w:ascii="Arial" w:hAnsi="Arial" w:cs="Arial"/>
          <w:b/>
          <w:bCs/>
          <w:sz w:val="40"/>
          <w:szCs w:val="40"/>
        </w:rPr>
        <w:t>31</w:t>
      </w:r>
      <w:r w:rsidR="00D022F7">
        <w:rPr>
          <w:rFonts w:ascii="Arial" w:hAnsi="Arial" w:cs="Arial"/>
          <w:b/>
          <w:bCs/>
          <w:sz w:val="40"/>
          <w:szCs w:val="40"/>
        </w:rPr>
        <w:t>.3</w:t>
      </w:r>
      <w:r w:rsidRPr="00DC6761">
        <w:rPr>
          <w:rFonts w:ascii="Arial" w:hAnsi="Arial" w:cs="Arial"/>
          <w:b/>
          <w:bCs/>
          <w:sz w:val="40"/>
          <w:szCs w:val="40"/>
        </w:rPr>
        <w:t xml:space="preserve"> GHz </w:t>
      </w:r>
      <w:r w:rsidR="00064D5B">
        <w:rPr>
          <w:rFonts w:ascii="Arial" w:hAnsi="Arial" w:cs="Arial"/>
          <w:b/>
          <w:bCs/>
          <w:sz w:val="40"/>
          <w:szCs w:val="40"/>
        </w:rPr>
        <w:t>B</w:t>
      </w:r>
      <w:r w:rsidRPr="00DC6761">
        <w:rPr>
          <w:rFonts w:ascii="Arial" w:hAnsi="Arial" w:cs="Arial"/>
          <w:b/>
          <w:bCs/>
          <w:sz w:val="40"/>
          <w:szCs w:val="40"/>
        </w:rPr>
        <w:t xml:space="preserve">and) Reform Instrument 2013 </w:t>
      </w:r>
    </w:p>
    <w:p w:rsidR="00CE6CF5" w:rsidRDefault="00CE6CF5" w:rsidP="00CE6CF5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Radiocommunications Act 1992</w:t>
      </w:r>
    </w:p>
    <w:p w:rsidR="00CE6CF5" w:rsidRPr="00CE6CF5" w:rsidRDefault="00CE6CF5" w:rsidP="00CE6CF5">
      <w:pPr>
        <w:spacing w:before="360"/>
        <w:jc w:val="both"/>
        <w:rPr>
          <w:i/>
        </w:rPr>
      </w:pPr>
      <w:r>
        <w:t xml:space="preserve">The AUSTRALIAN COMMUNICATIONS AND MEDIA AUTHORITY makes this Determination under </w:t>
      </w:r>
      <w:r w:rsidR="00DC6761">
        <w:t>sections 39, 39A</w:t>
      </w:r>
      <w:r w:rsidR="00AE252E">
        <w:t>,</w:t>
      </w:r>
      <w:r w:rsidR="00DC6761">
        <w:t xml:space="preserve"> 145 and 262 and paragraph 107(1</w:t>
      </w:r>
      <w:proofErr w:type="gramStart"/>
      <w:r w:rsidR="00DC6761">
        <w:t>)(</w:t>
      </w:r>
      <w:proofErr w:type="gramEnd"/>
      <w:r w:rsidR="00DC6761">
        <w:t xml:space="preserve">f) of the </w:t>
      </w:r>
      <w:r w:rsidR="00DC6761">
        <w:rPr>
          <w:i/>
        </w:rPr>
        <w:t xml:space="preserve">Radiocommunications </w:t>
      </w:r>
      <w:r>
        <w:rPr>
          <w:i/>
        </w:rPr>
        <w:t xml:space="preserve">Act 1992 </w:t>
      </w:r>
      <w:r>
        <w:t xml:space="preserve">and under subsection 33(3) of the </w:t>
      </w:r>
      <w:r>
        <w:rPr>
          <w:i/>
        </w:rPr>
        <w:t>Acts Interpretation Act 1901.</w:t>
      </w:r>
    </w:p>
    <w:p w:rsidR="00CE6CF5" w:rsidRDefault="00CE6CF5" w:rsidP="00CE6CF5">
      <w:pPr>
        <w:tabs>
          <w:tab w:val="left" w:pos="3119"/>
        </w:tabs>
        <w:spacing w:before="300" w:after="600" w:line="300" w:lineRule="atLeast"/>
      </w:pPr>
      <w:r>
        <w:t xml:space="preserve">Dated </w:t>
      </w:r>
      <w:r w:rsidR="001E6D66" w:rsidRPr="001E6D66">
        <w:rPr>
          <w:i/>
        </w:rPr>
        <w:t>10</w:t>
      </w:r>
      <w:r w:rsidR="001E6D66" w:rsidRPr="001E6D66">
        <w:rPr>
          <w:i/>
          <w:vertAlign w:val="superscript"/>
        </w:rPr>
        <w:t>th</w:t>
      </w:r>
      <w:r w:rsidR="001E6D66" w:rsidRPr="001E6D66">
        <w:rPr>
          <w:i/>
        </w:rPr>
        <w:t xml:space="preserve"> December 2013</w:t>
      </w:r>
    </w:p>
    <w:p w:rsidR="00CE6CF5" w:rsidRDefault="00CE6CF5" w:rsidP="00CE6CF5">
      <w:pPr>
        <w:tabs>
          <w:tab w:val="left" w:pos="3119"/>
        </w:tabs>
        <w:spacing w:after="600" w:line="300" w:lineRule="atLeast"/>
      </w:pPr>
    </w:p>
    <w:p w:rsidR="00CE6CF5" w:rsidRDefault="001E6D66" w:rsidP="00CE6CF5">
      <w:pPr>
        <w:tabs>
          <w:tab w:val="left" w:pos="3119"/>
        </w:tabs>
        <w:spacing w:after="600" w:line="300" w:lineRule="atLeast"/>
        <w:jc w:val="right"/>
      </w:pPr>
      <w:r w:rsidRPr="001E6D66">
        <w:rPr>
          <w:i/>
        </w:rPr>
        <w:t>Chris Chapman</w:t>
      </w:r>
      <w:r>
        <w:t xml:space="preserve"> </w:t>
      </w:r>
      <w:r>
        <w:br/>
        <w:t xml:space="preserve">[signed] </w:t>
      </w:r>
      <w:r>
        <w:br/>
      </w:r>
      <w:r w:rsidR="00CE6CF5">
        <w:t>Member</w:t>
      </w:r>
    </w:p>
    <w:p w:rsidR="00CE6CF5" w:rsidRPr="00CE6CF5" w:rsidRDefault="001E6D66" w:rsidP="00CE6CF5">
      <w:pPr>
        <w:tabs>
          <w:tab w:val="left" w:pos="3119"/>
        </w:tabs>
        <w:spacing w:before="600" w:line="300" w:lineRule="atLeast"/>
        <w:jc w:val="right"/>
      </w:pPr>
      <w:r w:rsidRPr="001E6D66">
        <w:rPr>
          <w:i/>
        </w:rPr>
        <w:t>Richard Bean</w:t>
      </w:r>
      <w:r>
        <w:t xml:space="preserve"> </w:t>
      </w:r>
      <w:r>
        <w:br/>
        <w:t xml:space="preserve">[signed] </w:t>
      </w:r>
      <w:r>
        <w:br/>
      </w:r>
      <w:r w:rsidR="00CE6CF5" w:rsidRPr="00CE6CF5">
        <w:t xml:space="preserve">Member/ </w:t>
      </w:r>
      <w:r w:rsidR="00CE6CF5" w:rsidRPr="001E6D66">
        <w:rPr>
          <w:strike/>
        </w:rPr>
        <w:t>General Manager</w:t>
      </w:r>
    </w:p>
    <w:p w:rsidR="00CE6CF5" w:rsidRDefault="00CE6CF5" w:rsidP="00CE6CF5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0" w:name="Minister"/>
    </w:p>
    <w:p w:rsidR="00CE6CF5" w:rsidRDefault="00CE6CF5" w:rsidP="00CE6CF5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r>
        <w:t>Australian Communications and Media Authority</w:t>
      </w:r>
      <w:bookmarkEnd w:id="0"/>
    </w:p>
    <w:p w:rsidR="00CE6CF5" w:rsidRDefault="00CE6CF5" w:rsidP="00CE6CF5">
      <w:pPr>
        <w:pStyle w:val="HR"/>
      </w:pPr>
      <w:r>
        <w:t>1</w:t>
      </w:r>
      <w:r>
        <w:tab/>
        <w:t xml:space="preserve">Name of </w:t>
      </w:r>
      <w:r w:rsidR="00F95C92">
        <w:t>Instrument</w:t>
      </w:r>
    </w:p>
    <w:p w:rsidR="00CE6CF5" w:rsidRDefault="00CE6CF5" w:rsidP="00CE6CF5">
      <w:pPr>
        <w:pStyle w:val="R1"/>
      </w:pPr>
      <w:r>
        <w:tab/>
      </w:r>
      <w:r>
        <w:tab/>
        <w:t xml:space="preserve">This </w:t>
      </w:r>
      <w:r w:rsidR="00F95C92">
        <w:t>Instrumen</w:t>
      </w:r>
      <w:r w:rsidR="00772EDB">
        <w:t>t</w:t>
      </w:r>
      <w:r>
        <w:t xml:space="preserve"> is the </w:t>
      </w:r>
      <w:r w:rsidR="00DC6761" w:rsidRPr="00DC6761">
        <w:rPr>
          <w:i/>
        </w:rPr>
        <w:t>Radiocommunications (</w:t>
      </w:r>
      <w:r w:rsidR="00704346">
        <w:rPr>
          <w:i/>
        </w:rPr>
        <w:t>26.5</w:t>
      </w:r>
      <w:r w:rsidR="00D06975" w:rsidRPr="009C0AB3">
        <w:rPr>
          <w:i/>
        </w:rPr>
        <w:t>–</w:t>
      </w:r>
      <w:r w:rsidR="00D022F7">
        <w:rPr>
          <w:i/>
        </w:rPr>
        <w:t>31.3 GHz</w:t>
      </w:r>
      <w:r w:rsidR="00DC6761" w:rsidRPr="00DC6761">
        <w:rPr>
          <w:i/>
        </w:rPr>
        <w:t xml:space="preserve"> </w:t>
      </w:r>
      <w:r w:rsidR="00064D5B">
        <w:rPr>
          <w:i/>
        </w:rPr>
        <w:t>B</w:t>
      </w:r>
      <w:r w:rsidR="00DC6761" w:rsidRPr="00DC6761">
        <w:rPr>
          <w:i/>
        </w:rPr>
        <w:t>and) Reform Instrument 2013</w:t>
      </w:r>
      <w:r>
        <w:t>.</w:t>
      </w:r>
    </w:p>
    <w:p w:rsidR="00CE6CF5" w:rsidRDefault="00CE6CF5" w:rsidP="00CE6CF5">
      <w:pPr>
        <w:pStyle w:val="HR"/>
      </w:pPr>
      <w:r>
        <w:t>2</w:t>
      </w:r>
      <w:r>
        <w:tab/>
        <w:t>Commencement</w:t>
      </w:r>
    </w:p>
    <w:p w:rsidR="00CE6CF5" w:rsidRPr="00CE6CF5" w:rsidRDefault="00CE6CF5" w:rsidP="00CE6CF5">
      <w:pPr>
        <w:pStyle w:val="R1"/>
        <w:rPr>
          <w:vertAlign w:val="superscript"/>
        </w:rPr>
      </w:pPr>
      <w:r>
        <w:tab/>
      </w:r>
      <w:r>
        <w:tab/>
        <w:t xml:space="preserve">This </w:t>
      </w:r>
      <w:r w:rsidR="00F95C92">
        <w:t>Instrument</w:t>
      </w:r>
      <w:r>
        <w:t xml:space="preserve"> commences on 1 February 2014.</w:t>
      </w:r>
      <w:r>
        <w:rPr>
          <w:vertAlign w:val="superscript"/>
        </w:rPr>
        <w:t>1</w:t>
      </w:r>
    </w:p>
    <w:p w:rsidR="00DC6761" w:rsidRDefault="00CE6CF5" w:rsidP="00CE6CF5">
      <w:pPr>
        <w:pStyle w:val="HR"/>
      </w:pPr>
      <w:r>
        <w:lastRenderedPageBreak/>
        <w:t>3</w:t>
      </w:r>
      <w:r>
        <w:tab/>
      </w:r>
      <w:r w:rsidR="00DC6761">
        <w:t>Repeal</w:t>
      </w:r>
    </w:p>
    <w:p w:rsidR="00DC6761" w:rsidRDefault="00DC6761" w:rsidP="00DC6761">
      <w:pPr>
        <w:pStyle w:val="R1"/>
      </w:pPr>
      <w:r>
        <w:tab/>
      </w:r>
      <w:r>
        <w:tab/>
        <w:t>The following legislative instruments are repealed:</w:t>
      </w:r>
    </w:p>
    <w:p w:rsidR="00DC6761" w:rsidRDefault="00DC6761" w:rsidP="00DC6761">
      <w:pPr>
        <w:pStyle w:val="R2"/>
        <w:numPr>
          <w:ilvl w:val="0"/>
          <w:numId w:val="2"/>
        </w:numPr>
      </w:pPr>
      <w:r>
        <w:rPr>
          <w:i/>
        </w:rPr>
        <w:t>Radiocommunications Advisory Guidelines (Managing Interference between 27 GHz and 28 GHz Spectrum-Licensed Services) 2000</w:t>
      </w:r>
      <w:r>
        <w:t xml:space="preserve"> (Federal Register of Legislative Instruments No. F2005B00152);</w:t>
      </w:r>
    </w:p>
    <w:p w:rsidR="00DC6761" w:rsidRPr="00AA7473" w:rsidRDefault="00DC6761" w:rsidP="00DC6761">
      <w:pPr>
        <w:pStyle w:val="R2"/>
        <w:numPr>
          <w:ilvl w:val="0"/>
          <w:numId w:val="2"/>
        </w:numPr>
        <w:rPr>
          <w:i/>
        </w:rPr>
      </w:pPr>
      <w:r w:rsidRPr="00A26376">
        <w:rPr>
          <w:i/>
        </w:rPr>
        <w:t xml:space="preserve">Radiocommunications Advisory Guidelines (Managing Interference from Non-spectrum-licensed Transmitters – 28 GHz and 31 GHz Bands) 1998 </w:t>
      </w:r>
      <w:r>
        <w:t>(Federal Register of Legislative Instruments No. F2005B01058);</w:t>
      </w:r>
    </w:p>
    <w:p w:rsidR="00DC6761" w:rsidRPr="00AA7473" w:rsidRDefault="00DC6761" w:rsidP="00DC6761">
      <w:pPr>
        <w:pStyle w:val="R2"/>
        <w:numPr>
          <w:ilvl w:val="0"/>
          <w:numId w:val="2"/>
        </w:numPr>
        <w:rPr>
          <w:i/>
        </w:rPr>
      </w:pPr>
      <w:r>
        <w:rPr>
          <w:i/>
        </w:rPr>
        <w:t>Radiocommunications Advisory Guidelines (Protection of Non-spectrum-licensed Receivers – 28 GHz and 31 GHz Bands) 1998</w:t>
      </w:r>
      <w:r>
        <w:t xml:space="preserve"> (Federal Register of Legislative Instruments No. F2005B00444); </w:t>
      </w:r>
    </w:p>
    <w:p w:rsidR="00DC6761" w:rsidRPr="00A26376" w:rsidRDefault="00DC6761" w:rsidP="00DC6761">
      <w:pPr>
        <w:pStyle w:val="R2"/>
        <w:numPr>
          <w:ilvl w:val="0"/>
          <w:numId w:val="2"/>
        </w:numPr>
        <w:rPr>
          <w:i/>
        </w:rPr>
      </w:pPr>
      <w:r>
        <w:rPr>
          <w:i/>
        </w:rPr>
        <w:t xml:space="preserve">Radiocommunications Spectrum Marketing Plan (28 GHz and 31 GHz Bands) 1998 </w:t>
      </w:r>
      <w:r>
        <w:t xml:space="preserve">(Federal Register of Legislative Instruments No. </w:t>
      </w:r>
      <w:r w:rsidRPr="008B1DE6">
        <w:t>F2005B00439)</w:t>
      </w:r>
      <w:r>
        <w:t xml:space="preserve">; </w:t>
      </w:r>
      <w:r w:rsidRPr="008B1DE6">
        <w:t>and</w:t>
      </w:r>
    </w:p>
    <w:p w:rsidR="00DC6761" w:rsidRPr="00DC6761" w:rsidRDefault="00DC6761" w:rsidP="00DC6761">
      <w:pPr>
        <w:pStyle w:val="R2"/>
        <w:numPr>
          <w:ilvl w:val="0"/>
          <w:numId w:val="2"/>
        </w:numPr>
      </w:pPr>
      <w:r w:rsidRPr="00A26376">
        <w:rPr>
          <w:i/>
        </w:rPr>
        <w:t>Radiocommunications (Unacce</w:t>
      </w:r>
      <w:r w:rsidRPr="00AA7473">
        <w:t>p</w:t>
      </w:r>
      <w:r w:rsidRPr="00A26376">
        <w:rPr>
          <w:i/>
        </w:rPr>
        <w:t>table Levels of Interference – 28 GHz and 31 GHz Bands) Determination 1998</w:t>
      </w:r>
      <w:r>
        <w:t xml:space="preserve"> (Federal Register of Legislative Instruments No. F2005B00441).</w:t>
      </w:r>
    </w:p>
    <w:p w:rsidR="00CE6CF5" w:rsidRPr="00CE6CF5" w:rsidRDefault="00DC6761" w:rsidP="00CE6CF5">
      <w:pPr>
        <w:pStyle w:val="HR"/>
        <w:rPr>
          <w:i/>
        </w:rPr>
      </w:pPr>
      <w:r>
        <w:t>4</w:t>
      </w:r>
      <w:r>
        <w:tab/>
      </w:r>
      <w:r w:rsidR="00CE6CF5">
        <w:t xml:space="preserve">Amendment of the </w:t>
      </w:r>
      <w:r w:rsidR="00CE6CF5">
        <w:rPr>
          <w:i/>
        </w:rPr>
        <w:t>Radiocommunications Licence Conditions (Fixed Licence) Determination 1997</w:t>
      </w:r>
    </w:p>
    <w:p w:rsidR="00CE6CF5" w:rsidRDefault="00CE6CF5" w:rsidP="00CE6CF5">
      <w:pPr>
        <w:pStyle w:val="R1"/>
      </w:pPr>
      <w:r>
        <w:tab/>
      </w:r>
      <w:r>
        <w:tab/>
        <w:t xml:space="preserve">Schedule 1 amends the </w:t>
      </w:r>
      <w:r>
        <w:rPr>
          <w:i/>
        </w:rPr>
        <w:t>Radiocommunications Licence Conditions (Fixed Licence) Determination 1997</w:t>
      </w:r>
      <w:r>
        <w:t>.</w:t>
      </w:r>
    </w:p>
    <w:p w:rsidR="003630FA" w:rsidRDefault="003630FA">
      <w:pPr>
        <w:spacing w:after="200" w:line="276" w:lineRule="auto"/>
      </w:pPr>
      <w:r>
        <w:br w:type="page"/>
      </w:r>
    </w:p>
    <w:p w:rsidR="00CE6CF5" w:rsidRDefault="003630FA" w:rsidP="00CE6CF5">
      <w:pPr>
        <w:pStyle w:val="MainBodySectionBreak"/>
        <w:rPr>
          <w:rFonts w:ascii="Arial" w:hAnsi="Arial" w:cs="Arial"/>
          <w:b/>
          <w:sz w:val="32"/>
          <w:szCs w:val="32"/>
        </w:rPr>
      </w:pPr>
      <w:r w:rsidRPr="003630FA">
        <w:rPr>
          <w:rFonts w:ascii="Arial" w:hAnsi="Arial" w:cs="Arial"/>
          <w:b/>
          <w:sz w:val="32"/>
          <w:szCs w:val="32"/>
        </w:rPr>
        <w:lastRenderedPageBreak/>
        <w:t>Schedule 1</w:t>
      </w:r>
      <w:r w:rsidRPr="003630FA">
        <w:rPr>
          <w:rFonts w:ascii="Arial" w:hAnsi="Arial" w:cs="Arial"/>
          <w:b/>
          <w:sz w:val="32"/>
          <w:szCs w:val="32"/>
        </w:rPr>
        <w:tab/>
        <w:t>Amendments</w:t>
      </w:r>
    </w:p>
    <w:p w:rsidR="003630FA" w:rsidRDefault="003630FA" w:rsidP="003630FA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="00DC6761">
        <w:rPr>
          <w:rFonts w:ascii="Arial" w:hAnsi="Arial" w:cs="Arial"/>
          <w:sz w:val="18"/>
          <w:szCs w:val="18"/>
        </w:rPr>
        <w:t>(</w:t>
      </w:r>
      <w:proofErr w:type="gramStart"/>
      <w:r w:rsidR="00DC6761">
        <w:rPr>
          <w:rFonts w:ascii="Arial" w:hAnsi="Arial" w:cs="Arial"/>
          <w:sz w:val="18"/>
          <w:szCs w:val="18"/>
        </w:rPr>
        <w:t>section</w:t>
      </w:r>
      <w:proofErr w:type="gramEnd"/>
      <w:r w:rsidR="00DC6761">
        <w:rPr>
          <w:rFonts w:ascii="Arial" w:hAnsi="Arial" w:cs="Arial"/>
          <w:sz w:val="18"/>
          <w:szCs w:val="18"/>
        </w:rPr>
        <w:t xml:space="preserve"> 4</w:t>
      </w:r>
      <w:r w:rsidRPr="003630FA">
        <w:rPr>
          <w:rFonts w:ascii="Arial" w:hAnsi="Arial" w:cs="Arial"/>
          <w:sz w:val="18"/>
          <w:szCs w:val="18"/>
        </w:rPr>
        <w:t>)</w:t>
      </w:r>
    </w:p>
    <w:p w:rsidR="003630FA" w:rsidRDefault="003630FA" w:rsidP="003630FA">
      <w:pPr>
        <w:rPr>
          <w:rFonts w:ascii="Arial" w:hAnsi="Arial" w:cs="Arial"/>
          <w:sz w:val="18"/>
          <w:szCs w:val="18"/>
        </w:rPr>
      </w:pPr>
    </w:p>
    <w:p w:rsidR="00C333DA" w:rsidRDefault="001E32F4" w:rsidP="001E32F4">
      <w:pPr>
        <w:rPr>
          <w:rFonts w:ascii="Arial" w:hAnsi="Arial" w:cs="Arial"/>
          <w:b/>
        </w:rPr>
      </w:pPr>
      <w:r w:rsidRPr="003630FA">
        <w:rPr>
          <w:rFonts w:ascii="Arial" w:hAnsi="Arial" w:cs="Arial"/>
          <w:b/>
        </w:rPr>
        <w:t>[1]</w:t>
      </w:r>
      <w:r>
        <w:rPr>
          <w:rFonts w:ascii="Arial" w:hAnsi="Arial" w:cs="Arial"/>
          <w:b/>
        </w:rPr>
        <w:tab/>
      </w:r>
      <w:r w:rsidR="00C333DA">
        <w:rPr>
          <w:rFonts w:ascii="Arial" w:hAnsi="Arial" w:cs="Arial"/>
          <w:b/>
        </w:rPr>
        <w:t>Paragraph 2(1</w:t>
      </w:r>
      <w:proofErr w:type="gramStart"/>
      <w:r w:rsidR="00C333DA">
        <w:rPr>
          <w:rFonts w:ascii="Arial" w:hAnsi="Arial" w:cs="Arial"/>
          <w:b/>
        </w:rPr>
        <w:t>)(</w:t>
      </w:r>
      <w:proofErr w:type="gramEnd"/>
      <w:r w:rsidR="00C333DA">
        <w:rPr>
          <w:rFonts w:ascii="Arial" w:hAnsi="Arial" w:cs="Arial"/>
          <w:b/>
        </w:rPr>
        <w:t>b)</w:t>
      </w:r>
    </w:p>
    <w:p w:rsidR="00C333DA" w:rsidRDefault="00C333DA" w:rsidP="001E32F4">
      <w:pPr>
        <w:rPr>
          <w:rFonts w:ascii="Arial" w:hAnsi="Arial" w:cs="Arial"/>
          <w:b/>
        </w:rPr>
      </w:pPr>
    </w:p>
    <w:p w:rsidR="00D06975" w:rsidRDefault="00D06975" w:rsidP="00C333DA">
      <w:pPr>
        <w:ind w:firstLine="720"/>
        <w:rPr>
          <w:i/>
        </w:rPr>
      </w:pPr>
      <w:proofErr w:type="gramStart"/>
      <w:r>
        <w:rPr>
          <w:i/>
        </w:rPr>
        <w:t>o</w:t>
      </w:r>
      <w:r w:rsidR="00C333DA">
        <w:rPr>
          <w:i/>
        </w:rPr>
        <w:t>mit</w:t>
      </w:r>
      <w:proofErr w:type="gramEnd"/>
    </w:p>
    <w:p w:rsidR="00D90293" w:rsidRDefault="00D90293" w:rsidP="00C333DA">
      <w:pPr>
        <w:ind w:firstLine="720"/>
        <w:rPr>
          <w:i/>
        </w:rPr>
      </w:pPr>
    </w:p>
    <w:p w:rsidR="00D06975" w:rsidRDefault="00C333DA" w:rsidP="00C333DA">
      <w:pPr>
        <w:ind w:firstLine="720"/>
      </w:pPr>
      <w:r>
        <w:t>(</w:t>
      </w:r>
      <w:proofErr w:type="gramStart"/>
      <w:r>
        <w:t>bb</w:t>
      </w:r>
      <w:proofErr w:type="gramEnd"/>
      <w:r>
        <w:t>) or (</w:t>
      </w:r>
      <w:proofErr w:type="spellStart"/>
      <w:r>
        <w:t>bc</w:t>
      </w:r>
      <w:proofErr w:type="spellEnd"/>
      <w:r>
        <w:t>)</w:t>
      </w:r>
    </w:p>
    <w:p w:rsidR="00D06975" w:rsidRDefault="00D06975" w:rsidP="00C333DA">
      <w:pPr>
        <w:ind w:firstLine="720"/>
      </w:pPr>
    </w:p>
    <w:p w:rsidR="00D06975" w:rsidRPr="00D06975" w:rsidRDefault="009C0AB3" w:rsidP="00C333DA">
      <w:pPr>
        <w:ind w:firstLine="720"/>
        <w:rPr>
          <w:i/>
        </w:rPr>
      </w:pPr>
      <w:proofErr w:type="gramStart"/>
      <w:r>
        <w:rPr>
          <w:i/>
        </w:rPr>
        <w:t>insert</w:t>
      </w:r>
      <w:proofErr w:type="gramEnd"/>
      <w:r w:rsidR="00A65BDF" w:rsidRPr="00A65BDF">
        <w:rPr>
          <w:i/>
        </w:rPr>
        <w:t xml:space="preserve"> </w:t>
      </w:r>
    </w:p>
    <w:p w:rsidR="00D90293" w:rsidRDefault="00D90293" w:rsidP="00C333DA">
      <w:pPr>
        <w:ind w:firstLine="720"/>
      </w:pPr>
    </w:p>
    <w:p w:rsidR="00C333DA" w:rsidRPr="00C333DA" w:rsidRDefault="00C333DA" w:rsidP="00C333DA">
      <w:pPr>
        <w:ind w:firstLine="720"/>
      </w:pPr>
      <w:r>
        <w:t>(</w:t>
      </w:r>
      <w:proofErr w:type="spellStart"/>
      <w:proofErr w:type="gramStart"/>
      <w:r>
        <w:t>bc</w:t>
      </w:r>
      <w:proofErr w:type="spellEnd"/>
      <w:proofErr w:type="gramEnd"/>
      <w:r>
        <w:t>) or (</w:t>
      </w:r>
      <w:proofErr w:type="spellStart"/>
      <w:r>
        <w:t>bd</w:t>
      </w:r>
      <w:proofErr w:type="spellEnd"/>
      <w:r>
        <w:t>)</w:t>
      </w:r>
    </w:p>
    <w:p w:rsidR="00C333DA" w:rsidRDefault="00C333DA" w:rsidP="001E32F4">
      <w:pPr>
        <w:rPr>
          <w:rFonts w:ascii="Arial" w:hAnsi="Arial" w:cs="Arial"/>
          <w:b/>
        </w:rPr>
      </w:pPr>
    </w:p>
    <w:p w:rsidR="001E32F4" w:rsidRDefault="00C333DA" w:rsidP="001E32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[2</w:t>
      </w:r>
      <w:r w:rsidR="00AE252E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1E32F4">
        <w:rPr>
          <w:rFonts w:ascii="Arial" w:hAnsi="Arial" w:cs="Arial"/>
          <w:b/>
        </w:rPr>
        <w:t>Paragraph 2(1</w:t>
      </w:r>
      <w:proofErr w:type="gramStart"/>
      <w:r w:rsidR="001E32F4">
        <w:rPr>
          <w:rFonts w:ascii="Arial" w:hAnsi="Arial" w:cs="Arial"/>
          <w:b/>
        </w:rPr>
        <w:t>)(</w:t>
      </w:r>
      <w:proofErr w:type="gramEnd"/>
      <w:r w:rsidR="001E32F4">
        <w:rPr>
          <w:rFonts w:ascii="Arial" w:hAnsi="Arial" w:cs="Arial"/>
          <w:b/>
        </w:rPr>
        <w:t>bb)</w:t>
      </w:r>
    </w:p>
    <w:p w:rsidR="001E32F4" w:rsidRDefault="001E32F4" w:rsidP="001E32F4">
      <w:pPr>
        <w:rPr>
          <w:b/>
        </w:rPr>
      </w:pPr>
      <w:r>
        <w:rPr>
          <w:b/>
        </w:rPr>
        <w:tab/>
      </w:r>
    </w:p>
    <w:p w:rsidR="001E32F4" w:rsidRDefault="001E32F4" w:rsidP="001E32F4">
      <w:pPr>
        <w:ind w:firstLine="720"/>
        <w:rPr>
          <w:i/>
        </w:rPr>
      </w:pPr>
      <w:proofErr w:type="gramStart"/>
      <w:r>
        <w:rPr>
          <w:i/>
        </w:rPr>
        <w:t>omit</w:t>
      </w:r>
      <w:proofErr w:type="gramEnd"/>
    </w:p>
    <w:p w:rsidR="001E32F4" w:rsidRDefault="001E32F4" w:rsidP="001E32F4">
      <w:pPr>
        <w:rPr>
          <w:i/>
        </w:rPr>
      </w:pPr>
      <w:r>
        <w:rPr>
          <w:i/>
        </w:rPr>
        <w:tab/>
      </w:r>
    </w:p>
    <w:p w:rsidR="003630FA" w:rsidRDefault="003630FA" w:rsidP="003630FA">
      <w:pPr>
        <w:rPr>
          <w:rFonts w:ascii="Arial" w:hAnsi="Arial" w:cs="Arial"/>
          <w:b/>
        </w:rPr>
      </w:pPr>
      <w:r w:rsidRPr="003630FA">
        <w:rPr>
          <w:rFonts w:ascii="Arial" w:hAnsi="Arial" w:cs="Arial"/>
          <w:b/>
        </w:rPr>
        <w:t>[</w:t>
      </w:r>
      <w:r w:rsidR="00C333DA">
        <w:rPr>
          <w:rFonts w:ascii="Arial" w:hAnsi="Arial" w:cs="Arial"/>
          <w:b/>
        </w:rPr>
        <w:t>3</w:t>
      </w:r>
      <w:r w:rsidRPr="003630FA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F95C92">
        <w:rPr>
          <w:rFonts w:ascii="Arial" w:hAnsi="Arial" w:cs="Arial"/>
          <w:b/>
        </w:rPr>
        <w:t>After p</w:t>
      </w:r>
      <w:r w:rsidR="00CD3227">
        <w:rPr>
          <w:rFonts w:ascii="Arial" w:hAnsi="Arial" w:cs="Arial"/>
          <w:b/>
        </w:rPr>
        <w:t>aragraph 2(1</w:t>
      </w:r>
      <w:proofErr w:type="gramStart"/>
      <w:r w:rsidR="00CD3227">
        <w:rPr>
          <w:rFonts w:ascii="Arial" w:hAnsi="Arial" w:cs="Arial"/>
          <w:b/>
        </w:rPr>
        <w:t>)(</w:t>
      </w:r>
      <w:proofErr w:type="spellStart"/>
      <w:proofErr w:type="gramEnd"/>
      <w:r w:rsidR="00F95C92">
        <w:rPr>
          <w:rFonts w:ascii="Arial" w:hAnsi="Arial" w:cs="Arial"/>
          <w:b/>
        </w:rPr>
        <w:t>bc</w:t>
      </w:r>
      <w:proofErr w:type="spellEnd"/>
      <w:r w:rsidR="00F95C92">
        <w:rPr>
          <w:rFonts w:ascii="Arial" w:hAnsi="Arial" w:cs="Arial"/>
          <w:b/>
        </w:rPr>
        <w:t>)</w:t>
      </w:r>
      <w:r w:rsidR="00CD3227">
        <w:rPr>
          <w:rFonts w:ascii="Arial" w:hAnsi="Arial" w:cs="Arial"/>
          <w:b/>
        </w:rPr>
        <w:t>)</w:t>
      </w:r>
    </w:p>
    <w:p w:rsidR="00CD3227" w:rsidRDefault="00CD3227" w:rsidP="003630FA">
      <w:pPr>
        <w:rPr>
          <w:b/>
        </w:rPr>
      </w:pPr>
      <w:r>
        <w:rPr>
          <w:b/>
        </w:rPr>
        <w:tab/>
      </w:r>
    </w:p>
    <w:p w:rsidR="00CD3227" w:rsidRDefault="001E32F4" w:rsidP="00CD3227">
      <w:pPr>
        <w:ind w:firstLine="720"/>
        <w:rPr>
          <w:i/>
        </w:rPr>
      </w:pPr>
      <w:proofErr w:type="gramStart"/>
      <w:r>
        <w:rPr>
          <w:i/>
        </w:rPr>
        <w:t>insert</w:t>
      </w:r>
      <w:proofErr w:type="gramEnd"/>
    </w:p>
    <w:p w:rsidR="00CD3227" w:rsidRDefault="00CD3227" w:rsidP="003630FA">
      <w:pPr>
        <w:rPr>
          <w:i/>
        </w:rPr>
      </w:pPr>
      <w:r>
        <w:rPr>
          <w:i/>
        </w:rPr>
        <w:tab/>
      </w:r>
    </w:p>
    <w:p w:rsidR="00CD3227" w:rsidRDefault="00CD3227" w:rsidP="00CD3227">
      <w:pPr>
        <w:ind w:left="720"/>
      </w:pPr>
      <w:r w:rsidRPr="00CD3227">
        <w:t>(</w:t>
      </w:r>
      <w:proofErr w:type="spellStart"/>
      <w:proofErr w:type="gramStart"/>
      <w:r w:rsidRPr="00CD3227">
        <w:t>b</w:t>
      </w:r>
      <w:r w:rsidR="001E32F4">
        <w:t>d</w:t>
      </w:r>
      <w:proofErr w:type="spellEnd"/>
      <w:proofErr w:type="gramEnd"/>
      <w:r w:rsidRPr="00CD3227">
        <w:t>)</w:t>
      </w:r>
      <w:r>
        <w:t xml:space="preserve"> certain fixed licences (point to multipoint station) for a station that operates in the 2</w:t>
      </w:r>
      <w:r w:rsidR="00406D21">
        <w:t>6.5</w:t>
      </w:r>
      <w:r w:rsidR="00A65BDF" w:rsidRPr="00A65BDF">
        <w:t>–</w:t>
      </w:r>
      <w:r w:rsidR="007F7A3C">
        <w:t>31.3</w:t>
      </w:r>
      <w:r w:rsidR="00740DA7">
        <w:t xml:space="preserve"> </w:t>
      </w:r>
      <w:r>
        <w:t>GHz band are subject to the conditions in Part 3</w:t>
      </w:r>
      <w:r w:rsidR="001E32F4">
        <w:t>F</w:t>
      </w:r>
      <w:r>
        <w:t>;</w:t>
      </w:r>
    </w:p>
    <w:p w:rsidR="00442B8F" w:rsidRDefault="00442B8F" w:rsidP="00442B8F"/>
    <w:p w:rsidR="00442B8F" w:rsidRDefault="00442B8F" w:rsidP="00442B8F">
      <w:pPr>
        <w:rPr>
          <w:rFonts w:ascii="Arial" w:hAnsi="Arial" w:cs="Arial"/>
          <w:b/>
        </w:rPr>
      </w:pPr>
      <w:r w:rsidRPr="00442B8F">
        <w:rPr>
          <w:rFonts w:ascii="Arial" w:hAnsi="Arial" w:cs="Arial"/>
          <w:b/>
        </w:rPr>
        <w:t>[</w:t>
      </w:r>
      <w:r w:rsidR="00C333DA">
        <w:rPr>
          <w:rFonts w:ascii="Arial" w:hAnsi="Arial" w:cs="Arial"/>
          <w:b/>
        </w:rPr>
        <w:t>4</w:t>
      </w:r>
      <w:r w:rsidRPr="00442B8F">
        <w:rPr>
          <w:rFonts w:ascii="Arial" w:hAnsi="Arial" w:cs="Arial"/>
          <w:b/>
        </w:rPr>
        <w:t>]</w:t>
      </w:r>
      <w:r w:rsidRPr="00442B8F">
        <w:rPr>
          <w:rFonts w:ascii="Arial" w:hAnsi="Arial" w:cs="Arial"/>
          <w:b/>
        </w:rPr>
        <w:tab/>
        <w:t xml:space="preserve">Subsection 3(1), after definition of </w:t>
      </w:r>
      <w:r w:rsidR="0082510A" w:rsidRPr="0082510A">
        <w:rPr>
          <w:rFonts w:ascii="Arial" w:hAnsi="Arial" w:cs="Arial"/>
          <w:b/>
          <w:i/>
        </w:rPr>
        <w:t>13 GHz band</w:t>
      </w:r>
    </w:p>
    <w:p w:rsidR="00442B8F" w:rsidRDefault="00442B8F" w:rsidP="00442B8F"/>
    <w:p w:rsidR="00442B8F" w:rsidRDefault="00442B8F" w:rsidP="00442B8F">
      <w:pPr>
        <w:rPr>
          <w:i/>
        </w:rPr>
      </w:pPr>
      <w:r w:rsidRPr="00442B8F">
        <w:rPr>
          <w:i/>
        </w:rPr>
        <w:tab/>
      </w:r>
      <w:proofErr w:type="gramStart"/>
      <w:r>
        <w:rPr>
          <w:i/>
        </w:rPr>
        <w:t>i</w:t>
      </w:r>
      <w:r w:rsidRPr="00442B8F">
        <w:rPr>
          <w:i/>
        </w:rPr>
        <w:t>nsert</w:t>
      </w:r>
      <w:proofErr w:type="gramEnd"/>
    </w:p>
    <w:p w:rsidR="00442B8F" w:rsidRDefault="00442B8F" w:rsidP="00442B8F">
      <w:pPr>
        <w:rPr>
          <w:i/>
        </w:rPr>
      </w:pPr>
    </w:p>
    <w:p w:rsidR="00442B8F" w:rsidRDefault="00442B8F" w:rsidP="00442B8F">
      <w:r>
        <w:rPr>
          <w:i/>
        </w:rPr>
        <w:tab/>
      </w:r>
      <w:r>
        <w:rPr>
          <w:b/>
          <w:i/>
        </w:rPr>
        <w:t>2</w:t>
      </w:r>
      <w:r w:rsidR="00704346">
        <w:rPr>
          <w:b/>
          <w:i/>
        </w:rPr>
        <w:t>6.5</w:t>
      </w:r>
      <w:r w:rsidR="00A65BDF" w:rsidRPr="00A65BDF">
        <w:rPr>
          <w:b/>
          <w:i/>
        </w:rPr>
        <w:t>–</w:t>
      </w:r>
      <w:r w:rsidR="007F7A3C">
        <w:rPr>
          <w:b/>
          <w:i/>
        </w:rPr>
        <w:t>31.3</w:t>
      </w:r>
      <w:r>
        <w:rPr>
          <w:b/>
          <w:i/>
        </w:rPr>
        <w:t xml:space="preserve"> GHz band </w:t>
      </w:r>
      <w:r>
        <w:t>means the frequency band 2</w:t>
      </w:r>
      <w:r w:rsidR="00704346">
        <w:t>6</w:t>
      </w:r>
      <w:r>
        <w:t>.</w:t>
      </w:r>
      <w:r w:rsidR="00704346">
        <w:t>5</w:t>
      </w:r>
      <w:r w:rsidR="00740DA7">
        <w:t>00</w:t>
      </w:r>
      <w:r w:rsidR="009C0AB3" w:rsidRPr="009C0AB3">
        <w:t>–</w:t>
      </w:r>
      <w:r w:rsidR="00740DA7">
        <w:t>31.300</w:t>
      </w:r>
      <w:r>
        <w:t xml:space="preserve"> GHz.</w:t>
      </w:r>
    </w:p>
    <w:p w:rsidR="00442B8F" w:rsidRPr="00442B8F" w:rsidRDefault="00442B8F" w:rsidP="00442B8F">
      <w:r>
        <w:t xml:space="preserve"> </w:t>
      </w:r>
    </w:p>
    <w:p w:rsidR="00442B8F" w:rsidRDefault="00442B8F" w:rsidP="00442B8F"/>
    <w:p w:rsidR="00442B8F" w:rsidRPr="0029306F" w:rsidRDefault="00442B8F" w:rsidP="00442B8F">
      <w:pPr>
        <w:rPr>
          <w:rFonts w:ascii="Arial" w:hAnsi="Arial" w:cs="Arial"/>
          <w:b/>
        </w:rPr>
      </w:pPr>
      <w:r w:rsidRPr="0029306F">
        <w:rPr>
          <w:rFonts w:ascii="Arial" w:hAnsi="Arial" w:cs="Arial"/>
          <w:b/>
        </w:rPr>
        <w:t>[</w:t>
      </w:r>
      <w:r w:rsidR="00C333DA">
        <w:rPr>
          <w:rFonts w:ascii="Arial" w:hAnsi="Arial" w:cs="Arial"/>
          <w:b/>
        </w:rPr>
        <w:t>5</w:t>
      </w:r>
      <w:r w:rsidRPr="0029306F">
        <w:rPr>
          <w:rFonts w:ascii="Arial" w:hAnsi="Arial" w:cs="Arial"/>
          <w:b/>
        </w:rPr>
        <w:t>]</w:t>
      </w:r>
      <w:r w:rsidRPr="0029306F">
        <w:rPr>
          <w:rFonts w:ascii="Arial" w:hAnsi="Arial" w:cs="Arial"/>
          <w:b/>
        </w:rPr>
        <w:tab/>
      </w:r>
      <w:r w:rsidR="0029306F" w:rsidRPr="0029306F">
        <w:rPr>
          <w:rFonts w:ascii="Arial" w:hAnsi="Arial" w:cs="Arial"/>
          <w:b/>
        </w:rPr>
        <w:t xml:space="preserve">Part 3, heading </w:t>
      </w:r>
      <w:r w:rsidR="00F9653E">
        <w:rPr>
          <w:rFonts w:ascii="Arial" w:hAnsi="Arial" w:cs="Arial"/>
          <w:b/>
        </w:rPr>
        <w:t>only</w:t>
      </w:r>
    </w:p>
    <w:p w:rsidR="00442B8F" w:rsidRDefault="00442B8F" w:rsidP="00442B8F"/>
    <w:p w:rsidR="00442B8F" w:rsidRDefault="00442B8F" w:rsidP="00442B8F">
      <w:pPr>
        <w:rPr>
          <w:i/>
        </w:rPr>
      </w:pPr>
      <w:r>
        <w:tab/>
      </w:r>
      <w:proofErr w:type="gramStart"/>
      <w:r w:rsidRPr="00442B8F">
        <w:rPr>
          <w:i/>
        </w:rPr>
        <w:t>substitute</w:t>
      </w:r>
      <w:proofErr w:type="gramEnd"/>
    </w:p>
    <w:p w:rsidR="00442B8F" w:rsidRDefault="00442B8F" w:rsidP="00442B8F">
      <w:pPr>
        <w:rPr>
          <w:i/>
        </w:rPr>
      </w:pPr>
    </w:p>
    <w:p w:rsidR="00442B8F" w:rsidRDefault="0029306F" w:rsidP="0029306F">
      <w:pPr>
        <w:ind w:left="720"/>
        <w:rPr>
          <w:rFonts w:ascii="Arial" w:hAnsi="Arial" w:cs="Arial"/>
          <w:b/>
        </w:rPr>
      </w:pPr>
      <w:r w:rsidRPr="0029306F">
        <w:rPr>
          <w:rFonts w:ascii="Arial" w:hAnsi="Arial" w:cs="Arial"/>
          <w:b/>
        </w:rPr>
        <w:t>Conditions for fixed licences (point to multipoint station) except licences for stations used to provide distance education</w:t>
      </w:r>
      <w:r w:rsidR="00AE252E">
        <w:rPr>
          <w:rFonts w:ascii="Arial" w:hAnsi="Arial" w:cs="Arial"/>
          <w:b/>
        </w:rPr>
        <w:t>,</w:t>
      </w:r>
      <w:r w:rsidRPr="0029306F">
        <w:rPr>
          <w:rFonts w:ascii="Arial" w:hAnsi="Arial" w:cs="Arial"/>
          <w:b/>
        </w:rPr>
        <w:t xml:space="preserve"> stations that</w:t>
      </w:r>
      <w:r w:rsidR="007F7A3C">
        <w:rPr>
          <w:rFonts w:ascii="Arial" w:hAnsi="Arial" w:cs="Arial"/>
          <w:b/>
        </w:rPr>
        <w:t xml:space="preserve"> </w:t>
      </w:r>
      <w:r w:rsidRPr="0029306F">
        <w:rPr>
          <w:rFonts w:ascii="Arial" w:hAnsi="Arial" w:cs="Arial"/>
          <w:b/>
        </w:rPr>
        <w:t>operate in wireless access services (WAS) bands or stations that operate in the 2</w:t>
      </w:r>
      <w:r w:rsidR="00704346">
        <w:rPr>
          <w:rFonts w:ascii="Arial" w:hAnsi="Arial" w:cs="Arial"/>
          <w:b/>
        </w:rPr>
        <w:t>6.5</w:t>
      </w:r>
      <w:r w:rsidR="00A65BDF" w:rsidRPr="00A65BDF">
        <w:rPr>
          <w:b/>
        </w:rPr>
        <w:t>–</w:t>
      </w:r>
      <w:r w:rsidR="007F7A3C">
        <w:rPr>
          <w:rFonts w:ascii="Arial" w:hAnsi="Arial" w:cs="Arial"/>
          <w:b/>
        </w:rPr>
        <w:t>31.3</w:t>
      </w:r>
      <w:r w:rsidR="000D6EA1">
        <w:rPr>
          <w:rFonts w:ascii="Arial" w:hAnsi="Arial" w:cs="Arial"/>
          <w:b/>
        </w:rPr>
        <w:t xml:space="preserve"> </w:t>
      </w:r>
      <w:r w:rsidRPr="0029306F">
        <w:rPr>
          <w:rFonts w:ascii="Arial" w:hAnsi="Arial" w:cs="Arial"/>
          <w:b/>
        </w:rPr>
        <w:t>GHz band</w:t>
      </w:r>
    </w:p>
    <w:p w:rsidR="0029306F" w:rsidRDefault="0029306F" w:rsidP="0029306F">
      <w:pPr>
        <w:rPr>
          <w:rFonts w:ascii="Arial" w:hAnsi="Arial" w:cs="Arial"/>
          <w:b/>
        </w:rPr>
      </w:pPr>
    </w:p>
    <w:p w:rsidR="0029306F" w:rsidRDefault="0029306F" w:rsidP="0029306F">
      <w:pPr>
        <w:rPr>
          <w:rFonts w:ascii="Arial" w:hAnsi="Arial" w:cs="Arial"/>
          <w:b/>
        </w:rPr>
      </w:pPr>
      <w:r w:rsidRPr="0029306F">
        <w:rPr>
          <w:rFonts w:ascii="Arial" w:hAnsi="Arial" w:cs="Arial"/>
          <w:b/>
        </w:rPr>
        <w:t>[</w:t>
      </w:r>
      <w:r w:rsidR="00C333DA">
        <w:rPr>
          <w:rFonts w:ascii="Arial" w:hAnsi="Arial" w:cs="Arial"/>
          <w:b/>
        </w:rPr>
        <w:t>6</w:t>
      </w:r>
      <w:r w:rsidRPr="0029306F">
        <w:rPr>
          <w:rFonts w:ascii="Arial" w:hAnsi="Arial" w:cs="Arial"/>
          <w:b/>
        </w:rPr>
        <w:t>]</w:t>
      </w:r>
      <w:r w:rsidRPr="0029306F">
        <w:rPr>
          <w:rFonts w:ascii="Arial" w:hAnsi="Arial" w:cs="Arial"/>
          <w:b/>
        </w:rPr>
        <w:tab/>
        <w:t xml:space="preserve">Section 6 </w:t>
      </w:r>
    </w:p>
    <w:p w:rsidR="0029306F" w:rsidRDefault="0029306F" w:rsidP="0029306F">
      <w:pPr>
        <w:rPr>
          <w:rFonts w:ascii="Arial" w:hAnsi="Arial" w:cs="Arial"/>
          <w:b/>
        </w:rPr>
      </w:pPr>
    </w:p>
    <w:p w:rsidR="0029306F" w:rsidRDefault="0029306F" w:rsidP="0029306F">
      <w:pPr>
        <w:rPr>
          <w:i/>
        </w:rPr>
      </w:pPr>
      <w:r>
        <w:rPr>
          <w:rFonts w:ascii="Arial" w:hAnsi="Arial" w:cs="Arial"/>
          <w:b/>
        </w:rPr>
        <w:tab/>
      </w:r>
      <w:proofErr w:type="gramStart"/>
      <w:r w:rsidRPr="0029306F">
        <w:rPr>
          <w:i/>
        </w:rPr>
        <w:t>o</w:t>
      </w:r>
      <w:r>
        <w:rPr>
          <w:i/>
        </w:rPr>
        <w:t>mit</w:t>
      </w:r>
      <w:proofErr w:type="gramEnd"/>
    </w:p>
    <w:p w:rsidR="0029306F" w:rsidRDefault="0029306F" w:rsidP="0029306F">
      <w:pPr>
        <w:rPr>
          <w:i/>
        </w:rPr>
      </w:pPr>
    </w:p>
    <w:p w:rsidR="0029306F" w:rsidRDefault="0029306F" w:rsidP="0029306F">
      <w:r>
        <w:tab/>
        <w:t>(a)</w:t>
      </w:r>
      <w:r>
        <w:tab/>
      </w:r>
      <w:proofErr w:type="gramStart"/>
      <w:r>
        <w:t>a</w:t>
      </w:r>
      <w:proofErr w:type="gramEnd"/>
      <w:r>
        <w:t xml:space="preserve"> station used to provide distance education services; or</w:t>
      </w:r>
    </w:p>
    <w:p w:rsidR="0029306F" w:rsidRDefault="0029306F" w:rsidP="0029306F">
      <w:r>
        <w:tab/>
        <w:t>(b)</w:t>
      </w:r>
      <w:r>
        <w:tab/>
      </w:r>
      <w:proofErr w:type="gramStart"/>
      <w:r>
        <w:t>a</w:t>
      </w:r>
      <w:proofErr w:type="gramEnd"/>
      <w:r>
        <w:t xml:space="preserve"> station that operates in a wirele</w:t>
      </w:r>
      <w:r w:rsidR="00A47D06">
        <w:t xml:space="preserve">ss access service (WAS) band; </w:t>
      </w:r>
    </w:p>
    <w:p w:rsidR="00A47D06" w:rsidRDefault="00A47D06" w:rsidP="0029306F"/>
    <w:p w:rsidR="00A47D06" w:rsidRDefault="00A47D06" w:rsidP="0029306F">
      <w:pPr>
        <w:rPr>
          <w:i/>
        </w:rPr>
      </w:pPr>
      <w:r>
        <w:tab/>
      </w:r>
      <w:proofErr w:type="gramStart"/>
      <w:r>
        <w:rPr>
          <w:i/>
        </w:rPr>
        <w:t>insert</w:t>
      </w:r>
      <w:proofErr w:type="gramEnd"/>
    </w:p>
    <w:p w:rsidR="00A47D06" w:rsidRDefault="00A47D06" w:rsidP="0029306F">
      <w:pPr>
        <w:rPr>
          <w:i/>
        </w:rPr>
      </w:pPr>
    </w:p>
    <w:p w:rsidR="00A47D06" w:rsidRDefault="00A47D06" w:rsidP="0029306F">
      <w:r>
        <w:tab/>
        <w:t>(a)</w:t>
      </w:r>
      <w:r>
        <w:tab/>
      </w:r>
      <w:proofErr w:type="gramStart"/>
      <w:r>
        <w:t>a</w:t>
      </w:r>
      <w:proofErr w:type="gramEnd"/>
      <w:r>
        <w:t xml:space="preserve"> station used to provide distance education services; </w:t>
      </w:r>
    </w:p>
    <w:p w:rsidR="00A47D06" w:rsidRDefault="00A47D06" w:rsidP="0029306F">
      <w:r>
        <w:tab/>
        <w:t>(b)</w:t>
      </w:r>
      <w:r>
        <w:tab/>
      </w:r>
      <w:proofErr w:type="gramStart"/>
      <w:r>
        <w:t>a</w:t>
      </w:r>
      <w:proofErr w:type="gramEnd"/>
      <w:r>
        <w:t xml:space="preserve"> station that operates in a wireless access service (WAS) band; or</w:t>
      </w:r>
    </w:p>
    <w:p w:rsidR="00A47D06" w:rsidRDefault="00A47D06" w:rsidP="0029306F">
      <w:r>
        <w:tab/>
        <w:t>(c)</w:t>
      </w:r>
      <w:r>
        <w:tab/>
      </w:r>
      <w:proofErr w:type="gramStart"/>
      <w:r>
        <w:t>a</w:t>
      </w:r>
      <w:proofErr w:type="gramEnd"/>
      <w:r>
        <w:t xml:space="preserve"> station that operates in the 2</w:t>
      </w:r>
      <w:r w:rsidR="00704346">
        <w:t>6.5</w:t>
      </w:r>
      <w:r w:rsidR="009C0AB3" w:rsidRPr="009C0AB3">
        <w:t>–</w:t>
      </w:r>
      <w:r w:rsidR="005A7351">
        <w:t>31.3</w:t>
      </w:r>
      <w:r>
        <w:t xml:space="preserve"> GHz band</w:t>
      </w:r>
      <w:r w:rsidR="002612E1">
        <w:t>;</w:t>
      </w:r>
    </w:p>
    <w:p w:rsidR="00A47D06" w:rsidRDefault="00A47D06" w:rsidP="0029306F"/>
    <w:p w:rsidR="001E32F4" w:rsidRDefault="001E32F4" w:rsidP="001E32F4">
      <w:pPr>
        <w:rPr>
          <w:rFonts w:ascii="Arial" w:hAnsi="Arial" w:cs="Arial"/>
          <w:b/>
        </w:rPr>
      </w:pPr>
      <w:r w:rsidRPr="00A47D06">
        <w:rPr>
          <w:rFonts w:ascii="Arial" w:hAnsi="Arial" w:cs="Arial"/>
          <w:b/>
        </w:rPr>
        <w:t>[</w:t>
      </w:r>
      <w:r w:rsidR="00C333DA">
        <w:rPr>
          <w:rFonts w:ascii="Arial" w:hAnsi="Arial" w:cs="Arial"/>
          <w:b/>
        </w:rPr>
        <w:t>7</w:t>
      </w:r>
      <w:r w:rsidRPr="00A47D06">
        <w:rPr>
          <w:rFonts w:ascii="Arial" w:hAnsi="Arial" w:cs="Arial"/>
          <w:b/>
        </w:rPr>
        <w:t>]</w:t>
      </w:r>
      <w:r w:rsidRPr="00A47D06">
        <w:rPr>
          <w:rFonts w:ascii="Arial" w:hAnsi="Arial" w:cs="Arial"/>
          <w:b/>
        </w:rPr>
        <w:tab/>
        <w:t>Part 3D</w:t>
      </w:r>
    </w:p>
    <w:p w:rsidR="001E32F4" w:rsidRDefault="001E32F4" w:rsidP="001E32F4">
      <w:pPr>
        <w:rPr>
          <w:rFonts w:ascii="Arial" w:hAnsi="Arial" w:cs="Arial"/>
          <w:b/>
        </w:rPr>
      </w:pPr>
    </w:p>
    <w:p w:rsidR="001E32F4" w:rsidRDefault="001E32F4" w:rsidP="001E32F4">
      <w:pPr>
        <w:rPr>
          <w:i/>
        </w:rPr>
      </w:pPr>
      <w:r>
        <w:tab/>
      </w:r>
      <w:proofErr w:type="gramStart"/>
      <w:r>
        <w:rPr>
          <w:i/>
        </w:rPr>
        <w:t>omit</w:t>
      </w:r>
      <w:proofErr w:type="gramEnd"/>
    </w:p>
    <w:p w:rsidR="001E32F4" w:rsidRDefault="001E32F4" w:rsidP="0029306F">
      <w:pPr>
        <w:rPr>
          <w:rFonts w:ascii="Arial" w:hAnsi="Arial" w:cs="Arial"/>
          <w:b/>
        </w:rPr>
      </w:pPr>
    </w:p>
    <w:p w:rsidR="00A47D06" w:rsidRDefault="00A47D06" w:rsidP="0029306F">
      <w:pPr>
        <w:rPr>
          <w:rFonts w:ascii="Arial" w:hAnsi="Arial" w:cs="Arial"/>
          <w:b/>
        </w:rPr>
      </w:pPr>
      <w:r w:rsidRPr="00A47D06">
        <w:rPr>
          <w:rFonts w:ascii="Arial" w:hAnsi="Arial" w:cs="Arial"/>
          <w:b/>
        </w:rPr>
        <w:t>[</w:t>
      </w:r>
      <w:r w:rsidR="00C333DA">
        <w:rPr>
          <w:rFonts w:ascii="Arial" w:hAnsi="Arial" w:cs="Arial"/>
          <w:b/>
        </w:rPr>
        <w:t>8</w:t>
      </w:r>
      <w:r w:rsidRPr="00A47D06">
        <w:rPr>
          <w:rFonts w:ascii="Arial" w:hAnsi="Arial" w:cs="Arial"/>
          <w:b/>
        </w:rPr>
        <w:t>]</w:t>
      </w:r>
      <w:r w:rsidRPr="00A47D06">
        <w:rPr>
          <w:rFonts w:ascii="Arial" w:hAnsi="Arial" w:cs="Arial"/>
          <w:b/>
        </w:rPr>
        <w:tab/>
        <w:t>Part 3</w:t>
      </w:r>
      <w:r w:rsidR="00563D40">
        <w:rPr>
          <w:rFonts w:ascii="Arial" w:hAnsi="Arial" w:cs="Arial"/>
          <w:b/>
        </w:rPr>
        <w:t>F</w:t>
      </w:r>
    </w:p>
    <w:p w:rsidR="00A47D06" w:rsidRDefault="00A47D06" w:rsidP="0029306F">
      <w:pPr>
        <w:rPr>
          <w:rFonts w:ascii="Arial" w:hAnsi="Arial" w:cs="Arial"/>
          <w:b/>
        </w:rPr>
      </w:pPr>
    </w:p>
    <w:p w:rsidR="00A47D06" w:rsidRDefault="00A47D06" w:rsidP="0029306F">
      <w:pPr>
        <w:rPr>
          <w:i/>
        </w:rPr>
      </w:pPr>
      <w:r>
        <w:tab/>
      </w:r>
      <w:proofErr w:type="gramStart"/>
      <w:r w:rsidR="00563D40">
        <w:rPr>
          <w:i/>
        </w:rPr>
        <w:t>insert</w:t>
      </w:r>
      <w:proofErr w:type="gramEnd"/>
    </w:p>
    <w:p w:rsidR="00F9653E" w:rsidRDefault="00F9653E" w:rsidP="0029306F"/>
    <w:p w:rsidR="00F9653E" w:rsidRDefault="00F9653E" w:rsidP="00F9653E">
      <w:pPr>
        <w:ind w:left="2160" w:hanging="1440"/>
        <w:rPr>
          <w:rFonts w:ascii="Arial" w:hAnsi="Arial" w:cs="Arial"/>
          <w:b/>
        </w:rPr>
      </w:pPr>
      <w:r w:rsidRPr="00F9653E">
        <w:rPr>
          <w:rFonts w:ascii="Arial" w:hAnsi="Arial" w:cs="Arial"/>
          <w:b/>
        </w:rPr>
        <w:t>Part 3</w:t>
      </w:r>
      <w:r w:rsidR="00563D40">
        <w:rPr>
          <w:rFonts w:ascii="Arial" w:hAnsi="Arial" w:cs="Arial"/>
          <w:b/>
        </w:rPr>
        <w:t>F</w:t>
      </w:r>
      <w:r w:rsidRPr="00F9653E">
        <w:rPr>
          <w:rFonts w:ascii="Arial" w:hAnsi="Arial" w:cs="Arial"/>
          <w:b/>
        </w:rPr>
        <w:tab/>
        <w:t>Conditions for fixed licences (point to multipoint station) for stations that operate in the 2</w:t>
      </w:r>
      <w:r w:rsidR="00704346">
        <w:rPr>
          <w:rFonts w:ascii="Arial" w:hAnsi="Arial" w:cs="Arial"/>
          <w:b/>
        </w:rPr>
        <w:t>6.5</w:t>
      </w:r>
      <w:r w:rsidR="00A65BDF" w:rsidRPr="00A65BDF">
        <w:rPr>
          <w:b/>
        </w:rPr>
        <w:t>–</w:t>
      </w:r>
      <w:r w:rsidR="007F7A3C">
        <w:rPr>
          <w:rFonts w:ascii="Arial" w:hAnsi="Arial" w:cs="Arial"/>
          <w:b/>
        </w:rPr>
        <w:t>31.3</w:t>
      </w:r>
      <w:r w:rsidRPr="00F9653E">
        <w:rPr>
          <w:rFonts w:ascii="Arial" w:hAnsi="Arial" w:cs="Arial"/>
          <w:b/>
        </w:rPr>
        <w:t xml:space="preserve"> GHz band </w:t>
      </w:r>
    </w:p>
    <w:p w:rsidR="00F9653E" w:rsidRDefault="00F9653E" w:rsidP="00F9653E">
      <w:pPr>
        <w:ind w:left="2160" w:hanging="1440"/>
        <w:rPr>
          <w:rFonts w:ascii="Arial" w:hAnsi="Arial" w:cs="Arial"/>
          <w:b/>
        </w:rPr>
      </w:pPr>
    </w:p>
    <w:p w:rsidR="00F9653E" w:rsidRDefault="00F9653E" w:rsidP="00F9653E">
      <w:pPr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4304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ab/>
        <w:t>Conditions</w:t>
      </w:r>
    </w:p>
    <w:p w:rsidR="00F9653E" w:rsidRDefault="00F9653E" w:rsidP="00F9653E">
      <w:pPr>
        <w:ind w:left="2160" w:hanging="1440"/>
        <w:rPr>
          <w:rFonts w:ascii="Arial" w:hAnsi="Arial" w:cs="Arial"/>
        </w:rPr>
      </w:pPr>
    </w:p>
    <w:p w:rsidR="00F9653E" w:rsidRDefault="00F9653E" w:rsidP="00F9653E">
      <w:pPr>
        <w:ind w:left="2160" w:hanging="1440"/>
      </w:pPr>
      <w:r>
        <w:rPr>
          <w:rFonts w:ascii="Arial" w:hAnsi="Arial" w:cs="Arial"/>
        </w:rPr>
        <w:tab/>
      </w:r>
      <w:r>
        <w:t>For paragraph 107(1</w:t>
      </w:r>
      <w:proofErr w:type="gramStart"/>
      <w:r>
        <w:t>)(</w:t>
      </w:r>
      <w:proofErr w:type="gramEnd"/>
      <w:r>
        <w:t>f) of the Act, every fixed licence (point to multipoint station) for a station that operates in the 2</w:t>
      </w:r>
      <w:r w:rsidR="00704346">
        <w:t>6.5</w:t>
      </w:r>
      <w:r w:rsidR="0017055A" w:rsidRPr="009C0AB3">
        <w:t>–</w:t>
      </w:r>
      <w:r w:rsidR="007F7A3C">
        <w:t>31.3</w:t>
      </w:r>
      <w:r>
        <w:t xml:space="preserve"> GHz band is subject to the conditions in this Part.</w:t>
      </w:r>
    </w:p>
    <w:p w:rsidR="00F9653E" w:rsidRDefault="00F9653E" w:rsidP="00F9653E">
      <w:pPr>
        <w:ind w:left="2160" w:hanging="1440"/>
      </w:pPr>
    </w:p>
    <w:p w:rsidR="00F9653E" w:rsidRDefault="00F9653E" w:rsidP="00F9653E">
      <w:pPr>
        <w:ind w:left="2160" w:hanging="1440"/>
        <w:rPr>
          <w:rFonts w:ascii="Arial" w:hAnsi="Arial" w:cs="Arial"/>
          <w:b/>
        </w:rPr>
      </w:pPr>
      <w:r w:rsidRPr="00D24589">
        <w:rPr>
          <w:rFonts w:ascii="Arial" w:hAnsi="Arial" w:cs="Arial"/>
          <w:b/>
        </w:rPr>
        <w:t>11</w:t>
      </w:r>
      <w:r w:rsidR="00430422">
        <w:rPr>
          <w:rFonts w:ascii="Arial" w:hAnsi="Arial" w:cs="Arial"/>
          <w:b/>
        </w:rPr>
        <w:t>W</w:t>
      </w:r>
      <w:r w:rsidRPr="00D24589">
        <w:rPr>
          <w:rFonts w:ascii="Arial" w:hAnsi="Arial" w:cs="Arial"/>
          <w:b/>
        </w:rPr>
        <w:tab/>
        <w:t xml:space="preserve">Remote </w:t>
      </w:r>
      <w:r w:rsidR="0017055A">
        <w:rPr>
          <w:rFonts w:ascii="Arial" w:hAnsi="Arial" w:cs="Arial"/>
          <w:b/>
        </w:rPr>
        <w:t>s</w:t>
      </w:r>
      <w:r w:rsidRPr="00D24589">
        <w:rPr>
          <w:rFonts w:ascii="Arial" w:hAnsi="Arial" w:cs="Arial"/>
          <w:b/>
        </w:rPr>
        <w:t>tations</w:t>
      </w:r>
    </w:p>
    <w:p w:rsidR="002F0D75" w:rsidRDefault="002F0D75" w:rsidP="00F9653E">
      <w:pPr>
        <w:ind w:left="2160" w:hanging="1440"/>
        <w:rPr>
          <w:rFonts w:ascii="Arial" w:hAnsi="Arial" w:cs="Arial"/>
          <w:b/>
        </w:rPr>
      </w:pPr>
    </w:p>
    <w:p w:rsidR="002F0D75" w:rsidRDefault="002F0D75" w:rsidP="00F9653E">
      <w:pPr>
        <w:ind w:left="2160" w:hanging="1440"/>
      </w:pPr>
      <w:r>
        <w:tab/>
        <w:t>If the station is a remote station, the licensee:</w:t>
      </w:r>
    </w:p>
    <w:p w:rsidR="002F0D75" w:rsidRDefault="002F0D75" w:rsidP="002F0D75">
      <w:pPr>
        <w:ind w:left="2880" w:hanging="720"/>
      </w:pPr>
      <w:r>
        <w:t>(a)</w:t>
      </w:r>
      <w:r>
        <w:tab/>
      </w:r>
      <w:proofErr w:type="gramStart"/>
      <w:r>
        <w:t>must</w:t>
      </w:r>
      <w:proofErr w:type="gramEnd"/>
      <w:r>
        <w:t xml:space="preserve"> not operate the station if its operation causes harmful interference to a service provided by another station; and</w:t>
      </w:r>
    </w:p>
    <w:p w:rsidR="00FE15BD" w:rsidRDefault="002F0D75">
      <w:pPr>
        <w:ind w:left="2835" w:hanging="708"/>
      </w:pPr>
      <w:r>
        <w:t>(b)</w:t>
      </w:r>
      <w:r>
        <w:tab/>
      </w:r>
      <w:proofErr w:type="gramStart"/>
      <w:r>
        <w:t>must</w:t>
      </w:r>
      <w:proofErr w:type="gramEnd"/>
      <w:r>
        <w:t xml:space="preserve"> operate the station to transmit to the base station using the receive or transmit frequencies specified on the licence for the base station.</w:t>
      </w:r>
    </w:p>
    <w:p w:rsidR="002F0D75" w:rsidRDefault="002F0D75" w:rsidP="002F0D75">
      <w:pPr>
        <w:ind w:left="2880" w:hanging="720"/>
      </w:pPr>
    </w:p>
    <w:p w:rsidR="002F0D75" w:rsidRDefault="002F0D75" w:rsidP="002F0D75">
      <w:pPr>
        <w:rPr>
          <w:rFonts w:ascii="Arial" w:hAnsi="Arial" w:cs="Arial"/>
          <w:b/>
        </w:rPr>
      </w:pPr>
      <w:r w:rsidRPr="002F0D75">
        <w:rPr>
          <w:rFonts w:ascii="Arial" w:hAnsi="Arial" w:cs="Arial"/>
          <w:b/>
        </w:rPr>
        <w:tab/>
        <w:t>11</w:t>
      </w:r>
      <w:r w:rsidR="00430422">
        <w:rPr>
          <w:rFonts w:ascii="Arial" w:hAnsi="Arial" w:cs="Arial"/>
          <w:b/>
        </w:rPr>
        <w:t>X</w:t>
      </w:r>
      <w:r w:rsidRPr="002F0D75">
        <w:rPr>
          <w:rFonts w:ascii="Arial" w:hAnsi="Arial" w:cs="Arial"/>
          <w:b/>
        </w:rPr>
        <w:tab/>
      </w:r>
      <w:r w:rsidRPr="002F0D75">
        <w:rPr>
          <w:rFonts w:ascii="Arial" w:hAnsi="Arial" w:cs="Arial"/>
          <w:b/>
        </w:rPr>
        <w:tab/>
        <w:t>Adaptive transmit power control</w:t>
      </w:r>
    </w:p>
    <w:p w:rsidR="002F0D75" w:rsidRDefault="002F0D75" w:rsidP="002F0D75">
      <w:pPr>
        <w:rPr>
          <w:rFonts w:ascii="Arial" w:hAnsi="Arial" w:cs="Arial"/>
          <w:b/>
        </w:rPr>
      </w:pPr>
    </w:p>
    <w:p w:rsidR="002F0D75" w:rsidRDefault="002F0D75" w:rsidP="002F0D75">
      <w:pPr>
        <w:ind w:left="2160"/>
      </w:pPr>
      <w:r>
        <w:t>The licen</w:t>
      </w:r>
      <w:r w:rsidR="00430422">
        <w:t>se</w:t>
      </w:r>
      <w:r>
        <w:t>e must use adaptive transmit power control on each station that is authorised to be operated under the licence.</w:t>
      </w:r>
    </w:p>
    <w:p w:rsidR="00984DB1" w:rsidRDefault="00984DB1" w:rsidP="00984DB1">
      <w:pPr>
        <w:rPr>
          <w:rFonts w:ascii="Arial" w:hAnsi="Arial" w:cs="Arial"/>
          <w:b/>
        </w:rPr>
      </w:pPr>
    </w:p>
    <w:p w:rsidR="00984DB1" w:rsidRDefault="00984DB1" w:rsidP="00984DB1">
      <w:pPr>
        <w:rPr>
          <w:rFonts w:ascii="Arial" w:hAnsi="Arial" w:cs="Arial"/>
          <w:b/>
        </w:rPr>
      </w:pPr>
      <w:r w:rsidRPr="00A47D06">
        <w:rPr>
          <w:rFonts w:ascii="Arial" w:hAnsi="Arial" w:cs="Arial"/>
          <w:b/>
        </w:rPr>
        <w:t>[</w:t>
      </w:r>
      <w:r w:rsidR="00C333DA">
        <w:rPr>
          <w:rFonts w:ascii="Arial" w:hAnsi="Arial" w:cs="Arial"/>
          <w:b/>
        </w:rPr>
        <w:t>9</w:t>
      </w:r>
      <w:r w:rsidRPr="00A47D06">
        <w:rPr>
          <w:rFonts w:ascii="Arial" w:hAnsi="Arial" w:cs="Arial"/>
          <w:b/>
        </w:rPr>
        <w:t>]</w:t>
      </w:r>
      <w:r w:rsidRPr="00A47D0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Schedule </w:t>
      </w:r>
      <w:r w:rsidRPr="00A47D06">
        <w:rPr>
          <w:rFonts w:ascii="Arial" w:hAnsi="Arial" w:cs="Arial"/>
          <w:b/>
        </w:rPr>
        <w:t>3</w:t>
      </w:r>
    </w:p>
    <w:p w:rsidR="00FE15BD" w:rsidRDefault="00FE15BD"/>
    <w:p w:rsidR="00984DB1" w:rsidRDefault="00984DB1" w:rsidP="00984DB1">
      <w:pPr>
        <w:rPr>
          <w:i/>
        </w:rPr>
      </w:pPr>
      <w:r>
        <w:tab/>
      </w:r>
      <w:proofErr w:type="gramStart"/>
      <w:r>
        <w:rPr>
          <w:i/>
        </w:rPr>
        <w:t>omit</w:t>
      </w:r>
      <w:proofErr w:type="gramEnd"/>
    </w:p>
    <w:p w:rsidR="00CE6CF5" w:rsidRDefault="00CE6CF5" w:rsidP="00CE6CF5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Note</w:t>
      </w:r>
    </w:p>
    <w:p w:rsidR="00CE6CF5" w:rsidRDefault="00CE6CF5" w:rsidP="00CE6CF5">
      <w:pPr>
        <w:pStyle w:val="NoteEnd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r w:rsidRPr="009145DA">
        <w:rPr>
          <w:color w:val="000000"/>
          <w:u w:val="single"/>
        </w:rPr>
        <w:t>http://w</w:t>
      </w:r>
      <w:r w:rsidRPr="00DA0A32">
        <w:rPr>
          <w:color w:val="000000"/>
          <w:u w:val="single"/>
        </w:rPr>
        <w:t>ww.frli.gov.au</w:t>
      </w:r>
      <w:r>
        <w:rPr>
          <w:color w:val="000000"/>
        </w:rPr>
        <w:t>.</w:t>
      </w:r>
    </w:p>
    <w:p w:rsidR="00AF7A53" w:rsidRDefault="00AF7A53"/>
    <w:sectPr w:rsidR="00AF7A53" w:rsidSect="00AF7A5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15" w:rsidRDefault="006D7D15" w:rsidP="00CE6CF5">
      <w:r>
        <w:separator/>
      </w:r>
    </w:p>
  </w:endnote>
  <w:endnote w:type="continuationSeparator" w:id="0">
    <w:p w:rsidR="006D7D15" w:rsidRDefault="006D7D15" w:rsidP="00CE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064D5B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6D7D15">
      <w:tc>
        <w:tcPr>
          <w:tcW w:w="1134" w:type="dxa"/>
          <w:shd w:val="clear" w:color="auto" w:fill="auto"/>
        </w:tcPr>
        <w:p w:rsidR="006D7D15" w:rsidRPr="003D7214" w:rsidRDefault="006D7D15" w:rsidP="00064D5B">
          <w:pPr>
            <w:spacing w:line="240" w:lineRule="exact"/>
            <w:rPr>
              <w:rFonts w:ascii="Arial" w:hAnsi="Arial" w:cs="Arial"/>
            </w:rPr>
          </w:pPr>
          <w:r>
            <w:rPr>
              <w:rStyle w:val="PageNumber"/>
              <w:rFonts w:cs="Arial"/>
            </w:rPr>
            <w:t>2</w:t>
          </w:r>
        </w:p>
      </w:tc>
      <w:tc>
        <w:tcPr>
          <w:tcW w:w="6095" w:type="dxa"/>
          <w:shd w:val="clear" w:color="auto" w:fill="auto"/>
        </w:tcPr>
        <w:p w:rsidR="006D7D15" w:rsidRPr="007B312B" w:rsidRDefault="006D7D15" w:rsidP="00064D5B">
          <w:pPr>
            <w:pStyle w:val="FooterCitation"/>
          </w:pPr>
        </w:p>
      </w:tc>
      <w:tc>
        <w:tcPr>
          <w:tcW w:w="1134" w:type="dxa"/>
          <w:shd w:val="clear" w:color="auto" w:fill="auto"/>
        </w:tcPr>
        <w:p w:rsidR="006D7D15" w:rsidRPr="00451BF5" w:rsidRDefault="006D7D15" w:rsidP="00064D5B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6D7D15" w:rsidRDefault="006D7D15" w:rsidP="00064D5B">
    <w:pPr>
      <w:pStyle w:val="FooterInf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064D5B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6D7D15">
      <w:trPr>
        <w:trHeight w:val="70"/>
      </w:trPr>
      <w:tc>
        <w:tcPr>
          <w:tcW w:w="1134" w:type="dxa"/>
          <w:shd w:val="clear" w:color="auto" w:fill="auto"/>
        </w:tcPr>
        <w:p w:rsidR="006D7D15" w:rsidRDefault="006D7D15" w:rsidP="00064D5B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6D7D15" w:rsidRPr="004F5D6D" w:rsidRDefault="006D7D15" w:rsidP="00064D5B">
          <w:pPr>
            <w:pStyle w:val="FooterCitation"/>
          </w:pPr>
        </w:p>
      </w:tc>
      <w:tc>
        <w:tcPr>
          <w:tcW w:w="1134" w:type="dxa"/>
          <w:shd w:val="clear" w:color="auto" w:fill="auto"/>
        </w:tcPr>
        <w:p w:rsidR="006D7D15" w:rsidRPr="003D7214" w:rsidRDefault="00560CEE" w:rsidP="00064D5B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6D7D15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1E6D66">
            <w:rPr>
              <w:rStyle w:val="PageNumber"/>
              <w:rFonts w:cs="Arial"/>
              <w:noProof/>
            </w:rPr>
            <w:t>4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6D7D15" w:rsidRPr="00C83A6D" w:rsidRDefault="006D7D15" w:rsidP="00064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15" w:rsidRDefault="006D7D15" w:rsidP="00CE6CF5">
      <w:r>
        <w:separator/>
      </w:r>
    </w:p>
  </w:footnote>
  <w:footnote w:type="continuationSeparator" w:id="0">
    <w:p w:rsidR="006D7D15" w:rsidRDefault="006D7D15" w:rsidP="00CE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48"/>
      <w:gridCol w:w="6798"/>
    </w:tblGrid>
    <w:tr w:rsidR="006D7D15">
      <w:tc>
        <w:tcPr>
          <w:tcW w:w="1548" w:type="dxa"/>
        </w:tcPr>
        <w:p w:rsidR="006D7D15" w:rsidRDefault="006D7D15">
          <w:pPr>
            <w:pStyle w:val="HeaderLiteEven"/>
          </w:pPr>
        </w:p>
      </w:tc>
      <w:tc>
        <w:tcPr>
          <w:tcW w:w="6798" w:type="dxa"/>
          <w:vAlign w:val="bottom"/>
        </w:tcPr>
        <w:p w:rsidR="006D7D15" w:rsidRDefault="006D7D15">
          <w:pPr>
            <w:pStyle w:val="HeaderLiteEven"/>
          </w:pPr>
        </w:p>
      </w:tc>
    </w:tr>
    <w:tr w:rsidR="006D7D15">
      <w:tc>
        <w:tcPr>
          <w:tcW w:w="1548" w:type="dxa"/>
        </w:tcPr>
        <w:p w:rsidR="006D7D15" w:rsidRDefault="006D7D15">
          <w:pPr>
            <w:pStyle w:val="HeaderLiteEven"/>
          </w:pPr>
        </w:p>
      </w:tc>
      <w:tc>
        <w:tcPr>
          <w:tcW w:w="6798" w:type="dxa"/>
          <w:vAlign w:val="bottom"/>
        </w:tcPr>
        <w:p w:rsidR="006D7D15" w:rsidRDefault="006D7D15">
          <w:pPr>
            <w:pStyle w:val="HeaderLiteEven"/>
          </w:pPr>
        </w:p>
      </w:tc>
    </w:tr>
    <w:tr w:rsidR="006D7D15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6D7D15" w:rsidRDefault="006D7D15">
          <w:pPr>
            <w:pStyle w:val="HeaderBoldEven"/>
          </w:pPr>
        </w:p>
      </w:tc>
    </w:tr>
  </w:tbl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6D7D15">
      <w:tc>
        <w:tcPr>
          <w:tcW w:w="6798" w:type="dxa"/>
          <w:vAlign w:val="bottom"/>
        </w:tcPr>
        <w:p w:rsidR="006D7D15" w:rsidRDefault="006D7D15" w:rsidP="00064D5B">
          <w:pPr>
            <w:pStyle w:val="HeaderLiteOdd"/>
          </w:pPr>
        </w:p>
      </w:tc>
      <w:tc>
        <w:tcPr>
          <w:tcW w:w="1548" w:type="dxa"/>
        </w:tcPr>
        <w:p w:rsidR="006D7D15" w:rsidRDefault="006D7D15">
          <w:pPr>
            <w:pStyle w:val="HeaderLiteOdd"/>
          </w:pPr>
        </w:p>
      </w:tc>
    </w:tr>
    <w:tr w:rsidR="006D7D15">
      <w:tc>
        <w:tcPr>
          <w:tcW w:w="6798" w:type="dxa"/>
          <w:vAlign w:val="bottom"/>
        </w:tcPr>
        <w:p w:rsidR="006D7D15" w:rsidRDefault="006D7D15">
          <w:pPr>
            <w:pStyle w:val="HeaderLiteOdd"/>
          </w:pPr>
        </w:p>
      </w:tc>
      <w:tc>
        <w:tcPr>
          <w:tcW w:w="1548" w:type="dxa"/>
        </w:tcPr>
        <w:p w:rsidR="006D7D15" w:rsidRDefault="006D7D15">
          <w:pPr>
            <w:pStyle w:val="HeaderLiteOdd"/>
          </w:pPr>
        </w:p>
      </w:tc>
    </w:tr>
    <w:tr w:rsidR="006D7D15" w:rsidTr="004360C1">
      <w:tc>
        <w:tcPr>
          <w:tcW w:w="8346" w:type="dxa"/>
          <w:gridSpan w:val="2"/>
          <w:shd w:val="clear" w:color="auto" w:fill="auto"/>
        </w:tcPr>
        <w:p w:rsidR="006D7D15" w:rsidRDefault="006D7D15">
          <w:pPr>
            <w:pStyle w:val="HeaderBoldOdd"/>
          </w:pPr>
        </w:p>
      </w:tc>
    </w:tr>
  </w:tbl>
  <w:p w:rsidR="006D7D15" w:rsidRDefault="006D7D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1F4"/>
    <w:multiLevelType w:val="hybridMultilevel"/>
    <w:tmpl w:val="F1DE7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05D2E"/>
    <w:multiLevelType w:val="hybridMultilevel"/>
    <w:tmpl w:val="47202B0E"/>
    <w:lvl w:ilvl="0" w:tplc="19F408B0">
      <w:start w:val="1"/>
      <w:numFmt w:val="lowerLetter"/>
      <w:lvlText w:val="(%1)"/>
      <w:lvlJc w:val="left"/>
      <w:pPr>
        <w:ind w:left="1324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>
    <w:nsid w:val="63306228"/>
    <w:multiLevelType w:val="hybridMultilevel"/>
    <w:tmpl w:val="B5C4D6D4"/>
    <w:lvl w:ilvl="0" w:tplc="E57A04E2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60" w:hanging="360"/>
      </w:pPr>
    </w:lvl>
    <w:lvl w:ilvl="2" w:tplc="0C09001B" w:tentative="1">
      <w:start w:val="1"/>
      <w:numFmt w:val="lowerRoman"/>
      <w:lvlText w:val="%3."/>
      <w:lvlJc w:val="right"/>
      <w:pPr>
        <w:ind w:left="3180" w:hanging="180"/>
      </w:pPr>
    </w:lvl>
    <w:lvl w:ilvl="3" w:tplc="0C09000F" w:tentative="1">
      <w:start w:val="1"/>
      <w:numFmt w:val="decimal"/>
      <w:lvlText w:val="%4."/>
      <w:lvlJc w:val="left"/>
      <w:pPr>
        <w:ind w:left="3900" w:hanging="360"/>
      </w:pPr>
    </w:lvl>
    <w:lvl w:ilvl="4" w:tplc="0C090019" w:tentative="1">
      <w:start w:val="1"/>
      <w:numFmt w:val="lowerLetter"/>
      <w:lvlText w:val="%5."/>
      <w:lvlJc w:val="left"/>
      <w:pPr>
        <w:ind w:left="4620" w:hanging="360"/>
      </w:pPr>
    </w:lvl>
    <w:lvl w:ilvl="5" w:tplc="0C09001B" w:tentative="1">
      <w:start w:val="1"/>
      <w:numFmt w:val="lowerRoman"/>
      <w:lvlText w:val="%6."/>
      <w:lvlJc w:val="right"/>
      <w:pPr>
        <w:ind w:left="5340" w:hanging="180"/>
      </w:pPr>
    </w:lvl>
    <w:lvl w:ilvl="6" w:tplc="0C09000F" w:tentative="1">
      <w:start w:val="1"/>
      <w:numFmt w:val="decimal"/>
      <w:lvlText w:val="%7."/>
      <w:lvlJc w:val="left"/>
      <w:pPr>
        <w:ind w:left="6060" w:hanging="360"/>
      </w:pPr>
    </w:lvl>
    <w:lvl w:ilvl="7" w:tplc="0C090019" w:tentative="1">
      <w:start w:val="1"/>
      <w:numFmt w:val="lowerLetter"/>
      <w:lvlText w:val="%8."/>
      <w:lvlJc w:val="left"/>
      <w:pPr>
        <w:ind w:left="6780" w:hanging="360"/>
      </w:pPr>
    </w:lvl>
    <w:lvl w:ilvl="8" w:tplc="0C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E6CF5"/>
    <w:rsid w:val="00060453"/>
    <w:rsid w:val="00064D5B"/>
    <w:rsid w:val="00080177"/>
    <w:rsid w:val="00084DCB"/>
    <w:rsid w:val="000D6EA1"/>
    <w:rsid w:val="00114BB9"/>
    <w:rsid w:val="00116523"/>
    <w:rsid w:val="00126CAD"/>
    <w:rsid w:val="0017055A"/>
    <w:rsid w:val="001D6AAE"/>
    <w:rsid w:val="001E32F4"/>
    <w:rsid w:val="001E56AC"/>
    <w:rsid w:val="001E6D66"/>
    <w:rsid w:val="00216A63"/>
    <w:rsid w:val="00222E19"/>
    <w:rsid w:val="0024119E"/>
    <w:rsid w:val="002612E1"/>
    <w:rsid w:val="00266964"/>
    <w:rsid w:val="0029306F"/>
    <w:rsid w:val="002F0D75"/>
    <w:rsid w:val="002F63CE"/>
    <w:rsid w:val="00325004"/>
    <w:rsid w:val="00327BCA"/>
    <w:rsid w:val="00336007"/>
    <w:rsid w:val="003630FA"/>
    <w:rsid w:val="0037535D"/>
    <w:rsid w:val="00406D21"/>
    <w:rsid w:val="004257A8"/>
    <w:rsid w:val="00430422"/>
    <w:rsid w:val="004360C1"/>
    <w:rsid w:val="004414C5"/>
    <w:rsid w:val="00442B8F"/>
    <w:rsid w:val="00456D10"/>
    <w:rsid w:val="004A3FEC"/>
    <w:rsid w:val="00560CEE"/>
    <w:rsid w:val="00563D40"/>
    <w:rsid w:val="00572B37"/>
    <w:rsid w:val="005A21A0"/>
    <w:rsid w:val="005A7351"/>
    <w:rsid w:val="005B7E2A"/>
    <w:rsid w:val="005F2327"/>
    <w:rsid w:val="00637D26"/>
    <w:rsid w:val="00673051"/>
    <w:rsid w:val="006974FC"/>
    <w:rsid w:val="006D7D15"/>
    <w:rsid w:val="006F0226"/>
    <w:rsid w:val="00704346"/>
    <w:rsid w:val="00740DA7"/>
    <w:rsid w:val="00772EDB"/>
    <w:rsid w:val="007A6B6C"/>
    <w:rsid w:val="007D4E68"/>
    <w:rsid w:val="007E0273"/>
    <w:rsid w:val="007F57A2"/>
    <w:rsid w:val="007F7A3C"/>
    <w:rsid w:val="0082510A"/>
    <w:rsid w:val="00826390"/>
    <w:rsid w:val="009325B3"/>
    <w:rsid w:val="00940AB2"/>
    <w:rsid w:val="00967193"/>
    <w:rsid w:val="00984DB1"/>
    <w:rsid w:val="009C0AB3"/>
    <w:rsid w:val="00A15357"/>
    <w:rsid w:val="00A47D06"/>
    <w:rsid w:val="00A533F6"/>
    <w:rsid w:val="00A65BDF"/>
    <w:rsid w:val="00AE252E"/>
    <w:rsid w:val="00AE3800"/>
    <w:rsid w:val="00AF7A53"/>
    <w:rsid w:val="00B04C09"/>
    <w:rsid w:val="00B9686F"/>
    <w:rsid w:val="00C333DA"/>
    <w:rsid w:val="00CD3227"/>
    <w:rsid w:val="00CE6CF5"/>
    <w:rsid w:val="00D022F7"/>
    <w:rsid w:val="00D06975"/>
    <w:rsid w:val="00D24589"/>
    <w:rsid w:val="00D90293"/>
    <w:rsid w:val="00DC6761"/>
    <w:rsid w:val="00E0375A"/>
    <w:rsid w:val="00E17887"/>
    <w:rsid w:val="00E83673"/>
    <w:rsid w:val="00EE49AD"/>
    <w:rsid w:val="00EF3156"/>
    <w:rsid w:val="00F95C92"/>
    <w:rsid w:val="00F9653E"/>
    <w:rsid w:val="00FE15B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CE6CF5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CE6CF5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CE6CF5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CE6CF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CE6CF5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E6CF5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FooterDraft">
    <w:name w:val="FooterDraft"/>
    <w:basedOn w:val="Normal"/>
    <w:rsid w:val="00CE6CF5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CE6CF5"/>
    <w:rPr>
      <w:rFonts w:ascii="Arial" w:hAnsi="Arial"/>
      <w:sz w:val="12"/>
    </w:rPr>
  </w:style>
  <w:style w:type="paragraph" w:styleId="Header">
    <w:name w:val="header"/>
    <w:basedOn w:val="Normal"/>
    <w:link w:val="HeaderChar"/>
    <w:rsid w:val="00CE6CF5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CE6CF5"/>
    <w:rPr>
      <w:rFonts w:ascii="Arial" w:eastAsia="Times New Roman" w:hAnsi="Arial" w:cs="Times New Roman"/>
      <w:sz w:val="16"/>
      <w:szCs w:val="24"/>
      <w:lang w:eastAsia="en-AU"/>
    </w:rPr>
  </w:style>
  <w:style w:type="character" w:styleId="PageNumber">
    <w:name w:val="page number"/>
    <w:basedOn w:val="DefaultParagraphFont"/>
    <w:rsid w:val="00CE6CF5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CE6CF5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E6CF5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HR">
    <w:name w:val="HR"/>
    <w:aliases w:val="Regulation Heading"/>
    <w:basedOn w:val="Normal"/>
    <w:next w:val="R1"/>
    <w:rsid w:val="00CE6CF5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MainBodySectionBreak">
    <w:name w:val="MainBody Section Break"/>
    <w:basedOn w:val="Normal"/>
    <w:next w:val="Normal"/>
    <w:rsid w:val="00CE6CF5"/>
  </w:style>
  <w:style w:type="paragraph" w:customStyle="1" w:styleId="Note">
    <w:name w:val="Note"/>
    <w:basedOn w:val="Normal"/>
    <w:rsid w:val="00CE6CF5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CE6CF5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R1">
    <w:name w:val="R1"/>
    <w:aliases w:val="1. or 1.(1)"/>
    <w:basedOn w:val="Normal"/>
    <w:next w:val="Normal"/>
    <w:rsid w:val="00CE6CF5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FooterCitation">
    <w:name w:val="FooterCitation"/>
    <w:basedOn w:val="Footer"/>
    <w:rsid w:val="00CE6CF5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igningPageBreak">
    <w:name w:val="SigningPageBreak"/>
    <w:basedOn w:val="Normal"/>
    <w:next w:val="Normal"/>
    <w:rsid w:val="00CE6CF5"/>
  </w:style>
  <w:style w:type="paragraph" w:styleId="BalloonText">
    <w:name w:val="Balloon Text"/>
    <w:basedOn w:val="Normal"/>
    <w:link w:val="BalloonTextChar"/>
    <w:uiPriority w:val="99"/>
    <w:semiHidden/>
    <w:unhideWhenUsed/>
    <w:rsid w:val="00CE6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F5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D32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3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22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27"/>
    <w:rPr>
      <w:b/>
      <w:bCs/>
    </w:rPr>
  </w:style>
  <w:style w:type="paragraph" w:customStyle="1" w:styleId="R2">
    <w:name w:val="R2"/>
    <w:aliases w:val="(2)"/>
    <w:basedOn w:val="Normal"/>
    <w:rsid w:val="00DC6761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character" w:styleId="HTMLCite">
    <w:name w:val="HTML Cite"/>
    <w:basedOn w:val="DefaultParagraphFont"/>
    <w:uiPriority w:val="99"/>
    <w:semiHidden/>
    <w:unhideWhenUsed/>
    <w:rsid w:val="00772EDB"/>
    <w:rPr>
      <w:i/>
      <w:iCs/>
    </w:rPr>
  </w:style>
  <w:style w:type="paragraph" w:styleId="ListParagraph">
    <w:name w:val="List Paragraph"/>
    <w:basedOn w:val="Normal"/>
    <w:uiPriority w:val="34"/>
    <w:qFormat/>
    <w:rsid w:val="00772ED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033047a-93aa-421b-8aef-52cbfb63cf36" ContentTypeId="0x01010070E27D6A746B5B48ADF22C2128054D5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ord" ma:contentTypeID="0x01010070E27D6A746B5B48ADF22C2128054D5500020C07817F1F68498B2166EE12B17A57" ma:contentTypeVersion="35" ma:contentTypeDescription="A document enhanced so that it is automatically captured by RecordPoint." ma:contentTypeScope="" ma:versionID="e7e4629d89fad1c8ff1348d29791285f">
  <xsd:schema xmlns:xsd="http://www.w3.org/2001/XMLSchema" xmlns:xs="http://www.w3.org/2001/XMLSchema" xmlns:p="http://schemas.microsoft.com/office/2006/metadata/properties" xmlns:ns2="83630db1-6fc2-4dfd-b3fe-d61d34e1440c" xmlns:ns3="6db8f3c6-01a1-4322-b043-a3b2a190f7a8" xmlns:ns4="5e268b55-9e20-462b-aba6-694451a37717" xmlns:ns5="http://schemas.microsoft.com/sharepoint/v4" targetNamespace="http://schemas.microsoft.com/office/2006/metadata/properties" ma:root="true" ma:fieldsID="d30610679a7f49b9b50f4c260411420f" ns2:_="" ns3:_="" ns4:_="" ns5:_="">
    <xsd:import namespace="83630db1-6fc2-4dfd-b3fe-d61d34e1440c"/>
    <xsd:import namespace="6db8f3c6-01a1-4322-b043-a3b2a190f7a8"/>
    <xsd:import namespace="5e268b55-9e20-462b-aba6-694451a377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egacy_x0020_Record_x0020_Number" minOccurs="0"/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4:Categor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0db1-6fc2-4dfd-b3fe-d61d34e1440c" elementFormDefault="qualified">
    <xsd:import namespace="http://schemas.microsoft.com/office/2006/documentManagement/types"/>
    <xsd:import namespace="http://schemas.microsoft.com/office/infopath/2007/PartnerControls"/>
    <xsd:element name="Legacy_x0020_Record_x0020_Number" ma:index="8" nillable="true" ma:displayName="Legacy Record Number" ma:description="Captures legacy record numbers, eg from TRIM." ma:internalName="Legacy_x0020_Record_x0020_Number">
      <xsd:simpleType>
        <xsd:restriction base="dms:Text">
          <xsd:maxLength value="40"/>
        </xsd:restriction>
      </xsd:simpleType>
    </xsd:element>
    <xsd:element name="Record_x0020_Number" ma:index="9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8b55-9e20-462b-aba6-694451a37717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b8f3c6-01a1-4322-b043-a3b2a190f7a8">KNAH4PPFC442-1945-1245</_dlc_DocId>
    <_dlc_DocIdUrl xmlns="6db8f3c6-01a1-4322-b043-a3b2a190f7a8">
      <Url>http://collaboration/organisation/Auth/Chair/Auth/_layouts/DocIdRedir.aspx?ID=KNAH4PPFC442-1945-1245</Url>
      <Description>KNAH4PPFC442-1945-1245</Description>
    </_dlc_DocIdUrl>
    <Record_x0020_Number xmlns="83630db1-6fc2-4dfd-b3fe-d61d34e1440c">ER2013/044295</Record_x0020_Number>
    <Legacy_x0020_Record_x0020_Number xmlns="83630db1-6fc2-4dfd-b3fe-d61d34e1440c" xsi:nil="true"/>
    <IconOverlay xmlns="http://schemas.microsoft.com/sharepoint/v4" xsi:nil="true"/>
    <Category xmlns="5e268b55-9e20-462b-aba6-694451a37717">(none)</Categor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C8EA-21DA-48A6-A401-50A419561D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E1918B-96D3-4589-829C-ED4FBF7C6A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39DD30-9880-4E50-89DF-2546A8BCF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30db1-6fc2-4dfd-b3fe-d61d34e1440c"/>
    <ds:schemaRef ds:uri="6db8f3c6-01a1-4322-b043-a3b2a190f7a8"/>
    <ds:schemaRef ds:uri="5e268b55-9e20-462b-aba6-694451a377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69209-88A2-474F-9880-07444556B55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3630db1-6fc2-4dfd-b3fe-d61d34e1440c"/>
    <ds:schemaRef ds:uri="6db8f3c6-01a1-4322-b043-a3b2a190f7a8"/>
    <ds:schemaRef ds:uri="5e268b55-9e20-462b-aba6-694451a37717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8BDFE2F-64A3-43CB-BCA9-3D1B1EA2E1B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0C6DD7-1C36-4EC5-A873-C5D4169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ajermey</dc:creator>
  <cp:lastModifiedBy>Helen Turnbull</cp:lastModifiedBy>
  <cp:revision>2</cp:revision>
  <cp:lastPrinted>2013-09-11T04:30:00Z</cp:lastPrinted>
  <dcterms:created xsi:type="dcterms:W3CDTF">2013-12-10T05:12:00Z</dcterms:created>
  <dcterms:modified xsi:type="dcterms:W3CDTF">2013-12-10T05:12:00Z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de1fda9f-30c2-4214-ae3c-225eba3a0910</vt:lpwstr>
  </property>
  <property fmtid="{D5CDD505-2E9C-101B-9397-08002B2CF9AE}" pid="3" name="ContentTypeId">
    <vt:lpwstr>0x01010070E27D6A746B5B48ADF22C2128054D5500020C07817F1F68498B2166EE12B17A57</vt:lpwstr>
  </property>
  <property fmtid="{D5CDD505-2E9C-101B-9397-08002B2CF9AE}" pid="4" name="RecordPoint_SubmissionDate">
    <vt:lpwstr/>
  </property>
  <property fmtid="{D5CDD505-2E9C-101B-9397-08002B2CF9AE}" pid="5" name="RecordPoint_ActiveItemSiteId">
    <vt:lpwstr>{7ba5f3c1-1ab9-4cc3-a7c0-334d2b0aec73}</vt:lpwstr>
  </property>
  <property fmtid="{D5CDD505-2E9C-101B-9397-08002B2CF9AE}" pid="6" name="RecordPoint_ActiveItemListId">
    <vt:lpwstr>{12ea2e24-8e38-48f0-8667-2a35c1c96989}</vt:lpwstr>
  </property>
  <property fmtid="{D5CDD505-2E9C-101B-9397-08002B2CF9AE}" pid="7" name="RecordPoint_RecordFormat">
    <vt:lpwstr/>
  </property>
  <property fmtid="{D5CDD505-2E9C-101B-9397-08002B2CF9AE}" pid="8" name="RecordPoint_SubmissionCompleted">
    <vt:lpwstr>2013-11-28T15:18:49.7723826+11:00</vt:lpwstr>
  </property>
  <property fmtid="{D5CDD505-2E9C-101B-9397-08002B2CF9AE}" pid="9" name="RecordPoint_ActiveItemMoved">
    <vt:lpwstr/>
  </property>
  <property fmtid="{D5CDD505-2E9C-101B-9397-08002B2CF9AE}" pid="10" name="RecordPoint_ActiveItemUniqueId">
    <vt:lpwstr>{de1fda9f-30c2-4214-ae3c-225eba3a0910}</vt:lpwstr>
  </property>
  <property fmtid="{D5CDD505-2E9C-101B-9397-08002B2CF9AE}" pid="11" name="RecordPoint_ActiveItemWebId">
    <vt:lpwstr>{e61cc4da-a431-400f-9f48-bf2ba12a7e9a}</vt:lpwstr>
  </property>
  <property fmtid="{D5CDD505-2E9C-101B-9397-08002B2CF9AE}" pid="12" name="RecordPoint_WorkflowType">
    <vt:lpwstr>ActiveSubmitStub</vt:lpwstr>
  </property>
</Properties>
</file>