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6FEE3" w14:textId="77777777" w:rsidR="006772DB" w:rsidRPr="00F14E02" w:rsidRDefault="006772DB" w:rsidP="006772DB">
      <w:pPr>
        <w:jc w:val="center"/>
        <w:rPr>
          <w:lang w:eastAsia="en-US"/>
        </w:rPr>
      </w:pPr>
      <w:r w:rsidRPr="00F14E02">
        <w:rPr>
          <w:b/>
          <w:bCs/>
          <w:u w:val="single"/>
          <w:lang w:eastAsia="en-US"/>
        </w:rPr>
        <w:t xml:space="preserve">EXPLANATORY </w:t>
      </w:r>
      <w:r>
        <w:rPr>
          <w:b/>
          <w:bCs/>
          <w:u w:val="single"/>
          <w:lang w:eastAsia="en-US"/>
        </w:rPr>
        <w:t>STATEMENT</w:t>
      </w:r>
    </w:p>
    <w:p w14:paraId="53A6FEE4" w14:textId="77777777" w:rsidR="006772DB" w:rsidRPr="00F14E02" w:rsidRDefault="006772DB" w:rsidP="006772DB">
      <w:pPr>
        <w:rPr>
          <w:lang w:eastAsia="en-US"/>
        </w:rPr>
      </w:pPr>
      <w:r w:rsidRPr="00F14E02">
        <w:rPr>
          <w:lang w:eastAsia="en-US"/>
        </w:rPr>
        <w:t> </w:t>
      </w:r>
    </w:p>
    <w:p w14:paraId="53A6FEE5" w14:textId="7B5E6FC0" w:rsidR="006772DB" w:rsidRPr="002D07C4" w:rsidRDefault="002D07C4" w:rsidP="002D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lang w:eastAsia="en-US"/>
        </w:rPr>
      </w:pPr>
      <w:r w:rsidRPr="002D07C4">
        <w:rPr>
          <w:b/>
          <w:u w:val="single"/>
          <w:lang w:eastAsia="en-US"/>
        </w:rPr>
        <w:t>Select Legislative Instrument No. 276, 2013</w:t>
      </w:r>
    </w:p>
    <w:p w14:paraId="53A6FEE6" w14:textId="77777777" w:rsidR="006772DB" w:rsidRPr="00F14E02" w:rsidRDefault="006772DB" w:rsidP="0067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eastAsia="en-US"/>
        </w:rPr>
      </w:pPr>
      <w:r w:rsidRPr="00F14E02">
        <w:rPr>
          <w:lang w:eastAsia="en-US"/>
        </w:rPr>
        <w:t>Subject</w:t>
      </w:r>
      <w:r>
        <w:rPr>
          <w:lang w:eastAsia="en-US"/>
        </w:rPr>
        <w:t>—</w:t>
      </w:r>
      <w:r w:rsidRPr="00F14E02">
        <w:rPr>
          <w:lang w:eastAsia="en-US"/>
        </w:rPr>
        <w:t xml:space="preserve"> </w:t>
      </w:r>
      <w:r w:rsidRPr="00F14E02">
        <w:rPr>
          <w:lang w:eastAsia="en-US"/>
        </w:rPr>
        <w:tab/>
      </w:r>
      <w:r w:rsidRPr="00F14E02">
        <w:rPr>
          <w:i/>
          <w:lang w:eastAsia="en-US"/>
        </w:rPr>
        <w:t>Public Service Act 1999</w:t>
      </w:r>
    </w:p>
    <w:p w14:paraId="53A6FEE7" w14:textId="77777777" w:rsidR="006772DB" w:rsidRPr="00F14E02" w:rsidRDefault="006772DB" w:rsidP="0067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831"/>
        <w:rPr>
          <w:i/>
          <w:lang w:eastAsia="en-US"/>
        </w:rPr>
      </w:pPr>
      <w:r w:rsidRPr="00F14E02">
        <w:rPr>
          <w:i/>
          <w:lang w:eastAsia="en-US"/>
        </w:rPr>
        <w:t xml:space="preserve">Public Service Amendment </w:t>
      </w:r>
      <w:r>
        <w:rPr>
          <w:i/>
          <w:lang w:eastAsia="en-US"/>
        </w:rPr>
        <w:t xml:space="preserve">(Public Interest Disclosure and Other Matters) </w:t>
      </w:r>
      <w:r w:rsidRPr="00F14E02">
        <w:rPr>
          <w:i/>
          <w:lang w:eastAsia="en-US"/>
        </w:rPr>
        <w:t>Regulation 201</w:t>
      </w:r>
      <w:r>
        <w:rPr>
          <w:i/>
          <w:lang w:eastAsia="en-US"/>
        </w:rPr>
        <w:t>3</w:t>
      </w:r>
    </w:p>
    <w:p w14:paraId="53A6FEE8" w14:textId="77777777" w:rsidR="006772DB" w:rsidRDefault="006772DB" w:rsidP="006772DB">
      <w:pPr>
        <w:spacing w:after="120"/>
        <w:rPr>
          <w:szCs w:val="20"/>
          <w:lang w:eastAsia="en-US"/>
        </w:rPr>
      </w:pPr>
      <w:r w:rsidRPr="00F14E02">
        <w:rPr>
          <w:szCs w:val="20"/>
          <w:lang w:eastAsia="en-US"/>
        </w:rPr>
        <w:t xml:space="preserve">The </w:t>
      </w:r>
      <w:r w:rsidRPr="00F14E02">
        <w:rPr>
          <w:i/>
          <w:szCs w:val="20"/>
          <w:lang w:eastAsia="en-US"/>
        </w:rPr>
        <w:t>Public Service Act 1999</w:t>
      </w:r>
      <w:r w:rsidRPr="00F14E02">
        <w:rPr>
          <w:szCs w:val="20"/>
          <w:lang w:eastAsia="en-US"/>
        </w:rPr>
        <w:t xml:space="preserve"> (</w:t>
      </w:r>
      <w:r>
        <w:rPr>
          <w:szCs w:val="20"/>
          <w:lang w:eastAsia="en-US"/>
        </w:rPr>
        <w:t xml:space="preserve">‘PS </w:t>
      </w:r>
      <w:r w:rsidRPr="00F14E02">
        <w:rPr>
          <w:szCs w:val="20"/>
          <w:lang w:eastAsia="en-US"/>
        </w:rPr>
        <w:t>Act</w:t>
      </w:r>
      <w:r>
        <w:rPr>
          <w:szCs w:val="20"/>
          <w:lang w:eastAsia="en-US"/>
        </w:rPr>
        <w:t>’</w:t>
      </w:r>
      <w:r w:rsidRPr="00F14E02">
        <w:rPr>
          <w:szCs w:val="20"/>
          <w:lang w:eastAsia="en-US"/>
        </w:rPr>
        <w:t>) provides for the establishment and management of the Australian Public Service (</w:t>
      </w:r>
      <w:r>
        <w:rPr>
          <w:szCs w:val="20"/>
          <w:lang w:eastAsia="en-US"/>
        </w:rPr>
        <w:t>‘</w:t>
      </w:r>
      <w:r w:rsidRPr="00F14E02">
        <w:rPr>
          <w:szCs w:val="20"/>
          <w:lang w:eastAsia="en-US"/>
        </w:rPr>
        <w:t>APS</w:t>
      </w:r>
      <w:r>
        <w:rPr>
          <w:szCs w:val="20"/>
          <w:lang w:eastAsia="en-US"/>
        </w:rPr>
        <w:t>’</w:t>
      </w:r>
      <w:r w:rsidRPr="00F14E02">
        <w:rPr>
          <w:szCs w:val="20"/>
          <w:lang w:eastAsia="en-US"/>
        </w:rPr>
        <w:t>)</w:t>
      </w:r>
      <w:r>
        <w:rPr>
          <w:szCs w:val="20"/>
          <w:lang w:eastAsia="en-US"/>
        </w:rPr>
        <w:t xml:space="preserve"> and other matters including the powers and functions of the Australian Public Service Commissio</w:t>
      </w:r>
      <w:bookmarkStart w:id="0" w:name="_GoBack"/>
      <w:bookmarkEnd w:id="0"/>
      <w:r>
        <w:rPr>
          <w:szCs w:val="20"/>
          <w:lang w:eastAsia="en-US"/>
        </w:rPr>
        <w:t>ner (‘Commissioner’) and the Merit Protection Commissioner (‘</w:t>
      </w:r>
      <w:proofErr w:type="spellStart"/>
      <w:r>
        <w:rPr>
          <w:szCs w:val="20"/>
          <w:lang w:eastAsia="en-US"/>
        </w:rPr>
        <w:t>MPC</w:t>
      </w:r>
      <w:proofErr w:type="spellEnd"/>
      <w:r>
        <w:rPr>
          <w:szCs w:val="20"/>
          <w:lang w:eastAsia="en-US"/>
        </w:rPr>
        <w:t>’)</w:t>
      </w:r>
      <w:r w:rsidRPr="00F14E02">
        <w:rPr>
          <w:szCs w:val="20"/>
          <w:lang w:eastAsia="en-US"/>
        </w:rPr>
        <w:t>.</w:t>
      </w:r>
      <w:r>
        <w:rPr>
          <w:szCs w:val="20"/>
          <w:lang w:eastAsia="en-US"/>
        </w:rPr>
        <w:t xml:space="preserve"> </w:t>
      </w:r>
      <w:r w:rsidRPr="00F14E02">
        <w:rPr>
          <w:szCs w:val="20"/>
          <w:lang w:eastAsia="en-US"/>
        </w:rPr>
        <w:t xml:space="preserve">Subsection 79(1) of the </w:t>
      </w:r>
      <w:r>
        <w:rPr>
          <w:szCs w:val="20"/>
          <w:lang w:eastAsia="en-US"/>
        </w:rPr>
        <w:t xml:space="preserve">PS </w:t>
      </w:r>
      <w:r w:rsidRPr="00F14E02">
        <w:rPr>
          <w:szCs w:val="20"/>
          <w:lang w:eastAsia="en-US"/>
        </w:rPr>
        <w:t xml:space="preserve">Act provides that the Governor-General may make regulations prescribing matters required or permitted by the </w:t>
      </w:r>
      <w:r>
        <w:rPr>
          <w:szCs w:val="20"/>
          <w:lang w:eastAsia="en-US"/>
        </w:rPr>
        <w:t xml:space="preserve">PS </w:t>
      </w:r>
      <w:r w:rsidRPr="00F14E02">
        <w:rPr>
          <w:szCs w:val="20"/>
          <w:lang w:eastAsia="en-US"/>
        </w:rPr>
        <w:t>Act to be prescribed, or necessary or convenient to be prescribed</w:t>
      </w:r>
      <w:r>
        <w:rPr>
          <w:szCs w:val="20"/>
          <w:lang w:eastAsia="en-US"/>
        </w:rPr>
        <w:t>,</w:t>
      </w:r>
      <w:r w:rsidRPr="00F14E02">
        <w:rPr>
          <w:szCs w:val="20"/>
          <w:lang w:eastAsia="en-US"/>
        </w:rPr>
        <w:t xml:space="preserve"> for carrying out or giving effect to the </w:t>
      </w:r>
      <w:r>
        <w:rPr>
          <w:szCs w:val="20"/>
          <w:lang w:eastAsia="en-US"/>
        </w:rPr>
        <w:t xml:space="preserve">PS </w:t>
      </w:r>
      <w:r w:rsidRPr="00F14E02">
        <w:rPr>
          <w:szCs w:val="20"/>
          <w:lang w:eastAsia="en-US"/>
        </w:rPr>
        <w:t>Act.</w:t>
      </w:r>
    </w:p>
    <w:p w14:paraId="53A6FEE9" w14:textId="77777777" w:rsidR="006772DB" w:rsidRDefault="006772DB" w:rsidP="006772DB">
      <w:pPr>
        <w:spacing w:after="120"/>
        <w:rPr>
          <w:szCs w:val="20"/>
          <w:lang w:eastAsia="en-US"/>
        </w:rPr>
      </w:pPr>
      <w:r>
        <w:rPr>
          <w:szCs w:val="20"/>
          <w:lang w:eastAsia="en-US"/>
        </w:rPr>
        <w:t xml:space="preserve">Paragraphs 41(2)(o) and 50(1)(a) of the PS Act provide an inquiry role for the Commissioner and the </w:t>
      </w:r>
      <w:proofErr w:type="spellStart"/>
      <w:r>
        <w:rPr>
          <w:szCs w:val="20"/>
          <w:lang w:eastAsia="en-US"/>
        </w:rPr>
        <w:t>MPC</w:t>
      </w:r>
      <w:proofErr w:type="spellEnd"/>
      <w:r>
        <w:rPr>
          <w:szCs w:val="20"/>
          <w:lang w:eastAsia="en-US"/>
        </w:rPr>
        <w:t xml:space="preserve"> respectively, associated with inquiring into </w:t>
      </w:r>
      <w:proofErr w:type="spellStart"/>
      <w:r>
        <w:rPr>
          <w:szCs w:val="20"/>
          <w:lang w:eastAsia="en-US"/>
        </w:rPr>
        <w:t>whistleblower</w:t>
      </w:r>
      <w:proofErr w:type="spellEnd"/>
      <w:r>
        <w:rPr>
          <w:szCs w:val="20"/>
          <w:lang w:eastAsia="en-US"/>
        </w:rPr>
        <w:t xml:space="preserve"> reports. </w:t>
      </w:r>
    </w:p>
    <w:p w14:paraId="53A6FEEA" w14:textId="77777777" w:rsidR="006772DB" w:rsidRDefault="006772DB" w:rsidP="006772DB">
      <w:pPr>
        <w:spacing w:after="120"/>
        <w:rPr>
          <w:szCs w:val="20"/>
          <w:lang w:eastAsia="en-US"/>
        </w:rPr>
      </w:pPr>
      <w:r>
        <w:rPr>
          <w:szCs w:val="20"/>
          <w:lang w:eastAsia="en-US"/>
        </w:rPr>
        <w:t xml:space="preserve">The </w:t>
      </w:r>
      <w:r w:rsidRPr="003100DF">
        <w:rPr>
          <w:i/>
          <w:szCs w:val="20"/>
          <w:lang w:eastAsia="en-US"/>
        </w:rPr>
        <w:t>Public Interest Disclosure Act 2013</w:t>
      </w:r>
      <w:r>
        <w:rPr>
          <w:szCs w:val="20"/>
          <w:lang w:eastAsia="en-US"/>
        </w:rPr>
        <w:t xml:space="preserve"> (‘</w:t>
      </w:r>
      <w:proofErr w:type="spellStart"/>
      <w:r>
        <w:rPr>
          <w:szCs w:val="20"/>
          <w:lang w:eastAsia="en-US"/>
        </w:rPr>
        <w:t>PID</w:t>
      </w:r>
      <w:proofErr w:type="spellEnd"/>
      <w:r>
        <w:rPr>
          <w:szCs w:val="20"/>
          <w:lang w:eastAsia="en-US"/>
        </w:rPr>
        <w:t xml:space="preserve"> Act’) establishes a framework to encourage and facilitate reporting of wrongdoing by public officials in the Commonwealth public sector. It makes provision for the making </w:t>
      </w:r>
      <w:r w:rsidRPr="007F5130">
        <w:rPr>
          <w:szCs w:val="20"/>
          <w:lang w:eastAsia="en-US"/>
        </w:rPr>
        <w:t>of ‘public interest disclosures’</w:t>
      </w:r>
      <w:r>
        <w:rPr>
          <w:szCs w:val="20"/>
          <w:lang w:eastAsia="en-US"/>
        </w:rPr>
        <w:t xml:space="preserve">, for the investigation of such disclosures, and for the protection of disclosers. The </w:t>
      </w:r>
      <w:r>
        <w:rPr>
          <w:i/>
          <w:szCs w:val="20"/>
          <w:lang w:eastAsia="en-US"/>
        </w:rPr>
        <w:t>Public Interest Disclosure (Consequential Amendments) Act 2013</w:t>
      </w:r>
      <w:r>
        <w:rPr>
          <w:szCs w:val="20"/>
          <w:lang w:eastAsia="en-US"/>
        </w:rPr>
        <w:t xml:space="preserve"> (‘</w:t>
      </w:r>
      <w:proofErr w:type="spellStart"/>
      <w:r>
        <w:rPr>
          <w:szCs w:val="20"/>
          <w:lang w:eastAsia="en-US"/>
        </w:rPr>
        <w:t>PID</w:t>
      </w:r>
      <w:proofErr w:type="spellEnd"/>
      <w:r>
        <w:rPr>
          <w:szCs w:val="20"/>
          <w:lang w:eastAsia="en-US"/>
        </w:rPr>
        <w:t xml:space="preserve"> Consequential Act’</w:t>
      </w:r>
      <w:r w:rsidRPr="00B5345B">
        <w:rPr>
          <w:szCs w:val="20"/>
          <w:lang w:eastAsia="en-US"/>
        </w:rPr>
        <w:t xml:space="preserve">) repeals the APS whistleblowing scheme in section 16 of the PS Act, as well as the functions of the Commissioner and </w:t>
      </w:r>
      <w:proofErr w:type="spellStart"/>
      <w:r w:rsidRPr="00B5345B">
        <w:rPr>
          <w:szCs w:val="20"/>
          <w:lang w:eastAsia="en-US"/>
        </w:rPr>
        <w:t>MPC</w:t>
      </w:r>
      <w:proofErr w:type="spellEnd"/>
      <w:r w:rsidRPr="00B5345B">
        <w:rPr>
          <w:szCs w:val="20"/>
          <w:lang w:eastAsia="en-US"/>
        </w:rPr>
        <w:t xml:space="preserve"> </w:t>
      </w:r>
      <w:r>
        <w:rPr>
          <w:szCs w:val="20"/>
          <w:lang w:eastAsia="en-US"/>
        </w:rPr>
        <w:t>of inquiring</w:t>
      </w:r>
      <w:r w:rsidRPr="00B5345B">
        <w:rPr>
          <w:szCs w:val="20"/>
          <w:lang w:eastAsia="en-US"/>
        </w:rPr>
        <w:t xml:space="preserve"> into </w:t>
      </w:r>
      <w:proofErr w:type="spellStart"/>
      <w:r w:rsidRPr="00B5345B">
        <w:rPr>
          <w:szCs w:val="20"/>
          <w:lang w:eastAsia="en-US"/>
        </w:rPr>
        <w:t>whistleblower</w:t>
      </w:r>
      <w:proofErr w:type="spellEnd"/>
      <w:r w:rsidRPr="00B5345B">
        <w:rPr>
          <w:szCs w:val="20"/>
          <w:lang w:eastAsia="en-US"/>
        </w:rPr>
        <w:t xml:space="preserve"> reports, </w:t>
      </w:r>
      <w:r>
        <w:rPr>
          <w:szCs w:val="20"/>
          <w:lang w:eastAsia="en-US"/>
        </w:rPr>
        <w:t xml:space="preserve">and inserts </w:t>
      </w:r>
      <w:r w:rsidRPr="00B5345B">
        <w:rPr>
          <w:szCs w:val="20"/>
          <w:lang w:eastAsia="en-US"/>
        </w:rPr>
        <w:t xml:space="preserve">new functions for the Commissioner and </w:t>
      </w:r>
      <w:proofErr w:type="spellStart"/>
      <w:r w:rsidRPr="00B5345B">
        <w:rPr>
          <w:szCs w:val="20"/>
          <w:lang w:eastAsia="en-US"/>
        </w:rPr>
        <w:t>MPC</w:t>
      </w:r>
      <w:proofErr w:type="spellEnd"/>
      <w:r w:rsidRPr="00B5345B">
        <w:rPr>
          <w:szCs w:val="20"/>
          <w:lang w:eastAsia="en-US"/>
        </w:rPr>
        <w:t xml:space="preserve"> to inquire, subject to regulations, into public interest disclosures as defined in the </w:t>
      </w:r>
      <w:proofErr w:type="spellStart"/>
      <w:r w:rsidRPr="00B5345B">
        <w:rPr>
          <w:szCs w:val="20"/>
          <w:lang w:eastAsia="en-US"/>
        </w:rPr>
        <w:t>PID</w:t>
      </w:r>
      <w:proofErr w:type="spellEnd"/>
      <w:r w:rsidRPr="00B5345B">
        <w:rPr>
          <w:szCs w:val="20"/>
          <w:lang w:eastAsia="en-US"/>
        </w:rPr>
        <w:t xml:space="preserve"> Act</w:t>
      </w:r>
      <w:r>
        <w:t>, to the extent that the disclosures relate to alleged breaches of the APS Code of Conduct.</w:t>
      </w:r>
    </w:p>
    <w:p w14:paraId="53A6FEEB" w14:textId="77777777" w:rsidR="006772DB" w:rsidRPr="00F14DD9" w:rsidRDefault="006772DB" w:rsidP="006772DB">
      <w:pPr>
        <w:spacing w:after="120"/>
        <w:rPr>
          <w:szCs w:val="20"/>
          <w:lang w:eastAsia="en-US"/>
        </w:rPr>
      </w:pPr>
      <w:r>
        <w:rPr>
          <w:szCs w:val="20"/>
          <w:lang w:eastAsia="en-US"/>
        </w:rPr>
        <w:t xml:space="preserve">This new function </w:t>
      </w:r>
      <w:r w:rsidR="007D5580">
        <w:rPr>
          <w:szCs w:val="20"/>
          <w:lang w:eastAsia="en-US"/>
        </w:rPr>
        <w:t xml:space="preserve">does </w:t>
      </w:r>
      <w:r>
        <w:rPr>
          <w:szCs w:val="20"/>
          <w:lang w:eastAsia="en-US"/>
        </w:rPr>
        <w:t xml:space="preserve">not give the </w:t>
      </w:r>
      <w:r w:rsidRPr="002149B0">
        <w:rPr>
          <w:szCs w:val="20"/>
          <w:lang w:eastAsia="en-US"/>
        </w:rPr>
        <w:t xml:space="preserve">Commissioners </w:t>
      </w:r>
      <w:r>
        <w:rPr>
          <w:szCs w:val="20"/>
          <w:lang w:eastAsia="en-US"/>
        </w:rPr>
        <w:t xml:space="preserve">the </w:t>
      </w:r>
      <w:r w:rsidRPr="002149B0">
        <w:rPr>
          <w:szCs w:val="20"/>
          <w:lang w:eastAsia="en-US"/>
        </w:rPr>
        <w:t xml:space="preserve">power to determine </w:t>
      </w:r>
      <w:r>
        <w:rPr>
          <w:szCs w:val="20"/>
          <w:lang w:eastAsia="en-US"/>
        </w:rPr>
        <w:t>whether</w:t>
      </w:r>
      <w:r w:rsidRPr="002149B0">
        <w:rPr>
          <w:szCs w:val="20"/>
          <w:lang w:eastAsia="en-US"/>
        </w:rPr>
        <w:t xml:space="preserve"> an APS employee has breached the Code</w:t>
      </w:r>
      <w:r>
        <w:rPr>
          <w:szCs w:val="20"/>
          <w:lang w:eastAsia="en-US"/>
        </w:rPr>
        <w:t>; r</w:t>
      </w:r>
      <w:r w:rsidRPr="002149B0">
        <w:rPr>
          <w:szCs w:val="20"/>
          <w:lang w:eastAsia="en-US"/>
        </w:rPr>
        <w:t>ather</w:t>
      </w:r>
      <w:r>
        <w:rPr>
          <w:szCs w:val="20"/>
          <w:lang w:eastAsia="en-US"/>
        </w:rPr>
        <w:t>,</w:t>
      </w:r>
      <w:r w:rsidRPr="002149B0">
        <w:rPr>
          <w:szCs w:val="20"/>
          <w:lang w:eastAsia="en-US"/>
        </w:rPr>
        <w:t xml:space="preserve"> </w:t>
      </w:r>
      <w:r>
        <w:rPr>
          <w:szCs w:val="20"/>
          <w:lang w:eastAsia="en-US"/>
        </w:rPr>
        <w:t>it enable</w:t>
      </w:r>
      <w:r w:rsidR="007D5580">
        <w:rPr>
          <w:szCs w:val="20"/>
          <w:lang w:eastAsia="en-US"/>
        </w:rPr>
        <w:t>s</w:t>
      </w:r>
      <w:r>
        <w:rPr>
          <w:szCs w:val="20"/>
          <w:lang w:eastAsia="en-US"/>
        </w:rPr>
        <w:t xml:space="preserve"> them</w:t>
      </w:r>
      <w:r w:rsidRPr="002149B0">
        <w:rPr>
          <w:szCs w:val="20"/>
          <w:lang w:eastAsia="en-US"/>
        </w:rPr>
        <w:t xml:space="preserve"> to report to an agency head that it is appropriate to commence a Code of Conduct investigation in respect of a particular employee in accordance with agency procedures.</w:t>
      </w:r>
      <w:r w:rsidRPr="00500534">
        <w:t xml:space="preserve"> </w:t>
      </w:r>
      <w:r w:rsidRPr="002A7C4A">
        <w:t xml:space="preserve">The </w:t>
      </w:r>
      <w:proofErr w:type="spellStart"/>
      <w:r w:rsidRPr="002A7C4A">
        <w:t>PID</w:t>
      </w:r>
      <w:proofErr w:type="spellEnd"/>
      <w:r w:rsidRPr="002A7C4A">
        <w:t xml:space="preserve"> Act and the </w:t>
      </w:r>
      <w:proofErr w:type="spellStart"/>
      <w:r w:rsidRPr="002A7C4A">
        <w:t>PID</w:t>
      </w:r>
      <w:proofErr w:type="spellEnd"/>
      <w:r w:rsidRPr="002A7C4A">
        <w:t xml:space="preserve"> Consequential Act come into effect on 15 January 2014.</w:t>
      </w:r>
    </w:p>
    <w:p w14:paraId="53A6FEEC" w14:textId="77777777" w:rsidR="006772DB" w:rsidRDefault="006772DB" w:rsidP="006772DB">
      <w:pPr>
        <w:spacing w:after="120"/>
      </w:pPr>
      <w:r w:rsidRPr="00F14E02">
        <w:t xml:space="preserve">The </w:t>
      </w:r>
      <w:r w:rsidRPr="00A45675">
        <w:rPr>
          <w:i/>
          <w:iCs/>
          <w:szCs w:val="20"/>
          <w:lang w:eastAsia="en-US"/>
        </w:rPr>
        <w:t xml:space="preserve">Public Service Amendment </w:t>
      </w:r>
      <w:r>
        <w:rPr>
          <w:i/>
          <w:iCs/>
          <w:szCs w:val="20"/>
          <w:lang w:eastAsia="en-US"/>
        </w:rPr>
        <w:t xml:space="preserve">(Public Interest Disclosure and Other Matters) </w:t>
      </w:r>
      <w:r w:rsidRPr="00A45675">
        <w:rPr>
          <w:i/>
          <w:iCs/>
          <w:szCs w:val="20"/>
          <w:lang w:eastAsia="en-US"/>
        </w:rPr>
        <w:t>Regulation 201</w:t>
      </w:r>
      <w:r>
        <w:rPr>
          <w:i/>
          <w:iCs/>
          <w:szCs w:val="20"/>
          <w:lang w:eastAsia="en-US"/>
        </w:rPr>
        <w:t>3</w:t>
      </w:r>
      <w:r w:rsidRPr="00D5721A">
        <w:rPr>
          <w:iCs/>
          <w:szCs w:val="20"/>
          <w:lang w:eastAsia="en-US"/>
        </w:rPr>
        <w:t xml:space="preserve"> </w:t>
      </w:r>
      <w:r w:rsidRPr="00F14E02">
        <w:t>(the ‘Amendment Regulation</w:t>
      </w:r>
      <w:r>
        <w:t xml:space="preserve">’) </w:t>
      </w:r>
      <w:r w:rsidRPr="00F14E02">
        <w:t>make</w:t>
      </w:r>
      <w:r>
        <w:t>s</w:t>
      </w:r>
      <w:r w:rsidRPr="00F14E02">
        <w:t xml:space="preserve"> a number of amendments to the </w:t>
      </w:r>
      <w:r>
        <w:rPr>
          <w:i/>
        </w:rPr>
        <w:t xml:space="preserve">Public Service Regulations 1999 </w:t>
      </w:r>
      <w:r>
        <w:t>(the ‘</w:t>
      </w:r>
      <w:r w:rsidRPr="00F14E02">
        <w:t>Principal Regulations</w:t>
      </w:r>
      <w:r>
        <w:t xml:space="preserve">’) to support the new functions of the Commissioner and the </w:t>
      </w:r>
      <w:proofErr w:type="spellStart"/>
      <w:r>
        <w:t>MPC</w:t>
      </w:r>
      <w:proofErr w:type="spellEnd"/>
      <w:r w:rsidRPr="00F14E02">
        <w:t>.</w:t>
      </w:r>
      <w:r>
        <w:t xml:space="preserve"> The Amendment Regulation also makes two minor, unrelated amendments to the Principal Regulations</w:t>
      </w:r>
      <w:r w:rsidRPr="00F14E02">
        <w:t xml:space="preserve">. </w:t>
      </w:r>
    </w:p>
    <w:p w14:paraId="53A6FEED" w14:textId="77777777" w:rsidR="006772DB" w:rsidRPr="00975744" w:rsidRDefault="006772DB" w:rsidP="006772DB">
      <w:pPr>
        <w:spacing w:after="120"/>
        <w:rPr>
          <w:szCs w:val="20"/>
          <w:lang w:eastAsia="en-US"/>
        </w:rPr>
      </w:pPr>
      <w:r w:rsidRPr="00F14E02">
        <w:rPr>
          <w:szCs w:val="20"/>
          <w:lang w:eastAsia="en-US"/>
        </w:rPr>
        <w:t xml:space="preserve">The </w:t>
      </w:r>
      <w:r>
        <w:rPr>
          <w:szCs w:val="20"/>
          <w:lang w:eastAsia="en-US"/>
        </w:rPr>
        <w:t xml:space="preserve">primary </w:t>
      </w:r>
      <w:r w:rsidRPr="00F14E02">
        <w:rPr>
          <w:szCs w:val="20"/>
          <w:lang w:eastAsia="en-US"/>
        </w:rPr>
        <w:t xml:space="preserve">purpose of the Amendment Regulation is </w:t>
      </w:r>
      <w:r>
        <w:rPr>
          <w:szCs w:val="20"/>
          <w:lang w:eastAsia="en-US"/>
        </w:rPr>
        <w:t xml:space="preserve">to provide details of how the new inquiry powers of the Commissioner and the </w:t>
      </w:r>
      <w:proofErr w:type="spellStart"/>
      <w:r>
        <w:rPr>
          <w:szCs w:val="20"/>
          <w:lang w:eastAsia="en-US"/>
        </w:rPr>
        <w:t>MPC</w:t>
      </w:r>
      <w:proofErr w:type="spellEnd"/>
      <w:r>
        <w:rPr>
          <w:szCs w:val="20"/>
          <w:lang w:eastAsia="en-US"/>
        </w:rPr>
        <w:t xml:space="preserve"> in paragraphs 41(2)(o) and 50(1)(a) of the PS Act operate alongside the inquiry powers set out in the </w:t>
      </w:r>
      <w:proofErr w:type="spellStart"/>
      <w:r>
        <w:rPr>
          <w:szCs w:val="20"/>
          <w:lang w:eastAsia="en-US"/>
        </w:rPr>
        <w:t>PID</w:t>
      </w:r>
      <w:proofErr w:type="spellEnd"/>
      <w:r>
        <w:rPr>
          <w:szCs w:val="20"/>
          <w:lang w:eastAsia="en-US"/>
        </w:rPr>
        <w:t xml:space="preserve"> Act. </w:t>
      </w:r>
      <w:r w:rsidRPr="00A85A3E">
        <w:rPr>
          <w:szCs w:val="20"/>
          <w:lang w:eastAsia="en-US"/>
        </w:rPr>
        <w:t xml:space="preserve">In the development of the </w:t>
      </w:r>
      <w:proofErr w:type="spellStart"/>
      <w:r w:rsidRPr="00A85A3E">
        <w:rPr>
          <w:szCs w:val="20"/>
          <w:lang w:eastAsia="en-US"/>
        </w:rPr>
        <w:t>PID</w:t>
      </w:r>
      <w:proofErr w:type="spellEnd"/>
      <w:r w:rsidRPr="00A85A3E">
        <w:rPr>
          <w:szCs w:val="20"/>
          <w:lang w:eastAsia="en-US"/>
        </w:rPr>
        <w:t xml:space="preserve"> Act </w:t>
      </w:r>
      <w:r>
        <w:rPr>
          <w:szCs w:val="20"/>
          <w:lang w:eastAsia="en-US"/>
        </w:rPr>
        <w:t xml:space="preserve">and its passage through Parliament </w:t>
      </w:r>
      <w:r w:rsidRPr="00A85A3E">
        <w:rPr>
          <w:szCs w:val="20"/>
          <w:lang w:eastAsia="en-US"/>
        </w:rPr>
        <w:t xml:space="preserve">it was agreed that </w:t>
      </w:r>
      <w:r>
        <w:rPr>
          <w:szCs w:val="20"/>
          <w:lang w:eastAsia="en-US"/>
        </w:rPr>
        <w:t>it</w:t>
      </w:r>
      <w:r w:rsidRPr="00A85A3E">
        <w:rPr>
          <w:szCs w:val="20"/>
          <w:lang w:eastAsia="en-US"/>
        </w:rPr>
        <w:t xml:space="preserve"> would not limit the existing functions or jurisdiction of </w:t>
      </w:r>
      <w:r>
        <w:rPr>
          <w:szCs w:val="20"/>
          <w:lang w:eastAsia="en-US"/>
        </w:rPr>
        <w:t xml:space="preserve">the Commissioner or the </w:t>
      </w:r>
      <w:proofErr w:type="spellStart"/>
      <w:r>
        <w:rPr>
          <w:szCs w:val="20"/>
          <w:lang w:eastAsia="en-US"/>
        </w:rPr>
        <w:t>MPC</w:t>
      </w:r>
      <w:proofErr w:type="spellEnd"/>
      <w:r>
        <w:rPr>
          <w:szCs w:val="20"/>
          <w:lang w:eastAsia="en-US"/>
        </w:rPr>
        <w:t>. The Amendment Regulation repeals regulations in the Principal Regulations which support the PS Act whistleblowing framework, and insert</w:t>
      </w:r>
      <w:r w:rsidRPr="00904492">
        <w:rPr>
          <w:szCs w:val="20"/>
          <w:lang w:eastAsia="en-US"/>
        </w:rPr>
        <w:t xml:space="preserve"> analogous regulations setting out arrangements for the Commissioner and </w:t>
      </w:r>
      <w:r>
        <w:rPr>
          <w:szCs w:val="20"/>
          <w:lang w:eastAsia="en-US"/>
        </w:rPr>
        <w:t xml:space="preserve">the </w:t>
      </w:r>
      <w:proofErr w:type="spellStart"/>
      <w:r w:rsidRPr="00904492">
        <w:rPr>
          <w:szCs w:val="20"/>
          <w:lang w:eastAsia="en-US"/>
        </w:rPr>
        <w:t>MPC</w:t>
      </w:r>
      <w:proofErr w:type="spellEnd"/>
      <w:r>
        <w:rPr>
          <w:szCs w:val="20"/>
          <w:lang w:eastAsia="en-US"/>
        </w:rPr>
        <w:t xml:space="preserve"> </w:t>
      </w:r>
      <w:r w:rsidRPr="00904492">
        <w:rPr>
          <w:szCs w:val="20"/>
          <w:lang w:eastAsia="en-US"/>
        </w:rPr>
        <w:t>to consider allegations concerning breaches of the Code</w:t>
      </w:r>
      <w:r>
        <w:rPr>
          <w:szCs w:val="20"/>
          <w:lang w:eastAsia="en-US"/>
        </w:rPr>
        <w:t xml:space="preserve"> of Conduct</w:t>
      </w:r>
      <w:r w:rsidRPr="00904492">
        <w:rPr>
          <w:szCs w:val="20"/>
          <w:lang w:eastAsia="en-US"/>
        </w:rPr>
        <w:t xml:space="preserve"> consistent with their </w:t>
      </w:r>
      <w:r>
        <w:rPr>
          <w:szCs w:val="20"/>
          <w:lang w:eastAsia="en-US"/>
        </w:rPr>
        <w:t xml:space="preserve">new </w:t>
      </w:r>
      <w:r w:rsidRPr="00904492">
        <w:rPr>
          <w:szCs w:val="20"/>
          <w:lang w:eastAsia="en-US"/>
        </w:rPr>
        <w:t xml:space="preserve">functions and the </w:t>
      </w:r>
      <w:proofErr w:type="spellStart"/>
      <w:r w:rsidRPr="00904492">
        <w:rPr>
          <w:szCs w:val="20"/>
          <w:lang w:eastAsia="en-US"/>
        </w:rPr>
        <w:t>PID</w:t>
      </w:r>
      <w:proofErr w:type="spellEnd"/>
      <w:r w:rsidRPr="00904492">
        <w:rPr>
          <w:szCs w:val="20"/>
          <w:lang w:eastAsia="en-US"/>
        </w:rPr>
        <w:t xml:space="preserve"> Act</w:t>
      </w:r>
      <w:r>
        <w:rPr>
          <w:szCs w:val="20"/>
          <w:lang w:eastAsia="en-US"/>
        </w:rPr>
        <w:t>.</w:t>
      </w:r>
    </w:p>
    <w:p w14:paraId="53A6FEEE" w14:textId="77777777" w:rsidR="006772DB" w:rsidRDefault="006772DB" w:rsidP="006772DB">
      <w:pPr>
        <w:spacing w:after="120"/>
      </w:pPr>
      <w:r>
        <w:t xml:space="preserve">The Principal Regulations provide for the actions an agency head may take following a recommendation by the </w:t>
      </w:r>
      <w:proofErr w:type="spellStart"/>
      <w:r>
        <w:t>MPC</w:t>
      </w:r>
      <w:proofErr w:type="spellEnd"/>
      <w:r>
        <w:t xml:space="preserve"> in relation to a review of action that relates to an APS </w:t>
      </w:r>
      <w:r>
        <w:lastRenderedPageBreak/>
        <w:t xml:space="preserve">employee’s employment (including reviews of findings of breaches of the APS Code of Conduct, and sanction decisions). The Amendment Regulation </w:t>
      </w:r>
      <w:r w:rsidRPr="00B5345B">
        <w:t>require</w:t>
      </w:r>
      <w:r>
        <w:t>s</w:t>
      </w:r>
      <w:r w:rsidRPr="00B5345B">
        <w:t xml:space="preserve"> an agency head to follow their </w:t>
      </w:r>
      <w:r>
        <w:t>agency’s written p</w:t>
      </w:r>
      <w:r w:rsidRPr="00B5345B">
        <w:t xml:space="preserve">rocedures </w:t>
      </w:r>
      <w:r>
        <w:t>(as stipulated</w:t>
      </w:r>
      <w:r w:rsidRPr="0086677E">
        <w:t xml:space="preserve"> under </w:t>
      </w:r>
      <w:r>
        <w:t>sub</w:t>
      </w:r>
      <w:r w:rsidRPr="0086677E">
        <w:t xml:space="preserve">section 15(3) of the </w:t>
      </w:r>
      <w:r>
        <w:t xml:space="preserve">PS </w:t>
      </w:r>
      <w:r w:rsidRPr="0086677E">
        <w:t>Act</w:t>
      </w:r>
      <w:r>
        <w:t xml:space="preserve">) </w:t>
      </w:r>
      <w:r w:rsidRPr="00B5345B">
        <w:t xml:space="preserve">if they make a breach determination or sanction decision that was different from their original decision or from the </w:t>
      </w:r>
      <w:proofErr w:type="spellStart"/>
      <w:r w:rsidRPr="00B5345B">
        <w:t>MPC</w:t>
      </w:r>
      <w:proofErr w:type="spellEnd"/>
      <w:r w:rsidRPr="00B5345B">
        <w:t xml:space="preserve"> recommendation</w:t>
      </w:r>
      <w:r>
        <w:t xml:space="preserve"> following a review by the </w:t>
      </w:r>
      <w:proofErr w:type="spellStart"/>
      <w:r>
        <w:t>MPC</w:t>
      </w:r>
      <w:proofErr w:type="spellEnd"/>
      <w:r>
        <w:t>.</w:t>
      </w:r>
      <w:r w:rsidRPr="0086677E">
        <w:t xml:space="preserve"> </w:t>
      </w:r>
    </w:p>
    <w:p w14:paraId="53A6FEEF" w14:textId="77777777" w:rsidR="006772DB" w:rsidRDefault="006772DB" w:rsidP="006772DB">
      <w:pPr>
        <w:spacing w:after="120"/>
      </w:pPr>
      <w:r>
        <w:t xml:space="preserve">The Amendment Regulation also amends regulation 9.2 of the Principal Regulations to </w:t>
      </w:r>
      <w:r w:rsidRPr="002149B0">
        <w:t xml:space="preserve">replace reference to the Information Privacy Principles </w:t>
      </w:r>
      <w:r>
        <w:t>(‘</w:t>
      </w:r>
      <w:proofErr w:type="spellStart"/>
      <w:r>
        <w:t>IPPs</w:t>
      </w:r>
      <w:proofErr w:type="spellEnd"/>
      <w:r>
        <w:t xml:space="preserve">’) </w:t>
      </w:r>
      <w:r w:rsidRPr="002149B0">
        <w:t>with reference to the Australian Privacy Principles</w:t>
      </w:r>
      <w:r>
        <w:t xml:space="preserve"> (‘</w:t>
      </w:r>
      <w:proofErr w:type="spellStart"/>
      <w:r>
        <w:t>APPs</w:t>
      </w:r>
      <w:proofErr w:type="spellEnd"/>
      <w:r>
        <w:t xml:space="preserve">’). This amendment is consequential to the commencement of the </w:t>
      </w:r>
      <w:r w:rsidRPr="00A52F7D">
        <w:rPr>
          <w:i/>
        </w:rPr>
        <w:t>Privacy Amendment (Enhancing Privacy Protection) Act 2012</w:t>
      </w:r>
      <w:r>
        <w:t>, which</w:t>
      </w:r>
      <w:r w:rsidRPr="00975744">
        <w:t xml:space="preserve"> </w:t>
      </w:r>
      <w:r>
        <w:t xml:space="preserve">introduces the </w:t>
      </w:r>
      <w:proofErr w:type="spellStart"/>
      <w:r>
        <w:t>APPs</w:t>
      </w:r>
      <w:proofErr w:type="spellEnd"/>
      <w:r>
        <w:t>.</w:t>
      </w:r>
    </w:p>
    <w:p w14:paraId="53A6FEF0" w14:textId="77777777" w:rsidR="006772DB" w:rsidRDefault="006772DB" w:rsidP="006772DB">
      <w:pPr>
        <w:spacing w:after="120"/>
      </w:pPr>
      <w:r>
        <w:t>The Amendment Regulation also make</w:t>
      </w:r>
      <w:r w:rsidR="007D5580">
        <w:t>s</w:t>
      </w:r>
      <w:r>
        <w:t xml:space="preserve"> a number of other</w:t>
      </w:r>
      <w:r w:rsidR="007D5580">
        <w:t>,</w:t>
      </w:r>
      <w:r>
        <w:t xml:space="preserve"> minor consequential amendments to the Principal Regulations.</w:t>
      </w:r>
    </w:p>
    <w:p w14:paraId="53A6FEF1" w14:textId="77777777" w:rsidR="006772DB" w:rsidRDefault="006772DB" w:rsidP="006772DB">
      <w:pPr>
        <w:spacing w:after="120"/>
        <w:rPr>
          <w:szCs w:val="20"/>
          <w:lang w:eastAsia="en-US"/>
        </w:rPr>
      </w:pPr>
      <w:r w:rsidRPr="00F14E02">
        <w:rPr>
          <w:szCs w:val="20"/>
          <w:lang w:eastAsia="en-US"/>
        </w:rPr>
        <w:t xml:space="preserve">The </w:t>
      </w:r>
      <w:r>
        <w:rPr>
          <w:szCs w:val="20"/>
          <w:lang w:eastAsia="en-US"/>
        </w:rPr>
        <w:t xml:space="preserve">PS </w:t>
      </w:r>
      <w:r w:rsidRPr="00F14E02">
        <w:rPr>
          <w:szCs w:val="20"/>
          <w:lang w:eastAsia="en-US"/>
        </w:rPr>
        <w:t>Act does not specify any conditions that need to be satisfied before exercising the power to make regulations.</w:t>
      </w:r>
      <w:r>
        <w:rPr>
          <w:szCs w:val="20"/>
          <w:lang w:eastAsia="en-US"/>
        </w:rPr>
        <w:t xml:space="preserve"> </w:t>
      </w:r>
      <w:r w:rsidRPr="00F14E02">
        <w:rPr>
          <w:szCs w:val="20"/>
          <w:lang w:eastAsia="en-US"/>
        </w:rPr>
        <w:t xml:space="preserve">The </w:t>
      </w:r>
      <w:r>
        <w:rPr>
          <w:szCs w:val="20"/>
          <w:lang w:eastAsia="en-US"/>
        </w:rPr>
        <w:t>Amendment</w:t>
      </w:r>
      <w:r w:rsidRPr="00F14E02">
        <w:rPr>
          <w:szCs w:val="20"/>
          <w:lang w:eastAsia="en-US"/>
        </w:rPr>
        <w:t xml:space="preserve"> Regulation </w:t>
      </w:r>
      <w:r>
        <w:rPr>
          <w:szCs w:val="20"/>
          <w:lang w:eastAsia="en-US"/>
        </w:rPr>
        <w:t>is</w:t>
      </w:r>
      <w:r w:rsidRPr="00F14E02">
        <w:rPr>
          <w:szCs w:val="20"/>
          <w:lang w:eastAsia="en-US"/>
        </w:rPr>
        <w:t xml:space="preserve"> a legislative instrument for the purposes of the </w:t>
      </w:r>
      <w:r w:rsidRPr="00F14E02">
        <w:rPr>
          <w:i/>
          <w:szCs w:val="20"/>
          <w:lang w:eastAsia="en-US"/>
        </w:rPr>
        <w:t>Legislative Instruments Act 2003</w:t>
      </w:r>
      <w:r w:rsidRPr="00F14E02">
        <w:rPr>
          <w:szCs w:val="20"/>
          <w:lang w:eastAsia="en-US"/>
        </w:rPr>
        <w:t>.</w:t>
      </w:r>
    </w:p>
    <w:p w14:paraId="53A6FEF2" w14:textId="73B29557" w:rsidR="006772DB" w:rsidRDefault="006772DB" w:rsidP="006772DB">
      <w:pPr>
        <w:spacing w:after="120"/>
        <w:rPr>
          <w:szCs w:val="20"/>
          <w:lang w:eastAsia="en-US"/>
        </w:rPr>
      </w:pPr>
      <w:r>
        <w:rPr>
          <w:szCs w:val="20"/>
          <w:lang w:eastAsia="en-US"/>
        </w:rPr>
        <w:t>The Department of the Prime Minister and Cabinet (‘</w:t>
      </w:r>
      <w:proofErr w:type="spellStart"/>
      <w:r>
        <w:rPr>
          <w:szCs w:val="20"/>
          <w:lang w:eastAsia="en-US"/>
        </w:rPr>
        <w:t>PM&amp;C</w:t>
      </w:r>
      <w:proofErr w:type="spellEnd"/>
      <w:r>
        <w:rPr>
          <w:szCs w:val="20"/>
          <w:lang w:eastAsia="en-US"/>
        </w:rPr>
        <w:t xml:space="preserve">’) and the Office of the Commonwealth Ombudsman were consulted on the regulations relating to public interest disclosures. No further consultation was required given the earlier consultation undertaken on the </w:t>
      </w:r>
      <w:proofErr w:type="spellStart"/>
      <w:r>
        <w:rPr>
          <w:szCs w:val="20"/>
          <w:lang w:eastAsia="en-US"/>
        </w:rPr>
        <w:t>PID</w:t>
      </w:r>
      <w:proofErr w:type="spellEnd"/>
      <w:r>
        <w:rPr>
          <w:szCs w:val="20"/>
          <w:lang w:eastAsia="en-US"/>
        </w:rPr>
        <w:t xml:space="preserve"> Act and </w:t>
      </w:r>
      <w:proofErr w:type="spellStart"/>
      <w:r>
        <w:rPr>
          <w:szCs w:val="20"/>
          <w:lang w:eastAsia="en-US"/>
        </w:rPr>
        <w:t>PID</w:t>
      </w:r>
      <w:proofErr w:type="spellEnd"/>
      <w:r>
        <w:rPr>
          <w:szCs w:val="20"/>
          <w:lang w:eastAsia="en-US"/>
        </w:rPr>
        <w:t xml:space="preserve"> Consequential Act by </w:t>
      </w:r>
      <w:proofErr w:type="spellStart"/>
      <w:r>
        <w:rPr>
          <w:szCs w:val="20"/>
          <w:lang w:eastAsia="en-US"/>
        </w:rPr>
        <w:t>PM&amp;C</w:t>
      </w:r>
      <w:proofErr w:type="spellEnd"/>
      <w:r>
        <w:rPr>
          <w:szCs w:val="20"/>
          <w:lang w:eastAsia="en-US"/>
        </w:rPr>
        <w:t xml:space="preserve">. The Attorney-General’s Department was consulted on the amendments to regulation 9.2. No further consultation was needed as these amendments are of a </w:t>
      </w:r>
      <w:r w:rsidRPr="00840972">
        <w:rPr>
          <w:szCs w:val="20"/>
          <w:lang w:eastAsia="en-US"/>
        </w:rPr>
        <w:t xml:space="preserve">minor nature and </w:t>
      </w:r>
      <w:r>
        <w:rPr>
          <w:szCs w:val="20"/>
          <w:lang w:eastAsia="en-US"/>
        </w:rPr>
        <w:t xml:space="preserve">do </w:t>
      </w:r>
      <w:r w:rsidRPr="00840972">
        <w:rPr>
          <w:szCs w:val="20"/>
          <w:lang w:eastAsia="en-US"/>
        </w:rPr>
        <w:t>not substantially alter existing arrangements</w:t>
      </w:r>
      <w:r>
        <w:rPr>
          <w:szCs w:val="20"/>
          <w:lang w:eastAsia="en-US"/>
        </w:rPr>
        <w:t xml:space="preserve"> Similarly, no consultation was required on the amendments to regulation 5.32, as these are intended to articulate more clearly the existing policy position.</w:t>
      </w:r>
    </w:p>
    <w:p w14:paraId="53A6FEF3" w14:textId="77777777" w:rsidR="006772DB" w:rsidRDefault="006772DB" w:rsidP="006772DB">
      <w:pPr>
        <w:spacing w:after="120"/>
        <w:rPr>
          <w:szCs w:val="20"/>
          <w:lang w:eastAsia="en-US"/>
        </w:rPr>
      </w:pPr>
      <w:r w:rsidRPr="00F14E02">
        <w:rPr>
          <w:szCs w:val="20"/>
          <w:lang w:eastAsia="en-US"/>
        </w:rPr>
        <w:t xml:space="preserve">No </w:t>
      </w:r>
      <w:r>
        <w:rPr>
          <w:szCs w:val="20"/>
          <w:lang w:eastAsia="en-US"/>
        </w:rPr>
        <w:t>R</w:t>
      </w:r>
      <w:r w:rsidRPr="00F14E02">
        <w:rPr>
          <w:szCs w:val="20"/>
          <w:lang w:eastAsia="en-US"/>
        </w:rPr>
        <w:t xml:space="preserve">egulation </w:t>
      </w:r>
      <w:r>
        <w:rPr>
          <w:szCs w:val="20"/>
          <w:lang w:eastAsia="en-US"/>
        </w:rPr>
        <w:t>I</w:t>
      </w:r>
      <w:r w:rsidRPr="00F14E02">
        <w:rPr>
          <w:szCs w:val="20"/>
          <w:lang w:eastAsia="en-US"/>
        </w:rPr>
        <w:t xml:space="preserve">mpact </w:t>
      </w:r>
      <w:r>
        <w:rPr>
          <w:szCs w:val="20"/>
          <w:lang w:eastAsia="en-US"/>
        </w:rPr>
        <w:t>S</w:t>
      </w:r>
      <w:r w:rsidRPr="00F14E02">
        <w:rPr>
          <w:szCs w:val="20"/>
          <w:lang w:eastAsia="en-US"/>
        </w:rPr>
        <w:t xml:space="preserve">tatement is required for the measures contained in the </w:t>
      </w:r>
      <w:r>
        <w:rPr>
          <w:szCs w:val="20"/>
          <w:lang w:eastAsia="en-US"/>
        </w:rPr>
        <w:t>Amendment Regulation because there is no impact on business or the not for profit sector.</w:t>
      </w:r>
    </w:p>
    <w:p w14:paraId="53A6FEF4" w14:textId="77777777" w:rsidR="006772DB" w:rsidRDefault="006772DB" w:rsidP="006772DB">
      <w:pPr>
        <w:spacing w:after="120"/>
        <w:rPr>
          <w:szCs w:val="20"/>
          <w:lang w:eastAsia="en-US"/>
        </w:rPr>
      </w:pPr>
      <w:r w:rsidRPr="00A45675">
        <w:rPr>
          <w:szCs w:val="20"/>
          <w:lang w:eastAsia="en-US"/>
        </w:rPr>
        <w:t xml:space="preserve">The </w:t>
      </w:r>
      <w:r>
        <w:rPr>
          <w:szCs w:val="20"/>
          <w:lang w:eastAsia="en-US"/>
        </w:rPr>
        <w:t xml:space="preserve">Amendment </w:t>
      </w:r>
      <w:r w:rsidRPr="00A45675">
        <w:rPr>
          <w:szCs w:val="20"/>
          <w:lang w:eastAsia="en-US"/>
        </w:rPr>
        <w:t>Regulation commence</w:t>
      </w:r>
      <w:r>
        <w:rPr>
          <w:szCs w:val="20"/>
          <w:lang w:eastAsia="en-US"/>
        </w:rPr>
        <w:t>s according to the following timeframes:</w:t>
      </w:r>
    </w:p>
    <w:p w14:paraId="53A6FEF5" w14:textId="77777777" w:rsidR="006772DB" w:rsidRPr="007F5130" w:rsidRDefault="006772DB" w:rsidP="006772DB">
      <w:pPr>
        <w:pStyle w:val="ListParagraph"/>
        <w:numPr>
          <w:ilvl w:val="0"/>
          <w:numId w:val="33"/>
        </w:numPr>
        <w:spacing w:after="120"/>
        <w:ind w:left="714" w:hanging="357"/>
        <w:contextualSpacing w:val="0"/>
        <w:rPr>
          <w:szCs w:val="20"/>
          <w:lang w:eastAsia="en-US"/>
        </w:rPr>
      </w:pPr>
      <w:r w:rsidRPr="007F5130">
        <w:rPr>
          <w:szCs w:val="20"/>
          <w:lang w:eastAsia="en-US"/>
        </w:rPr>
        <w:t xml:space="preserve">schedule 2 </w:t>
      </w:r>
      <w:r>
        <w:rPr>
          <w:szCs w:val="20"/>
          <w:lang w:eastAsia="en-US"/>
        </w:rPr>
        <w:t>to</w:t>
      </w:r>
      <w:r w:rsidRPr="007F5130">
        <w:rPr>
          <w:szCs w:val="20"/>
          <w:lang w:eastAsia="en-US"/>
        </w:rPr>
        <w:t xml:space="preserve"> the Regulation</w:t>
      </w:r>
      <w:r>
        <w:rPr>
          <w:szCs w:val="20"/>
          <w:lang w:eastAsia="en-US"/>
        </w:rPr>
        <w:t>, which includes the amendments relating to public interest disclosures,</w:t>
      </w:r>
      <w:r w:rsidRPr="007F5130">
        <w:rPr>
          <w:szCs w:val="20"/>
          <w:lang w:eastAsia="en-US"/>
        </w:rPr>
        <w:t xml:space="preserve"> commence</w:t>
      </w:r>
      <w:r>
        <w:rPr>
          <w:szCs w:val="20"/>
          <w:lang w:eastAsia="en-US"/>
        </w:rPr>
        <w:t>s</w:t>
      </w:r>
      <w:r w:rsidRPr="007F5130">
        <w:rPr>
          <w:szCs w:val="20"/>
          <w:lang w:eastAsia="en-US"/>
        </w:rPr>
        <w:t xml:space="preserve"> at the same time as sections 3 to 83 of the </w:t>
      </w:r>
      <w:proofErr w:type="spellStart"/>
      <w:r w:rsidRPr="007F5130">
        <w:rPr>
          <w:szCs w:val="20"/>
          <w:lang w:eastAsia="en-US"/>
        </w:rPr>
        <w:t>PID</w:t>
      </w:r>
      <w:proofErr w:type="spellEnd"/>
      <w:r w:rsidRPr="007F5130">
        <w:rPr>
          <w:szCs w:val="20"/>
          <w:lang w:eastAsia="en-US"/>
        </w:rPr>
        <w:t xml:space="preserve"> Act commence</w:t>
      </w:r>
      <w:r>
        <w:rPr>
          <w:szCs w:val="20"/>
          <w:lang w:eastAsia="en-US"/>
        </w:rPr>
        <w:t xml:space="preserve"> (these sections make up the substance of the </w:t>
      </w:r>
      <w:proofErr w:type="spellStart"/>
      <w:r>
        <w:rPr>
          <w:szCs w:val="20"/>
          <w:lang w:eastAsia="en-US"/>
        </w:rPr>
        <w:t>PID</w:t>
      </w:r>
      <w:proofErr w:type="spellEnd"/>
      <w:r>
        <w:rPr>
          <w:szCs w:val="20"/>
          <w:lang w:eastAsia="en-US"/>
        </w:rPr>
        <w:t xml:space="preserve"> Act)</w:t>
      </w:r>
      <w:r w:rsidRPr="007F5130">
        <w:rPr>
          <w:szCs w:val="20"/>
          <w:lang w:eastAsia="en-US"/>
        </w:rPr>
        <w:t xml:space="preserve">; </w:t>
      </w:r>
    </w:p>
    <w:p w14:paraId="53A6FEF6" w14:textId="77777777" w:rsidR="006772DB" w:rsidRPr="007F5130" w:rsidRDefault="006772DB" w:rsidP="006772DB">
      <w:pPr>
        <w:pStyle w:val="ListParagraph"/>
        <w:numPr>
          <w:ilvl w:val="0"/>
          <w:numId w:val="33"/>
        </w:numPr>
        <w:spacing w:after="120"/>
        <w:ind w:left="714" w:hanging="357"/>
        <w:contextualSpacing w:val="0"/>
        <w:rPr>
          <w:szCs w:val="20"/>
          <w:lang w:eastAsia="en-US"/>
        </w:rPr>
      </w:pPr>
      <w:r w:rsidRPr="007F5130">
        <w:rPr>
          <w:szCs w:val="20"/>
          <w:lang w:eastAsia="en-US"/>
        </w:rPr>
        <w:t xml:space="preserve">schedule 3 </w:t>
      </w:r>
      <w:r>
        <w:rPr>
          <w:szCs w:val="20"/>
          <w:lang w:eastAsia="en-US"/>
        </w:rPr>
        <w:t>to</w:t>
      </w:r>
      <w:r w:rsidRPr="007F5130">
        <w:rPr>
          <w:szCs w:val="20"/>
          <w:lang w:eastAsia="en-US"/>
        </w:rPr>
        <w:t xml:space="preserve"> the Regulation </w:t>
      </w:r>
      <w:r>
        <w:rPr>
          <w:szCs w:val="20"/>
          <w:lang w:eastAsia="en-US"/>
        </w:rPr>
        <w:t xml:space="preserve">(which amends regulation 9.2 of the Principal Regulations) </w:t>
      </w:r>
      <w:r w:rsidRPr="007F5130">
        <w:rPr>
          <w:szCs w:val="20"/>
          <w:lang w:eastAsia="en-US"/>
        </w:rPr>
        <w:t>commence</w:t>
      </w:r>
      <w:r>
        <w:rPr>
          <w:szCs w:val="20"/>
          <w:lang w:eastAsia="en-US"/>
        </w:rPr>
        <w:t>s</w:t>
      </w:r>
      <w:r w:rsidRPr="007F5130">
        <w:rPr>
          <w:szCs w:val="20"/>
          <w:lang w:eastAsia="en-US"/>
        </w:rPr>
        <w:t xml:space="preserve"> on 12 March 2014, being the date that the amendments to the Privacy Act </w:t>
      </w:r>
      <w:r>
        <w:rPr>
          <w:szCs w:val="20"/>
          <w:lang w:eastAsia="en-US"/>
        </w:rPr>
        <w:t xml:space="preserve">(including the repeal of the </w:t>
      </w:r>
      <w:proofErr w:type="spellStart"/>
      <w:r>
        <w:rPr>
          <w:szCs w:val="20"/>
          <w:lang w:eastAsia="en-US"/>
        </w:rPr>
        <w:t>IPPs</w:t>
      </w:r>
      <w:proofErr w:type="spellEnd"/>
      <w:r>
        <w:rPr>
          <w:szCs w:val="20"/>
          <w:lang w:eastAsia="en-US"/>
        </w:rPr>
        <w:t xml:space="preserve"> and the introduction of the </w:t>
      </w:r>
      <w:proofErr w:type="spellStart"/>
      <w:r>
        <w:rPr>
          <w:szCs w:val="20"/>
          <w:lang w:eastAsia="en-US"/>
        </w:rPr>
        <w:t>APPs</w:t>
      </w:r>
      <w:proofErr w:type="spellEnd"/>
      <w:r>
        <w:rPr>
          <w:szCs w:val="20"/>
          <w:lang w:eastAsia="en-US"/>
        </w:rPr>
        <w:t xml:space="preserve">) </w:t>
      </w:r>
      <w:r w:rsidRPr="007F5130">
        <w:rPr>
          <w:szCs w:val="20"/>
          <w:lang w:eastAsia="en-US"/>
        </w:rPr>
        <w:t>come into effect; and</w:t>
      </w:r>
    </w:p>
    <w:p w14:paraId="53A6FEF7" w14:textId="77777777" w:rsidR="006772DB" w:rsidRPr="007F5130" w:rsidRDefault="006772DB" w:rsidP="006772DB">
      <w:pPr>
        <w:pStyle w:val="ListParagraph"/>
        <w:numPr>
          <w:ilvl w:val="0"/>
          <w:numId w:val="33"/>
        </w:numPr>
        <w:spacing w:after="120"/>
        <w:ind w:left="714" w:hanging="357"/>
        <w:contextualSpacing w:val="0"/>
        <w:rPr>
          <w:szCs w:val="20"/>
          <w:lang w:eastAsia="en-US"/>
        </w:rPr>
      </w:pPr>
      <w:r w:rsidRPr="007F5130">
        <w:rPr>
          <w:szCs w:val="20"/>
          <w:lang w:eastAsia="en-US"/>
        </w:rPr>
        <w:t>the remainder of the Regulation commence</w:t>
      </w:r>
      <w:r>
        <w:rPr>
          <w:szCs w:val="20"/>
          <w:lang w:eastAsia="en-US"/>
        </w:rPr>
        <w:t>s</w:t>
      </w:r>
      <w:r w:rsidRPr="007F5130">
        <w:rPr>
          <w:szCs w:val="20"/>
          <w:lang w:eastAsia="en-US"/>
        </w:rPr>
        <w:t xml:space="preserve"> on the day after the Regulation is registered.</w:t>
      </w:r>
    </w:p>
    <w:p w14:paraId="53A6FEF8" w14:textId="77777777" w:rsidR="006772DB" w:rsidRPr="00F14E02" w:rsidRDefault="006772DB" w:rsidP="006772DB">
      <w:pPr>
        <w:spacing w:after="120"/>
        <w:rPr>
          <w:szCs w:val="20"/>
          <w:lang w:eastAsia="en-US"/>
        </w:rPr>
      </w:pPr>
      <w:r w:rsidRPr="00F14E02">
        <w:rPr>
          <w:szCs w:val="20"/>
          <w:lang w:eastAsia="en-US"/>
        </w:rPr>
        <w:t xml:space="preserve">Detail of the </w:t>
      </w:r>
      <w:r w:rsidR="0076458B">
        <w:rPr>
          <w:szCs w:val="20"/>
          <w:lang w:eastAsia="en-US"/>
        </w:rPr>
        <w:t>Amendment</w:t>
      </w:r>
      <w:r w:rsidR="0076458B" w:rsidRPr="00F14E02">
        <w:rPr>
          <w:szCs w:val="20"/>
          <w:lang w:eastAsia="en-US"/>
        </w:rPr>
        <w:t xml:space="preserve"> </w:t>
      </w:r>
      <w:r w:rsidRPr="00F14E02">
        <w:rPr>
          <w:szCs w:val="20"/>
          <w:lang w:eastAsia="en-US"/>
        </w:rPr>
        <w:t xml:space="preserve">Regulation </w:t>
      </w:r>
      <w:r>
        <w:rPr>
          <w:szCs w:val="20"/>
          <w:lang w:eastAsia="en-US"/>
        </w:rPr>
        <w:t xml:space="preserve">is in the </w:t>
      </w:r>
      <w:r w:rsidRPr="00EA748D">
        <w:rPr>
          <w:szCs w:val="20"/>
          <w:u w:val="single"/>
          <w:lang w:eastAsia="en-US"/>
        </w:rPr>
        <w:t>Attachment</w:t>
      </w:r>
      <w:r w:rsidRPr="00F14E02">
        <w:rPr>
          <w:szCs w:val="20"/>
          <w:lang w:eastAsia="en-US"/>
        </w:rPr>
        <w:t>.</w:t>
      </w:r>
    </w:p>
    <w:p w14:paraId="53A6FEFA" w14:textId="77777777" w:rsidR="006772DB" w:rsidRPr="00F14E02" w:rsidRDefault="006772DB" w:rsidP="006772DB">
      <w:pPr>
        <w:rPr>
          <w:szCs w:val="20"/>
          <w:lang w:eastAsia="en-US"/>
        </w:rPr>
      </w:pPr>
    </w:p>
    <w:p w14:paraId="53A6FEFB" w14:textId="77777777" w:rsidR="00CE354A" w:rsidRDefault="006772DB" w:rsidP="00931C7C">
      <w:pPr>
        <w:jc w:val="right"/>
        <w:rPr>
          <w:i/>
          <w:szCs w:val="20"/>
          <w:lang w:eastAsia="en-US"/>
        </w:rPr>
      </w:pPr>
      <w:r w:rsidRPr="00F14E02">
        <w:rPr>
          <w:szCs w:val="20"/>
          <w:u w:val="single"/>
          <w:lang w:eastAsia="en-US"/>
        </w:rPr>
        <w:t>Authority</w:t>
      </w:r>
      <w:r w:rsidRPr="00F14E02">
        <w:rPr>
          <w:szCs w:val="20"/>
          <w:lang w:eastAsia="en-US"/>
        </w:rPr>
        <w:t>:</w:t>
      </w:r>
      <w:r>
        <w:rPr>
          <w:szCs w:val="20"/>
          <w:lang w:eastAsia="en-US"/>
        </w:rPr>
        <w:t xml:space="preserve"> </w:t>
      </w:r>
      <w:r w:rsidRPr="00F14E02">
        <w:rPr>
          <w:szCs w:val="20"/>
          <w:lang w:eastAsia="en-US"/>
        </w:rPr>
        <w:t xml:space="preserve">Subsection 79(1) of the </w:t>
      </w:r>
      <w:r w:rsidRPr="00F14E02">
        <w:rPr>
          <w:i/>
          <w:szCs w:val="20"/>
          <w:lang w:eastAsia="en-US"/>
        </w:rPr>
        <w:t>Public Service Act 1999</w:t>
      </w:r>
    </w:p>
    <w:p w14:paraId="53A6FEFC" w14:textId="77777777" w:rsidR="00A06D35" w:rsidRDefault="00A06D35" w:rsidP="00931C7C">
      <w:pPr>
        <w:jc w:val="right"/>
        <w:rPr>
          <w:szCs w:val="20"/>
          <w:lang w:eastAsia="en-US"/>
        </w:rPr>
        <w:sectPr w:rsidR="00A06D35" w:rsidSect="007F5130">
          <w:headerReference w:type="default" r:id="rId12"/>
          <w:footerReference w:type="default" r:id="rId13"/>
          <w:headerReference w:type="first" r:id="rId14"/>
          <w:pgSz w:w="11906" w:h="16838" w:code="9"/>
          <w:pgMar w:top="1418" w:right="1418" w:bottom="1418" w:left="1418" w:header="567" w:footer="567" w:gutter="0"/>
          <w:pgNumType w:start="1"/>
          <w:cols w:space="708"/>
          <w:titlePg/>
          <w:docGrid w:linePitch="360"/>
        </w:sectPr>
      </w:pPr>
    </w:p>
    <w:p w14:paraId="53A6FEFD" w14:textId="77777777" w:rsidR="00CE354A" w:rsidRPr="00CE354A" w:rsidRDefault="00CE354A" w:rsidP="007D5580">
      <w:pPr>
        <w:spacing w:after="40"/>
        <w:jc w:val="center"/>
        <w:rPr>
          <w:b/>
          <w:bCs/>
          <w:i/>
          <w:szCs w:val="20"/>
          <w:lang w:eastAsia="en-US"/>
        </w:rPr>
      </w:pPr>
      <w:r w:rsidRPr="00CE354A">
        <w:rPr>
          <w:b/>
          <w:bCs/>
          <w:i/>
          <w:szCs w:val="20"/>
          <w:lang w:eastAsia="en-US"/>
        </w:rPr>
        <w:lastRenderedPageBreak/>
        <w:t>Public Service Amendment (Public Interest Disclosure and Other Matters) Regulation 2013</w:t>
      </w:r>
    </w:p>
    <w:p w14:paraId="53A6FEFE" w14:textId="77777777" w:rsidR="00CE354A" w:rsidRPr="00F14E02" w:rsidRDefault="00CE354A" w:rsidP="007D5580">
      <w:pPr>
        <w:spacing w:before="240" w:after="40"/>
        <w:jc w:val="center"/>
        <w:rPr>
          <w:szCs w:val="20"/>
          <w:lang w:eastAsia="en-US"/>
        </w:rPr>
      </w:pPr>
      <w:r w:rsidRPr="00F14E02">
        <w:rPr>
          <w:b/>
          <w:bCs/>
          <w:szCs w:val="20"/>
          <w:lang w:eastAsia="en-US"/>
        </w:rPr>
        <w:t>Statement of Compatibility with Human Rights</w:t>
      </w:r>
    </w:p>
    <w:p w14:paraId="53A6FEFF" w14:textId="77777777" w:rsidR="00CE354A" w:rsidRPr="00D9062B" w:rsidRDefault="00CE354A" w:rsidP="007D5580">
      <w:pPr>
        <w:spacing w:before="240"/>
        <w:rPr>
          <w:lang w:eastAsia="en-US"/>
        </w:rPr>
      </w:pPr>
      <w:r w:rsidRPr="00F14E02">
        <w:rPr>
          <w:lang w:eastAsia="en-US"/>
        </w:rPr>
        <w:t xml:space="preserve">A Statement of Compatibility with Human Rights has been completed for </w:t>
      </w:r>
      <w:r>
        <w:rPr>
          <w:lang w:eastAsia="en-US"/>
        </w:rPr>
        <w:t xml:space="preserve">the </w:t>
      </w:r>
      <w:r w:rsidRPr="00A45675">
        <w:rPr>
          <w:i/>
          <w:iCs/>
          <w:szCs w:val="20"/>
          <w:lang w:eastAsia="en-US"/>
        </w:rPr>
        <w:t xml:space="preserve">Public Service Amendment </w:t>
      </w:r>
      <w:r>
        <w:rPr>
          <w:i/>
          <w:iCs/>
          <w:szCs w:val="20"/>
          <w:lang w:eastAsia="en-US"/>
        </w:rPr>
        <w:t xml:space="preserve">(Public Interest Disclosure and Other Matters) </w:t>
      </w:r>
      <w:r w:rsidRPr="00A45675">
        <w:rPr>
          <w:i/>
          <w:iCs/>
          <w:szCs w:val="20"/>
          <w:lang w:eastAsia="en-US"/>
        </w:rPr>
        <w:t>Regulation 201</w:t>
      </w:r>
      <w:r>
        <w:rPr>
          <w:i/>
          <w:iCs/>
          <w:szCs w:val="20"/>
          <w:lang w:eastAsia="en-US"/>
        </w:rPr>
        <w:t>3</w:t>
      </w:r>
      <w:r w:rsidRPr="00D5721A">
        <w:rPr>
          <w:iCs/>
          <w:szCs w:val="20"/>
          <w:lang w:eastAsia="en-US"/>
        </w:rPr>
        <w:t xml:space="preserve"> </w:t>
      </w:r>
      <w:r w:rsidRPr="00F14E02">
        <w:t>(the ‘Amendment Regulation</w:t>
      </w:r>
      <w:r>
        <w:t>’)</w:t>
      </w:r>
      <w:r w:rsidRPr="00F14E02">
        <w:rPr>
          <w:lang w:eastAsia="en-US"/>
        </w:rPr>
        <w:t xml:space="preserve">, in accordance with the </w:t>
      </w:r>
      <w:r w:rsidRPr="00F14E02">
        <w:rPr>
          <w:i/>
          <w:iCs/>
          <w:lang w:eastAsia="en-US"/>
        </w:rPr>
        <w:t>Human Rights (Parliamentary Scrutiny) Act 2011</w:t>
      </w:r>
      <w:r w:rsidRPr="00F14E02">
        <w:rPr>
          <w:lang w:eastAsia="en-US"/>
        </w:rPr>
        <w:t xml:space="preserve">. The </w:t>
      </w:r>
      <w:r>
        <w:rPr>
          <w:lang w:eastAsia="en-US"/>
        </w:rPr>
        <w:t xml:space="preserve">Amendment </w:t>
      </w:r>
      <w:r w:rsidRPr="00F14E02">
        <w:rPr>
          <w:lang w:eastAsia="en-US"/>
        </w:rPr>
        <w:t xml:space="preserve">Regulation </w:t>
      </w:r>
      <w:r>
        <w:rPr>
          <w:lang w:eastAsia="en-US"/>
        </w:rPr>
        <w:t xml:space="preserve">is </w:t>
      </w:r>
      <w:r w:rsidRPr="00F14E02">
        <w:rPr>
          <w:lang w:eastAsia="en-US"/>
        </w:rPr>
        <w:t xml:space="preserve">compatible with the human rights and freedoms recognised or declared in the international instruments listed in section 3 of the </w:t>
      </w:r>
      <w:r w:rsidRPr="00F14E02">
        <w:rPr>
          <w:i/>
          <w:iCs/>
          <w:lang w:eastAsia="en-US"/>
        </w:rPr>
        <w:t>Human Rights (Parliamentary Scrutiny) Act 2011</w:t>
      </w:r>
      <w:r>
        <w:rPr>
          <w:iCs/>
          <w:lang w:eastAsia="en-US"/>
        </w:rPr>
        <w:t>.</w:t>
      </w:r>
    </w:p>
    <w:p w14:paraId="53A6FF00" w14:textId="77777777" w:rsidR="00CE354A" w:rsidRPr="00F14E02" w:rsidRDefault="00CE354A" w:rsidP="00CE354A">
      <w:pPr>
        <w:spacing w:before="100" w:after="40"/>
        <w:rPr>
          <w:b/>
          <w:i/>
          <w:szCs w:val="20"/>
          <w:lang w:eastAsia="en-US"/>
        </w:rPr>
      </w:pPr>
      <w:r w:rsidRPr="00F14E02">
        <w:rPr>
          <w:b/>
          <w:i/>
          <w:szCs w:val="20"/>
          <w:lang w:eastAsia="en-US"/>
        </w:rPr>
        <w:t xml:space="preserve">Overview of the </w:t>
      </w:r>
      <w:r>
        <w:rPr>
          <w:b/>
          <w:i/>
          <w:szCs w:val="20"/>
          <w:lang w:eastAsia="en-US"/>
        </w:rPr>
        <w:t>Amendment Regulation</w:t>
      </w:r>
    </w:p>
    <w:p w14:paraId="53A6FF01" w14:textId="77777777" w:rsidR="00CE354A" w:rsidRDefault="00CE354A" w:rsidP="00CE354A">
      <w:pPr>
        <w:spacing w:before="100" w:after="40"/>
        <w:rPr>
          <w:szCs w:val="20"/>
          <w:lang w:eastAsia="en-US"/>
        </w:rPr>
      </w:pPr>
      <w:r>
        <w:rPr>
          <w:szCs w:val="20"/>
          <w:lang w:eastAsia="en-US"/>
        </w:rPr>
        <w:t>T</w:t>
      </w:r>
      <w:r w:rsidRPr="00F14E02">
        <w:rPr>
          <w:szCs w:val="20"/>
          <w:lang w:eastAsia="en-US"/>
        </w:rPr>
        <w:t xml:space="preserve">he </w:t>
      </w:r>
      <w:r>
        <w:rPr>
          <w:szCs w:val="20"/>
          <w:lang w:eastAsia="en-US"/>
        </w:rPr>
        <w:t>Amendment Regulation</w:t>
      </w:r>
      <w:r w:rsidRPr="00F14E02">
        <w:rPr>
          <w:szCs w:val="20"/>
          <w:lang w:eastAsia="en-US"/>
        </w:rPr>
        <w:t xml:space="preserve"> amend</w:t>
      </w:r>
      <w:r>
        <w:rPr>
          <w:szCs w:val="20"/>
          <w:lang w:eastAsia="en-US"/>
        </w:rPr>
        <w:t>s</w:t>
      </w:r>
      <w:r w:rsidRPr="00F14E02">
        <w:rPr>
          <w:szCs w:val="20"/>
          <w:lang w:eastAsia="en-US"/>
        </w:rPr>
        <w:t xml:space="preserve"> the </w:t>
      </w:r>
      <w:r>
        <w:rPr>
          <w:i/>
          <w:szCs w:val="20"/>
          <w:lang w:eastAsia="en-US"/>
        </w:rPr>
        <w:t>Public Service Regulation</w:t>
      </w:r>
      <w:r w:rsidR="008A6BD3">
        <w:rPr>
          <w:i/>
          <w:szCs w:val="20"/>
          <w:lang w:eastAsia="en-US"/>
        </w:rPr>
        <w:t>s</w:t>
      </w:r>
      <w:r>
        <w:rPr>
          <w:i/>
          <w:szCs w:val="20"/>
          <w:lang w:eastAsia="en-US"/>
        </w:rPr>
        <w:t xml:space="preserve"> 1999 </w:t>
      </w:r>
      <w:r>
        <w:rPr>
          <w:szCs w:val="20"/>
          <w:lang w:eastAsia="en-US"/>
        </w:rPr>
        <w:t>(the ‘</w:t>
      </w:r>
      <w:r w:rsidRPr="00F14E02">
        <w:rPr>
          <w:szCs w:val="20"/>
          <w:lang w:eastAsia="en-US"/>
        </w:rPr>
        <w:t>Principal Regulations</w:t>
      </w:r>
      <w:r>
        <w:rPr>
          <w:szCs w:val="20"/>
          <w:lang w:eastAsia="en-US"/>
        </w:rPr>
        <w:t>’)</w:t>
      </w:r>
      <w:r w:rsidRPr="00F14E02">
        <w:rPr>
          <w:szCs w:val="20"/>
          <w:lang w:eastAsia="en-US"/>
        </w:rPr>
        <w:t xml:space="preserve"> to give effect to provisions of the </w:t>
      </w:r>
      <w:r>
        <w:rPr>
          <w:i/>
          <w:szCs w:val="20"/>
          <w:lang w:eastAsia="en-US"/>
        </w:rPr>
        <w:t>Public Interest Disclosure (Consequential Amendments) Act 2013</w:t>
      </w:r>
      <w:r>
        <w:rPr>
          <w:szCs w:val="20"/>
          <w:lang w:eastAsia="en-US"/>
        </w:rPr>
        <w:t xml:space="preserve"> (‘</w:t>
      </w:r>
      <w:proofErr w:type="spellStart"/>
      <w:r>
        <w:rPr>
          <w:szCs w:val="20"/>
          <w:lang w:eastAsia="en-US"/>
        </w:rPr>
        <w:t>PID</w:t>
      </w:r>
      <w:proofErr w:type="spellEnd"/>
      <w:r>
        <w:rPr>
          <w:szCs w:val="20"/>
          <w:lang w:eastAsia="en-US"/>
        </w:rPr>
        <w:t xml:space="preserve"> Consequential Act’) and the </w:t>
      </w:r>
      <w:r w:rsidRPr="00975744">
        <w:rPr>
          <w:i/>
        </w:rPr>
        <w:t>Privacy Amendment (Enhancing Privacy Protection) Act 2012</w:t>
      </w:r>
      <w:r w:rsidRPr="00975744">
        <w:t xml:space="preserve"> (</w:t>
      </w:r>
      <w:r>
        <w:t>‘</w:t>
      </w:r>
      <w:r w:rsidRPr="00975744">
        <w:t>Privacy Amendment Act</w:t>
      </w:r>
      <w:r>
        <w:t>’)</w:t>
      </w:r>
      <w:r w:rsidRPr="00F14E02">
        <w:rPr>
          <w:szCs w:val="20"/>
          <w:lang w:eastAsia="en-US"/>
        </w:rPr>
        <w:t xml:space="preserve">. </w:t>
      </w:r>
      <w:r>
        <w:rPr>
          <w:szCs w:val="20"/>
          <w:lang w:eastAsia="en-US"/>
        </w:rPr>
        <w:t>Notably, the Amendment Regulation clarifies the functions of the Australian Public Service Commissioner (‘Commissioner’) and the Merit Protection Commissioner (‘</w:t>
      </w:r>
      <w:proofErr w:type="spellStart"/>
      <w:r>
        <w:rPr>
          <w:szCs w:val="20"/>
          <w:lang w:eastAsia="en-US"/>
        </w:rPr>
        <w:t>MPC</w:t>
      </w:r>
      <w:proofErr w:type="spellEnd"/>
      <w:r>
        <w:rPr>
          <w:szCs w:val="20"/>
          <w:lang w:eastAsia="en-US"/>
        </w:rPr>
        <w:t>’) in dealing with public interest disclosures.</w:t>
      </w:r>
    </w:p>
    <w:p w14:paraId="53A6FF02" w14:textId="77777777" w:rsidR="00A7222F" w:rsidRDefault="00CE354A" w:rsidP="00CE354A">
      <w:pPr>
        <w:spacing w:before="100" w:after="40"/>
        <w:rPr>
          <w:szCs w:val="20"/>
          <w:lang w:eastAsia="en-US"/>
        </w:rPr>
      </w:pPr>
      <w:r w:rsidRPr="00705BF4">
        <w:rPr>
          <w:szCs w:val="20"/>
          <w:lang w:eastAsia="en-US"/>
        </w:rPr>
        <w:t xml:space="preserve">Section 13 of the </w:t>
      </w:r>
      <w:r w:rsidR="008A6BD3">
        <w:rPr>
          <w:i/>
          <w:szCs w:val="20"/>
          <w:lang w:eastAsia="en-US"/>
        </w:rPr>
        <w:t xml:space="preserve">Public Service Act 1999 </w:t>
      </w:r>
      <w:r w:rsidR="008A6BD3">
        <w:rPr>
          <w:szCs w:val="20"/>
          <w:lang w:eastAsia="en-US"/>
        </w:rPr>
        <w:t>(‘</w:t>
      </w:r>
      <w:r w:rsidRPr="00705BF4">
        <w:rPr>
          <w:szCs w:val="20"/>
          <w:lang w:eastAsia="en-US"/>
        </w:rPr>
        <w:t>PS Act</w:t>
      </w:r>
      <w:r w:rsidR="008A6BD3">
        <w:rPr>
          <w:szCs w:val="20"/>
          <w:lang w:eastAsia="en-US"/>
        </w:rPr>
        <w:t>’)</w:t>
      </w:r>
      <w:r w:rsidRPr="00705BF4">
        <w:rPr>
          <w:szCs w:val="20"/>
          <w:lang w:eastAsia="en-US"/>
        </w:rPr>
        <w:t xml:space="preserve"> sets out the APS Code of Conduct, which is binding on APS employees. Section 16 of the PS Act provides protection for APS employees who make ‘</w:t>
      </w:r>
      <w:proofErr w:type="spellStart"/>
      <w:r w:rsidRPr="00705BF4">
        <w:rPr>
          <w:szCs w:val="20"/>
          <w:lang w:eastAsia="en-US"/>
        </w:rPr>
        <w:t>whistleblower</w:t>
      </w:r>
      <w:proofErr w:type="spellEnd"/>
      <w:r w:rsidRPr="00705BF4">
        <w:rPr>
          <w:szCs w:val="20"/>
          <w:lang w:eastAsia="en-US"/>
        </w:rPr>
        <w:t xml:space="preserve"> reports’ and provides that details relating to inquiries into </w:t>
      </w:r>
      <w:proofErr w:type="spellStart"/>
      <w:r w:rsidRPr="00705BF4">
        <w:rPr>
          <w:szCs w:val="20"/>
          <w:lang w:eastAsia="en-US"/>
        </w:rPr>
        <w:t>whistleblower</w:t>
      </w:r>
      <w:proofErr w:type="spellEnd"/>
      <w:r w:rsidRPr="00705BF4">
        <w:rPr>
          <w:szCs w:val="20"/>
          <w:lang w:eastAsia="en-US"/>
        </w:rPr>
        <w:t xml:space="preserve"> reports are contained in the Principal Regulations. Paragraphs 41(2)(o) and 50(1)(a) of the PS Act provide an inquiry role for the Commissioner and the </w:t>
      </w:r>
      <w:proofErr w:type="spellStart"/>
      <w:r w:rsidRPr="00705BF4">
        <w:rPr>
          <w:szCs w:val="20"/>
          <w:lang w:eastAsia="en-US"/>
        </w:rPr>
        <w:t>MPC</w:t>
      </w:r>
      <w:proofErr w:type="spellEnd"/>
      <w:r w:rsidRPr="00705BF4">
        <w:rPr>
          <w:szCs w:val="20"/>
          <w:lang w:eastAsia="en-US"/>
        </w:rPr>
        <w:t xml:space="preserve"> respectively, associated with inquiring into </w:t>
      </w:r>
      <w:proofErr w:type="spellStart"/>
      <w:r w:rsidRPr="00705BF4">
        <w:rPr>
          <w:szCs w:val="20"/>
          <w:lang w:eastAsia="en-US"/>
        </w:rPr>
        <w:t>whistleblower</w:t>
      </w:r>
      <w:proofErr w:type="spellEnd"/>
      <w:r w:rsidRPr="00705BF4">
        <w:rPr>
          <w:szCs w:val="20"/>
          <w:lang w:eastAsia="en-US"/>
        </w:rPr>
        <w:t xml:space="preserve"> reports.</w:t>
      </w:r>
      <w:r>
        <w:rPr>
          <w:szCs w:val="20"/>
          <w:lang w:eastAsia="en-US"/>
        </w:rPr>
        <w:t xml:space="preserve"> </w:t>
      </w:r>
    </w:p>
    <w:p w14:paraId="53A6FF03" w14:textId="77777777" w:rsidR="00A7222F" w:rsidRDefault="00CE354A" w:rsidP="00CE354A">
      <w:pPr>
        <w:spacing w:before="100" w:after="40"/>
        <w:rPr>
          <w:szCs w:val="20"/>
          <w:lang w:eastAsia="en-US"/>
        </w:rPr>
      </w:pPr>
      <w:r w:rsidRPr="00705BF4">
        <w:rPr>
          <w:szCs w:val="20"/>
          <w:lang w:eastAsia="en-US"/>
        </w:rPr>
        <w:t xml:space="preserve">The </w:t>
      </w:r>
      <w:proofErr w:type="spellStart"/>
      <w:r w:rsidRPr="00705BF4">
        <w:rPr>
          <w:szCs w:val="20"/>
          <w:lang w:eastAsia="en-US"/>
        </w:rPr>
        <w:t>PID</w:t>
      </w:r>
      <w:proofErr w:type="spellEnd"/>
      <w:r w:rsidRPr="00705BF4">
        <w:rPr>
          <w:szCs w:val="20"/>
          <w:lang w:eastAsia="en-US"/>
        </w:rPr>
        <w:t xml:space="preserve"> Consequential Act repeals section 16 and paragraphs 41(2)(o) and 50(1)(a) of the PS Act and inserts new paragraphs 41(2)(o) and 50(1)(a)</w:t>
      </w:r>
      <w:r w:rsidR="00A7222F">
        <w:rPr>
          <w:szCs w:val="20"/>
          <w:lang w:eastAsia="en-US"/>
        </w:rPr>
        <w:t xml:space="preserve">, which give the Commissioner and </w:t>
      </w:r>
      <w:proofErr w:type="spellStart"/>
      <w:r w:rsidR="00A7222F">
        <w:rPr>
          <w:szCs w:val="20"/>
          <w:lang w:eastAsia="en-US"/>
        </w:rPr>
        <w:t>MPC</w:t>
      </w:r>
      <w:proofErr w:type="spellEnd"/>
      <w:r w:rsidR="00A7222F">
        <w:rPr>
          <w:szCs w:val="20"/>
          <w:lang w:eastAsia="en-US"/>
        </w:rPr>
        <w:t xml:space="preserve"> respectively the function of inquiring</w:t>
      </w:r>
      <w:r w:rsidR="00A7222F" w:rsidRPr="00B5345B">
        <w:rPr>
          <w:szCs w:val="20"/>
          <w:lang w:eastAsia="en-US"/>
        </w:rPr>
        <w:t xml:space="preserve">, subject to regulations, into public interest disclosures as defined in the </w:t>
      </w:r>
      <w:proofErr w:type="spellStart"/>
      <w:r w:rsidR="00A7222F" w:rsidRPr="00B5345B">
        <w:rPr>
          <w:szCs w:val="20"/>
          <w:lang w:eastAsia="en-US"/>
        </w:rPr>
        <w:t>PID</w:t>
      </w:r>
      <w:proofErr w:type="spellEnd"/>
      <w:r w:rsidR="00A7222F" w:rsidRPr="00B5345B">
        <w:rPr>
          <w:szCs w:val="20"/>
          <w:lang w:eastAsia="en-US"/>
        </w:rPr>
        <w:t xml:space="preserve"> Act</w:t>
      </w:r>
      <w:r w:rsidR="00A7222F">
        <w:t>, to the extent that the disclosures relate to alleged breaches of the APS Code of Conduct.</w:t>
      </w:r>
      <w:r w:rsidR="00A7222F" w:rsidRPr="00A7222F">
        <w:rPr>
          <w:szCs w:val="20"/>
          <w:lang w:eastAsia="en-US"/>
        </w:rPr>
        <w:t xml:space="preserve"> </w:t>
      </w:r>
      <w:r w:rsidR="00A7222F">
        <w:rPr>
          <w:szCs w:val="20"/>
          <w:lang w:eastAsia="en-US"/>
        </w:rPr>
        <w:t>The amendments in the Amendment Regulation set out the circumstances in which the Commissioners may decide to inquire into disclosures; make provision for the Commissioners to decline to inquire, or inquire further, into disclosures; and make provision for the process of inquiry.</w:t>
      </w:r>
    </w:p>
    <w:p w14:paraId="53A6FF04" w14:textId="77777777" w:rsidR="00CE354A" w:rsidRDefault="00CE354A" w:rsidP="00CE354A">
      <w:pPr>
        <w:spacing w:before="100" w:after="40"/>
        <w:rPr>
          <w:szCs w:val="20"/>
          <w:lang w:eastAsia="en-US"/>
        </w:rPr>
      </w:pPr>
      <w:r w:rsidRPr="00705BF4">
        <w:rPr>
          <w:szCs w:val="20"/>
          <w:lang w:eastAsia="en-US"/>
        </w:rPr>
        <w:t xml:space="preserve">The </w:t>
      </w:r>
      <w:r>
        <w:rPr>
          <w:i/>
          <w:szCs w:val="20"/>
          <w:lang w:eastAsia="en-US"/>
        </w:rPr>
        <w:t xml:space="preserve">Public Interest Disclosure Act 2013 </w:t>
      </w:r>
      <w:r>
        <w:rPr>
          <w:szCs w:val="20"/>
          <w:lang w:eastAsia="en-US"/>
        </w:rPr>
        <w:t>(‘</w:t>
      </w:r>
      <w:proofErr w:type="spellStart"/>
      <w:r w:rsidRPr="00705BF4">
        <w:rPr>
          <w:szCs w:val="20"/>
          <w:lang w:eastAsia="en-US"/>
        </w:rPr>
        <w:t>PID</w:t>
      </w:r>
      <w:proofErr w:type="spellEnd"/>
      <w:r w:rsidRPr="00705BF4">
        <w:rPr>
          <w:szCs w:val="20"/>
          <w:lang w:eastAsia="en-US"/>
        </w:rPr>
        <w:t xml:space="preserve"> Act</w:t>
      </w:r>
      <w:r>
        <w:rPr>
          <w:szCs w:val="20"/>
          <w:lang w:eastAsia="en-US"/>
        </w:rPr>
        <w:t>’)</w:t>
      </w:r>
      <w:r w:rsidRPr="00705BF4">
        <w:rPr>
          <w:szCs w:val="20"/>
          <w:lang w:eastAsia="en-US"/>
        </w:rPr>
        <w:t xml:space="preserve"> and the </w:t>
      </w:r>
      <w:proofErr w:type="spellStart"/>
      <w:r w:rsidRPr="00705BF4">
        <w:rPr>
          <w:szCs w:val="20"/>
          <w:lang w:eastAsia="en-US"/>
        </w:rPr>
        <w:t>PID</w:t>
      </w:r>
      <w:proofErr w:type="spellEnd"/>
      <w:r w:rsidRPr="00705BF4">
        <w:rPr>
          <w:szCs w:val="20"/>
          <w:lang w:eastAsia="en-US"/>
        </w:rPr>
        <w:t xml:space="preserve"> Consequential Act come into effect on 15 January 2014. </w:t>
      </w:r>
    </w:p>
    <w:p w14:paraId="53A6FF05" w14:textId="77777777" w:rsidR="00CE354A" w:rsidRDefault="00CE354A" w:rsidP="00CE354A">
      <w:pPr>
        <w:spacing w:before="100" w:after="40"/>
        <w:rPr>
          <w:szCs w:val="20"/>
          <w:lang w:eastAsia="en-US"/>
        </w:rPr>
      </w:pPr>
      <w:r>
        <w:rPr>
          <w:szCs w:val="20"/>
          <w:lang w:eastAsia="en-US"/>
        </w:rPr>
        <w:t xml:space="preserve">In addition, </w:t>
      </w:r>
      <w:r w:rsidR="007D5580">
        <w:rPr>
          <w:szCs w:val="20"/>
          <w:lang w:eastAsia="en-US"/>
        </w:rPr>
        <w:t>the Amendment Regulation</w:t>
      </w:r>
      <w:r w:rsidRPr="00975744">
        <w:rPr>
          <w:szCs w:val="20"/>
          <w:lang w:eastAsia="en-US"/>
        </w:rPr>
        <w:t xml:space="preserve"> amend</w:t>
      </w:r>
      <w:r>
        <w:rPr>
          <w:szCs w:val="20"/>
          <w:lang w:eastAsia="en-US"/>
        </w:rPr>
        <w:t>s</w:t>
      </w:r>
      <w:r w:rsidRPr="00975744">
        <w:rPr>
          <w:szCs w:val="20"/>
          <w:lang w:eastAsia="en-US"/>
        </w:rPr>
        <w:t xml:space="preserve"> </w:t>
      </w:r>
      <w:r>
        <w:rPr>
          <w:szCs w:val="20"/>
          <w:lang w:eastAsia="en-US"/>
        </w:rPr>
        <w:t>r</w:t>
      </w:r>
      <w:r w:rsidRPr="00975744">
        <w:rPr>
          <w:szCs w:val="20"/>
          <w:lang w:eastAsia="en-US"/>
        </w:rPr>
        <w:t xml:space="preserve">egulation 5.32 </w:t>
      </w:r>
      <w:r>
        <w:rPr>
          <w:szCs w:val="20"/>
          <w:lang w:eastAsia="en-US"/>
        </w:rPr>
        <w:t xml:space="preserve">of the Principal Regulations </w:t>
      </w:r>
      <w:r w:rsidRPr="00975744">
        <w:rPr>
          <w:szCs w:val="20"/>
          <w:lang w:eastAsia="en-US"/>
        </w:rPr>
        <w:t xml:space="preserve">to provide certainty for APS employees that all findings of a breach of the APS Code of Conduct or the imposition of sanctions by an agency head must be made in accordance with the agency procedures established under </w:t>
      </w:r>
      <w:r>
        <w:rPr>
          <w:szCs w:val="20"/>
          <w:lang w:eastAsia="en-US"/>
        </w:rPr>
        <w:t>sub</w:t>
      </w:r>
      <w:r w:rsidRPr="00975744">
        <w:rPr>
          <w:szCs w:val="20"/>
          <w:lang w:eastAsia="en-US"/>
        </w:rPr>
        <w:t xml:space="preserve">section 15(3) of the </w:t>
      </w:r>
      <w:r>
        <w:rPr>
          <w:szCs w:val="20"/>
          <w:lang w:eastAsia="en-US"/>
        </w:rPr>
        <w:t xml:space="preserve">PS </w:t>
      </w:r>
      <w:r w:rsidRPr="00975744">
        <w:rPr>
          <w:szCs w:val="20"/>
          <w:lang w:eastAsia="en-US"/>
        </w:rPr>
        <w:t>Act</w:t>
      </w:r>
      <w:r>
        <w:rPr>
          <w:szCs w:val="20"/>
          <w:lang w:eastAsia="en-US"/>
        </w:rPr>
        <w:t xml:space="preserve"> for determining Code of Conduct breaches</w:t>
      </w:r>
      <w:r w:rsidR="00A7222F">
        <w:rPr>
          <w:szCs w:val="20"/>
          <w:lang w:eastAsia="en-US"/>
        </w:rPr>
        <w:t>,</w:t>
      </w:r>
      <w:r>
        <w:rPr>
          <w:szCs w:val="20"/>
          <w:lang w:eastAsia="en-US"/>
        </w:rPr>
        <w:t xml:space="preserve"> and sanctions</w:t>
      </w:r>
      <w:r w:rsidR="00A7222F">
        <w:rPr>
          <w:szCs w:val="20"/>
          <w:lang w:eastAsia="en-US"/>
        </w:rPr>
        <w:t xml:space="preserve"> where appropriate</w:t>
      </w:r>
      <w:r>
        <w:rPr>
          <w:szCs w:val="20"/>
          <w:lang w:eastAsia="en-US"/>
        </w:rPr>
        <w:t>. The amendment deal</w:t>
      </w:r>
      <w:r w:rsidR="008A6BD3">
        <w:rPr>
          <w:szCs w:val="20"/>
          <w:lang w:eastAsia="en-US"/>
        </w:rPr>
        <w:t>s</w:t>
      </w:r>
      <w:r>
        <w:rPr>
          <w:szCs w:val="20"/>
          <w:lang w:eastAsia="en-US"/>
        </w:rPr>
        <w:t xml:space="preserve"> with circumstances in which the </w:t>
      </w:r>
      <w:proofErr w:type="spellStart"/>
      <w:r>
        <w:rPr>
          <w:szCs w:val="20"/>
          <w:lang w:eastAsia="en-US"/>
        </w:rPr>
        <w:t>MPC</w:t>
      </w:r>
      <w:proofErr w:type="spellEnd"/>
      <w:r>
        <w:rPr>
          <w:szCs w:val="20"/>
          <w:lang w:eastAsia="en-US"/>
        </w:rPr>
        <w:t xml:space="preserve"> ha</w:t>
      </w:r>
      <w:r w:rsidR="008A6BD3">
        <w:rPr>
          <w:szCs w:val="20"/>
          <w:lang w:eastAsia="en-US"/>
        </w:rPr>
        <w:t>s</w:t>
      </w:r>
      <w:r>
        <w:rPr>
          <w:szCs w:val="20"/>
          <w:lang w:eastAsia="en-US"/>
        </w:rPr>
        <w:t xml:space="preserve"> reviewed an agency’s decision in respect of a Code of Conduct determination or sanction</w:t>
      </w:r>
      <w:r w:rsidR="007D5580">
        <w:rPr>
          <w:szCs w:val="20"/>
          <w:lang w:eastAsia="en-US"/>
        </w:rPr>
        <w:t xml:space="preserve"> decision</w:t>
      </w:r>
      <w:r>
        <w:rPr>
          <w:szCs w:val="20"/>
          <w:lang w:eastAsia="en-US"/>
        </w:rPr>
        <w:t>, and, following the review, the agency head propose</w:t>
      </w:r>
      <w:r w:rsidR="008A6BD3">
        <w:rPr>
          <w:szCs w:val="20"/>
          <w:lang w:eastAsia="en-US"/>
        </w:rPr>
        <w:t>s</w:t>
      </w:r>
      <w:r>
        <w:rPr>
          <w:szCs w:val="20"/>
          <w:lang w:eastAsia="en-US"/>
        </w:rPr>
        <w:t xml:space="preserve"> to make a Code of Conduct finding or a sanction decision that was not the same as either the agency head’s original decision or the </w:t>
      </w:r>
      <w:proofErr w:type="spellStart"/>
      <w:r>
        <w:rPr>
          <w:szCs w:val="20"/>
          <w:lang w:eastAsia="en-US"/>
        </w:rPr>
        <w:t>MPC’s</w:t>
      </w:r>
      <w:proofErr w:type="spellEnd"/>
      <w:r>
        <w:rPr>
          <w:szCs w:val="20"/>
          <w:lang w:eastAsia="en-US"/>
        </w:rPr>
        <w:t xml:space="preserve"> recommendation. In those circumstances, the regulation as amended requires the agency head to follow their subsection 15(3) procedures in making the new determination.</w:t>
      </w:r>
    </w:p>
    <w:p w14:paraId="53A6FF06" w14:textId="77777777" w:rsidR="007D5580" w:rsidRDefault="007D5580">
      <w:pPr>
        <w:rPr>
          <w:b/>
          <w:i/>
          <w:szCs w:val="20"/>
          <w:lang w:eastAsia="en-US"/>
        </w:rPr>
      </w:pPr>
      <w:r>
        <w:rPr>
          <w:b/>
          <w:i/>
          <w:szCs w:val="20"/>
          <w:lang w:eastAsia="en-US"/>
        </w:rPr>
        <w:br w:type="page"/>
      </w:r>
    </w:p>
    <w:p w14:paraId="53A6FF07" w14:textId="77777777" w:rsidR="00CE354A" w:rsidRPr="00F14E02" w:rsidRDefault="00CE354A" w:rsidP="00CE354A">
      <w:pPr>
        <w:spacing w:before="100" w:after="40"/>
        <w:rPr>
          <w:b/>
          <w:i/>
          <w:szCs w:val="20"/>
          <w:lang w:eastAsia="en-US"/>
        </w:rPr>
      </w:pPr>
      <w:r w:rsidRPr="00F14E02">
        <w:rPr>
          <w:b/>
          <w:i/>
          <w:szCs w:val="20"/>
          <w:lang w:eastAsia="en-US"/>
        </w:rPr>
        <w:t xml:space="preserve">Human rights implications </w:t>
      </w:r>
    </w:p>
    <w:p w14:paraId="53A6FF08" w14:textId="77777777" w:rsidR="00CE354A" w:rsidRPr="00F14E02" w:rsidRDefault="00CE354A" w:rsidP="00CE354A">
      <w:pPr>
        <w:spacing w:before="100" w:after="40"/>
        <w:rPr>
          <w:szCs w:val="20"/>
          <w:lang w:eastAsia="en-US"/>
        </w:rPr>
      </w:pPr>
      <w:r w:rsidRPr="00F14E02">
        <w:rPr>
          <w:szCs w:val="20"/>
          <w:lang w:eastAsia="en-US"/>
        </w:rPr>
        <w:t xml:space="preserve">The </w:t>
      </w:r>
      <w:r>
        <w:rPr>
          <w:szCs w:val="20"/>
          <w:lang w:eastAsia="en-US"/>
        </w:rPr>
        <w:t>Amendment Regulation</w:t>
      </w:r>
      <w:r w:rsidRPr="00F14E02">
        <w:rPr>
          <w:szCs w:val="20"/>
          <w:lang w:eastAsia="en-US"/>
        </w:rPr>
        <w:t xml:space="preserve"> engage</w:t>
      </w:r>
      <w:r>
        <w:rPr>
          <w:szCs w:val="20"/>
          <w:lang w:eastAsia="en-US"/>
        </w:rPr>
        <w:t>s</w:t>
      </w:r>
      <w:r w:rsidRPr="00F14E02">
        <w:rPr>
          <w:szCs w:val="20"/>
          <w:lang w:eastAsia="en-US"/>
        </w:rPr>
        <w:t xml:space="preserve"> the following human rights.</w:t>
      </w:r>
    </w:p>
    <w:p w14:paraId="53A6FF09" w14:textId="77777777" w:rsidR="00CE354A" w:rsidRPr="00C8464C" w:rsidRDefault="00CE354A" w:rsidP="00CE354A">
      <w:pPr>
        <w:spacing w:before="120"/>
        <w:rPr>
          <w:i/>
          <w:szCs w:val="20"/>
          <w:lang w:eastAsia="en-US"/>
        </w:rPr>
      </w:pPr>
      <w:r w:rsidRPr="00C8464C">
        <w:rPr>
          <w:i/>
          <w:szCs w:val="20"/>
          <w:lang w:eastAsia="en-US"/>
        </w:rPr>
        <w:t xml:space="preserve">Right to freedom of expression </w:t>
      </w:r>
    </w:p>
    <w:p w14:paraId="53A6FF0A" w14:textId="77777777" w:rsidR="00CE354A" w:rsidRDefault="00CE354A" w:rsidP="00CE354A">
      <w:pPr>
        <w:spacing w:before="120"/>
        <w:rPr>
          <w:szCs w:val="20"/>
          <w:lang w:eastAsia="en-US"/>
        </w:rPr>
      </w:pPr>
      <w:r w:rsidRPr="00C8464C">
        <w:rPr>
          <w:szCs w:val="20"/>
          <w:lang w:eastAsia="en-US"/>
        </w:rPr>
        <w:t>The right to freedom of opinion and expression is contained in article 19 of the International Covenant on Civil and Political Rights (</w:t>
      </w:r>
      <w:proofErr w:type="spellStart"/>
      <w:r w:rsidRPr="00C8464C">
        <w:rPr>
          <w:szCs w:val="20"/>
          <w:lang w:eastAsia="en-US"/>
        </w:rPr>
        <w:t>ICCPR</w:t>
      </w:r>
      <w:proofErr w:type="spellEnd"/>
      <w:r w:rsidRPr="00C8464C">
        <w:rPr>
          <w:szCs w:val="20"/>
          <w:lang w:eastAsia="en-US"/>
        </w:rPr>
        <w:t xml:space="preserve">). </w:t>
      </w:r>
      <w:r w:rsidRPr="00BE29DF">
        <w:rPr>
          <w:szCs w:val="20"/>
          <w:lang w:eastAsia="en-US"/>
        </w:rPr>
        <w:t xml:space="preserve">Article 19(2) of the </w:t>
      </w:r>
      <w:proofErr w:type="spellStart"/>
      <w:r w:rsidRPr="00BE29DF">
        <w:rPr>
          <w:szCs w:val="20"/>
          <w:lang w:eastAsia="en-US"/>
        </w:rPr>
        <w:t>ICCPR</w:t>
      </w:r>
      <w:proofErr w:type="spellEnd"/>
      <w:r w:rsidRPr="00BE29DF">
        <w:rPr>
          <w:szCs w:val="20"/>
          <w:lang w:eastAsia="en-US"/>
        </w:rPr>
        <w:t xml:space="preserve"> protects an individual’s freedom of expression in any medium, including written and oral communications, the media, public protest, broadcasting, artistic works and commercial advertising.</w:t>
      </w:r>
      <w:r w:rsidR="00D1715E">
        <w:rPr>
          <w:szCs w:val="20"/>
          <w:lang w:eastAsia="en-US"/>
        </w:rPr>
        <w:t xml:space="preserve"> </w:t>
      </w:r>
      <w:r w:rsidRPr="00BE29DF">
        <w:rPr>
          <w:szCs w:val="20"/>
          <w:lang w:eastAsia="en-US"/>
        </w:rPr>
        <w:t>The right protects not only the ability to impart information or ideas but also the ability to receive them. Freedom of expression may be limited under Article 19(3) only where provided for by law and when necessary to protect the rights or reputations of others, national security, public order or public health or morals.</w:t>
      </w:r>
    </w:p>
    <w:p w14:paraId="53A6FF0B" w14:textId="77777777" w:rsidR="00CE354A" w:rsidRPr="001A5FAC" w:rsidRDefault="00CE354A" w:rsidP="00CE354A">
      <w:pPr>
        <w:spacing w:before="120"/>
        <w:rPr>
          <w:szCs w:val="20"/>
          <w:lang w:eastAsia="en-US"/>
        </w:rPr>
      </w:pPr>
      <w:r>
        <w:rPr>
          <w:szCs w:val="20"/>
          <w:lang w:eastAsia="en-US"/>
        </w:rPr>
        <w:t xml:space="preserve">The amendments in the Amendment Regulation relating to public interest disclosures support and facilitate the </w:t>
      </w:r>
      <w:r w:rsidRPr="001A5FAC">
        <w:rPr>
          <w:szCs w:val="20"/>
          <w:lang w:eastAsia="en-US"/>
        </w:rPr>
        <w:t xml:space="preserve">making of </w:t>
      </w:r>
      <w:r>
        <w:rPr>
          <w:szCs w:val="20"/>
          <w:lang w:eastAsia="en-US"/>
        </w:rPr>
        <w:t xml:space="preserve">such </w:t>
      </w:r>
      <w:r w:rsidRPr="001A5FAC">
        <w:rPr>
          <w:szCs w:val="20"/>
          <w:lang w:eastAsia="en-US"/>
        </w:rPr>
        <w:t>disclosures by public officials</w:t>
      </w:r>
      <w:r>
        <w:rPr>
          <w:szCs w:val="20"/>
          <w:lang w:eastAsia="en-US"/>
        </w:rPr>
        <w:t>,</w:t>
      </w:r>
      <w:r w:rsidRPr="001A5FAC">
        <w:rPr>
          <w:szCs w:val="20"/>
          <w:lang w:eastAsia="en-US"/>
        </w:rPr>
        <w:t xml:space="preserve"> and </w:t>
      </w:r>
      <w:r>
        <w:rPr>
          <w:szCs w:val="20"/>
          <w:lang w:eastAsia="en-US"/>
        </w:rPr>
        <w:t xml:space="preserve">support the aim of the </w:t>
      </w:r>
      <w:proofErr w:type="spellStart"/>
      <w:r>
        <w:rPr>
          <w:szCs w:val="20"/>
          <w:lang w:eastAsia="en-US"/>
        </w:rPr>
        <w:t>PID</w:t>
      </w:r>
      <w:proofErr w:type="spellEnd"/>
      <w:r>
        <w:rPr>
          <w:szCs w:val="20"/>
          <w:lang w:eastAsia="en-US"/>
        </w:rPr>
        <w:t xml:space="preserve"> Act </w:t>
      </w:r>
      <w:r w:rsidRPr="001A5FAC">
        <w:rPr>
          <w:szCs w:val="20"/>
          <w:lang w:eastAsia="en-US"/>
        </w:rPr>
        <w:t>that public officials who make disclosures are protec</w:t>
      </w:r>
      <w:r>
        <w:rPr>
          <w:szCs w:val="20"/>
          <w:lang w:eastAsia="en-US"/>
        </w:rPr>
        <w:t xml:space="preserve">ted from adverse consequences. </w:t>
      </w:r>
      <w:r w:rsidRPr="001A5FAC">
        <w:rPr>
          <w:szCs w:val="20"/>
          <w:lang w:eastAsia="en-US"/>
        </w:rPr>
        <w:t xml:space="preserve">In providing </w:t>
      </w:r>
      <w:r>
        <w:rPr>
          <w:szCs w:val="20"/>
          <w:lang w:eastAsia="en-US"/>
        </w:rPr>
        <w:t xml:space="preserve">a further avenue for public officials to make protected disclosures—i.e. to the Commissioner and </w:t>
      </w:r>
      <w:proofErr w:type="spellStart"/>
      <w:r>
        <w:rPr>
          <w:szCs w:val="20"/>
          <w:lang w:eastAsia="en-US"/>
        </w:rPr>
        <w:t>MPC</w:t>
      </w:r>
      <w:proofErr w:type="spellEnd"/>
      <w:r>
        <w:rPr>
          <w:szCs w:val="20"/>
          <w:lang w:eastAsia="en-US"/>
        </w:rPr>
        <w:t>—</w:t>
      </w:r>
      <w:r w:rsidRPr="001A5FAC">
        <w:rPr>
          <w:szCs w:val="20"/>
          <w:lang w:eastAsia="en-US"/>
        </w:rPr>
        <w:t>t</w:t>
      </w:r>
      <w:r>
        <w:rPr>
          <w:szCs w:val="20"/>
          <w:lang w:eastAsia="en-US"/>
        </w:rPr>
        <w:t xml:space="preserve">he Amendment Regulation </w:t>
      </w:r>
      <w:r w:rsidRPr="001A5FAC">
        <w:rPr>
          <w:szCs w:val="20"/>
          <w:lang w:eastAsia="en-US"/>
        </w:rPr>
        <w:t xml:space="preserve">engages </w:t>
      </w:r>
      <w:r>
        <w:rPr>
          <w:szCs w:val="20"/>
          <w:lang w:eastAsia="en-US"/>
        </w:rPr>
        <w:t xml:space="preserve">and promotes </w:t>
      </w:r>
      <w:r w:rsidRPr="001A5FAC">
        <w:rPr>
          <w:szCs w:val="20"/>
          <w:lang w:eastAsia="en-US"/>
        </w:rPr>
        <w:t>the right to freedom of expression.</w:t>
      </w:r>
    </w:p>
    <w:p w14:paraId="53A6FF0C" w14:textId="77777777" w:rsidR="00CE354A" w:rsidRPr="00F14E02" w:rsidRDefault="00CE354A" w:rsidP="00CE354A">
      <w:pPr>
        <w:spacing w:before="100" w:after="40"/>
        <w:rPr>
          <w:i/>
          <w:szCs w:val="20"/>
          <w:lang w:eastAsia="en-US"/>
        </w:rPr>
      </w:pPr>
      <w:r w:rsidRPr="00F14E02">
        <w:rPr>
          <w:i/>
          <w:szCs w:val="20"/>
          <w:lang w:eastAsia="en-US"/>
        </w:rPr>
        <w:t>Right to privacy and reputation</w:t>
      </w:r>
    </w:p>
    <w:p w14:paraId="53A6FF0D" w14:textId="77777777" w:rsidR="00CE354A" w:rsidRPr="00BE29DF" w:rsidRDefault="00CE354A" w:rsidP="00CE354A">
      <w:pPr>
        <w:spacing w:before="100" w:after="40"/>
        <w:rPr>
          <w:szCs w:val="20"/>
          <w:lang w:eastAsia="en-US"/>
        </w:rPr>
      </w:pPr>
      <w:r w:rsidRPr="00F14E02">
        <w:rPr>
          <w:szCs w:val="20"/>
          <w:lang w:eastAsia="en-US"/>
        </w:rPr>
        <w:t>The right to privacy in Article 17 of the International Covenant on Civil and Political Rights (</w:t>
      </w:r>
      <w:proofErr w:type="spellStart"/>
      <w:r w:rsidRPr="00F14E02">
        <w:rPr>
          <w:szCs w:val="20"/>
          <w:lang w:eastAsia="en-US"/>
        </w:rPr>
        <w:t>ICCPR</w:t>
      </w:r>
      <w:proofErr w:type="spellEnd"/>
      <w:r w:rsidRPr="00F14E02">
        <w:rPr>
          <w:szCs w:val="20"/>
          <w:lang w:eastAsia="en-US"/>
        </w:rPr>
        <w:t xml:space="preserve">) prohibits unlawful or arbitrary interferences with a person’s privacy, family, home and correspondence. It also prohibits unlawful attacks on a person’s reputation. </w:t>
      </w:r>
      <w:r w:rsidRPr="00BE29DF">
        <w:rPr>
          <w:szCs w:val="20"/>
          <w:lang w:eastAsia="en-US"/>
        </w:rPr>
        <w:t>In order for an interference with a right not to be ‘arbitrary’, the interference must be for a reason consistent with the relevant Convention and reasonable in the particular circumstances. Reasonableness, in this context, involves notions of proportionality, appropriateness and necessity.</w:t>
      </w:r>
      <w:r>
        <w:rPr>
          <w:rStyle w:val="FootnoteReference"/>
          <w:szCs w:val="20"/>
          <w:lang w:eastAsia="en-US"/>
        </w:rPr>
        <w:footnoteReference w:id="1"/>
      </w:r>
    </w:p>
    <w:p w14:paraId="53A6FF0E" w14:textId="77777777" w:rsidR="00CE354A" w:rsidRDefault="00CE354A" w:rsidP="00CE354A">
      <w:pPr>
        <w:spacing w:before="100" w:after="40"/>
        <w:rPr>
          <w:szCs w:val="20"/>
          <w:lang w:eastAsia="en-US"/>
        </w:rPr>
      </w:pPr>
      <w:r>
        <w:rPr>
          <w:szCs w:val="20"/>
          <w:lang w:eastAsia="en-US"/>
        </w:rPr>
        <w:t xml:space="preserve">The amendments in the Amendment Regulation relating to public interest disclosures support the right to privacy and reputation and the intention of the </w:t>
      </w:r>
      <w:proofErr w:type="spellStart"/>
      <w:r>
        <w:rPr>
          <w:szCs w:val="20"/>
          <w:lang w:eastAsia="en-US"/>
        </w:rPr>
        <w:t>PID</w:t>
      </w:r>
      <w:proofErr w:type="spellEnd"/>
      <w:r>
        <w:rPr>
          <w:szCs w:val="20"/>
          <w:lang w:eastAsia="en-US"/>
        </w:rPr>
        <w:t xml:space="preserve"> Act to </w:t>
      </w:r>
      <w:r w:rsidRPr="001A5FAC">
        <w:rPr>
          <w:szCs w:val="20"/>
          <w:lang w:eastAsia="en-US"/>
        </w:rPr>
        <w:t>allow a person to make a disclosure in confidence and without fear of reputational damage if they do not wish their identity to be known</w:t>
      </w:r>
      <w:r>
        <w:rPr>
          <w:szCs w:val="20"/>
          <w:lang w:eastAsia="en-US"/>
        </w:rPr>
        <w:t xml:space="preserve">, while permitting </w:t>
      </w:r>
      <w:r w:rsidRPr="001A5FAC">
        <w:rPr>
          <w:szCs w:val="20"/>
          <w:lang w:eastAsia="en-US"/>
        </w:rPr>
        <w:t>limited disclosure of identity in order to conduct an investigation. In such cases the limited disclosure of the person’s identity is reasonable and necessary</w:t>
      </w:r>
      <w:r w:rsidR="007D5580">
        <w:rPr>
          <w:szCs w:val="20"/>
          <w:lang w:eastAsia="en-US"/>
        </w:rPr>
        <w:t>,</w:t>
      </w:r>
      <w:r w:rsidR="008A6BD3">
        <w:rPr>
          <w:szCs w:val="20"/>
          <w:lang w:eastAsia="en-US"/>
        </w:rPr>
        <w:t xml:space="preserve"> as</w:t>
      </w:r>
      <w:r w:rsidR="007D5580">
        <w:rPr>
          <w:szCs w:val="20"/>
          <w:lang w:eastAsia="en-US"/>
        </w:rPr>
        <w:t>,</w:t>
      </w:r>
      <w:r w:rsidR="008A6BD3">
        <w:rPr>
          <w:szCs w:val="20"/>
          <w:lang w:eastAsia="en-US"/>
        </w:rPr>
        <w:t xml:space="preserve"> without it</w:t>
      </w:r>
      <w:r w:rsidR="007D5580">
        <w:rPr>
          <w:szCs w:val="20"/>
          <w:lang w:eastAsia="en-US"/>
        </w:rPr>
        <w:t>,</w:t>
      </w:r>
      <w:r w:rsidR="008A6BD3">
        <w:rPr>
          <w:szCs w:val="20"/>
          <w:lang w:eastAsia="en-US"/>
        </w:rPr>
        <w:t xml:space="preserve"> an investigation of the alleged wrongdoing could not be conducted effectively </w:t>
      </w:r>
      <w:r w:rsidR="007D5580">
        <w:rPr>
          <w:szCs w:val="20"/>
          <w:lang w:eastAsia="en-US"/>
        </w:rPr>
        <w:t>(</w:t>
      </w:r>
      <w:r w:rsidR="008A6BD3">
        <w:rPr>
          <w:szCs w:val="20"/>
          <w:lang w:eastAsia="en-US"/>
        </w:rPr>
        <w:t>or, in some cases, at all</w:t>
      </w:r>
      <w:r w:rsidR="007D5580">
        <w:rPr>
          <w:szCs w:val="20"/>
          <w:lang w:eastAsia="en-US"/>
        </w:rPr>
        <w:t>)</w:t>
      </w:r>
      <w:r w:rsidRPr="001A5FAC">
        <w:rPr>
          <w:szCs w:val="20"/>
          <w:lang w:eastAsia="en-US"/>
        </w:rPr>
        <w:t>.</w:t>
      </w:r>
    </w:p>
    <w:p w14:paraId="53A6FF0F" w14:textId="77777777" w:rsidR="007D5580" w:rsidRDefault="00CE354A" w:rsidP="00CE354A">
      <w:pPr>
        <w:spacing w:before="100" w:after="40"/>
        <w:rPr>
          <w:szCs w:val="20"/>
          <w:lang w:eastAsia="en-US"/>
        </w:rPr>
      </w:pPr>
      <w:r>
        <w:rPr>
          <w:szCs w:val="20"/>
          <w:lang w:eastAsia="en-US"/>
        </w:rPr>
        <w:t xml:space="preserve">The Amendment Regulation provides that the Commissioner or </w:t>
      </w:r>
      <w:proofErr w:type="spellStart"/>
      <w:r>
        <w:rPr>
          <w:szCs w:val="20"/>
          <w:lang w:eastAsia="en-US"/>
        </w:rPr>
        <w:t>MPC</w:t>
      </w:r>
      <w:proofErr w:type="spellEnd"/>
      <w:r>
        <w:rPr>
          <w:szCs w:val="20"/>
          <w:lang w:eastAsia="en-US"/>
        </w:rPr>
        <w:t xml:space="preserve"> may decide not to inquire, or inquire further, into a disclosure </w:t>
      </w:r>
      <w:r w:rsidR="00A049E0">
        <w:rPr>
          <w:szCs w:val="20"/>
          <w:lang w:eastAsia="en-US"/>
        </w:rPr>
        <w:t xml:space="preserve">if he or she concludes that conducting or continuing the inquiry would not be justified in </w:t>
      </w:r>
      <w:r w:rsidR="00AA6E4C">
        <w:rPr>
          <w:szCs w:val="20"/>
          <w:lang w:eastAsia="en-US"/>
        </w:rPr>
        <w:t xml:space="preserve">all </w:t>
      </w:r>
      <w:r w:rsidR="00A049E0">
        <w:rPr>
          <w:szCs w:val="20"/>
          <w:lang w:eastAsia="en-US"/>
        </w:rPr>
        <w:t xml:space="preserve">the circumstances. </w:t>
      </w:r>
      <w:r w:rsidR="007D5580">
        <w:rPr>
          <w:szCs w:val="20"/>
          <w:lang w:eastAsia="en-US"/>
        </w:rPr>
        <w:t xml:space="preserve">The Regulation </w:t>
      </w:r>
      <w:r w:rsidR="00A049E0">
        <w:rPr>
          <w:szCs w:val="20"/>
          <w:lang w:eastAsia="en-US"/>
        </w:rPr>
        <w:t xml:space="preserve">provides examples of circumstances </w:t>
      </w:r>
      <w:r w:rsidR="00A049E0" w:rsidRPr="00A049E0">
        <w:rPr>
          <w:szCs w:val="20"/>
          <w:lang w:eastAsia="en-US"/>
        </w:rPr>
        <w:t>that could arise which may be considered relevant to an assessment of whether to decline to inquire</w:t>
      </w:r>
      <w:r w:rsidR="0014129D">
        <w:rPr>
          <w:szCs w:val="20"/>
          <w:lang w:eastAsia="en-US"/>
        </w:rPr>
        <w:t>,</w:t>
      </w:r>
      <w:r w:rsidR="00A049E0" w:rsidRPr="00A049E0">
        <w:rPr>
          <w:szCs w:val="20"/>
          <w:lang w:eastAsia="en-US"/>
        </w:rPr>
        <w:t xml:space="preserve"> or to inquire further</w:t>
      </w:r>
      <w:r w:rsidR="0014129D">
        <w:rPr>
          <w:szCs w:val="20"/>
          <w:lang w:eastAsia="en-US"/>
        </w:rPr>
        <w:t>,</w:t>
      </w:r>
      <w:r w:rsidR="00A049E0" w:rsidRPr="00A049E0">
        <w:rPr>
          <w:szCs w:val="20"/>
          <w:lang w:eastAsia="en-US"/>
        </w:rPr>
        <w:t xml:space="preserve"> into a disclosure</w:t>
      </w:r>
      <w:r w:rsidR="00A049E0">
        <w:rPr>
          <w:szCs w:val="20"/>
          <w:lang w:eastAsia="en-US"/>
        </w:rPr>
        <w:t xml:space="preserve">. These include </w:t>
      </w:r>
      <w:r>
        <w:rPr>
          <w:szCs w:val="20"/>
          <w:lang w:eastAsia="en-US"/>
        </w:rPr>
        <w:t>where it would not be practical to conduct</w:t>
      </w:r>
      <w:r w:rsidR="0014129D">
        <w:rPr>
          <w:szCs w:val="20"/>
          <w:lang w:eastAsia="en-US"/>
        </w:rPr>
        <w:t>,</w:t>
      </w:r>
      <w:r>
        <w:rPr>
          <w:szCs w:val="20"/>
          <w:lang w:eastAsia="en-US"/>
        </w:rPr>
        <w:t xml:space="preserve"> or continue</w:t>
      </w:r>
      <w:r w:rsidR="0014129D">
        <w:rPr>
          <w:szCs w:val="20"/>
          <w:lang w:eastAsia="en-US"/>
        </w:rPr>
        <w:t>,</w:t>
      </w:r>
      <w:r>
        <w:rPr>
          <w:szCs w:val="20"/>
          <w:lang w:eastAsia="en-US"/>
        </w:rPr>
        <w:t xml:space="preserve"> an inquiry </w:t>
      </w:r>
      <w:r w:rsidRPr="007E0293">
        <w:rPr>
          <w:szCs w:val="20"/>
          <w:lang w:eastAsia="en-US"/>
        </w:rPr>
        <w:t>because the discloser has not consented to the use or disclosure of identifying information about the discloser.</w:t>
      </w:r>
      <w:r>
        <w:rPr>
          <w:szCs w:val="20"/>
          <w:lang w:eastAsia="en-US"/>
        </w:rPr>
        <w:t xml:space="preserve"> While the Commissioner and </w:t>
      </w:r>
      <w:proofErr w:type="spellStart"/>
      <w:r>
        <w:rPr>
          <w:szCs w:val="20"/>
          <w:lang w:eastAsia="en-US"/>
        </w:rPr>
        <w:t>MPC</w:t>
      </w:r>
      <w:proofErr w:type="spellEnd"/>
      <w:r>
        <w:rPr>
          <w:szCs w:val="20"/>
          <w:lang w:eastAsia="en-US"/>
        </w:rPr>
        <w:t xml:space="preserve"> would be expected to take care to ensure that a discloser’s identity was protected to the extent that was reasonably possible, this provision recognises that in some circumstances identifying information may need to be disclosed in order to undertake an inquiry. Similarly, the Amendment Regulation includes provisions that require the Commissioner and </w:t>
      </w:r>
      <w:proofErr w:type="spellStart"/>
      <w:r>
        <w:rPr>
          <w:szCs w:val="20"/>
          <w:lang w:eastAsia="en-US"/>
        </w:rPr>
        <w:t>MPC</w:t>
      </w:r>
      <w:proofErr w:type="spellEnd"/>
      <w:r>
        <w:rPr>
          <w:szCs w:val="20"/>
          <w:lang w:eastAsia="en-US"/>
        </w:rPr>
        <w:t xml:space="preserve"> to consider, having regard to all the circumstances, whether to give a person about whom a disclosure has been made an opportunity to be heard in relation to the disclosure, and notes that if the Commissioner or </w:t>
      </w:r>
      <w:proofErr w:type="spellStart"/>
      <w:r>
        <w:rPr>
          <w:szCs w:val="20"/>
          <w:lang w:eastAsia="en-US"/>
        </w:rPr>
        <w:t>MPC</w:t>
      </w:r>
      <w:proofErr w:type="spellEnd"/>
      <w:r>
        <w:rPr>
          <w:szCs w:val="20"/>
          <w:lang w:eastAsia="en-US"/>
        </w:rPr>
        <w:t xml:space="preserve"> does do so, they may </w:t>
      </w:r>
      <w:r w:rsidRPr="0085127F">
        <w:rPr>
          <w:szCs w:val="20"/>
          <w:lang w:eastAsia="en-US"/>
        </w:rPr>
        <w:t>give the person information identifying the discloser to the extent</w:t>
      </w:r>
      <w:r>
        <w:rPr>
          <w:szCs w:val="20"/>
          <w:lang w:eastAsia="en-US"/>
        </w:rPr>
        <w:t xml:space="preserve"> that they consider appropriate in the circumstances. </w:t>
      </w:r>
    </w:p>
    <w:p w14:paraId="53A6FF10" w14:textId="77777777" w:rsidR="00CE354A" w:rsidRPr="001A5FAC" w:rsidRDefault="00CE354A" w:rsidP="00CE354A">
      <w:pPr>
        <w:spacing w:before="100" w:after="40"/>
        <w:rPr>
          <w:szCs w:val="20"/>
          <w:lang w:eastAsia="en-US"/>
        </w:rPr>
      </w:pPr>
      <w:r w:rsidRPr="001A5FAC">
        <w:rPr>
          <w:szCs w:val="20"/>
          <w:lang w:eastAsia="en-US"/>
        </w:rPr>
        <w:t xml:space="preserve">This limited disclosure is reasonable and necessary, </w:t>
      </w:r>
      <w:r>
        <w:rPr>
          <w:szCs w:val="20"/>
          <w:lang w:eastAsia="en-US"/>
        </w:rPr>
        <w:t xml:space="preserve">goes only so far as is needed to achieve its purpose, </w:t>
      </w:r>
      <w:r w:rsidRPr="001A5FAC">
        <w:rPr>
          <w:szCs w:val="20"/>
          <w:lang w:eastAsia="en-US"/>
        </w:rPr>
        <w:t>and serves a legitimate purpose</w:t>
      </w:r>
      <w:r>
        <w:rPr>
          <w:szCs w:val="20"/>
          <w:lang w:eastAsia="en-US"/>
        </w:rPr>
        <w:t xml:space="preserve">—namely, </w:t>
      </w:r>
      <w:r w:rsidRPr="001A5FAC">
        <w:rPr>
          <w:szCs w:val="20"/>
          <w:lang w:eastAsia="en-US"/>
        </w:rPr>
        <w:t>the investigation of misconduct by public officials</w:t>
      </w:r>
      <w:r>
        <w:rPr>
          <w:szCs w:val="20"/>
          <w:lang w:eastAsia="en-US"/>
        </w:rPr>
        <w:t xml:space="preserve"> consistent with the principle of procedural fairness</w:t>
      </w:r>
      <w:r w:rsidRPr="001A5FAC">
        <w:rPr>
          <w:szCs w:val="20"/>
          <w:lang w:eastAsia="en-US"/>
        </w:rPr>
        <w:t>.</w:t>
      </w:r>
      <w:r>
        <w:rPr>
          <w:szCs w:val="20"/>
          <w:lang w:eastAsia="en-US"/>
        </w:rPr>
        <w:t xml:space="preserve"> </w:t>
      </w:r>
    </w:p>
    <w:p w14:paraId="53A6FF11" w14:textId="77777777" w:rsidR="00CE354A" w:rsidRPr="00654D49" w:rsidRDefault="00CE354A" w:rsidP="00CE354A">
      <w:pPr>
        <w:spacing w:before="100" w:after="40"/>
        <w:rPr>
          <w:szCs w:val="20"/>
          <w:lang w:eastAsia="en-US"/>
        </w:rPr>
      </w:pPr>
      <w:r>
        <w:rPr>
          <w:szCs w:val="20"/>
          <w:lang w:eastAsia="en-US"/>
        </w:rPr>
        <w:t xml:space="preserve">The Amendment Regulation also makes a minor technical amendment to regulation 9.2 of the Principal Regulations, to come into effect on commencement of the Privacy Amendment Act on 12 March 2014. This amendment will make no substantive change to the regulation, and will simply ensure that the regulation is consistent with the </w:t>
      </w:r>
      <w:r>
        <w:rPr>
          <w:i/>
          <w:szCs w:val="20"/>
          <w:lang w:eastAsia="en-US"/>
        </w:rPr>
        <w:t>Privacy Act 1988</w:t>
      </w:r>
      <w:r>
        <w:rPr>
          <w:szCs w:val="20"/>
          <w:lang w:eastAsia="en-US"/>
        </w:rPr>
        <w:t xml:space="preserve"> as amended by the Privacy Amendment Act in referring to Australian Privacy Principles rather than Information Privacy Principles. </w:t>
      </w:r>
    </w:p>
    <w:p w14:paraId="53A6FF12" w14:textId="77777777" w:rsidR="00CE354A" w:rsidRPr="00975744" w:rsidRDefault="00CE354A" w:rsidP="00CE354A">
      <w:pPr>
        <w:spacing w:before="100" w:after="40"/>
        <w:rPr>
          <w:i/>
          <w:szCs w:val="20"/>
          <w:lang w:eastAsia="en-US"/>
        </w:rPr>
      </w:pPr>
      <w:r w:rsidRPr="00975744">
        <w:rPr>
          <w:i/>
          <w:szCs w:val="20"/>
          <w:lang w:eastAsia="en-US"/>
        </w:rPr>
        <w:t xml:space="preserve">Right to work and rights in work </w:t>
      </w:r>
    </w:p>
    <w:p w14:paraId="53A6FF13" w14:textId="77777777" w:rsidR="00CE354A" w:rsidRPr="00975744" w:rsidRDefault="00CE354A" w:rsidP="00CE354A">
      <w:pPr>
        <w:spacing w:before="100" w:after="40"/>
        <w:rPr>
          <w:szCs w:val="20"/>
          <w:lang w:eastAsia="en-US"/>
        </w:rPr>
      </w:pPr>
      <w:r w:rsidRPr="00975744">
        <w:rPr>
          <w:szCs w:val="20"/>
          <w:lang w:eastAsia="en-US"/>
        </w:rPr>
        <w:t>The right to work and rights in work is contained in articles 6(1)</w:t>
      </w:r>
      <w:r>
        <w:rPr>
          <w:szCs w:val="20"/>
          <w:lang w:eastAsia="en-US"/>
        </w:rPr>
        <w:t xml:space="preserve"> and </w:t>
      </w:r>
      <w:r w:rsidRPr="00975744">
        <w:rPr>
          <w:szCs w:val="20"/>
          <w:lang w:eastAsia="en-US"/>
        </w:rPr>
        <w:t>7 of the International Covenant on Economic, Social and Cultural Rights (</w:t>
      </w:r>
      <w:proofErr w:type="spellStart"/>
      <w:r w:rsidRPr="00975744">
        <w:rPr>
          <w:szCs w:val="20"/>
          <w:lang w:eastAsia="en-US"/>
        </w:rPr>
        <w:t>ICESCR</w:t>
      </w:r>
      <w:proofErr w:type="spellEnd"/>
      <w:r w:rsidRPr="00975744">
        <w:rPr>
          <w:szCs w:val="20"/>
          <w:lang w:eastAsia="en-US"/>
        </w:rPr>
        <w:t xml:space="preserve">). </w:t>
      </w:r>
      <w:r w:rsidRPr="00BE29DF">
        <w:rPr>
          <w:szCs w:val="20"/>
          <w:lang w:eastAsia="en-US"/>
        </w:rPr>
        <w:t>Article 6 provides for the right to work, including a right to the opportunity to gain a living by work which is freely chosen or accepted. Article 7 provides for the right of everyone to the enjoyment of just and favourable conditions of work.</w:t>
      </w:r>
    </w:p>
    <w:p w14:paraId="53A6FF14" w14:textId="77777777" w:rsidR="00CE354A" w:rsidRDefault="00CE354A" w:rsidP="00CE354A">
      <w:pPr>
        <w:spacing w:before="100" w:after="40"/>
        <w:rPr>
          <w:szCs w:val="20"/>
          <w:lang w:eastAsia="en-US"/>
        </w:rPr>
      </w:pPr>
      <w:r>
        <w:rPr>
          <w:szCs w:val="20"/>
          <w:lang w:eastAsia="en-US"/>
        </w:rPr>
        <w:t xml:space="preserve">1. </w:t>
      </w:r>
      <w:r w:rsidR="00E540BF">
        <w:rPr>
          <w:szCs w:val="20"/>
          <w:u w:val="single"/>
          <w:lang w:eastAsia="en-US"/>
        </w:rPr>
        <w:t>A</w:t>
      </w:r>
      <w:r w:rsidRPr="00CF52AA">
        <w:rPr>
          <w:szCs w:val="20"/>
          <w:u w:val="single"/>
          <w:lang w:eastAsia="en-US"/>
        </w:rPr>
        <w:t>mendments relating to public interest disclosures</w:t>
      </w:r>
      <w:r>
        <w:rPr>
          <w:szCs w:val="20"/>
          <w:lang w:eastAsia="en-US"/>
        </w:rPr>
        <w:t xml:space="preserve"> </w:t>
      </w:r>
    </w:p>
    <w:p w14:paraId="53A6FF15" w14:textId="77777777" w:rsidR="00CE354A" w:rsidRDefault="00CE354A" w:rsidP="00CE354A">
      <w:pPr>
        <w:spacing w:before="100" w:after="40"/>
        <w:rPr>
          <w:szCs w:val="20"/>
          <w:lang w:eastAsia="en-US"/>
        </w:rPr>
      </w:pPr>
      <w:r>
        <w:rPr>
          <w:szCs w:val="20"/>
          <w:lang w:eastAsia="en-US"/>
        </w:rPr>
        <w:t xml:space="preserve">The amendments in the Amendment Regulation relating to public interest disclosures support these rights by providing a further avenue of disclosure to public officials seeking to make a disclosure that relates to a suspected breach of the APS Code of Conduct. The amendments allow public officials to make such disclosures to the Commissioner or </w:t>
      </w:r>
      <w:proofErr w:type="spellStart"/>
      <w:r>
        <w:rPr>
          <w:szCs w:val="20"/>
          <w:lang w:eastAsia="en-US"/>
        </w:rPr>
        <w:t>MPC</w:t>
      </w:r>
      <w:proofErr w:type="spellEnd"/>
      <w:r>
        <w:rPr>
          <w:szCs w:val="20"/>
          <w:lang w:eastAsia="en-US"/>
        </w:rPr>
        <w:t xml:space="preserve"> in circumstances where the Commissioner or </w:t>
      </w:r>
      <w:proofErr w:type="spellStart"/>
      <w:r>
        <w:rPr>
          <w:szCs w:val="20"/>
          <w:lang w:eastAsia="en-US"/>
        </w:rPr>
        <w:t>MPC</w:t>
      </w:r>
      <w:proofErr w:type="spellEnd"/>
      <w:r>
        <w:rPr>
          <w:szCs w:val="20"/>
          <w:lang w:eastAsia="en-US"/>
        </w:rPr>
        <w:t xml:space="preserve"> is satisfied that it would be inappropriate for the discloser to make their disclosure to an agency head, or where the discloser has already made the disclosure to an agency head and is not satisfied with the outcome. These provisions allow for disclosures relating to the Code of Conduct to be considered by an independent, expert authority in these matters, and provide an additional means of disclosure for public officials in circumstances where, for example, they do not wish or are not able to make an ‘external disclosure’ under the </w:t>
      </w:r>
      <w:proofErr w:type="spellStart"/>
      <w:r>
        <w:rPr>
          <w:szCs w:val="20"/>
          <w:lang w:eastAsia="en-US"/>
        </w:rPr>
        <w:t>PID</w:t>
      </w:r>
      <w:proofErr w:type="spellEnd"/>
      <w:r>
        <w:rPr>
          <w:szCs w:val="20"/>
          <w:lang w:eastAsia="en-US"/>
        </w:rPr>
        <w:t xml:space="preserve"> Act.</w:t>
      </w:r>
    </w:p>
    <w:p w14:paraId="53A6FF16" w14:textId="77777777" w:rsidR="00CE354A" w:rsidRDefault="00CE354A" w:rsidP="00CE354A">
      <w:pPr>
        <w:spacing w:before="100" w:after="40"/>
        <w:rPr>
          <w:szCs w:val="20"/>
          <w:lang w:eastAsia="en-US"/>
        </w:rPr>
      </w:pPr>
      <w:r>
        <w:rPr>
          <w:szCs w:val="20"/>
          <w:lang w:eastAsia="en-US"/>
        </w:rPr>
        <w:t xml:space="preserve">The Commissioner and </w:t>
      </w:r>
      <w:proofErr w:type="spellStart"/>
      <w:r>
        <w:rPr>
          <w:szCs w:val="20"/>
          <w:lang w:eastAsia="en-US"/>
        </w:rPr>
        <w:t>MPC</w:t>
      </w:r>
      <w:proofErr w:type="spellEnd"/>
      <w:r>
        <w:rPr>
          <w:szCs w:val="20"/>
          <w:lang w:eastAsia="en-US"/>
        </w:rPr>
        <w:t xml:space="preserve"> </w:t>
      </w:r>
      <w:r w:rsidR="00E540BF">
        <w:rPr>
          <w:szCs w:val="20"/>
          <w:lang w:eastAsia="en-US"/>
        </w:rPr>
        <w:t>may</w:t>
      </w:r>
      <w:r>
        <w:rPr>
          <w:szCs w:val="20"/>
          <w:lang w:eastAsia="en-US"/>
        </w:rPr>
        <w:t xml:space="preserve"> make recommendations to an agency, or </w:t>
      </w:r>
      <w:r w:rsidR="0064503A">
        <w:rPr>
          <w:szCs w:val="20"/>
          <w:lang w:eastAsia="en-US"/>
        </w:rPr>
        <w:t xml:space="preserve">may </w:t>
      </w:r>
      <w:r>
        <w:rPr>
          <w:szCs w:val="20"/>
          <w:lang w:eastAsia="en-US"/>
        </w:rPr>
        <w:t xml:space="preserve">take other action consistent with their powers and functions, as a consequence of an inquiry into a disclosure. </w:t>
      </w:r>
    </w:p>
    <w:p w14:paraId="53A6FF17" w14:textId="77777777" w:rsidR="00CE354A" w:rsidRPr="00CF52AA" w:rsidRDefault="00CE354A" w:rsidP="00CE354A">
      <w:pPr>
        <w:spacing w:before="100" w:after="40"/>
        <w:rPr>
          <w:szCs w:val="20"/>
          <w:u w:val="single"/>
          <w:lang w:eastAsia="en-US"/>
        </w:rPr>
      </w:pPr>
      <w:r>
        <w:rPr>
          <w:szCs w:val="20"/>
          <w:lang w:eastAsia="en-US"/>
        </w:rPr>
        <w:t xml:space="preserve">2. </w:t>
      </w:r>
      <w:r w:rsidR="0064503A">
        <w:rPr>
          <w:szCs w:val="20"/>
          <w:u w:val="single"/>
          <w:lang w:eastAsia="en-US"/>
        </w:rPr>
        <w:t>A</w:t>
      </w:r>
      <w:r w:rsidRPr="00CF52AA">
        <w:rPr>
          <w:szCs w:val="20"/>
          <w:u w:val="single"/>
          <w:lang w:eastAsia="en-US"/>
        </w:rPr>
        <w:t>mendments to regulation 5.32</w:t>
      </w:r>
    </w:p>
    <w:p w14:paraId="53A6FF18" w14:textId="70F20625" w:rsidR="00CE354A" w:rsidRDefault="00CE354A" w:rsidP="00CE354A">
      <w:pPr>
        <w:spacing w:before="100" w:after="40"/>
        <w:rPr>
          <w:szCs w:val="20"/>
          <w:lang w:eastAsia="en-US"/>
        </w:rPr>
      </w:pPr>
      <w:r>
        <w:rPr>
          <w:szCs w:val="20"/>
          <w:lang w:eastAsia="en-US"/>
        </w:rPr>
        <w:t>The amendment to regulation 5.32 of the Principal Regulations promote</w:t>
      </w:r>
      <w:r w:rsidR="00E540BF">
        <w:rPr>
          <w:szCs w:val="20"/>
          <w:lang w:eastAsia="en-US"/>
        </w:rPr>
        <w:t>s</w:t>
      </w:r>
      <w:r>
        <w:rPr>
          <w:szCs w:val="20"/>
          <w:lang w:eastAsia="en-US"/>
        </w:rPr>
        <w:t xml:space="preserve"> APS employees’ rights in work by clarifying the drafting of the provision to ensure that it meets </w:t>
      </w:r>
      <w:r w:rsidR="00E540BF">
        <w:rPr>
          <w:szCs w:val="20"/>
          <w:lang w:eastAsia="en-US"/>
        </w:rPr>
        <w:t xml:space="preserve">its </w:t>
      </w:r>
      <w:r>
        <w:rPr>
          <w:szCs w:val="20"/>
          <w:lang w:eastAsia="en-US"/>
        </w:rPr>
        <w:t xml:space="preserve">policy intention. </w:t>
      </w:r>
    </w:p>
    <w:p w14:paraId="53A6FF19" w14:textId="77777777" w:rsidR="00CE354A" w:rsidRPr="00D02FFD" w:rsidRDefault="00CE354A" w:rsidP="00CE354A">
      <w:pPr>
        <w:spacing w:before="100" w:after="40"/>
        <w:rPr>
          <w:szCs w:val="20"/>
          <w:lang w:eastAsia="en-US"/>
        </w:rPr>
      </w:pPr>
      <w:r w:rsidRPr="00D02FFD">
        <w:rPr>
          <w:szCs w:val="20"/>
          <w:lang w:eastAsia="en-US"/>
        </w:rPr>
        <w:t xml:space="preserve">The policy principles underpinning the legislative framework for responding to suspected misconduct </w:t>
      </w:r>
      <w:r>
        <w:rPr>
          <w:szCs w:val="20"/>
          <w:lang w:eastAsia="en-US"/>
        </w:rPr>
        <w:t xml:space="preserve">in the APS </w:t>
      </w:r>
      <w:r w:rsidRPr="00D02FFD">
        <w:rPr>
          <w:szCs w:val="20"/>
          <w:lang w:eastAsia="en-US"/>
        </w:rPr>
        <w:t xml:space="preserve">operate on the premise that an agency must follow publicly available standards that meet minimum procedural requirements, including the requirement to afford procedural fairness. The requirement for published mandatory procedures ensures transparency and provides certainty for employees in the event that they are investigated for something that has the potential to affect their employment rights and interests as significantly as an investigation </w:t>
      </w:r>
      <w:r>
        <w:rPr>
          <w:szCs w:val="20"/>
          <w:lang w:eastAsia="en-US"/>
        </w:rPr>
        <w:t>of</w:t>
      </w:r>
      <w:r w:rsidRPr="00D02FFD">
        <w:rPr>
          <w:szCs w:val="20"/>
          <w:lang w:eastAsia="en-US"/>
        </w:rPr>
        <w:t xml:space="preserve"> suspected misconduct.</w:t>
      </w:r>
    </w:p>
    <w:p w14:paraId="53A6FF1A" w14:textId="77777777" w:rsidR="00CE354A" w:rsidRPr="00D02FFD" w:rsidRDefault="0064503A" w:rsidP="00CE354A">
      <w:pPr>
        <w:spacing w:before="100" w:after="40"/>
        <w:rPr>
          <w:szCs w:val="20"/>
          <w:lang w:eastAsia="en-US"/>
        </w:rPr>
      </w:pPr>
      <w:r>
        <w:rPr>
          <w:szCs w:val="20"/>
          <w:lang w:eastAsia="en-US"/>
        </w:rPr>
        <w:t>Absent the amendments, t</w:t>
      </w:r>
      <w:r w:rsidR="00CE354A" w:rsidRPr="00D02FFD">
        <w:rPr>
          <w:szCs w:val="20"/>
          <w:lang w:eastAsia="en-US"/>
        </w:rPr>
        <w:t xml:space="preserve">he operation of </w:t>
      </w:r>
      <w:r>
        <w:rPr>
          <w:szCs w:val="20"/>
          <w:lang w:eastAsia="en-US"/>
        </w:rPr>
        <w:t>r</w:t>
      </w:r>
      <w:r w:rsidR="00CE354A" w:rsidRPr="00D02FFD">
        <w:rPr>
          <w:szCs w:val="20"/>
          <w:lang w:eastAsia="en-US"/>
        </w:rPr>
        <w:t xml:space="preserve">egulation 5.32 </w:t>
      </w:r>
      <w:r w:rsidR="00CE354A">
        <w:rPr>
          <w:szCs w:val="20"/>
          <w:lang w:eastAsia="en-US"/>
        </w:rPr>
        <w:t>of the Principal Regulation</w:t>
      </w:r>
      <w:r>
        <w:rPr>
          <w:szCs w:val="20"/>
          <w:lang w:eastAsia="en-US"/>
        </w:rPr>
        <w:t>s</w:t>
      </w:r>
      <w:r w:rsidR="00CE354A">
        <w:rPr>
          <w:szCs w:val="20"/>
          <w:lang w:eastAsia="en-US"/>
        </w:rPr>
        <w:t xml:space="preserve"> </w:t>
      </w:r>
      <w:r w:rsidR="00CE354A" w:rsidRPr="00D02FFD">
        <w:rPr>
          <w:szCs w:val="20"/>
          <w:lang w:eastAsia="en-US"/>
        </w:rPr>
        <w:t>appear</w:t>
      </w:r>
      <w:r w:rsidR="00E540BF">
        <w:rPr>
          <w:szCs w:val="20"/>
          <w:lang w:eastAsia="en-US"/>
        </w:rPr>
        <w:t>s</w:t>
      </w:r>
      <w:r w:rsidR="00CE354A" w:rsidRPr="00D02FFD">
        <w:rPr>
          <w:szCs w:val="20"/>
          <w:lang w:eastAsia="en-US"/>
        </w:rPr>
        <w:t xml:space="preserve"> to provide an avenue for an agency head to make a determination of misconduct outside the </w:t>
      </w:r>
      <w:r w:rsidR="00CE354A">
        <w:rPr>
          <w:szCs w:val="20"/>
          <w:lang w:eastAsia="en-US"/>
        </w:rPr>
        <w:t xml:space="preserve">mandatory </w:t>
      </w:r>
      <w:r w:rsidR="00CE354A" w:rsidRPr="00D02FFD">
        <w:rPr>
          <w:szCs w:val="20"/>
          <w:lang w:eastAsia="en-US"/>
        </w:rPr>
        <w:t>procedures</w:t>
      </w:r>
      <w:r w:rsidR="00CE354A">
        <w:rPr>
          <w:szCs w:val="20"/>
          <w:lang w:eastAsia="en-US"/>
        </w:rPr>
        <w:t xml:space="preserve"> by requiring </w:t>
      </w:r>
      <w:r w:rsidR="00CE354A" w:rsidRPr="00D02FFD">
        <w:rPr>
          <w:szCs w:val="20"/>
          <w:lang w:eastAsia="en-US"/>
        </w:rPr>
        <w:t xml:space="preserve">the agency head to make a decision after receiving a recommendation from the </w:t>
      </w:r>
      <w:proofErr w:type="spellStart"/>
      <w:r w:rsidR="00CE354A">
        <w:rPr>
          <w:szCs w:val="20"/>
          <w:lang w:eastAsia="en-US"/>
        </w:rPr>
        <w:t>MPC</w:t>
      </w:r>
      <w:proofErr w:type="spellEnd"/>
      <w:r w:rsidR="00CE354A">
        <w:rPr>
          <w:szCs w:val="20"/>
          <w:lang w:eastAsia="en-US"/>
        </w:rPr>
        <w:t xml:space="preserve"> that </w:t>
      </w:r>
      <w:r w:rsidR="00CE354A" w:rsidRPr="00D02FFD">
        <w:rPr>
          <w:szCs w:val="20"/>
          <w:lang w:eastAsia="en-US"/>
        </w:rPr>
        <w:t xml:space="preserve">could be different from the agency head’s original decision or the </w:t>
      </w:r>
      <w:proofErr w:type="spellStart"/>
      <w:r w:rsidR="00CE354A">
        <w:rPr>
          <w:szCs w:val="20"/>
          <w:lang w:eastAsia="en-US"/>
        </w:rPr>
        <w:t>MPC’s</w:t>
      </w:r>
      <w:proofErr w:type="spellEnd"/>
      <w:r w:rsidR="00CE354A">
        <w:rPr>
          <w:szCs w:val="20"/>
          <w:lang w:eastAsia="en-US"/>
        </w:rPr>
        <w:t xml:space="preserve"> </w:t>
      </w:r>
      <w:r w:rsidR="00CE354A" w:rsidRPr="00D02FFD">
        <w:rPr>
          <w:szCs w:val="20"/>
          <w:lang w:eastAsia="en-US"/>
        </w:rPr>
        <w:t xml:space="preserve">recommendation. </w:t>
      </w:r>
      <w:r w:rsidR="00E540BF">
        <w:rPr>
          <w:szCs w:val="20"/>
          <w:lang w:eastAsia="en-US"/>
        </w:rPr>
        <w:t xml:space="preserve">As amended, this regulation </w:t>
      </w:r>
      <w:r w:rsidR="00CE354A" w:rsidRPr="00D02FFD">
        <w:rPr>
          <w:szCs w:val="20"/>
          <w:lang w:eastAsia="en-US"/>
        </w:rPr>
        <w:t>require</w:t>
      </w:r>
      <w:r w:rsidR="008A6BD3">
        <w:rPr>
          <w:szCs w:val="20"/>
          <w:lang w:eastAsia="en-US"/>
        </w:rPr>
        <w:t>s</w:t>
      </w:r>
      <w:r w:rsidR="00CE354A" w:rsidRPr="00D02FFD">
        <w:rPr>
          <w:szCs w:val="20"/>
          <w:lang w:eastAsia="en-US"/>
        </w:rPr>
        <w:t xml:space="preserve"> an agency head</w:t>
      </w:r>
      <w:r>
        <w:rPr>
          <w:szCs w:val="20"/>
          <w:lang w:eastAsia="en-US"/>
        </w:rPr>
        <w:t xml:space="preserve"> </w:t>
      </w:r>
      <w:r w:rsidRPr="00D02FFD">
        <w:rPr>
          <w:szCs w:val="20"/>
          <w:lang w:eastAsia="en-US"/>
        </w:rPr>
        <w:t xml:space="preserve">to follow their published mandatory procedures made under </w:t>
      </w:r>
      <w:r>
        <w:rPr>
          <w:szCs w:val="20"/>
          <w:lang w:eastAsia="en-US"/>
        </w:rPr>
        <w:t>sub</w:t>
      </w:r>
      <w:r w:rsidRPr="00D02FFD">
        <w:rPr>
          <w:szCs w:val="20"/>
          <w:lang w:eastAsia="en-US"/>
        </w:rPr>
        <w:t>section 15(3) of the</w:t>
      </w:r>
      <w:r>
        <w:rPr>
          <w:szCs w:val="20"/>
          <w:lang w:eastAsia="en-US"/>
        </w:rPr>
        <w:t xml:space="preserve"> PS Act </w:t>
      </w:r>
      <w:r w:rsidR="00CE354A">
        <w:rPr>
          <w:szCs w:val="20"/>
          <w:lang w:eastAsia="en-US"/>
        </w:rPr>
        <w:t xml:space="preserve">if they were </w:t>
      </w:r>
      <w:r w:rsidR="00CE354A" w:rsidRPr="00D02FFD">
        <w:rPr>
          <w:szCs w:val="20"/>
          <w:lang w:eastAsia="en-US"/>
        </w:rPr>
        <w:t xml:space="preserve">minded to make a breach determination or sanction decision </w:t>
      </w:r>
      <w:r>
        <w:rPr>
          <w:szCs w:val="20"/>
          <w:lang w:eastAsia="en-US"/>
        </w:rPr>
        <w:t xml:space="preserve">following </w:t>
      </w:r>
      <w:proofErr w:type="spellStart"/>
      <w:r>
        <w:rPr>
          <w:szCs w:val="20"/>
          <w:lang w:eastAsia="en-US"/>
        </w:rPr>
        <w:t>MPC</w:t>
      </w:r>
      <w:proofErr w:type="spellEnd"/>
      <w:r>
        <w:rPr>
          <w:szCs w:val="20"/>
          <w:lang w:eastAsia="en-US"/>
        </w:rPr>
        <w:t xml:space="preserve"> review </w:t>
      </w:r>
      <w:r w:rsidR="00E66DB6">
        <w:rPr>
          <w:szCs w:val="20"/>
          <w:lang w:eastAsia="en-US"/>
        </w:rPr>
        <w:t xml:space="preserve">that </w:t>
      </w:r>
      <w:r w:rsidR="00CE354A">
        <w:rPr>
          <w:szCs w:val="20"/>
          <w:lang w:eastAsia="en-US"/>
        </w:rPr>
        <w:t>was</w:t>
      </w:r>
      <w:r w:rsidR="00CE354A" w:rsidRPr="00D02FFD">
        <w:rPr>
          <w:szCs w:val="20"/>
          <w:lang w:eastAsia="en-US"/>
        </w:rPr>
        <w:t xml:space="preserve"> different from their original decision or from the </w:t>
      </w:r>
      <w:proofErr w:type="spellStart"/>
      <w:r w:rsidR="00CE354A">
        <w:rPr>
          <w:szCs w:val="20"/>
          <w:lang w:eastAsia="en-US"/>
        </w:rPr>
        <w:t>MPC</w:t>
      </w:r>
      <w:proofErr w:type="spellEnd"/>
      <w:r w:rsidR="00CE354A">
        <w:rPr>
          <w:szCs w:val="20"/>
          <w:lang w:eastAsia="en-US"/>
        </w:rPr>
        <w:t xml:space="preserve"> </w:t>
      </w:r>
      <w:r w:rsidR="00CE354A" w:rsidRPr="00D02FFD">
        <w:rPr>
          <w:szCs w:val="20"/>
          <w:lang w:eastAsia="en-US"/>
        </w:rPr>
        <w:t>recommendation</w:t>
      </w:r>
      <w:r w:rsidR="007D5580">
        <w:rPr>
          <w:szCs w:val="20"/>
          <w:lang w:eastAsia="en-US"/>
        </w:rPr>
        <w:t>.</w:t>
      </w:r>
    </w:p>
    <w:p w14:paraId="53A6FF1B" w14:textId="0FE29AC7" w:rsidR="00CE354A" w:rsidRDefault="00CE354A" w:rsidP="00CE354A">
      <w:pPr>
        <w:spacing w:before="100" w:after="40"/>
        <w:rPr>
          <w:szCs w:val="20"/>
          <w:lang w:eastAsia="en-US"/>
        </w:rPr>
      </w:pPr>
      <w:r w:rsidRPr="00D02FFD">
        <w:rPr>
          <w:szCs w:val="20"/>
          <w:lang w:eastAsia="en-US"/>
        </w:rPr>
        <w:t xml:space="preserve">For these reasons, the amendment to </w:t>
      </w:r>
      <w:r w:rsidR="0064503A">
        <w:rPr>
          <w:szCs w:val="20"/>
          <w:lang w:eastAsia="en-US"/>
        </w:rPr>
        <w:t>r</w:t>
      </w:r>
      <w:r w:rsidRPr="00D02FFD">
        <w:rPr>
          <w:szCs w:val="20"/>
          <w:lang w:eastAsia="en-US"/>
        </w:rPr>
        <w:t>egulation 5.32 would promote APS employees’ rights in work.</w:t>
      </w:r>
    </w:p>
    <w:p w14:paraId="53A6FF1C" w14:textId="77777777" w:rsidR="00CE354A" w:rsidRPr="00F14E02" w:rsidRDefault="00CE354A" w:rsidP="00CE354A">
      <w:pPr>
        <w:spacing w:before="100" w:after="40"/>
        <w:rPr>
          <w:b/>
          <w:i/>
          <w:szCs w:val="20"/>
          <w:lang w:eastAsia="en-US"/>
        </w:rPr>
      </w:pPr>
      <w:r w:rsidRPr="00F14E02">
        <w:rPr>
          <w:b/>
          <w:i/>
          <w:szCs w:val="20"/>
          <w:lang w:eastAsia="en-US"/>
        </w:rPr>
        <w:t>Conclusions</w:t>
      </w:r>
    </w:p>
    <w:p w14:paraId="53A6FF1D" w14:textId="77777777" w:rsidR="00CE354A" w:rsidRDefault="00CE354A" w:rsidP="00CE354A">
      <w:pPr>
        <w:rPr>
          <w:szCs w:val="20"/>
          <w:lang w:eastAsia="en-US"/>
        </w:rPr>
      </w:pPr>
      <w:r w:rsidRPr="00F14E02">
        <w:rPr>
          <w:szCs w:val="20"/>
          <w:lang w:eastAsia="en-US"/>
        </w:rPr>
        <w:t xml:space="preserve">The </w:t>
      </w:r>
      <w:r>
        <w:rPr>
          <w:szCs w:val="20"/>
          <w:lang w:eastAsia="en-US"/>
        </w:rPr>
        <w:t>Amendment Regulation</w:t>
      </w:r>
      <w:r w:rsidRPr="00F14E02">
        <w:rPr>
          <w:szCs w:val="20"/>
          <w:lang w:eastAsia="en-US"/>
        </w:rPr>
        <w:t xml:space="preserve"> </w:t>
      </w:r>
      <w:r>
        <w:rPr>
          <w:szCs w:val="20"/>
          <w:lang w:eastAsia="en-US"/>
        </w:rPr>
        <w:t>is</w:t>
      </w:r>
      <w:r w:rsidRPr="00F14E02">
        <w:rPr>
          <w:szCs w:val="20"/>
          <w:lang w:eastAsia="en-US"/>
        </w:rPr>
        <w:t xml:space="preserve"> compatible with human rights. </w:t>
      </w:r>
      <w:r>
        <w:rPr>
          <w:szCs w:val="20"/>
          <w:lang w:eastAsia="en-US"/>
        </w:rPr>
        <w:t>It</w:t>
      </w:r>
      <w:r w:rsidRPr="00F14E02">
        <w:rPr>
          <w:szCs w:val="20"/>
          <w:lang w:eastAsia="en-US"/>
        </w:rPr>
        <w:t xml:space="preserve"> promote</w:t>
      </w:r>
      <w:r>
        <w:rPr>
          <w:szCs w:val="20"/>
          <w:lang w:eastAsia="en-US"/>
        </w:rPr>
        <w:t>s</w:t>
      </w:r>
      <w:r w:rsidRPr="00F14E02">
        <w:rPr>
          <w:szCs w:val="20"/>
          <w:lang w:eastAsia="en-US"/>
        </w:rPr>
        <w:t xml:space="preserve"> a number of human rights, and, to the extent that </w:t>
      </w:r>
      <w:r>
        <w:rPr>
          <w:szCs w:val="20"/>
          <w:lang w:eastAsia="en-US"/>
        </w:rPr>
        <w:t>it</w:t>
      </w:r>
      <w:r w:rsidRPr="00F14E02">
        <w:rPr>
          <w:szCs w:val="20"/>
          <w:lang w:eastAsia="en-US"/>
        </w:rPr>
        <w:t xml:space="preserve"> may limit any human rights, those limitations are reasonable, necessary and proportionate.</w:t>
      </w:r>
    </w:p>
    <w:p w14:paraId="53A6FF1E" w14:textId="77777777" w:rsidR="00A06D35" w:rsidRDefault="00A06D35" w:rsidP="00CE354A">
      <w:pPr>
        <w:rPr>
          <w:szCs w:val="20"/>
          <w:lang w:eastAsia="en-US"/>
        </w:rPr>
        <w:sectPr w:rsidR="00A06D35" w:rsidSect="007F5130">
          <w:pgSz w:w="11906" w:h="16838" w:code="9"/>
          <w:pgMar w:top="1418" w:right="1418" w:bottom="1418" w:left="1418" w:header="567" w:footer="567" w:gutter="0"/>
          <w:pgNumType w:start="1"/>
          <w:cols w:space="708"/>
          <w:titlePg/>
          <w:docGrid w:linePitch="360"/>
        </w:sectPr>
      </w:pPr>
    </w:p>
    <w:p w14:paraId="53A6FF1F" w14:textId="77777777" w:rsidR="006772DB" w:rsidRPr="00FF278E" w:rsidRDefault="006772DB" w:rsidP="006772DB">
      <w:pPr>
        <w:jc w:val="right"/>
        <w:rPr>
          <w:b/>
          <w:bCs/>
          <w:iCs/>
          <w:szCs w:val="20"/>
          <w:u w:val="single"/>
          <w:lang w:eastAsia="en-US"/>
        </w:rPr>
      </w:pPr>
      <w:r w:rsidRPr="00FF278E">
        <w:rPr>
          <w:b/>
          <w:bCs/>
          <w:iCs/>
          <w:szCs w:val="20"/>
          <w:u w:val="single"/>
          <w:lang w:eastAsia="en-US"/>
        </w:rPr>
        <w:t>ATTACHMENT</w:t>
      </w:r>
    </w:p>
    <w:p w14:paraId="53A6FF20" w14:textId="77777777" w:rsidR="006772DB" w:rsidRPr="00F14E02" w:rsidRDefault="006772DB" w:rsidP="006772DB">
      <w:pPr>
        <w:spacing w:before="240" w:after="40"/>
        <w:rPr>
          <w:b/>
          <w:szCs w:val="20"/>
          <w:u w:val="single"/>
          <w:lang w:eastAsia="en-US"/>
        </w:rPr>
      </w:pPr>
      <w:r w:rsidRPr="00F14E02">
        <w:rPr>
          <w:b/>
          <w:szCs w:val="20"/>
          <w:u w:val="single"/>
          <w:lang w:eastAsia="en-US"/>
        </w:rPr>
        <w:t xml:space="preserve">Details of the </w:t>
      </w:r>
      <w:r w:rsidRPr="00A45675">
        <w:rPr>
          <w:b/>
          <w:i/>
          <w:szCs w:val="20"/>
          <w:u w:val="single"/>
          <w:lang w:eastAsia="en-US"/>
        </w:rPr>
        <w:t xml:space="preserve">Public Service Amendment </w:t>
      </w:r>
      <w:r>
        <w:rPr>
          <w:b/>
          <w:i/>
          <w:szCs w:val="20"/>
          <w:u w:val="single"/>
          <w:lang w:eastAsia="en-US"/>
        </w:rPr>
        <w:t xml:space="preserve">(Public Interest Disclosure and Other Matters) </w:t>
      </w:r>
      <w:r w:rsidRPr="00A45675">
        <w:rPr>
          <w:b/>
          <w:i/>
          <w:szCs w:val="20"/>
          <w:u w:val="single"/>
          <w:lang w:eastAsia="en-US"/>
        </w:rPr>
        <w:t>Regulation 2013</w:t>
      </w:r>
      <w:r w:rsidRPr="00F14E02">
        <w:rPr>
          <w:b/>
          <w:szCs w:val="20"/>
          <w:u w:val="single"/>
          <w:lang w:eastAsia="en-US"/>
        </w:rPr>
        <w:t xml:space="preserve"> (‘the </w:t>
      </w:r>
      <w:r>
        <w:rPr>
          <w:b/>
          <w:szCs w:val="20"/>
          <w:u w:val="single"/>
          <w:lang w:eastAsia="en-US"/>
        </w:rPr>
        <w:t>Amendment Regulation</w:t>
      </w:r>
      <w:r w:rsidRPr="00F14E02">
        <w:rPr>
          <w:b/>
          <w:szCs w:val="20"/>
          <w:u w:val="single"/>
          <w:lang w:eastAsia="en-US"/>
        </w:rPr>
        <w:t>’)</w:t>
      </w:r>
    </w:p>
    <w:p w14:paraId="53A6FF21" w14:textId="77777777" w:rsidR="006772DB" w:rsidRPr="00F14E02" w:rsidRDefault="006772DB" w:rsidP="006772DB">
      <w:pPr>
        <w:spacing w:before="240" w:after="40"/>
        <w:rPr>
          <w:szCs w:val="20"/>
          <w:u w:val="single"/>
          <w:lang w:eastAsia="en-US"/>
        </w:rPr>
      </w:pPr>
      <w:r>
        <w:rPr>
          <w:szCs w:val="20"/>
          <w:u w:val="single"/>
          <w:lang w:eastAsia="en-US"/>
        </w:rPr>
        <w:t>Section</w:t>
      </w:r>
      <w:r w:rsidRPr="00F14E02">
        <w:rPr>
          <w:szCs w:val="20"/>
          <w:u w:val="single"/>
          <w:lang w:eastAsia="en-US"/>
        </w:rPr>
        <w:t xml:space="preserve"> 1—Name of Regulation</w:t>
      </w:r>
    </w:p>
    <w:p w14:paraId="53A6FF22" w14:textId="77777777" w:rsidR="006772DB" w:rsidRPr="00F14E02" w:rsidRDefault="006772DB" w:rsidP="006772DB">
      <w:pPr>
        <w:spacing w:before="100" w:after="40"/>
        <w:rPr>
          <w:szCs w:val="20"/>
          <w:lang w:eastAsia="en-US"/>
        </w:rPr>
      </w:pPr>
      <w:r w:rsidRPr="00F14E02">
        <w:rPr>
          <w:szCs w:val="20"/>
          <w:lang w:eastAsia="en-US"/>
        </w:rPr>
        <w:t xml:space="preserve">This </w:t>
      </w:r>
      <w:r>
        <w:rPr>
          <w:szCs w:val="20"/>
          <w:lang w:eastAsia="en-US"/>
        </w:rPr>
        <w:t>section</w:t>
      </w:r>
      <w:r w:rsidRPr="00F14E02">
        <w:rPr>
          <w:szCs w:val="20"/>
          <w:lang w:eastAsia="en-US"/>
        </w:rPr>
        <w:t xml:space="preserve"> provide</w:t>
      </w:r>
      <w:r w:rsidR="0076458B">
        <w:rPr>
          <w:szCs w:val="20"/>
          <w:lang w:eastAsia="en-US"/>
        </w:rPr>
        <w:t>s</w:t>
      </w:r>
      <w:r w:rsidRPr="00F14E02">
        <w:rPr>
          <w:szCs w:val="20"/>
          <w:lang w:eastAsia="en-US"/>
        </w:rPr>
        <w:t xml:space="preserve"> that the title of the </w:t>
      </w:r>
      <w:r>
        <w:rPr>
          <w:szCs w:val="20"/>
          <w:lang w:eastAsia="en-US"/>
        </w:rPr>
        <w:t>Amendment Regulation</w:t>
      </w:r>
      <w:r w:rsidRPr="00F14E02">
        <w:rPr>
          <w:szCs w:val="20"/>
          <w:lang w:eastAsia="en-US"/>
        </w:rPr>
        <w:t xml:space="preserve"> is the </w:t>
      </w:r>
      <w:r w:rsidRPr="00A45675">
        <w:rPr>
          <w:i/>
          <w:iCs/>
          <w:szCs w:val="20"/>
          <w:lang w:eastAsia="en-US"/>
        </w:rPr>
        <w:t xml:space="preserve">Public Service Amendment </w:t>
      </w:r>
      <w:r>
        <w:rPr>
          <w:i/>
          <w:iCs/>
          <w:szCs w:val="20"/>
          <w:lang w:eastAsia="en-US"/>
        </w:rPr>
        <w:t xml:space="preserve">(Public Interest Disclosure and Other Matters) </w:t>
      </w:r>
      <w:r w:rsidRPr="00A45675">
        <w:rPr>
          <w:i/>
          <w:iCs/>
          <w:szCs w:val="20"/>
          <w:lang w:eastAsia="en-US"/>
        </w:rPr>
        <w:t>Regulation</w:t>
      </w:r>
      <w:r>
        <w:rPr>
          <w:i/>
          <w:iCs/>
          <w:szCs w:val="20"/>
          <w:lang w:eastAsia="en-US"/>
        </w:rPr>
        <w:t xml:space="preserve"> </w:t>
      </w:r>
      <w:r w:rsidRPr="00A45675">
        <w:rPr>
          <w:i/>
          <w:iCs/>
          <w:szCs w:val="20"/>
          <w:lang w:eastAsia="en-US"/>
        </w:rPr>
        <w:t>2013</w:t>
      </w:r>
      <w:r w:rsidRPr="00F14E02">
        <w:rPr>
          <w:iCs/>
          <w:szCs w:val="20"/>
          <w:lang w:eastAsia="en-US"/>
        </w:rPr>
        <w:t>.</w:t>
      </w:r>
    </w:p>
    <w:p w14:paraId="53A6FF23" w14:textId="77777777" w:rsidR="006772DB" w:rsidRPr="00F14E02" w:rsidRDefault="006772DB" w:rsidP="006772DB">
      <w:pPr>
        <w:spacing w:before="240" w:after="40"/>
        <w:rPr>
          <w:szCs w:val="20"/>
          <w:u w:val="single"/>
          <w:lang w:eastAsia="en-US"/>
        </w:rPr>
      </w:pPr>
      <w:r>
        <w:rPr>
          <w:szCs w:val="20"/>
          <w:u w:val="single"/>
          <w:lang w:eastAsia="en-US"/>
        </w:rPr>
        <w:t>Section</w:t>
      </w:r>
      <w:r w:rsidRPr="00F14E02">
        <w:rPr>
          <w:szCs w:val="20"/>
          <w:u w:val="single"/>
          <w:lang w:eastAsia="en-US"/>
        </w:rPr>
        <w:t xml:space="preserve"> 2</w:t>
      </w:r>
      <w:r w:rsidRPr="00F14E02">
        <w:rPr>
          <w:rFonts w:eastAsia="Arial Unicode MS"/>
          <w:b/>
          <w:szCs w:val="20"/>
          <w:u w:val="single"/>
          <w:lang w:eastAsia="en-US"/>
        </w:rPr>
        <w:t>—</w:t>
      </w:r>
      <w:r w:rsidRPr="00F14E02">
        <w:rPr>
          <w:szCs w:val="20"/>
          <w:u w:val="single"/>
          <w:lang w:eastAsia="en-US"/>
        </w:rPr>
        <w:t>Commencement</w:t>
      </w:r>
    </w:p>
    <w:p w14:paraId="53A6FF24" w14:textId="77777777" w:rsidR="006772DB" w:rsidRDefault="006772DB" w:rsidP="006772DB">
      <w:pPr>
        <w:spacing w:after="120"/>
        <w:rPr>
          <w:szCs w:val="20"/>
          <w:lang w:eastAsia="en-US"/>
        </w:rPr>
      </w:pPr>
      <w:r w:rsidRPr="00F14E02">
        <w:rPr>
          <w:szCs w:val="20"/>
          <w:lang w:eastAsia="en-US"/>
        </w:rPr>
        <w:t xml:space="preserve">This </w:t>
      </w:r>
      <w:r>
        <w:rPr>
          <w:szCs w:val="20"/>
          <w:lang w:eastAsia="en-US"/>
        </w:rPr>
        <w:t>section</w:t>
      </w:r>
      <w:r w:rsidRPr="00F14E02">
        <w:rPr>
          <w:szCs w:val="20"/>
          <w:lang w:eastAsia="en-US"/>
        </w:rPr>
        <w:t xml:space="preserve"> provide</w:t>
      </w:r>
      <w:r w:rsidR="0076458B">
        <w:rPr>
          <w:szCs w:val="20"/>
          <w:lang w:eastAsia="en-US"/>
        </w:rPr>
        <w:t>s</w:t>
      </w:r>
      <w:r w:rsidRPr="00F14E02">
        <w:rPr>
          <w:szCs w:val="20"/>
          <w:lang w:eastAsia="en-US"/>
        </w:rPr>
        <w:t xml:space="preserve"> for the </w:t>
      </w:r>
      <w:r>
        <w:rPr>
          <w:szCs w:val="20"/>
          <w:lang w:eastAsia="en-US"/>
        </w:rPr>
        <w:t>Amendment Regulation</w:t>
      </w:r>
      <w:r w:rsidRPr="00F14E02">
        <w:rPr>
          <w:szCs w:val="20"/>
          <w:lang w:eastAsia="en-US"/>
        </w:rPr>
        <w:t xml:space="preserve"> to commence </w:t>
      </w:r>
      <w:r>
        <w:rPr>
          <w:szCs w:val="20"/>
          <w:lang w:eastAsia="en-US"/>
        </w:rPr>
        <w:t>in accordance with the commencement information set out in the table in section 2, as follows:</w:t>
      </w:r>
    </w:p>
    <w:p w14:paraId="53A6FF25" w14:textId="77777777" w:rsidR="006772DB" w:rsidRDefault="006772DB" w:rsidP="006772DB">
      <w:pPr>
        <w:pStyle w:val="ListParagraph"/>
        <w:numPr>
          <w:ilvl w:val="0"/>
          <w:numId w:val="28"/>
        </w:numPr>
        <w:spacing w:after="120"/>
        <w:rPr>
          <w:szCs w:val="20"/>
          <w:lang w:eastAsia="en-US"/>
        </w:rPr>
      </w:pPr>
      <w:r>
        <w:rPr>
          <w:szCs w:val="20"/>
          <w:lang w:eastAsia="en-US"/>
        </w:rPr>
        <w:t>item 1 in the table provide</w:t>
      </w:r>
      <w:r w:rsidR="0076458B">
        <w:rPr>
          <w:szCs w:val="20"/>
          <w:lang w:eastAsia="en-US"/>
        </w:rPr>
        <w:t>s</w:t>
      </w:r>
      <w:r>
        <w:rPr>
          <w:szCs w:val="20"/>
          <w:lang w:eastAsia="en-US"/>
        </w:rPr>
        <w:t xml:space="preserve"> that s</w:t>
      </w:r>
      <w:r w:rsidRPr="00D02FFD">
        <w:rPr>
          <w:szCs w:val="20"/>
          <w:lang w:eastAsia="en-US"/>
        </w:rPr>
        <w:t xml:space="preserve">ections 1 to </w:t>
      </w:r>
      <w:r>
        <w:rPr>
          <w:szCs w:val="20"/>
          <w:lang w:eastAsia="en-US"/>
        </w:rPr>
        <w:t>4</w:t>
      </w:r>
      <w:r w:rsidRPr="00D02FFD">
        <w:rPr>
          <w:szCs w:val="20"/>
          <w:lang w:eastAsia="en-US"/>
        </w:rPr>
        <w:t xml:space="preserve"> and anything in </w:t>
      </w:r>
      <w:r>
        <w:rPr>
          <w:szCs w:val="20"/>
          <w:lang w:eastAsia="en-US"/>
        </w:rPr>
        <w:t>the</w:t>
      </w:r>
      <w:r w:rsidRPr="00D02FFD">
        <w:rPr>
          <w:szCs w:val="20"/>
          <w:lang w:eastAsia="en-US"/>
        </w:rPr>
        <w:t xml:space="preserve"> </w:t>
      </w:r>
      <w:r>
        <w:rPr>
          <w:szCs w:val="20"/>
          <w:lang w:eastAsia="en-US"/>
        </w:rPr>
        <w:t xml:space="preserve">Amendment Regulation </w:t>
      </w:r>
      <w:r w:rsidRPr="00D02FFD">
        <w:rPr>
          <w:szCs w:val="20"/>
          <w:lang w:eastAsia="en-US"/>
        </w:rPr>
        <w:t xml:space="preserve">not elsewhere covered by </w:t>
      </w:r>
      <w:r>
        <w:rPr>
          <w:szCs w:val="20"/>
          <w:lang w:eastAsia="en-US"/>
        </w:rPr>
        <w:t>the</w:t>
      </w:r>
      <w:r w:rsidRPr="00D02FFD">
        <w:rPr>
          <w:szCs w:val="20"/>
          <w:lang w:eastAsia="en-US"/>
        </w:rPr>
        <w:t xml:space="preserve"> table</w:t>
      </w:r>
      <w:r>
        <w:rPr>
          <w:szCs w:val="20"/>
          <w:lang w:eastAsia="en-US"/>
        </w:rPr>
        <w:t xml:space="preserve"> commence on the </w:t>
      </w:r>
      <w:r w:rsidRPr="00D02FFD">
        <w:rPr>
          <w:szCs w:val="20"/>
          <w:lang w:eastAsia="en-US"/>
        </w:rPr>
        <w:t xml:space="preserve">day after </w:t>
      </w:r>
      <w:r>
        <w:rPr>
          <w:szCs w:val="20"/>
          <w:lang w:eastAsia="en-US"/>
        </w:rPr>
        <w:t xml:space="preserve">the Amendment Regulation </w:t>
      </w:r>
      <w:r w:rsidRPr="00D02FFD">
        <w:rPr>
          <w:szCs w:val="20"/>
          <w:lang w:eastAsia="en-US"/>
        </w:rPr>
        <w:t>is registered</w:t>
      </w:r>
      <w:r>
        <w:rPr>
          <w:szCs w:val="20"/>
          <w:lang w:eastAsia="en-US"/>
        </w:rPr>
        <w:t>;</w:t>
      </w:r>
    </w:p>
    <w:p w14:paraId="53A6FF26" w14:textId="77777777" w:rsidR="006772DB" w:rsidRDefault="006772DB" w:rsidP="006772DB">
      <w:pPr>
        <w:pStyle w:val="ListParagraph"/>
        <w:numPr>
          <w:ilvl w:val="0"/>
          <w:numId w:val="28"/>
        </w:numPr>
        <w:spacing w:after="120"/>
        <w:rPr>
          <w:szCs w:val="20"/>
          <w:lang w:eastAsia="en-US"/>
        </w:rPr>
      </w:pPr>
      <w:r>
        <w:rPr>
          <w:szCs w:val="20"/>
          <w:lang w:eastAsia="en-US"/>
        </w:rPr>
        <w:t>item 2 in the table provide</w:t>
      </w:r>
      <w:r w:rsidR="0076458B">
        <w:rPr>
          <w:szCs w:val="20"/>
          <w:lang w:eastAsia="en-US"/>
        </w:rPr>
        <w:t>s</w:t>
      </w:r>
      <w:r>
        <w:rPr>
          <w:szCs w:val="20"/>
          <w:lang w:eastAsia="en-US"/>
        </w:rPr>
        <w:t xml:space="preserve"> that Schedule 1 to the Amendment Regulation commence</w:t>
      </w:r>
      <w:r w:rsidR="0076458B">
        <w:rPr>
          <w:szCs w:val="20"/>
          <w:lang w:eastAsia="en-US"/>
        </w:rPr>
        <w:t>s</w:t>
      </w:r>
      <w:r>
        <w:rPr>
          <w:szCs w:val="20"/>
          <w:lang w:eastAsia="en-US"/>
        </w:rPr>
        <w:t xml:space="preserve"> on the </w:t>
      </w:r>
      <w:r w:rsidRPr="00D02FFD">
        <w:rPr>
          <w:szCs w:val="20"/>
          <w:lang w:eastAsia="en-US"/>
        </w:rPr>
        <w:t xml:space="preserve">day after </w:t>
      </w:r>
      <w:r>
        <w:rPr>
          <w:szCs w:val="20"/>
          <w:lang w:eastAsia="en-US"/>
        </w:rPr>
        <w:t xml:space="preserve">the Amendment Regulation </w:t>
      </w:r>
      <w:r w:rsidRPr="00D02FFD">
        <w:rPr>
          <w:szCs w:val="20"/>
          <w:lang w:eastAsia="en-US"/>
        </w:rPr>
        <w:t>is registered</w:t>
      </w:r>
      <w:r>
        <w:rPr>
          <w:szCs w:val="20"/>
          <w:lang w:eastAsia="en-US"/>
        </w:rPr>
        <w:t>;</w:t>
      </w:r>
    </w:p>
    <w:p w14:paraId="53A6FF27" w14:textId="77777777" w:rsidR="006772DB" w:rsidRDefault="006772DB" w:rsidP="006772DB">
      <w:pPr>
        <w:pStyle w:val="ListParagraph"/>
        <w:numPr>
          <w:ilvl w:val="0"/>
          <w:numId w:val="28"/>
        </w:numPr>
        <w:spacing w:after="120"/>
        <w:rPr>
          <w:szCs w:val="20"/>
          <w:lang w:eastAsia="en-US"/>
        </w:rPr>
      </w:pPr>
      <w:r>
        <w:rPr>
          <w:szCs w:val="20"/>
          <w:lang w:eastAsia="en-US"/>
        </w:rPr>
        <w:t>item 3 in the table provide</w:t>
      </w:r>
      <w:r w:rsidR="0076458B">
        <w:rPr>
          <w:szCs w:val="20"/>
          <w:lang w:eastAsia="en-US"/>
        </w:rPr>
        <w:t>s</w:t>
      </w:r>
      <w:r>
        <w:rPr>
          <w:szCs w:val="20"/>
          <w:lang w:eastAsia="en-US"/>
        </w:rPr>
        <w:t xml:space="preserve"> that Schedule 2 to the Amendment Regulation commence</w:t>
      </w:r>
      <w:r w:rsidR="0076458B">
        <w:rPr>
          <w:szCs w:val="20"/>
          <w:lang w:eastAsia="en-US"/>
        </w:rPr>
        <w:t>s</w:t>
      </w:r>
      <w:r>
        <w:rPr>
          <w:szCs w:val="20"/>
          <w:lang w:eastAsia="en-US"/>
        </w:rPr>
        <w:t xml:space="preserve"> a</w:t>
      </w:r>
      <w:r w:rsidRPr="00A75B92">
        <w:rPr>
          <w:szCs w:val="20"/>
          <w:lang w:eastAsia="en-US"/>
        </w:rPr>
        <w:t xml:space="preserve">t the same time as sections 3 to 83 of the </w:t>
      </w:r>
      <w:r w:rsidRPr="006A15BE">
        <w:rPr>
          <w:i/>
          <w:szCs w:val="20"/>
          <w:lang w:eastAsia="en-US"/>
        </w:rPr>
        <w:t>Public Interest Disclosure Act 2013</w:t>
      </w:r>
      <w:r>
        <w:rPr>
          <w:szCs w:val="20"/>
          <w:lang w:eastAsia="en-US"/>
        </w:rPr>
        <w:t xml:space="preserve"> commence;</w:t>
      </w:r>
    </w:p>
    <w:p w14:paraId="53A6FF28" w14:textId="77777777" w:rsidR="006772DB" w:rsidRPr="00A75B92" w:rsidRDefault="006772DB" w:rsidP="006772DB">
      <w:pPr>
        <w:pStyle w:val="ListParagraph"/>
        <w:numPr>
          <w:ilvl w:val="0"/>
          <w:numId w:val="28"/>
        </w:numPr>
        <w:spacing w:after="120"/>
        <w:rPr>
          <w:szCs w:val="20"/>
          <w:lang w:eastAsia="en-US"/>
        </w:rPr>
      </w:pPr>
      <w:r w:rsidRPr="00A75B92">
        <w:rPr>
          <w:szCs w:val="20"/>
          <w:lang w:eastAsia="en-US"/>
        </w:rPr>
        <w:t>item 4 in the table provide</w:t>
      </w:r>
      <w:r w:rsidR="0076458B">
        <w:rPr>
          <w:szCs w:val="20"/>
          <w:lang w:eastAsia="en-US"/>
        </w:rPr>
        <w:t>s</w:t>
      </w:r>
      <w:r w:rsidRPr="00A75B92">
        <w:rPr>
          <w:szCs w:val="20"/>
          <w:lang w:eastAsia="en-US"/>
        </w:rPr>
        <w:t xml:space="preserve"> that Schedule 3 </w:t>
      </w:r>
      <w:r>
        <w:rPr>
          <w:szCs w:val="20"/>
          <w:lang w:eastAsia="en-US"/>
        </w:rPr>
        <w:t>to</w:t>
      </w:r>
      <w:r w:rsidRPr="00A75B92">
        <w:rPr>
          <w:szCs w:val="20"/>
          <w:lang w:eastAsia="en-US"/>
        </w:rPr>
        <w:t xml:space="preserve"> the Amendment Regulation commence</w:t>
      </w:r>
      <w:r w:rsidR="0076458B">
        <w:rPr>
          <w:szCs w:val="20"/>
          <w:lang w:eastAsia="en-US"/>
        </w:rPr>
        <w:t>s</w:t>
      </w:r>
      <w:r w:rsidRPr="00A75B92">
        <w:rPr>
          <w:szCs w:val="20"/>
          <w:lang w:eastAsia="en-US"/>
        </w:rPr>
        <w:t xml:space="preserve"> on 12 March 2014, being the date that the amendments to the </w:t>
      </w:r>
      <w:r w:rsidRPr="006A15BE">
        <w:rPr>
          <w:i/>
          <w:szCs w:val="20"/>
          <w:lang w:eastAsia="en-US"/>
        </w:rPr>
        <w:t>Privacy Act 1988</w:t>
      </w:r>
      <w:r>
        <w:rPr>
          <w:szCs w:val="20"/>
          <w:lang w:eastAsia="en-US"/>
        </w:rPr>
        <w:t xml:space="preserve"> </w:t>
      </w:r>
      <w:r w:rsidRPr="00A75B92">
        <w:rPr>
          <w:szCs w:val="20"/>
          <w:lang w:eastAsia="en-US"/>
        </w:rPr>
        <w:t>come into effect</w:t>
      </w:r>
      <w:r>
        <w:rPr>
          <w:szCs w:val="20"/>
          <w:lang w:eastAsia="en-US"/>
        </w:rPr>
        <w:t>.</w:t>
      </w:r>
    </w:p>
    <w:p w14:paraId="53A6FF29" w14:textId="77777777" w:rsidR="006772DB" w:rsidRPr="00F14E02" w:rsidRDefault="006772DB" w:rsidP="006772DB">
      <w:pPr>
        <w:spacing w:before="240" w:after="40"/>
        <w:rPr>
          <w:szCs w:val="20"/>
          <w:u w:val="single"/>
          <w:lang w:eastAsia="en-US"/>
        </w:rPr>
      </w:pPr>
      <w:r>
        <w:rPr>
          <w:szCs w:val="20"/>
          <w:u w:val="single"/>
          <w:lang w:eastAsia="en-US"/>
        </w:rPr>
        <w:t>Section</w:t>
      </w:r>
      <w:r w:rsidRPr="00F14E02">
        <w:rPr>
          <w:szCs w:val="20"/>
          <w:u w:val="single"/>
          <w:lang w:eastAsia="en-US"/>
        </w:rPr>
        <w:t xml:space="preserve"> 3</w:t>
      </w:r>
      <w:r w:rsidRPr="00F14E02">
        <w:rPr>
          <w:rFonts w:eastAsia="Arial Unicode MS"/>
          <w:b/>
          <w:szCs w:val="20"/>
          <w:u w:val="single"/>
          <w:lang w:eastAsia="en-US"/>
        </w:rPr>
        <w:t>—</w:t>
      </w:r>
      <w:r>
        <w:rPr>
          <w:szCs w:val="20"/>
          <w:u w:val="single"/>
          <w:lang w:eastAsia="en-US"/>
        </w:rPr>
        <w:t>Authority</w:t>
      </w:r>
    </w:p>
    <w:p w14:paraId="53A6FF2A" w14:textId="77777777" w:rsidR="006772DB" w:rsidRPr="00F14E02" w:rsidRDefault="006772DB" w:rsidP="006772DB">
      <w:pPr>
        <w:spacing w:before="100" w:after="40"/>
        <w:rPr>
          <w:szCs w:val="20"/>
          <w:lang w:eastAsia="en-US"/>
        </w:rPr>
      </w:pPr>
      <w:r w:rsidRPr="00F14E02">
        <w:rPr>
          <w:szCs w:val="20"/>
          <w:lang w:eastAsia="en-US"/>
        </w:rPr>
        <w:t xml:space="preserve">This </w:t>
      </w:r>
      <w:r>
        <w:rPr>
          <w:szCs w:val="20"/>
          <w:lang w:eastAsia="en-US"/>
        </w:rPr>
        <w:t>section</w:t>
      </w:r>
      <w:r w:rsidRPr="00F14E02">
        <w:rPr>
          <w:szCs w:val="20"/>
          <w:lang w:eastAsia="en-US"/>
        </w:rPr>
        <w:t xml:space="preserve"> provide</w:t>
      </w:r>
      <w:r w:rsidR="0076458B">
        <w:rPr>
          <w:szCs w:val="20"/>
          <w:lang w:eastAsia="en-US"/>
        </w:rPr>
        <w:t>s</w:t>
      </w:r>
      <w:r w:rsidRPr="00F14E02">
        <w:rPr>
          <w:szCs w:val="20"/>
          <w:lang w:eastAsia="en-US"/>
        </w:rPr>
        <w:t xml:space="preserve"> that the </w:t>
      </w:r>
      <w:r>
        <w:rPr>
          <w:iCs/>
          <w:szCs w:val="20"/>
          <w:lang w:eastAsia="en-US"/>
        </w:rPr>
        <w:t xml:space="preserve">Amendment Regulation is made under the </w:t>
      </w:r>
      <w:r w:rsidRPr="00A45675">
        <w:rPr>
          <w:i/>
          <w:iCs/>
          <w:szCs w:val="20"/>
          <w:lang w:eastAsia="en-US"/>
        </w:rPr>
        <w:t>Public Service Act 1999</w:t>
      </w:r>
      <w:r w:rsidRPr="00F14E02">
        <w:rPr>
          <w:szCs w:val="20"/>
          <w:lang w:eastAsia="en-US"/>
        </w:rPr>
        <w:t>.</w:t>
      </w:r>
    </w:p>
    <w:p w14:paraId="53A6FF2B" w14:textId="77777777" w:rsidR="006772DB" w:rsidRPr="00E90223" w:rsidRDefault="006772DB" w:rsidP="006772DB">
      <w:pPr>
        <w:spacing w:before="100" w:after="40"/>
        <w:rPr>
          <w:szCs w:val="20"/>
          <w:u w:val="single"/>
          <w:lang w:eastAsia="en-US"/>
        </w:rPr>
      </w:pPr>
      <w:r>
        <w:rPr>
          <w:szCs w:val="20"/>
          <w:u w:val="single"/>
          <w:lang w:eastAsia="en-US"/>
        </w:rPr>
        <w:t>Section</w:t>
      </w:r>
      <w:r w:rsidRPr="00E90223">
        <w:rPr>
          <w:szCs w:val="20"/>
          <w:u w:val="single"/>
          <w:lang w:eastAsia="en-US"/>
        </w:rPr>
        <w:t xml:space="preserve"> 4—Schedule(s)</w:t>
      </w:r>
    </w:p>
    <w:p w14:paraId="53A6FF2C" w14:textId="77777777" w:rsidR="006772DB" w:rsidRPr="00F14E02" w:rsidRDefault="006772DB" w:rsidP="006772DB">
      <w:pPr>
        <w:spacing w:before="100" w:after="40"/>
        <w:rPr>
          <w:szCs w:val="20"/>
          <w:lang w:eastAsia="en-US"/>
        </w:rPr>
      </w:pPr>
      <w:r w:rsidRPr="00F14E02">
        <w:rPr>
          <w:szCs w:val="20"/>
          <w:lang w:eastAsia="en-US"/>
        </w:rPr>
        <w:t xml:space="preserve">This </w:t>
      </w:r>
      <w:r>
        <w:rPr>
          <w:szCs w:val="20"/>
          <w:lang w:eastAsia="en-US"/>
        </w:rPr>
        <w:t>section</w:t>
      </w:r>
      <w:r w:rsidRPr="00F14E02">
        <w:rPr>
          <w:szCs w:val="20"/>
          <w:lang w:eastAsia="en-US"/>
        </w:rPr>
        <w:t xml:space="preserve"> provide</w:t>
      </w:r>
      <w:r w:rsidR="0076458B">
        <w:rPr>
          <w:szCs w:val="20"/>
          <w:lang w:eastAsia="en-US"/>
        </w:rPr>
        <w:t>s</w:t>
      </w:r>
      <w:r w:rsidRPr="00F14E02">
        <w:rPr>
          <w:szCs w:val="20"/>
          <w:lang w:eastAsia="en-US"/>
        </w:rPr>
        <w:t xml:space="preserve"> that each instrument that is specified in a Schedule to the </w:t>
      </w:r>
      <w:r>
        <w:rPr>
          <w:szCs w:val="20"/>
          <w:lang w:eastAsia="en-US"/>
        </w:rPr>
        <w:t>Amendment Regulation</w:t>
      </w:r>
      <w:r w:rsidRPr="00F14E02">
        <w:rPr>
          <w:szCs w:val="20"/>
          <w:lang w:eastAsia="en-US"/>
        </w:rPr>
        <w:t xml:space="preserve"> is amended or repealed as set out in the applicable items in the relevant Schedule, and any other item in a Schedule to the </w:t>
      </w:r>
      <w:r>
        <w:rPr>
          <w:szCs w:val="20"/>
          <w:lang w:eastAsia="en-US"/>
        </w:rPr>
        <w:t>Amendment Regulation</w:t>
      </w:r>
      <w:r w:rsidRPr="00F14E02">
        <w:rPr>
          <w:szCs w:val="20"/>
          <w:lang w:eastAsia="en-US"/>
        </w:rPr>
        <w:t xml:space="preserve"> has </w:t>
      </w:r>
      <w:r>
        <w:rPr>
          <w:szCs w:val="20"/>
          <w:lang w:eastAsia="en-US"/>
        </w:rPr>
        <w:t>e</w:t>
      </w:r>
      <w:r w:rsidRPr="00F14E02">
        <w:rPr>
          <w:szCs w:val="20"/>
          <w:lang w:eastAsia="en-US"/>
        </w:rPr>
        <w:t>ffect according to its terms.</w:t>
      </w:r>
    </w:p>
    <w:p w14:paraId="53A6FF2D" w14:textId="77777777" w:rsidR="006772DB" w:rsidRPr="00F14E02" w:rsidRDefault="006772DB" w:rsidP="006772DB">
      <w:pPr>
        <w:spacing w:before="240" w:after="40"/>
        <w:rPr>
          <w:szCs w:val="20"/>
          <w:lang w:eastAsia="en-US"/>
        </w:rPr>
      </w:pPr>
      <w:r w:rsidRPr="00F14E02">
        <w:rPr>
          <w:szCs w:val="20"/>
          <w:u w:val="single"/>
          <w:lang w:eastAsia="en-US"/>
        </w:rPr>
        <w:t>Schedule 1</w:t>
      </w:r>
      <w:r w:rsidRPr="00F14E02">
        <w:rPr>
          <w:rFonts w:eastAsia="Arial Unicode MS"/>
          <w:b/>
          <w:szCs w:val="20"/>
          <w:u w:val="single"/>
          <w:lang w:eastAsia="en-US"/>
        </w:rPr>
        <w:t>—</w:t>
      </w:r>
      <w:r w:rsidRPr="00F14E02">
        <w:rPr>
          <w:szCs w:val="20"/>
          <w:u w:val="single"/>
          <w:lang w:eastAsia="en-US"/>
        </w:rPr>
        <w:t>Amendments</w:t>
      </w:r>
      <w:r>
        <w:rPr>
          <w:szCs w:val="20"/>
          <w:u w:val="single"/>
          <w:lang w:eastAsia="en-US"/>
        </w:rPr>
        <w:t xml:space="preserve"> commencing on the day after registration</w:t>
      </w:r>
    </w:p>
    <w:p w14:paraId="53A6FF2E" w14:textId="77777777" w:rsidR="006772DB" w:rsidRDefault="006772DB" w:rsidP="006772DB">
      <w:pPr>
        <w:tabs>
          <w:tab w:val="left" w:pos="1134"/>
        </w:tabs>
        <w:spacing w:before="240" w:after="40"/>
        <w:rPr>
          <w:b/>
          <w:szCs w:val="20"/>
          <w:lang w:eastAsia="en-US"/>
        </w:rPr>
      </w:pPr>
      <w:r w:rsidRPr="00F14E02">
        <w:rPr>
          <w:b/>
          <w:szCs w:val="20"/>
          <w:lang w:eastAsia="en-US"/>
        </w:rPr>
        <w:t>Item [1]</w:t>
      </w:r>
      <w:r w:rsidRPr="00F14E02">
        <w:rPr>
          <w:rFonts w:eastAsia="Arial Unicode MS"/>
          <w:b/>
          <w:szCs w:val="20"/>
          <w:lang w:eastAsia="en-US"/>
        </w:rPr>
        <w:t>—</w:t>
      </w:r>
      <w:r>
        <w:rPr>
          <w:rFonts w:eastAsia="Arial Unicode MS"/>
          <w:b/>
          <w:szCs w:val="20"/>
          <w:lang w:eastAsia="en-US"/>
        </w:rPr>
        <w:t xml:space="preserve">Insertion of </w:t>
      </w:r>
      <w:proofErr w:type="spellStart"/>
      <w:r>
        <w:rPr>
          <w:rFonts w:eastAsia="Arial Unicode MS"/>
          <w:b/>
          <w:szCs w:val="20"/>
          <w:lang w:eastAsia="en-US"/>
        </w:rPr>
        <w:t>subregulations</w:t>
      </w:r>
      <w:proofErr w:type="spellEnd"/>
      <w:r>
        <w:rPr>
          <w:rFonts w:eastAsia="Arial Unicode MS"/>
          <w:b/>
          <w:szCs w:val="20"/>
          <w:lang w:eastAsia="en-US"/>
        </w:rPr>
        <w:t xml:space="preserve"> 5.32(3A) and (3B)</w:t>
      </w:r>
    </w:p>
    <w:p w14:paraId="53A6FF2F" w14:textId="77777777" w:rsidR="006772DB" w:rsidRDefault="006772DB" w:rsidP="006772DB">
      <w:pPr>
        <w:spacing w:before="100" w:after="40"/>
      </w:pPr>
      <w:r>
        <w:t xml:space="preserve">Subsection 15(3) of the </w:t>
      </w:r>
      <w:r>
        <w:rPr>
          <w:i/>
        </w:rPr>
        <w:t xml:space="preserve">Public Service Act 1999 </w:t>
      </w:r>
      <w:r>
        <w:t xml:space="preserve">(‘PS Act’) requires an agency head to establish written procedures for determining whether an APS employee (or a former APS employee, in certain circumstances) has breached the APS Code of Conduct (‘Code’), and for determining any sanction that is imposed following a determination of a breach. </w:t>
      </w:r>
    </w:p>
    <w:p w14:paraId="53A6FF30" w14:textId="77777777" w:rsidR="006772DB" w:rsidRDefault="006772DB" w:rsidP="006772DB">
      <w:pPr>
        <w:spacing w:before="100" w:after="40"/>
        <w:rPr>
          <w:lang w:eastAsia="en-US"/>
        </w:rPr>
      </w:pPr>
      <w:r w:rsidRPr="00BA2C03">
        <w:rPr>
          <w:lang w:eastAsia="en-US"/>
        </w:rPr>
        <w:t>S</w:t>
      </w:r>
      <w:r>
        <w:rPr>
          <w:lang w:eastAsia="en-US"/>
        </w:rPr>
        <w:t>ubs</w:t>
      </w:r>
      <w:r w:rsidRPr="00BA2C03">
        <w:rPr>
          <w:lang w:eastAsia="en-US"/>
        </w:rPr>
        <w:t xml:space="preserve">ection 33(1) of the </w:t>
      </w:r>
      <w:r>
        <w:rPr>
          <w:lang w:eastAsia="en-US"/>
        </w:rPr>
        <w:t xml:space="preserve">PS </w:t>
      </w:r>
      <w:r w:rsidRPr="00BA2C03">
        <w:rPr>
          <w:lang w:eastAsia="en-US"/>
        </w:rPr>
        <w:t>Act provides an APS employee with an entitlement to review, in accordance with the</w:t>
      </w:r>
      <w:r>
        <w:rPr>
          <w:lang w:eastAsia="en-US"/>
        </w:rPr>
        <w:t xml:space="preserve"> regulations</w:t>
      </w:r>
      <w:r w:rsidRPr="00BA2C03">
        <w:rPr>
          <w:lang w:eastAsia="en-US"/>
        </w:rPr>
        <w:t>, of any APS action that relates to his or her employment.</w:t>
      </w:r>
    </w:p>
    <w:p w14:paraId="53A6FF31" w14:textId="77777777" w:rsidR="006772DB" w:rsidRDefault="006772DB" w:rsidP="006772DB">
      <w:pPr>
        <w:spacing w:before="120"/>
      </w:pPr>
      <w:r>
        <w:rPr>
          <w:lang w:eastAsia="en-US"/>
        </w:rPr>
        <w:t>Under the Principal Regulations an employee may make an a</w:t>
      </w:r>
      <w:r>
        <w:t>pplication for review by the Merit Protection Commissioner (‘</w:t>
      </w:r>
      <w:proofErr w:type="spellStart"/>
      <w:r>
        <w:t>MPC</w:t>
      </w:r>
      <w:proofErr w:type="spellEnd"/>
      <w:r>
        <w:t xml:space="preserve">’) on a range of matters, including a determination made in an agency in respect of a breach of the Code and/or a sanction. Such reviews are lodged under </w:t>
      </w:r>
      <w:proofErr w:type="spellStart"/>
      <w:r>
        <w:t>subregulation</w:t>
      </w:r>
      <w:proofErr w:type="spellEnd"/>
      <w:r>
        <w:t xml:space="preserve"> 5.24(2). On receipt of an application for review, the </w:t>
      </w:r>
      <w:proofErr w:type="spellStart"/>
      <w:r>
        <w:t>MPC</w:t>
      </w:r>
      <w:proofErr w:type="spellEnd"/>
      <w:r>
        <w:t xml:space="preserve"> may review the application and make written recommendations to the agency head. </w:t>
      </w:r>
    </w:p>
    <w:p w14:paraId="53A6FF32" w14:textId="77777777" w:rsidR="006772DB" w:rsidRDefault="006772DB" w:rsidP="006772DB">
      <w:pPr>
        <w:spacing w:before="100" w:after="40"/>
      </w:pPr>
      <w:r>
        <w:t xml:space="preserve">Regulation 5.32 of the Principal Regulations requires an agency head, on receipt of a recommendation from the </w:t>
      </w:r>
      <w:proofErr w:type="spellStart"/>
      <w:r>
        <w:rPr>
          <w:rFonts w:eastAsia="Arial Unicode MS"/>
          <w:szCs w:val="20"/>
          <w:lang w:eastAsia="en-US"/>
        </w:rPr>
        <w:t>MPC</w:t>
      </w:r>
      <w:proofErr w:type="spellEnd"/>
      <w:r>
        <w:t xml:space="preserve">, to consider the recommendation and to make a decision. </w:t>
      </w:r>
    </w:p>
    <w:p w14:paraId="53A6FF33" w14:textId="77777777" w:rsidR="006772DB" w:rsidRDefault="0076458B" w:rsidP="006772DB">
      <w:pPr>
        <w:spacing w:before="100" w:after="40"/>
      </w:pPr>
      <w:proofErr w:type="spellStart"/>
      <w:r>
        <w:t>S</w:t>
      </w:r>
      <w:r w:rsidR="006772DB">
        <w:t>ubregulations</w:t>
      </w:r>
      <w:proofErr w:type="spellEnd"/>
      <w:r w:rsidR="006772DB">
        <w:t xml:space="preserve"> 5.32(3A) and (3B) clarify how an agency head is to respond to a recommendation of the </w:t>
      </w:r>
      <w:proofErr w:type="spellStart"/>
      <w:r w:rsidR="006772DB">
        <w:t>MPC</w:t>
      </w:r>
      <w:proofErr w:type="spellEnd"/>
      <w:r w:rsidR="006772DB">
        <w:t xml:space="preserve"> that relates to a breach of the Code or a sanction.</w:t>
      </w:r>
    </w:p>
    <w:p w14:paraId="53A6FF34" w14:textId="77777777" w:rsidR="006772DB" w:rsidRDefault="0076458B" w:rsidP="006772DB">
      <w:pPr>
        <w:spacing w:before="100" w:after="40"/>
        <w:rPr>
          <w:szCs w:val="20"/>
          <w:lang w:eastAsia="en-US"/>
        </w:rPr>
      </w:pPr>
      <w:proofErr w:type="spellStart"/>
      <w:r>
        <w:rPr>
          <w:szCs w:val="20"/>
          <w:lang w:eastAsia="en-US"/>
        </w:rPr>
        <w:t>S</w:t>
      </w:r>
      <w:r w:rsidR="006772DB" w:rsidRPr="00F14E02">
        <w:rPr>
          <w:szCs w:val="20"/>
          <w:lang w:eastAsia="en-US"/>
        </w:rPr>
        <w:t>ubregulation</w:t>
      </w:r>
      <w:proofErr w:type="spellEnd"/>
      <w:r w:rsidR="006772DB" w:rsidRPr="00F14E02">
        <w:rPr>
          <w:szCs w:val="20"/>
          <w:lang w:eastAsia="en-US"/>
        </w:rPr>
        <w:t xml:space="preserve"> 5.32(</w:t>
      </w:r>
      <w:r w:rsidR="006772DB">
        <w:rPr>
          <w:szCs w:val="20"/>
          <w:lang w:eastAsia="en-US"/>
        </w:rPr>
        <w:t>3</w:t>
      </w:r>
      <w:r w:rsidR="006772DB" w:rsidRPr="00F14E02">
        <w:rPr>
          <w:szCs w:val="20"/>
          <w:lang w:eastAsia="en-US"/>
        </w:rPr>
        <w:t>A) provide</w:t>
      </w:r>
      <w:r>
        <w:rPr>
          <w:szCs w:val="20"/>
          <w:lang w:eastAsia="en-US"/>
        </w:rPr>
        <w:t>s</w:t>
      </w:r>
      <w:r w:rsidR="006772DB" w:rsidRPr="00F14E02">
        <w:rPr>
          <w:szCs w:val="20"/>
          <w:lang w:eastAsia="en-US"/>
        </w:rPr>
        <w:t xml:space="preserve"> that</w:t>
      </w:r>
      <w:r w:rsidR="006772DB">
        <w:rPr>
          <w:szCs w:val="20"/>
          <w:lang w:eastAsia="en-US"/>
        </w:rPr>
        <w:t xml:space="preserve"> if, after receiving a recommendation from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w:t>
      </w:r>
      <w:r w:rsidR="006772DB">
        <w:rPr>
          <w:szCs w:val="20"/>
          <w:lang w:eastAsia="en-US"/>
        </w:rPr>
        <w:t>with respect to a review conducted under paragraph 5.24(2)(a) of the Principal Regulations, the agency head was considering making a finding of a breach of the Code that was different from:</w:t>
      </w:r>
    </w:p>
    <w:p w14:paraId="53A6FF35" w14:textId="77777777" w:rsidR="006772DB" w:rsidRPr="009F2818" w:rsidRDefault="006772DB" w:rsidP="006772DB">
      <w:pPr>
        <w:pStyle w:val="ListParagraph"/>
        <w:numPr>
          <w:ilvl w:val="0"/>
          <w:numId w:val="31"/>
        </w:numPr>
        <w:spacing w:before="100" w:after="40"/>
        <w:rPr>
          <w:szCs w:val="20"/>
          <w:lang w:eastAsia="en-US"/>
        </w:rPr>
      </w:pPr>
      <w:r w:rsidRPr="009F2818">
        <w:rPr>
          <w:szCs w:val="20"/>
          <w:lang w:eastAsia="en-US"/>
        </w:rPr>
        <w:t>the original finding made by the agency head</w:t>
      </w:r>
      <w:r>
        <w:rPr>
          <w:szCs w:val="20"/>
          <w:lang w:eastAsia="en-US"/>
        </w:rPr>
        <w:t>, or</w:t>
      </w:r>
    </w:p>
    <w:p w14:paraId="53A6FF36" w14:textId="77777777" w:rsidR="006772DB" w:rsidRPr="009F2818" w:rsidRDefault="006772DB" w:rsidP="006772DB">
      <w:pPr>
        <w:pStyle w:val="ListParagraph"/>
        <w:numPr>
          <w:ilvl w:val="0"/>
          <w:numId w:val="31"/>
        </w:numPr>
        <w:spacing w:before="100" w:after="40"/>
        <w:rPr>
          <w:szCs w:val="20"/>
          <w:lang w:eastAsia="en-US"/>
        </w:rPr>
      </w:pPr>
      <w:r w:rsidRPr="009F2818">
        <w:rPr>
          <w:szCs w:val="20"/>
          <w:lang w:eastAsia="en-US"/>
        </w:rPr>
        <w:t xml:space="preserve">a finding recommended by the </w:t>
      </w:r>
      <w:proofErr w:type="spellStart"/>
      <w:r>
        <w:rPr>
          <w:rFonts w:eastAsia="Arial Unicode MS"/>
          <w:szCs w:val="20"/>
          <w:lang w:eastAsia="en-US"/>
        </w:rPr>
        <w:t>MPC</w:t>
      </w:r>
      <w:proofErr w:type="spellEnd"/>
      <w:r w:rsidRPr="009F2818">
        <w:rPr>
          <w:szCs w:val="20"/>
          <w:lang w:eastAsia="en-US"/>
        </w:rPr>
        <w:t>,</w:t>
      </w:r>
    </w:p>
    <w:p w14:paraId="53A6FF37" w14:textId="77777777" w:rsidR="006772DB" w:rsidRDefault="006772DB" w:rsidP="006772DB">
      <w:pPr>
        <w:spacing w:before="100" w:after="40"/>
        <w:rPr>
          <w:szCs w:val="20"/>
          <w:lang w:eastAsia="en-US"/>
        </w:rPr>
      </w:pPr>
      <w:r>
        <w:rPr>
          <w:szCs w:val="20"/>
          <w:lang w:eastAsia="en-US"/>
        </w:rPr>
        <w:t>then the agency head must follow their procedures for determining suspected breaches of the Code before making that finding.</w:t>
      </w:r>
    </w:p>
    <w:p w14:paraId="53A6FF38" w14:textId="77777777" w:rsidR="006772DB" w:rsidRDefault="0076458B" w:rsidP="006772DB">
      <w:pPr>
        <w:spacing w:before="100" w:after="40"/>
        <w:rPr>
          <w:szCs w:val="20"/>
          <w:lang w:eastAsia="en-US"/>
        </w:rPr>
      </w:pPr>
      <w:proofErr w:type="spellStart"/>
      <w:r>
        <w:rPr>
          <w:szCs w:val="20"/>
          <w:lang w:eastAsia="en-US"/>
        </w:rPr>
        <w:t>S</w:t>
      </w:r>
      <w:r w:rsidR="006772DB">
        <w:rPr>
          <w:szCs w:val="20"/>
          <w:lang w:eastAsia="en-US"/>
        </w:rPr>
        <w:t>ubregulation</w:t>
      </w:r>
      <w:proofErr w:type="spellEnd"/>
      <w:r w:rsidR="006772DB">
        <w:rPr>
          <w:szCs w:val="20"/>
          <w:lang w:eastAsia="en-US"/>
        </w:rPr>
        <w:t xml:space="preserve"> 5.32(3B) provide</w:t>
      </w:r>
      <w:r>
        <w:rPr>
          <w:szCs w:val="20"/>
          <w:lang w:eastAsia="en-US"/>
        </w:rPr>
        <w:t>s</w:t>
      </w:r>
      <w:r w:rsidR="006772DB">
        <w:rPr>
          <w:szCs w:val="20"/>
          <w:lang w:eastAsia="en-US"/>
        </w:rPr>
        <w:t xml:space="preserve"> that if, after receiving a recommendation from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w:t>
      </w:r>
      <w:r w:rsidR="006772DB">
        <w:rPr>
          <w:szCs w:val="20"/>
          <w:lang w:eastAsia="en-US"/>
        </w:rPr>
        <w:t>with respect to a review conducted under paragraph 5.24(2)(b)</w:t>
      </w:r>
      <w:r w:rsidR="006772DB" w:rsidRPr="006A15BE">
        <w:t xml:space="preserve"> </w:t>
      </w:r>
      <w:r w:rsidR="006772DB">
        <w:t>of the Principal Regulations</w:t>
      </w:r>
      <w:r w:rsidR="006772DB">
        <w:rPr>
          <w:szCs w:val="20"/>
          <w:lang w:eastAsia="en-US"/>
        </w:rPr>
        <w:t>, the agency head was considering imposing a sanction for a breach of the Code that is different from:</w:t>
      </w:r>
    </w:p>
    <w:p w14:paraId="53A6FF39" w14:textId="77777777" w:rsidR="006772DB" w:rsidRDefault="006772DB" w:rsidP="006772DB">
      <w:pPr>
        <w:pStyle w:val="ListParagraph"/>
        <w:numPr>
          <w:ilvl w:val="0"/>
          <w:numId w:val="31"/>
        </w:numPr>
        <w:spacing w:before="100" w:after="40"/>
        <w:rPr>
          <w:szCs w:val="20"/>
          <w:lang w:eastAsia="en-US"/>
        </w:rPr>
      </w:pPr>
      <w:r>
        <w:rPr>
          <w:szCs w:val="20"/>
          <w:lang w:eastAsia="en-US"/>
        </w:rPr>
        <w:t>the sanction(s) originally imposed by the agency head, or</w:t>
      </w:r>
    </w:p>
    <w:p w14:paraId="53A6FF3A" w14:textId="77777777" w:rsidR="006772DB" w:rsidRDefault="006772DB" w:rsidP="006772DB">
      <w:pPr>
        <w:pStyle w:val="ListParagraph"/>
        <w:numPr>
          <w:ilvl w:val="0"/>
          <w:numId w:val="31"/>
        </w:numPr>
        <w:spacing w:before="100" w:after="40"/>
        <w:rPr>
          <w:szCs w:val="20"/>
          <w:lang w:eastAsia="en-US"/>
        </w:rPr>
      </w:pPr>
      <w:r>
        <w:rPr>
          <w:szCs w:val="20"/>
          <w:lang w:eastAsia="en-US"/>
        </w:rPr>
        <w:t xml:space="preserve">a sanction recommended by the </w:t>
      </w:r>
      <w:proofErr w:type="spellStart"/>
      <w:r>
        <w:rPr>
          <w:rFonts w:eastAsia="Arial Unicode MS"/>
          <w:szCs w:val="20"/>
          <w:lang w:eastAsia="en-US"/>
        </w:rPr>
        <w:t>MPC</w:t>
      </w:r>
      <w:proofErr w:type="spellEnd"/>
      <w:r>
        <w:rPr>
          <w:szCs w:val="20"/>
          <w:lang w:eastAsia="en-US"/>
        </w:rPr>
        <w:t>,</w:t>
      </w:r>
    </w:p>
    <w:p w14:paraId="53A6FF3B" w14:textId="77777777" w:rsidR="006772DB" w:rsidRPr="00056327" w:rsidRDefault="006772DB" w:rsidP="006772DB">
      <w:pPr>
        <w:spacing w:before="100" w:after="40"/>
        <w:rPr>
          <w:szCs w:val="20"/>
          <w:lang w:eastAsia="en-US"/>
        </w:rPr>
      </w:pPr>
      <w:r>
        <w:rPr>
          <w:szCs w:val="20"/>
          <w:lang w:eastAsia="en-US"/>
        </w:rPr>
        <w:t>then the agency head must follow their agency procedures for determining sanctions for breaches of the Code before imposing that sanction.</w:t>
      </w:r>
    </w:p>
    <w:p w14:paraId="53A6FF3C" w14:textId="77777777" w:rsidR="006772DB" w:rsidRPr="00F14E02" w:rsidRDefault="006772DB" w:rsidP="006772DB">
      <w:pPr>
        <w:spacing w:before="100" w:after="40"/>
        <w:rPr>
          <w:szCs w:val="20"/>
          <w:lang w:eastAsia="en-US"/>
        </w:rPr>
      </w:pPr>
      <w:r w:rsidRPr="00F14E02">
        <w:rPr>
          <w:szCs w:val="20"/>
          <w:lang w:eastAsia="en-US"/>
        </w:rPr>
        <w:t xml:space="preserve">The purpose of </w:t>
      </w:r>
      <w:r>
        <w:rPr>
          <w:szCs w:val="20"/>
          <w:lang w:eastAsia="en-US"/>
        </w:rPr>
        <w:t xml:space="preserve">the </w:t>
      </w:r>
      <w:r w:rsidRPr="00F14E02">
        <w:rPr>
          <w:szCs w:val="20"/>
          <w:lang w:eastAsia="en-US"/>
        </w:rPr>
        <w:t xml:space="preserve">amendment is to </w:t>
      </w:r>
      <w:r>
        <w:rPr>
          <w:szCs w:val="20"/>
          <w:lang w:eastAsia="en-US"/>
        </w:rPr>
        <w:t>ensure that an agency follows its procedures made under subsection 15(3) of the PS Act when making determinations of breaches of the Code and/or imposing sanctions. This is to ensure transparency and certainty for APS employees (and former APS employees in certain circumstances) about the way such decisions will be made and the procedures that must be followed in making them.</w:t>
      </w:r>
    </w:p>
    <w:p w14:paraId="53A6FF3D" w14:textId="77777777" w:rsidR="006772DB" w:rsidRPr="00F14E02" w:rsidRDefault="006772DB" w:rsidP="006772DB">
      <w:pPr>
        <w:spacing w:before="240" w:after="40"/>
        <w:rPr>
          <w:szCs w:val="20"/>
          <w:lang w:eastAsia="en-US"/>
        </w:rPr>
      </w:pPr>
      <w:r w:rsidRPr="00F14E02">
        <w:rPr>
          <w:szCs w:val="20"/>
          <w:u w:val="single"/>
          <w:lang w:eastAsia="en-US"/>
        </w:rPr>
        <w:t xml:space="preserve">Schedule </w:t>
      </w:r>
      <w:r>
        <w:rPr>
          <w:szCs w:val="20"/>
          <w:u w:val="single"/>
          <w:lang w:eastAsia="en-US"/>
        </w:rPr>
        <w:t>2</w:t>
      </w:r>
      <w:r w:rsidRPr="00F14E02">
        <w:rPr>
          <w:rFonts w:eastAsia="Arial Unicode MS"/>
          <w:b/>
          <w:szCs w:val="20"/>
          <w:u w:val="single"/>
          <w:lang w:eastAsia="en-US"/>
        </w:rPr>
        <w:t>—</w:t>
      </w:r>
      <w:r w:rsidRPr="00F14E02">
        <w:rPr>
          <w:szCs w:val="20"/>
          <w:u w:val="single"/>
          <w:lang w:eastAsia="en-US"/>
        </w:rPr>
        <w:t>Amendments</w:t>
      </w:r>
      <w:r>
        <w:rPr>
          <w:szCs w:val="20"/>
          <w:u w:val="single"/>
          <w:lang w:eastAsia="en-US"/>
        </w:rPr>
        <w:t xml:space="preserve"> commencing at the </w:t>
      </w:r>
      <w:r w:rsidRPr="009F2818">
        <w:rPr>
          <w:szCs w:val="20"/>
          <w:u w:val="single"/>
          <w:lang w:eastAsia="en-US"/>
        </w:rPr>
        <w:t xml:space="preserve">same time as sections 3 to 83 of the </w:t>
      </w:r>
      <w:r w:rsidRPr="009F2818">
        <w:rPr>
          <w:i/>
          <w:szCs w:val="20"/>
          <w:u w:val="single"/>
          <w:lang w:eastAsia="en-US"/>
        </w:rPr>
        <w:t>Public Interest Disclosure Act 2013</w:t>
      </w:r>
      <w:r w:rsidRPr="009F2818">
        <w:rPr>
          <w:szCs w:val="20"/>
          <w:u w:val="single"/>
          <w:lang w:eastAsia="en-US"/>
        </w:rPr>
        <w:t xml:space="preserve"> commence</w:t>
      </w:r>
    </w:p>
    <w:p w14:paraId="53A6FF3E" w14:textId="77777777" w:rsidR="006772DB" w:rsidRDefault="006772DB" w:rsidP="006772DB">
      <w:pPr>
        <w:tabs>
          <w:tab w:val="left" w:pos="1134"/>
        </w:tabs>
        <w:spacing w:before="240" w:after="40"/>
        <w:rPr>
          <w:b/>
          <w:szCs w:val="20"/>
          <w:lang w:eastAsia="en-US"/>
        </w:rPr>
      </w:pPr>
      <w:r w:rsidRPr="00F14E02">
        <w:rPr>
          <w:b/>
          <w:szCs w:val="20"/>
          <w:lang w:eastAsia="en-US"/>
        </w:rPr>
        <w:t>Item [1]</w:t>
      </w:r>
      <w:r w:rsidRPr="00F14E02">
        <w:rPr>
          <w:rFonts w:eastAsia="Arial Unicode MS"/>
          <w:b/>
          <w:szCs w:val="20"/>
          <w:lang w:eastAsia="en-US"/>
        </w:rPr>
        <w:t>—</w:t>
      </w:r>
      <w:r>
        <w:rPr>
          <w:rFonts w:eastAsia="Arial Unicode MS"/>
          <w:b/>
          <w:szCs w:val="20"/>
          <w:lang w:eastAsia="en-US"/>
        </w:rPr>
        <w:t>Repeal of Division 2.2</w:t>
      </w:r>
    </w:p>
    <w:p w14:paraId="53A6FF3F" w14:textId="77777777" w:rsidR="006772DB" w:rsidRDefault="006772DB" w:rsidP="006772DB">
      <w:pPr>
        <w:spacing w:before="100" w:after="40"/>
        <w:rPr>
          <w:szCs w:val="20"/>
          <w:lang w:eastAsia="en-US"/>
        </w:rPr>
      </w:pPr>
      <w:r w:rsidRPr="00F14E02">
        <w:rPr>
          <w:szCs w:val="20"/>
          <w:lang w:eastAsia="en-US"/>
        </w:rPr>
        <w:t>This item repeal</w:t>
      </w:r>
      <w:r w:rsidR="0076458B">
        <w:rPr>
          <w:szCs w:val="20"/>
          <w:lang w:eastAsia="en-US"/>
        </w:rPr>
        <w:t>s</w:t>
      </w:r>
      <w:r w:rsidRPr="00F14E02">
        <w:rPr>
          <w:szCs w:val="20"/>
          <w:lang w:eastAsia="en-US"/>
        </w:rPr>
        <w:t xml:space="preserve"> </w:t>
      </w:r>
      <w:r>
        <w:rPr>
          <w:szCs w:val="20"/>
          <w:lang w:eastAsia="en-US"/>
        </w:rPr>
        <w:t xml:space="preserve">Division 2.2 of Part 2 of </w:t>
      </w:r>
      <w:r w:rsidRPr="00F14E02">
        <w:rPr>
          <w:szCs w:val="20"/>
          <w:lang w:eastAsia="en-US"/>
        </w:rPr>
        <w:t>the Principal Regulations</w:t>
      </w:r>
      <w:r>
        <w:rPr>
          <w:szCs w:val="20"/>
          <w:lang w:eastAsia="en-US"/>
        </w:rPr>
        <w:t xml:space="preserve">, which relates to </w:t>
      </w:r>
      <w:proofErr w:type="spellStart"/>
      <w:r>
        <w:rPr>
          <w:szCs w:val="20"/>
          <w:lang w:eastAsia="en-US"/>
        </w:rPr>
        <w:t>whistleblower</w:t>
      </w:r>
      <w:proofErr w:type="spellEnd"/>
      <w:r>
        <w:rPr>
          <w:szCs w:val="20"/>
          <w:lang w:eastAsia="en-US"/>
        </w:rPr>
        <w:t xml:space="preserve"> reports made under section 16 of the PS Act</w:t>
      </w:r>
      <w:r w:rsidRPr="00F14E02">
        <w:rPr>
          <w:szCs w:val="20"/>
          <w:lang w:eastAsia="en-US"/>
        </w:rPr>
        <w:t>.</w:t>
      </w:r>
      <w:r>
        <w:rPr>
          <w:szCs w:val="20"/>
          <w:lang w:eastAsia="en-US"/>
        </w:rPr>
        <w:t xml:space="preserve"> These provisions will become inoperative after the commencement on 15 January 2014 of the </w:t>
      </w:r>
      <w:r w:rsidRPr="00564699">
        <w:rPr>
          <w:i/>
          <w:szCs w:val="20"/>
          <w:lang w:eastAsia="en-US"/>
        </w:rPr>
        <w:t>Public Interest Disclosure (Consequential Amendments) Act 2013</w:t>
      </w:r>
      <w:r>
        <w:rPr>
          <w:szCs w:val="20"/>
          <w:lang w:eastAsia="en-US"/>
        </w:rPr>
        <w:t xml:space="preserve"> (‘</w:t>
      </w:r>
      <w:proofErr w:type="spellStart"/>
      <w:r>
        <w:rPr>
          <w:szCs w:val="20"/>
          <w:lang w:eastAsia="en-US"/>
        </w:rPr>
        <w:t>PID</w:t>
      </w:r>
      <w:proofErr w:type="spellEnd"/>
      <w:r>
        <w:rPr>
          <w:szCs w:val="20"/>
          <w:lang w:eastAsia="en-US"/>
        </w:rPr>
        <w:t xml:space="preserve"> Consequential Act’), which repeals section 16 of the PS Act.</w:t>
      </w:r>
    </w:p>
    <w:p w14:paraId="53A6FF40" w14:textId="77777777" w:rsidR="006772DB" w:rsidRPr="00F930C1" w:rsidRDefault="006772DB" w:rsidP="006772DB">
      <w:pPr>
        <w:spacing w:before="100" w:after="40"/>
        <w:rPr>
          <w:b/>
          <w:szCs w:val="20"/>
          <w:lang w:eastAsia="en-US"/>
        </w:rPr>
      </w:pPr>
      <w:r w:rsidRPr="00F930C1">
        <w:rPr>
          <w:b/>
          <w:szCs w:val="20"/>
          <w:lang w:eastAsia="en-US"/>
        </w:rPr>
        <w:t>Item [2]—Part 6 (note to heading)</w:t>
      </w:r>
    </w:p>
    <w:p w14:paraId="53A6FF41"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This item </w:t>
      </w:r>
      <w:r w:rsidRPr="00F14E02">
        <w:rPr>
          <w:rFonts w:eastAsia="Arial Unicode MS"/>
          <w:szCs w:val="20"/>
          <w:lang w:eastAsia="en-US"/>
        </w:rPr>
        <w:t>amend</w:t>
      </w:r>
      <w:r w:rsidR="0076458B">
        <w:rPr>
          <w:rFonts w:eastAsia="Arial Unicode MS"/>
          <w:szCs w:val="20"/>
          <w:lang w:eastAsia="en-US"/>
        </w:rPr>
        <w:t>s</w:t>
      </w:r>
      <w:r w:rsidRPr="00F14E02">
        <w:rPr>
          <w:rFonts w:eastAsia="Arial Unicode MS"/>
          <w:szCs w:val="20"/>
          <w:lang w:eastAsia="en-US"/>
        </w:rPr>
        <w:t xml:space="preserve"> the </w:t>
      </w:r>
      <w:r>
        <w:rPr>
          <w:rFonts w:eastAsia="Arial Unicode MS"/>
          <w:szCs w:val="20"/>
          <w:lang w:eastAsia="en-US"/>
        </w:rPr>
        <w:t>n</w:t>
      </w:r>
      <w:r w:rsidRPr="00F14E02">
        <w:rPr>
          <w:rFonts w:eastAsia="Arial Unicode MS"/>
          <w:szCs w:val="20"/>
          <w:lang w:eastAsia="en-US"/>
        </w:rPr>
        <w:t>ote below the heading</w:t>
      </w:r>
      <w:r>
        <w:rPr>
          <w:rFonts w:eastAsia="Arial Unicode MS"/>
          <w:szCs w:val="20"/>
          <w:lang w:eastAsia="en-US"/>
        </w:rPr>
        <w:t xml:space="preserve"> to Part 6 of the Principal Regulations, which refers to </w:t>
      </w:r>
      <w:r w:rsidRPr="00F14E02">
        <w:rPr>
          <w:rFonts w:eastAsia="Arial Unicode MS"/>
          <w:szCs w:val="20"/>
          <w:lang w:eastAsia="en-US"/>
        </w:rPr>
        <w:t xml:space="preserve">parts of the </w:t>
      </w:r>
      <w:r>
        <w:rPr>
          <w:rFonts w:eastAsia="Arial Unicode MS"/>
          <w:szCs w:val="20"/>
          <w:lang w:eastAsia="en-US"/>
        </w:rPr>
        <w:t xml:space="preserve">Principal </w:t>
      </w:r>
      <w:r w:rsidRPr="00F14E02">
        <w:rPr>
          <w:rFonts w:eastAsia="Arial Unicode MS"/>
          <w:szCs w:val="20"/>
          <w:lang w:eastAsia="en-US"/>
        </w:rPr>
        <w:t xml:space="preserve">Regulations in which functions of the </w:t>
      </w:r>
      <w:r>
        <w:rPr>
          <w:rFonts w:eastAsia="Arial Unicode MS"/>
          <w:szCs w:val="20"/>
          <w:lang w:eastAsia="en-US"/>
        </w:rPr>
        <w:t>Australian Public Service Commissioner (‘Commissioner’)</w:t>
      </w:r>
      <w:r w:rsidRPr="00F14E02">
        <w:rPr>
          <w:rFonts w:eastAsia="Arial Unicode MS"/>
          <w:szCs w:val="20"/>
          <w:lang w:eastAsia="en-US"/>
        </w:rPr>
        <w:t xml:space="preserve"> </w:t>
      </w:r>
      <w:r>
        <w:rPr>
          <w:rFonts w:eastAsia="Arial Unicode MS"/>
          <w:szCs w:val="20"/>
          <w:lang w:eastAsia="en-US"/>
        </w:rPr>
        <w:t>not dealt with in Part 6 are set out. The amendment remove</w:t>
      </w:r>
      <w:r w:rsidR="0076458B">
        <w:rPr>
          <w:rFonts w:eastAsia="Arial Unicode MS"/>
          <w:szCs w:val="20"/>
          <w:lang w:eastAsia="en-US"/>
        </w:rPr>
        <w:t>s</w:t>
      </w:r>
      <w:r>
        <w:rPr>
          <w:rFonts w:eastAsia="Arial Unicode MS"/>
          <w:szCs w:val="20"/>
          <w:lang w:eastAsia="en-US"/>
        </w:rPr>
        <w:t xml:space="preserve"> reference to regulations in the Principal Regulations that deal with </w:t>
      </w:r>
      <w:proofErr w:type="spellStart"/>
      <w:r>
        <w:rPr>
          <w:rFonts w:eastAsia="Arial Unicode MS"/>
          <w:szCs w:val="20"/>
          <w:lang w:eastAsia="en-US"/>
        </w:rPr>
        <w:t>whistleblower</w:t>
      </w:r>
      <w:proofErr w:type="spellEnd"/>
      <w:r>
        <w:rPr>
          <w:rFonts w:eastAsia="Arial Unicode MS"/>
          <w:szCs w:val="20"/>
          <w:lang w:eastAsia="en-US"/>
        </w:rPr>
        <w:t xml:space="preserve"> reports.</w:t>
      </w:r>
    </w:p>
    <w:p w14:paraId="53A6FF42" w14:textId="77777777" w:rsidR="006772DB" w:rsidRPr="00F63785" w:rsidRDefault="006772DB" w:rsidP="006772DB">
      <w:pPr>
        <w:spacing w:before="100" w:after="40"/>
        <w:rPr>
          <w:rFonts w:eastAsia="Arial Unicode MS"/>
          <w:b/>
          <w:szCs w:val="20"/>
          <w:lang w:eastAsia="en-US"/>
        </w:rPr>
      </w:pPr>
      <w:r w:rsidRPr="00F63785">
        <w:rPr>
          <w:rFonts w:eastAsia="Arial Unicode MS"/>
          <w:b/>
          <w:szCs w:val="20"/>
          <w:lang w:eastAsia="en-US"/>
        </w:rPr>
        <w:t xml:space="preserve">Item [3]—Insertion of </w:t>
      </w:r>
      <w:r>
        <w:rPr>
          <w:rFonts w:eastAsia="Arial Unicode MS"/>
          <w:b/>
          <w:szCs w:val="20"/>
          <w:lang w:eastAsia="en-US"/>
        </w:rPr>
        <w:t>regulation 6.1B</w:t>
      </w:r>
    </w:p>
    <w:p w14:paraId="53A6FF43" w14:textId="77777777" w:rsidR="006772DB" w:rsidRDefault="006772DB" w:rsidP="006772DB">
      <w:pPr>
        <w:spacing w:before="100" w:after="40"/>
        <w:rPr>
          <w:rFonts w:eastAsia="Arial Unicode MS"/>
          <w:szCs w:val="20"/>
          <w:lang w:eastAsia="en-US"/>
        </w:rPr>
      </w:pPr>
      <w:r>
        <w:rPr>
          <w:rFonts w:eastAsia="Arial Unicode MS"/>
          <w:szCs w:val="20"/>
          <w:lang w:eastAsia="en-US"/>
        </w:rPr>
        <w:t>This item insert</w:t>
      </w:r>
      <w:r w:rsidR="0076458B">
        <w:rPr>
          <w:rFonts w:eastAsia="Arial Unicode MS"/>
          <w:szCs w:val="20"/>
          <w:lang w:eastAsia="en-US"/>
        </w:rPr>
        <w:t>s</w:t>
      </w:r>
      <w:r>
        <w:rPr>
          <w:rFonts w:eastAsia="Arial Unicode MS"/>
          <w:szCs w:val="20"/>
          <w:lang w:eastAsia="en-US"/>
        </w:rPr>
        <w:t xml:space="preserve"> a new regulation after regulation 6.1A of the Principal Regulations.</w:t>
      </w:r>
    </w:p>
    <w:p w14:paraId="53A6FF44" w14:textId="77777777" w:rsidR="006772DB" w:rsidRDefault="0076458B" w:rsidP="006772DB">
      <w:pPr>
        <w:spacing w:before="100" w:after="40"/>
        <w:rPr>
          <w:rFonts w:eastAsia="Arial Unicode MS"/>
          <w:szCs w:val="20"/>
          <w:lang w:eastAsia="en-US"/>
        </w:rPr>
      </w:pPr>
      <w:r>
        <w:rPr>
          <w:rFonts w:eastAsia="Arial Unicode MS"/>
          <w:szCs w:val="20"/>
          <w:lang w:eastAsia="en-US"/>
        </w:rPr>
        <w:t>R</w:t>
      </w:r>
      <w:r w:rsidR="006772DB">
        <w:rPr>
          <w:rFonts w:eastAsia="Arial Unicode MS"/>
          <w:szCs w:val="20"/>
          <w:lang w:eastAsia="en-US"/>
        </w:rPr>
        <w:t>egulation 6.1B provide</w:t>
      </w:r>
      <w:r>
        <w:rPr>
          <w:rFonts w:eastAsia="Arial Unicode MS"/>
          <w:szCs w:val="20"/>
          <w:lang w:eastAsia="en-US"/>
        </w:rPr>
        <w:t>s</w:t>
      </w:r>
      <w:r w:rsidR="006772DB">
        <w:rPr>
          <w:rFonts w:eastAsia="Arial Unicode MS"/>
          <w:szCs w:val="20"/>
          <w:lang w:eastAsia="en-US"/>
        </w:rPr>
        <w:t xml:space="preserve"> for certain matters related to the Commissioner’s new function to inquire into ‘</w:t>
      </w:r>
      <w:r w:rsidR="006772DB" w:rsidRPr="001A5686">
        <w:rPr>
          <w:rFonts w:eastAsia="Arial Unicode MS"/>
          <w:i/>
          <w:szCs w:val="20"/>
          <w:lang w:eastAsia="en-US"/>
        </w:rPr>
        <w:t>public interest disclosures</w:t>
      </w:r>
      <w:r w:rsidR="006772DB" w:rsidRPr="0059223D">
        <w:rPr>
          <w:rFonts w:eastAsia="Arial Unicode MS"/>
          <w:szCs w:val="20"/>
          <w:lang w:eastAsia="en-US"/>
        </w:rPr>
        <w:t>’</w:t>
      </w:r>
      <w:r w:rsidR="006772DB">
        <w:rPr>
          <w:rFonts w:eastAsia="Arial Unicode MS"/>
          <w:szCs w:val="20"/>
          <w:lang w:eastAsia="en-US"/>
        </w:rPr>
        <w:t xml:space="preserve"> that relate to alleged breaches of the Code of Conduct.</w:t>
      </w:r>
    </w:p>
    <w:p w14:paraId="53A6FF45" w14:textId="77777777" w:rsidR="006772DB" w:rsidRDefault="006772DB" w:rsidP="006772DB">
      <w:pPr>
        <w:spacing w:before="100" w:after="40"/>
        <w:rPr>
          <w:rFonts w:eastAsia="Arial Unicode MS"/>
          <w:szCs w:val="20"/>
          <w:lang w:eastAsia="en-US"/>
        </w:rPr>
      </w:pPr>
      <w:r>
        <w:rPr>
          <w:rFonts w:eastAsia="Arial Unicode MS"/>
          <w:szCs w:val="20"/>
          <w:lang w:eastAsia="en-US"/>
        </w:rPr>
        <w:t>This inquiry function operate</w:t>
      </w:r>
      <w:r w:rsidR="0076458B">
        <w:rPr>
          <w:rFonts w:eastAsia="Arial Unicode MS"/>
          <w:szCs w:val="20"/>
          <w:lang w:eastAsia="en-US"/>
        </w:rPr>
        <w:t>s</w:t>
      </w:r>
      <w:r>
        <w:rPr>
          <w:rFonts w:eastAsia="Arial Unicode MS"/>
          <w:szCs w:val="20"/>
          <w:lang w:eastAsia="en-US"/>
        </w:rPr>
        <w:t xml:space="preserve"> independently of the </w:t>
      </w:r>
      <w:r>
        <w:rPr>
          <w:rFonts w:eastAsia="Arial Unicode MS"/>
          <w:i/>
          <w:szCs w:val="20"/>
          <w:lang w:eastAsia="en-US"/>
        </w:rPr>
        <w:t xml:space="preserve">Public Interest Disclosure Act 2013 </w:t>
      </w:r>
      <w:r>
        <w:rPr>
          <w:rFonts w:eastAsia="Arial Unicode MS"/>
          <w:szCs w:val="20"/>
          <w:lang w:eastAsia="en-US"/>
        </w:rPr>
        <w:t>(‘</w:t>
      </w:r>
      <w:proofErr w:type="spellStart"/>
      <w:r>
        <w:rPr>
          <w:rFonts w:eastAsia="Arial Unicode MS"/>
          <w:szCs w:val="20"/>
          <w:lang w:eastAsia="en-US"/>
        </w:rPr>
        <w:t>PID</w:t>
      </w:r>
      <w:proofErr w:type="spellEnd"/>
      <w:r>
        <w:rPr>
          <w:rFonts w:eastAsia="Arial Unicode MS"/>
          <w:szCs w:val="20"/>
          <w:lang w:eastAsia="en-US"/>
        </w:rPr>
        <w:t xml:space="preserve"> Act’).</w:t>
      </w:r>
      <w:r w:rsidR="00D1715E">
        <w:rPr>
          <w:rFonts w:eastAsia="Arial Unicode MS"/>
          <w:szCs w:val="20"/>
          <w:lang w:eastAsia="en-US"/>
        </w:rPr>
        <w:t xml:space="preserve"> </w:t>
      </w:r>
      <w:r>
        <w:rPr>
          <w:rFonts w:eastAsia="Arial Unicode MS"/>
          <w:szCs w:val="20"/>
          <w:lang w:eastAsia="en-US"/>
        </w:rPr>
        <w:t xml:space="preserve">Under the </w:t>
      </w:r>
      <w:proofErr w:type="spellStart"/>
      <w:r>
        <w:rPr>
          <w:rFonts w:eastAsia="Arial Unicode MS"/>
          <w:szCs w:val="20"/>
          <w:lang w:eastAsia="en-US"/>
        </w:rPr>
        <w:t>PID</w:t>
      </w:r>
      <w:proofErr w:type="spellEnd"/>
      <w:r>
        <w:rPr>
          <w:rFonts w:eastAsia="Arial Unicode MS"/>
          <w:szCs w:val="20"/>
          <w:lang w:eastAsia="en-US"/>
        </w:rPr>
        <w:t xml:space="preserve"> Act certain bodies are </w:t>
      </w:r>
      <w:r w:rsidR="0076458B">
        <w:rPr>
          <w:rFonts w:eastAsia="Arial Unicode MS"/>
          <w:szCs w:val="20"/>
          <w:lang w:eastAsia="en-US"/>
        </w:rPr>
        <w:t>deemed</w:t>
      </w:r>
      <w:r>
        <w:rPr>
          <w:rFonts w:eastAsia="Arial Unicode MS"/>
          <w:szCs w:val="20"/>
          <w:lang w:eastAsia="en-US"/>
        </w:rPr>
        <w:t xml:space="preserve"> ‘</w:t>
      </w:r>
      <w:r w:rsidRPr="00905F0B">
        <w:rPr>
          <w:rFonts w:eastAsia="Arial Unicode MS"/>
          <w:i/>
          <w:szCs w:val="20"/>
          <w:lang w:eastAsia="en-US"/>
        </w:rPr>
        <w:t xml:space="preserve">investigative </w:t>
      </w:r>
      <w:r w:rsidR="0076458B">
        <w:rPr>
          <w:rFonts w:eastAsia="Arial Unicode MS"/>
          <w:i/>
          <w:szCs w:val="20"/>
          <w:lang w:eastAsia="en-US"/>
        </w:rPr>
        <w:t>agencies</w:t>
      </w:r>
      <w:r w:rsidR="0076458B" w:rsidRPr="0059223D">
        <w:rPr>
          <w:rFonts w:eastAsia="Arial Unicode MS"/>
          <w:szCs w:val="20"/>
          <w:lang w:eastAsia="en-US"/>
        </w:rPr>
        <w:t>’</w:t>
      </w:r>
      <w:r w:rsidRPr="0059223D">
        <w:rPr>
          <w:rFonts w:eastAsia="Arial Unicode MS"/>
          <w:szCs w:val="20"/>
          <w:lang w:eastAsia="en-US"/>
        </w:rPr>
        <w:t>.</w:t>
      </w:r>
      <w:r w:rsidR="00D1715E">
        <w:rPr>
          <w:rFonts w:eastAsia="Arial Unicode MS"/>
          <w:szCs w:val="20"/>
          <w:lang w:eastAsia="en-US"/>
        </w:rPr>
        <w:t xml:space="preserve"> </w:t>
      </w:r>
      <w:r>
        <w:rPr>
          <w:rFonts w:eastAsia="Arial Unicode MS"/>
          <w:szCs w:val="20"/>
          <w:lang w:eastAsia="en-US"/>
        </w:rPr>
        <w:t xml:space="preserve">It is proposed that the Commissioner will be prescribed by the </w:t>
      </w:r>
      <w:proofErr w:type="spellStart"/>
      <w:r>
        <w:rPr>
          <w:rFonts w:eastAsia="Arial Unicode MS"/>
          <w:szCs w:val="20"/>
          <w:lang w:eastAsia="en-US"/>
        </w:rPr>
        <w:t>PID</w:t>
      </w:r>
      <w:proofErr w:type="spellEnd"/>
      <w:r>
        <w:rPr>
          <w:rFonts w:eastAsia="Arial Unicode MS"/>
          <w:szCs w:val="20"/>
          <w:lang w:eastAsia="en-US"/>
        </w:rPr>
        <w:t xml:space="preserve"> Rules to be an investigative agency.</w:t>
      </w:r>
      <w:r w:rsidR="00D1715E">
        <w:rPr>
          <w:rFonts w:eastAsia="Arial Unicode MS"/>
          <w:szCs w:val="20"/>
          <w:lang w:eastAsia="en-US"/>
        </w:rPr>
        <w:t xml:space="preserve"> </w:t>
      </w:r>
      <w:r>
        <w:rPr>
          <w:rFonts w:eastAsia="Arial Unicode MS"/>
          <w:szCs w:val="20"/>
          <w:lang w:eastAsia="en-US"/>
        </w:rPr>
        <w:t xml:space="preserve">Under section 49 of the </w:t>
      </w:r>
      <w:proofErr w:type="spellStart"/>
      <w:r>
        <w:rPr>
          <w:rFonts w:eastAsia="Arial Unicode MS"/>
          <w:szCs w:val="20"/>
          <w:lang w:eastAsia="en-US"/>
        </w:rPr>
        <w:t>PID</w:t>
      </w:r>
      <w:proofErr w:type="spellEnd"/>
      <w:r>
        <w:rPr>
          <w:rFonts w:eastAsia="Arial Unicode MS"/>
          <w:szCs w:val="20"/>
          <w:lang w:eastAsia="en-US"/>
        </w:rPr>
        <w:t xml:space="preserve"> Act, an investigative agency that has a separate investigative power may decide to investigate a public interest disclosure under its separate investigative powers rather than under the </w:t>
      </w:r>
      <w:proofErr w:type="spellStart"/>
      <w:r>
        <w:rPr>
          <w:rFonts w:eastAsia="Arial Unicode MS"/>
          <w:szCs w:val="20"/>
          <w:lang w:eastAsia="en-US"/>
        </w:rPr>
        <w:t>PID</w:t>
      </w:r>
      <w:proofErr w:type="spellEnd"/>
      <w:r>
        <w:rPr>
          <w:rFonts w:eastAsia="Arial Unicode MS"/>
          <w:szCs w:val="20"/>
          <w:lang w:eastAsia="en-US"/>
        </w:rPr>
        <w:t xml:space="preserve"> Act.</w:t>
      </w:r>
      <w:r w:rsidR="00D1715E">
        <w:rPr>
          <w:rFonts w:eastAsia="Arial Unicode MS"/>
          <w:szCs w:val="20"/>
          <w:lang w:eastAsia="en-US"/>
        </w:rPr>
        <w:t xml:space="preserve"> </w:t>
      </w:r>
      <w:r>
        <w:rPr>
          <w:rFonts w:eastAsia="Arial Unicode MS"/>
          <w:szCs w:val="20"/>
          <w:lang w:eastAsia="en-US"/>
        </w:rPr>
        <w:t xml:space="preserve">Accordingly, the Commissioner could inquire into certain public interest disclosures in accordance with the provisions of new paragraph 41(2)(o) of the PS Act and </w:t>
      </w:r>
      <w:r w:rsidR="0076458B">
        <w:rPr>
          <w:rFonts w:eastAsia="Arial Unicode MS"/>
          <w:szCs w:val="20"/>
          <w:lang w:eastAsia="en-US"/>
        </w:rPr>
        <w:t xml:space="preserve">new </w:t>
      </w:r>
      <w:r>
        <w:rPr>
          <w:rFonts w:eastAsia="Arial Unicode MS"/>
          <w:szCs w:val="20"/>
          <w:lang w:eastAsia="en-US"/>
        </w:rPr>
        <w:t xml:space="preserve">regulation 6.1B, rather than in accordance with Part 3 of the </w:t>
      </w:r>
      <w:proofErr w:type="spellStart"/>
      <w:r>
        <w:rPr>
          <w:rFonts w:eastAsia="Arial Unicode MS"/>
          <w:szCs w:val="20"/>
          <w:lang w:eastAsia="en-US"/>
        </w:rPr>
        <w:t>PID</w:t>
      </w:r>
      <w:proofErr w:type="spellEnd"/>
      <w:r>
        <w:rPr>
          <w:rFonts w:eastAsia="Arial Unicode MS"/>
          <w:szCs w:val="20"/>
          <w:lang w:eastAsia="en-US"/>
        </w:rPr>
        <w:t xml:space="preserve"> Act, after deciding for the purposes of section 49 of the </w:t>
      </w:r>
      <w:proofErr w:type="spellStart"/>
      <w:r>
        <w:rPr>
          <w:rFonts w:eastAsia="Arial Unicode MS"/>
          <w:szCs w:val="20"/>
          <w:lang w:eastAsia="en-US"/>
        </w:rPr>
        <w:t>PID</w:t>
      </w:r>
      <w:proofErr w:type="spellEnd"/>
      <w:r>
        <w:rPr>
          <w:rFonts w:eastAsia="Arial Unicode MS"/>
          <w:szCs w:val="20"/>
          <w:lang w:eastAsia="en-US"/>
        </w:rPr>
        <w:t xml:space="preserve"> Act to investigate the disclosure under this separate investigative power. </w:t>
      </w:r>
    </w:p>
    <w:p w14:paraId="53A6FF46"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The insertion of the new inquiry power for the Commissioner in paragraph 41(2)(o) by the </w:t>
      </w:r>
      <w:proofErr w:type="spellStart"/>
      <w:r>
        <w:rPr>
          <w:rFonts w:eastAsia="Arial Unicode MS"/>
          <w:szCs w:val="20"/>
          <w:lang w:eastAsia="en-US"/>
        </w:rPr>
        <w:t>PID</w:t>
      </w:r>
      <w:proofErr w:type="spellEnd"/>
      <w:r>
        <w:rPr>
          <w:rFonts w:eastAsia="Arial Unicode MS"/>
          <w:szCs w:val="20"/>
          <w:lang w:eastAsia="en-US"/>
        </w:rPr>
        <w:t xml:space="preserve"> Consequential Act seeks to ensure that the Commissioner </w:t>
      </w:r>
      <w:r w:rsidR="0076458B">
        <w:rPr>
          <w:rFonts w:eastAsia="Arial Unicode MS"/>
          <w:szCs w:val="20"/>
          <w:lang w:eastAsia="en-US"/>
        </w:rPr>
        <w:t xml:space="preserve">will </w:t>
      </w:r>
      <w:r w:rsidRPr="00536275">
        <w:rPr>
          <w:rFonts w:eastAsia="Arial Unicode MS"/>
          <w:szCs w:val="20"/>
          <w:lang w:eastAsia="en-US"/>
        </w:rPr>
        <w:t>continue to have functions</w:t>
      </w:r>
      <w:r>
        <w:rPr>
          <w:rFonts w:eastAsia="Arial Unicode MS"/>
          <w:szCs w:val="20"/>
          <w:lang w:eastAsia="en-US"/>
        </w:rPr>
        <w:t>,</w:t>
      </w:r>
      <w:r w:rsidRPr="00536275">
        <w:rPr>
          <w:rFonts w:eastAsia="Arial Unicode MS"/>
          <w:szCs w:val="20"/>
          <w:lang w:eastAsia="en-US"/>
        </w:rPr>
        <w:t xml:space="preserve"> </w:t>
      </w:r>
      <w:r>
        <w:rPr>
          <w:rFonts w:eastAsia="Arial Unicode MS"/>
          <w:szCs w:val="20"/>
          <w:lang w:eastAsia="en-US"/>
        </w:rPr>
        <w:t>after the repeal of section 16 of the PS Act,</w:t>
      </w:r>
      <w:r w:rsidRPr="00536275">
        <w:rPr>
          <w:rFonts w:eastAsia="Arial Unicode MS"/>
          <w:szCs w:val="20"/>
          <w:lang w:eastAsia="en-US"/>
        </w:rPr>
        <w:t xml:space="preserve"> to inquire into </w:t>
      </w:r>
      <w:r>
        <w:rPr>
          <w:rFonts w:eastAsia="Arial Unicode MS"/>
          <w:szCs w:val="20"/>
          <w:lang w:eastAsia="en-US"/>
        </w:rPr>
        <w:t xml:space="preserve">public interest </w:t>
      </w:r>
      <w:r w:rsidRPr="00536275">
        <w:rPr>
          <w:rFonts w:eastAsia="Arial Unicode MS"/>
          <w:szCs w:val="20"/>
          <w:lang w:eastAsia="en-US"/>
        </w:rPr>
        <w:t xml:space="preserve">disclosures to the extent </w:t>
      </w:r>
      <w:r>
        <w:rPr>
          <w:rFonts w:eastAsia="Arial Unicode MS"/>
          <w:szCs w:val="20"/>
          <w:lang w:eastAsia="en-US"/>
        </w:rPr>
        <w:t xml:space="preserve">that these relate </w:t>
      </w:r>
      <w:r w:rsidRPr="00536275">
        <w:rPr>
          <w:rFonts w:eastAsia="Arial Unicode MS"/>
          <w:szCs w:val="20"/>
          <w:lang w:eastAsia="en-US"/>
        </w:rPr>
        <w:t>to alleged breaches of the Code.</w:t>
      </w:r>
      <w:r>
        <w:rPr>
          <w:rFonts w:eastAsia="Arial Unicode MS"/>
          <w:szCs w:val="20"/>
          <w:lang w:eastAsia="en-US"/>
        </w:rPr>
        <w:t xml:space="preserve"> This </w:t>
      </w:r>
      <w:r w:rsidR="0076458B">
        <w:rPr>
          <w:rFonts w:eastAsia="Arial Unicode MS"/>
          <w:szCs w:val="20"/>
          <w:lang w:eastAsia="en-US"/>
        </w:rPr>
        <w:t xml:space="preserve">is </w:t>
      </w:r>
      <w:r>
        <w:rPr>
          <w:rFonts w:eastAsia="Arial Unicode MS"/>
          <w:szCs w:val="20"/>
          <w:lang w:eastAsia="en-US"/>
        </w:rPr>
        <w:t xml:space="preserve">to ensure that the </w:t>
      </w:r>
      <w:proofErr w:type="spellStart"/>
      <w:r>
        <w:rPr>
          <w:rFonts w:eastAsia="Arial Unicode MS"/>
          <w:szCs w:val="20"/>
          <w:lang w:eastAsia="en-US"/>
        </w:rPr>
        <w:t>PID</w:t>
      </w:r>
      <w:proofErr w:type="spellEnd"/>
      <w:r>
        <w:rPr>
          <w:rFonts w:eastAsia="Arial Unicode MS"/>
          <w:szCs w:val="20"/>
          <w:lang w:eastAsia="en-US"/>
        </w:rPr>
        <w:t xml:space="preserve"> Act and </w:t>
      </w:r>
      <w:proofErr w:type="spellStart"/>
      <w:r>
        <w:rPr>
          <w:rFonts w:eastAsia="Arial Unicode MS"/>
          <w:szCs w:val="20"/>
          <w:lang w:eastAsia="en-US"/>
        </w:rPr>
        <w:t>PID</w:t>
      </w:r>
      <w:proofErr w:type="spellEnd"/>
      <w:r>
        <w:rPr>
          <w:rFonts w:eastAsia="Arial Unicode MS"/>
          <w:szCs w:val="20"/>
          <w:lang w:eastAsia="en-US"/>
        </w:rPr>
        <w:t xml:space="preserve"> Consequential Act </w:t>
      </w:r>
      <w:r w:rsidR="0076458B">
        <w:rPr>
          <w:rFonts w:eastAsia="Arial Unicode MS"/>
          <w:szCs w:val="20"/>
          <w:lang w:eastAsia="en-US"/>
        </w:rPr>
        <w:t xml:space="preserve">do </w:t>
      </w:r>
      <w:r>
        <w:rPr>
          <w:rFonts w:eastAsia="Arial Unicode MS"/>
          <w:szCs w:val="20"/>
          <w:lang w:eastAsia="en-US"/>
        </w:rPr>
        <w:t xml:space="preserve">not curtail the existing jurisdiction of the Commissioner, and to provide an avenue for the consideration of disclosures relating to the Code by the Commissioner as an independent, expert authority on Code matters. </w:t>
      </w:r>
    </w:p>
    <w:p w14:paraId="53A6FF47" w14:textId="035875F9" w:rsidR="006772DB" w:rsidRDefault="006772DB" w:rsidP="006772DB">
      <w:pPr>
        <w:spacing w:before="100" w:after="40"/>
        <w:rPr>
          <w:rFonts w:eastAsia="Arial Unicode MS"/>
          <w:szCs w:val="20"/>
          <w:lang w:eastAsia="en-US"/>
        </w:rPr>
      </w:pPr>
      <w:r>
        <w:rPr>
          <w:rFonts w:eastAsia="Arial Unicode MS"/>
          <w:szCs w:val="20"/>
          <w:lang w:eastAsia="en-US"/>
        </w:rPr>
        <w:t xml:space="preserve">It is envisaged that if the Commissioner receives a disclosure that does not fall within the </w:t>
      </w:r>
      <w:proofErr w:type="spellStart"/>
      <w:r>
        <w:rPr>
          <w:rFonts w:eastAsia="Arial Unicode MS"/>
          <w:szCs w:val="20"/>
          <w:lang w:eastAsia="en-US"/>
        </w:rPr>
        <w:t>subregulations</w:t>
      </w:r>
      <w:proofErr w:type="spellEnd"/>
      <w:r>
        <w:rPr>
          <w:rFonts w:eastAsia="Arial Unicode MS"/>
          <w:szCs w:val="20"/>
          <w:lang w:eastAsia="en-US"/>
        </w:rPr>
        <w:t xml:space="preserve"> 6.1B(2) or 6.1B(3) he would allocate the disclosure to the appropriate agency in accordance with the </w:t>
      </w:r>
      <w:proofErr w:type="spellStart"/>
      <w:r>
        <w:rPr>
          <w:rFonts w:eastAsia="Arial Unicode MS"/>
          <w:szCs w:val="20"/>
          <w:lang w:eastAsia="en-US"/>
        </w:rPr>
        <w:t>PID</w:t>
      </w:r>
      <w:proofErr w:type="spellEnd"/>
      <w:r>
        <w:rPr>
          <w:rFonts w:eastAsia="Arial Unicode MS"/>
          <w:szCs w:val="20"/>
          <w:lang w:eastAsia="en-US"/>
        </w:rPr>
        <w:t xml:space="preserve"> Act.</w:t>
      </w:r>
    </w:p>
    <w:p w14:paraId="53A6FF48" w14:textId="77777777" w:rsidR="006772DB" w:rsidRDefault="0076458B"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6.1B(1) provide</w:t>
      </w:r>
      <w:r>
        <w:rPr>
          <w:rFonts w:eastAsia="Arial Unicode MS"/>
          <w:szCs w:val="20"/>
          <w:lang w:eastAsia="en-US"/>
        </w:rPr>
        <w:t>s</w:t>
      </w:r>
      <w:r w:rsidR="006772DB">
        <w:rPr>
          <w:rFonts w:eastAsia="Arial Unicode MS"/>
          <w:szCs w:val="20"/>
          <w:lang w:eastAsia="en-US"/>
        </w:rPr>
        <w:t xml:space="preserve"> in respect of the general application of regulation 6.1B.</w:t>
      </w:r>
      <w:r w:rsidR="00D1715E">
        <w:rPr>
          <w:rFonts w:eastAsia="Arial Unicode MS"/>
          <w:szCs w:val="20"/>
          <w:lang w:eastAsia="en-US"/>
        </w:rPr>
        <w:t xml:space="preserve"> </w:t>
      </w:r>
      <w:r w:rsidR="006772DB">
        <w:rPr>
          <w:rFonts w:eastAsia="Arial Unicode MS"/>
          <w:szCs w:val="20"/>
          <w:lang w:eastAsia="en-US"/>
        </w:rPr>
        <w:t>It restates the Commissioner’s inquiry power in paragraph 41(2)(o) and provides that the term ‘</w:t>
      </w:r>
      <w:r w:rsidR="006772DB" w:rsidRPr="001A5686">
        <w:rPr>
          <w:rFonts w:eastAsia="Arial Unicode MS"/>
          <w:i/>
          <w:szCs w:val="20"/>
          <w:lang w:eastAsia="en-US"/>
        </w:rPr>
        <w:t>the disclosure</w:t>
      </w:r>
      <w:r w:rsidR="006772DB" w:rsidRPr="0059223D">
        <w:rPr>
          <w:rFonts w:eastAsia="Arial Unicode MS"/>
          <w:szCs w:val="20"/>
          <w:lang w:eastAsia="en-US"/>
        </w:rPr>
        <w:t>’</w:t>
      </w:r>
      <w:r w:rsidR="006772DB">
        <w:rPr>
          <w:rFonts w:eastAsia="Arial Unicode MS"/>
          <w:szCs w:val="20"/>
          <w:lang w:eastAsia="en-US"/>
        </w:rPr>
        <w:t xml:space="preserve"> is adopted throughout the regulation. </w:t>
      </w:r>
    </w:p>
    <w:p w14:paraId="53A6FF49" w14:textId="77777777" w:rsidR="006772DB" w:rsidRDefault="0076458B"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6.1B(2) provide</w:t>
      </w:r>
      <w:r>
        <w:rPr>
          <w:rFonts w:eastAsia="Arial Unicode MS"/>
          <w:szCs w:val="20"/>
          <w:lang w:eastAsia="en-US"/>
        </w:rPr>
        <w:t>s</w:t>
      </w:r>
      <w:r w:rsidR="006772DB">
        <w:rPr>
          <w:rFonts w:eastAsia="Arial Unicode MS"/>
          <w:szCs w:val="20"/>
          <w:lang w:eastAsia="en-US"/>
        </w:rPr>
        <w:t xml:space="preserve"> that the Commissioner may inquire into the disclosure if the Commissioner is satisfied that it would be inappropriate for the discloser to make the disclosure to an agency head.</w:t>
      </w:r>
    </w:p>
    <w:p w14:paraId="53A6FF4A" w14:textId="77777777" w:rsidR="006772DB" w:rsidRDefault="0076458B"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6.1B(3) provide</w:t>
      </w:r>
      <w:r>
        <w:rPr>
          <w:rFonts w:eastAsia="Arial Unicode MS"/>
          <w:szCs w:val="20"/>
          <w:lang w:eastAsia="en-US"/>
        </w:rPr>
        <w:t>s</w:t>
      </w:r>
      <w:r w:rsidR="006772DB">
        <w:rPr>
          <w:rFonts w:eastAsia="Arial Unicode MS"/>
          <w:szCs w:val="20"/>
          <w:lang w:eastAsia="en-US"/>
        </w:rPr>
        <w:t xml:space="preserve"> that the Commissioner may inquire into a disclosure if the discloser had made the disclosure to an agency head and was not satisfied with its outcome.</w:t>
      </w:r>
    </w:p>
    <w:p w14:paraId="53A6FF4B"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These two </w:t>
      </w:r>
      <w:proofErr w:type="spellStart"/>
      <w:r>
        <w:rPr>
          <w:rFonts w:eastAsia="Arial Unicode MS"/>
          <w:szCs w:val="20"/>
          <w:lang w:eastAsia="en-US"/>
        </w:rPr>
        <w:t>subregulations</w:t>
      </w:r>
      <w:proofErr w:type="spellEnd"/>
      <w:r>
        <w:rPr>
          <w:rFonts w:eastAsia="Arial Unicode MS"/>
          <w:szCs w:val="20"/>
          <w:lang w:eastAsia="en-US"/>
        </w:rPr>
        <w:t xml:space="preserve"> essentially replicate the circumstances in which the Commissioner would consider inquiring into a </w:t>
      </w:r>
      <w:proofErr w:type="spellStart"/>
      <w:r>
        <w:rPr>
          <w:rFonts w:eastAsia="Arial Unicode MS"/>
          <w:szCs w:val="20"/>
          <w:lang w:eastAsia="en-US"/>
        </w:rPr>
        <w:t>whistleblower</w:t>
      </w:r>
      <w:proofErr w:type="spellEnd"/>
      <w:r>
        <w:rPr>
          <w:rFonts w:eastAsia="Arial Unicode MS"/>
          <w:szCs w:val="20"/>
          <w:lang w:eastAsia="en-US"/>
        </w:rPr>
        <w:t xml:space="preserve"> report under the PS Act whistleblowing framework.</w:t>
      </w:r>
    </w:p>
    <w:p w14:paraId="53A6FF4C" w14:textId="77777777" w:rsidR="006772DB" w:rsidRDefault="0076458B"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6.1B(4) provide</w:t>
      </w:r>
      <w:r>
        <w:rPr>
          <w:rFonts w:eastAsia="Arial Unicode MS"/>
          <w:szCs w:val="20"/>
          <w:lang w:eastAsia="en-US"/>
        </w:rPr>
        <w:t>s</w:t>
      </w:r>
      <w:r w:rsidR="006772DB">
        <w:rPr>
          <w:rFonts w:eastAsia="Arial Unicode MS"/>
          <w:szCs w:val="20"/>
          <w:lang w:eastAsia="en-US"/>
        </w:rPr>
        <w:t xml:space="preserve"> that the Commissioner may decide not to inquire into a disclosure, or inquire further into a disclosure, if he or she concludes that conducting or continuing the inquiry would not be justified in all the circumstances.</w:t>
      </w:r>
    </w:p>
    <w:p w14:paraId="53A6FF4D"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The note under </w:t>
      </w:r>
      <w:proofErr w:type="spellStart"/>
      <w:r>
        <w:rPr>
          <w:rFonts w:eastAsia="Arial Unicode MS"/>
          <w:szCs w:val="20"/>
          <w:lang w:eastAsia="en-US"/>
        </w:rPr>
        <w:t>subregulation</w:t>
      </w:r>
      <w:proofErr w:type="spellEnd"/>
      <w:r>
        <w:rPr>
          <w:rFonts w:eastAsia="Arial Unicode MS"/>
          <w:szCs w:val="20"/>
          <w:lang w:eastAsia="en-US"/>
        </w:rPr>
        <w:t xml:space="preserve"> 6.1B(4) provide</w:t>
      </w:r>
      <w:r w:rsidR="0076458B">
        <w:rPr>
          <w:rFonts w:eastAsia="Arial Unicode MS"/>
          <w:szCs w:val="20"/>
          <w:lang w:eastAsia="en-US"/>
        </w:rPr>
        <w:t>s</w:t>
      </w:r>
      <w:r>
        <w:rPr>
          <w:rFonts w:eastAsia="Arial Unicode MS"/>
          <w:szCs w:val="20"/>
          <w:lang w:eastAsia="en-US"/>
        </w:rPr>
        <w:t xml:space="preserve"> a number of circumstances that could arise which may be considered relevant to an assessment of whether to decline to inquire or to inquire further into a disclosure. The examples given are:</w:t>
      </w:r>
    </w:p>
    <w:p w14:paraId="53A6FF4E" w14:textId="77777777" w:rsidR="006772DB" w:rsidRDefault="006772DB" w:rsidP="006772DB">
      <w:pPr>
        <w:pStyle w:val="ListParagraph"/>
        <w:numPr>
          <w:ilvl w:val="0"/>
          <w:numId w:val="32"/>
        </w:numPr>
        <w:spacing w:before="100" w:after="40"/>
        <w:rPr>
          <w:rFonts w:eastAsia="Arial Unicode MS"/>
          <w:szCs w:val="20"/>
          <w:lang w:eastAsia="en-US"/>
        </w:rPr>
      </w:pPr>
      <w:r>
        <w:rPr>
          <w:rFonts w:eastAsia="Arial Unicode MS"/>
          <w:szCs w:val="20"/>
          <w:lang w:eastAsia="en-US"/>
        </w:rPr>
        <w:t>where the disclosure had been, or was being, considered by the Merit Protection Commissioner;</w:t>
      </w:r>
    </w:p>
    <w:p w14:paraId="53A6FF4F" w14:textId="77777777" w:rsidR="006772DB" w:rsidRDefault="006772DB" w:rsidP="006772DB">
      <w:pPr>
        <w:pStyle w:val="ListParagraph"/>
        <w:numPr>
          <w:ilvl w:val="0"/>
          <w:numId w:val="32"/>
        </w:numPr>
        <w:spacing w:before="100" w:after="40"/>
        <w:rPr>
          <w:rFonts w:eastAsia="Arial Unicode MS"/>
          <w:szCs w:val="20"/>
          <w:lang w:eastAsia="en-US"/>
        </w:rPr>
      </w:pPr>
      <w:r>
        <w:rPr>
          <w:rFonts w:eastAsia="Arial Unicode MS"/>
          <w:szCs w:val="20"/>
          <w:lang w:eastAsia="en-US"/>
        </w:rPr>
        <w:t>where the disclosure would be dealt with more appropriately by another means;</w:t>
      </w:r>
    </w:p>
    <w:p w14:paraId="53A6FF50" w14:textId="77777777" w:rsidR="006772DB" w:rsidRDefault="006772DB" w:rsidP="006772DB">
      <w:pPr>
        <w:pStyle w:val="ListParagraph"/>
        <w:numPr>
          <w:ilvl w:val="0"/>
          <w:numId w:val="32"/>
        </w:numPr>
        <w:spacing w:before="100" w:after="40"/>
        <w:rPr>
          <w:rFonts w:eastAsia="Arial Unicode MS"/>
          <w:szCs w:val="20"/>
          <w:lang w:eastAsia="en-US"/>
        </w:rPr>
      </w:pPr>
      <w:r>
        <w:rPr>
          <w:rFonts w:eastAsia="Arial Unicode MS"/>
          <w:szCs w:val="20"/>
          <w:lang w:eastAsia="en-US"/>
        </w:rPr>
        <w:t>where the disclosure was frivolous, vexatious, misconceived, or lacking in substance;</w:t>
      </w:r>
    </w:p>
    <w:p w14:paraId="53A6FF51" w14:textId="77777777" w:rsidR="006772DB" w:rsidRPr="00DE0690" w:rsidRDefault="006772DB" w:rsidP="006772DB">
      <w:pPr>
        <w:pStyle w:val="ListParagraph"/>
        <w:numPr>
          <w:ilvl w:val="0"/>
          <w:numId w:val="32"/>
        </w:numPr>
        <w:spacing w:before="100" w:after="40"/>
        <w:rPr>
          <w:rFonts w:eastAsia="Arial Unicode MS"/>
          <w:szCs w:val="20"/>
          <w:lang w:eastAsia="en-US"/>
        </w:rPr>
      </w:pPr>
      <w:r>
        <w:rPr>
          <w:rFonts w:eastAsia="Arial Unicode MS"/>
          <w:szCs w:val="20"/>
          <w:lang w:eastAsia="en-US"/>
        </w:rPr>
        <w:t xml:space="preserve">where </w:t>
      </w:r>
      <w:r w:rsidRPr="00DE0690">
        <w:rPr>
          <w:rFonts w:eastAsia="Arial Unicode MS"/>
          <w:szCs w:val="20"/>
          <w:lang w:eastAsia="en-US"/>
        </w:rPr>
        <w:t>the discloser has provided insufficient detail;</w:t>
      </w:r>
    </w:p>
    <w:p w14:paraId="53A6FF52" w14:textId="77777777" w:rsidR="006772DB" w:rsidRPr="00DE0690" w:rsidRDefault="006772DB" w:rsidP="006772DB">
      <w:pPr>
        <w:pStyle w:val="ListParagraph"/>
        <w:numPr>
          <w:ilvl w:val="0"/>
          <w:numId w:val="32"/>
        </w:numPr>
        <w:spacing w:before="100" w:after="40"/>
        <w:rPr>
          <w:rFonts w:eastAsia="Arial Unicode MS"/>
          <w:szCs w:val="20"/>
          <w:lang w:eastAsia="en-US"/>
        </w:rPr>
      </w:pPr>
      <w:r>
        <w:rPr>
          <w:rFonts w:eastAsia="Arial Unicode MS"/>
          <w:szCs w:val="20"/>
          <w:lang w:eastAsia="en-US"/>
        </w:rPr>
        <w:t xml:space="preserve">where </w:t>
      </w:r>
      <w:r w:rsidRPr="00DE0690">
        <w:rPr>
          <w:rFonts w:eastAsia="Arial Unicode MS"/>
          <w:szCs w:val="20"/>
          <w:lang w:eastAsia="en-US"/>
        </w:rPr>
        <w:t xml:space="preserve">the disclosure does not to any extent concern serious </w:t>
      </w:r>
      <w:proofErr w:type="spellStart"/>
      <w:r w:rsidRPr="00DE0690">
        <w:rPr>
          <w:rFonts w:eastAsia="Arial Unicode MS"/>
          <w:szCs w:val="20"/>
          <w:lang w:eastAsia="en-US"/>
        </w:rPr>
        <w:t>disclosable</w:t>
      </w:r>
      <w:proofErr w:type="spellEnd"/>
      <w:r w:rsidRPr="00DE0690">
        <w:rPr>
          <w:rFonts w:eastAsia="Arial Unicode MS"/>
          <w:szCs w:val="20"/>
          <w:lang w:eastAsia="en-US"/>
        </w:rPr>
        <w:t xml:space="preserve"> conduct;</w:t>
      </w:r>
    </w:p>
    <w:p w14:paraId="53A6FF53" w14:textId="77777777" w:rsidR="006772DB" w:rsidRPr="00813796" w:rsidRDefault="006772DB" w:rsidP="006772DB">
      <w:pPr>
        <w:pStyle w:val="ListParagraph"/>
        <w:numPr>
          <w:ilvl w:val="0"/>
          <w:numId w:val="32"/>
        </w:numPr>
        <w:spacing w:before="100" w:after="40"/>
        <w:rPr>
          <w:rFonts w:eastAsia="Arial Unicode MS"/>
          <w:szCs w:val="20"/>
          <w:lang w:eastAsia="en-US"/>
        </w:rPr>
      </w:pPr>
      <w:r>
        <w:rPr>
          <w:rFonts w:eastAsia="Arial Unicode MS"/>
          <w:szCs w:val="20"/>
          <w:lang w:eastAsia="en-US"/>
        </w:rPr>
        <w:t xml:space="preserve">where </w:t>
      </w:r>
      <w:r w:rsidRPr="00DE0690">
        <w:rPr>
          <w:rFonts w:eastAsia="Arial Unicode MS"/>
          <w:szCs w:val="20"/>
          <w:lang w:eastAsia="en-US"/>
        </w:rPr>
        <w:t>it would not be practical to inquire, or inquire further, because the discloser has not consented to the use or disclosure of identifying information about the discloser.</w:t>
      </w:r>
    </w:p>
    <w:p w14:paraId="53A6FF54" w14:textId="77777777" w:rsidR="006772DB" w:rsidRDefault="0076458B" w:rsidP="006772DB">
      <w:pPr>
        <w:spacing w:before="100" w:after="40"/>
        <w:rPr>
          <w:szCs w:val="20"/>
          <w:lang w:eastAsia="en-US"/>
        </w:rPr>
      </w:pPr>
      <w:proofErr w:type="spellStart"/>
      <w:r>
        <w:rPr>
          <w:szCs w:val="20"/>
          <w:lang w:eastAsia="en-US"/>
        </w:rPr>
        <w:t>S</w:t>
      </w:r>
      <w:r w:rsidR="006772DB">
        <w:rPr>
          <w:szCs w:val="20"/>
          <w:lang w:eastAsia="en-US"/>
        </w:rPr>
        <w:t>ubregulation</w:t>
      </w:r>
      <w:proofErr w:type="spellEnd"/>
      <w:r w:rsidR="006772DB">
        <w:rPr>
          <w:szCs w:val="20"/>
          <w:lang w:eastAsia="en-US"/>
        </w:rPr>
        <w:t xml:space="preserve"> 6.1B(5) set</w:t>
      </w:r>
      <w:r>
        <w:rPr>
          <w:szCs w:val="20"/>
          <w:lang w:eastAsia="en-US"/>
        </w:rPr>
        <w:t>s</w:t>
      </w:r>
      <w:r w:rsidR="006772DB">
        <w:rPr>
          <w:szCs w:val="20"/>
          <w:lang w:eastAsia="en-US"/>
        </w:rPr>
        <w:t xml:space="preserve"> out the requirements for the Commissioner when he or she </w:t>
      </w:r>
      <w:proofErr w:type="spellStart"/>
      <w:r w:rsidR="006772DB">
        <w:rPr>
          <w:szCs w:val="20"/>
          <w:lang w:eastAsia="en-US"/>
        </w:rPr>
        <w:t>inquires</w:t>
      </w:r>
      <w:proofErr w:type="spellEnd"/>
      <w:r w:rsidR="006772DB">
        <w:rPr>
          <w:szCs w:val="20"/>
          <w:lang w:eastAsia="en-US"/>
        </w:rPr>
        <w:t xml:space="preserve"> into a disclosure.</w:t>
      </w:r>
    </w:p>
    <w:p w14:paraId="53A6FF55" w14:textId="77777777" w:rsidR="006772DB" w:rsidRPr="00F14E02" w:rsidRDefault="0076458B" w:rsidP="006772DB">
      <w:pPr>
        <w:spacing w:before="100" w:after="40"/>
        <w:rPr>
          <w:szCs w:val="20"/>
          <w:lang w:eastAsia="en-US"/>
        </w:rPr>
      </w:pPr>
      <w:r>
        <w:rPr>
          <w:szCs w:val="20"/>
          <w:lang w:eastAsia="en-US"/>
        </w:rPr>
        <w:t>P</w:t>
      </w:r>
      <w:r w:rsidR="006772DB">
        <w:rPr>
          <w:szCs w:val="20"/>
          <w:lang w:eastAsia="en-US"/>
        </w:rPr>
        <w:t>aragraph 6.1B(5)(a) provide</w:t>
      </w:r>
      <w:r>
        <w:rPr>
          <w:szCs w:val="20"/>
          <w:lang w:eastAsia="en-US"/>
        </w:rPr>
        <w:t>s</w:t>
      </w:r>
      <w:r w:rsidR="006772DB">
        <w:rPr>
          <w:szCs w:val="20"/>
          <w:lang w:eastAsia="en-US"/>
        </w:rPr>
        <w:t xml:space="preserve"> that the Commissioner </w:t>
      </w:r>
      <w:r w:rsidR="00D1715E">
        <w:rPr>
          <w:szCs w:val="20"/>
          <w:lang w:eastAsia="en-US"/>
        </w:rPr>
        <w:t>must</w:t>
      </w:r>
      <w:r w:rsidR="006772DB">
        <w:rPr>
          <w:szCs w:val="20"/>
          <w:lang w:eastAsia="en-US"/>
        </w:rPr>
        <w:t xml:space="preserve"> consider, having regard to all the circumstances, whether to give a person about whom a disclosure has been made an opportunity to be heard in relation to the disclosure.</w:t>
      </w:r>
    </w:p>
    <w:p w14:paraId="53A6FF56" w14:textId="77777777" w:rsidR="006772DB" w:rsidRDefault="0076458B" w:rsidP="006772DB">
      <w:pPr>
        <w:spacing w:before="100" w:after="40"/>
        <w:rPr>
          <w:szCs w:val="20"/>
          <w:lang w:eastAsia="en-US"/>
        </w:rPr>
      </w:pPr>
      <w:r>
        <w:rPr>
          <w:szCs w:val="20"/>
          <w:lang w:eastAsia="en-US"/>
        </w:rPr>
        <w:t>P</w:t>
      </w:r>
      <w:r w:rsidR="006772DB">
        <w:rPr>
          <w:szCs w:val="20"/>
          <w:lang w:eastAsia="en-US"/>
        </w:rPr>
        <w:t>aragraph 6.1B(5)(b) provide</w:t>
      </w:r>
      <w:r>
        <w:rPr>
          <w:szCs w:val="20"/>
          <w:lang w:eastAsia="en-US"/>
        </w:rPr>
        <w:t>s</w:t>
      </w:r>
      <w:r w:rsidR="006772DB">
        <w:rPr>
          <w:szCs w:val="20"/>
          <w:lang w:eastAsia="en-US"/>
        </w:rPr>
        <w:t xml:space="preserve"> that the Commissioner </w:t>
      </w:r>
      <w:r w:rsidR="00D1715E">
        <w:rPr>
          <w:szCs w:val="20"/>
          <w:lang w:eastAsia="en-US"/>
        </w:rPr>
        <w:t>must</w:t>
      </w:r>
      <w:r w:rsidR="006772DB">
        <w:rPr>
          <w:szCs w:val="20"/>
          <w:lang w:eastAsia="en-US"/>
        </w:rPr>
        <w:t xml:space="preserve"> take reasonable steps to report the outcome of the inquiry to the discloser and to the relevant agency head. This requirement appl</w:t>
      </w:r>
      <w:r>
        <w:rPr>
          <w:szCs w:val="20"/>
          <w:lang w:eastAsia="en-US"/>
        </w:rPr>
        <w:t>ies</w:t>
      </w:r>
      <w:r w:rsidR="006772DB">
        <w:rPr>
          <w:szCs w:val="20"/>
          <w:lang w:eastAsia="en-US"/>
        </w:rPr>
        <w:t xml:space="preserve"> in addition to the requirement in subsection 49(3) of the </w:t>
      </w:r>
      <w:proofErr w:type="spellStart"/>
      <w:r w:rsidR="006772DB">
        <w:rPr>
          <w:szCs w:val="20"/>
          <w:lang w:eastAsia="en-US"/>
        </w:rPr>
        <w:t>PID</w:t>
      </w:r>
      <w:proofErr w:type="spellEnd"/>
      <w:r w:rsidR="006772DB">
        <w:rPr>
          <w:szCs w:val="20"/>
          <w:lang w:eastAsia="en-US"/>
        </w:rPr>
        <w:t xml:space="preserve"> Act, which requires an investigative agency, on completion of an investigation of a disclosure under its separate investigative powers, to inform the discloser and the principal officer of each agency to which the suspected </w:t>
      </w:r>
      <w:proofErr w:type="spellStart"/>
      <w:r w:rsidR="006772DB">
        <w:rPr>
          <w:szCs w:val="20"/>
          <w:lang w:eastAsia="en-US"/>
        </w:rPr>
        <w:t>disclosable</w:t>
      </w:r>
      <w:proofErr w:type="spellEnd"/>
      <w:r w:rsidR="006772DB">
        <w:rPr>
          <w:szCs w:val="20"/>
          <w:lang w:eastAsia="en-US"/>
        </w:rPr>
        <w:t xml:space="preserve"> conduct relates that the investigation is complete.</w:t>
      </w:r>
    </w:p>
    <w:p w14:paraId="53A6FF57" w14:textId="77777777" w:rsidR="006772DB" w:rsidRDefault="006772DB" w:rsidP="006772DB">
      <w:pPr>
        <w:spacing w:before="100" w:after="40"/>
        <w:rPr>
          <w:szCs w:val="20"/>
          <w:lang w:eastAsia="en-US"/>
        </w:rPr>
      </w:pPr>
      <w:r>
        <w:rPr>
          <w:szCs w:val="20"/>
          <w:lang w:eastAsia="en-US"/>
        </w:rPr>
        <w:t>A note under paragraph 6.1B(5)(b) provide</w:t>
      </w:r>
      <w:r w:rsidR="005A2874">
        <w:rPr>
          <w:szCs w:val="20"/>
          <w:lang w:eastAsia="en-US"/>
        </w:rPr>
        <w:t>s</w:t>
      </w:r>
      <w:r>
        <w:rPr>
          <w:szCs w:val="20"/>
          <w:lang w:eastAsia="en-US"/>
        </w:rPr>
        <w:t xml:space="preserve"> that the Commissioner is authorised (in accordance with section 72A of the PS Act) to make a record of, disclose, or otherwise use certain information for the purposes of, or in connection with, the performance of his or her functions, and that inquiring into disclosures is a function of the Commissioner. The note also provide</w:t>
      </w:r>
      <w:r w:rsidR="005A2874">
        <w:rPr>
          <w:szCs w:val="20"/>
          <w:lang w:eastAsia="en-US"/>
        </w:rPr>
        <w:t>s</w:t>
      </w:r>
      <w:r>
        <w:rPr>
          <w:szCs w:val="20"/>
          <w:lang w:eastAsia="en-US"/>
        </w:rPr>
        <w:t xml:space="preserve"> that if the Commissioner </w:t>
      </w:r>
      <w:r w:rsidRPr="007D7732">
        <w:rPr>
          <w:szCs w:val="20"/>
          <w:lang w:eastAsia="en-US"/>
        </w:rPr>
        <w:t>gives a person about whom a disclosure has been made an opportunity to be heard in relation to the disclosure, the Commissioner may give the person information identifying the discloser to the extent the Commissioner considers appropriate in the circumstances.</w:t>
      </w:r>
      <w:r>
        <w:rPr>
          <w:szCs w:val="20"/>
          <w:lang w:eastAsia="en-US"/>
        </w:rPr>
        <w:t xml:space="preserve"> This acknowledges the fact that it is not always possible to afford the right to be heard to a person against whom allegations have been made without disclosing or otherwise making known the identity of the person who has made the disclosure. The note </w:t>
      </w:r>
      <w:r w:rsidR="005A2874">
        <w:rPr>
          <w:szCs w:val="20"/>
          <w:lang w:eastAsia="en-US"/>
        </w:rPr>
        <w:t xml:space="preserve">is </w:t>
      </w:r>
      <w:r>
        <w:rPr>
          <w:szCs w:val="20"/>
          <w:lang w:eastAsia="en-US"/>
        </w:rPr>
        <w:t>also intended to provide assurance that the disclosure is ‘for the purposes of a law of the Commonwealth’, for subparagraph 20(3)(d)(</w:t>
      </w:r>
      <w:proofErr w:type="spellStart"/>
      <w:r>
        <w:rPr>
          <w:szCs w:val="20"/>
          <w:lang w:eastAsia="en-US"/>
        </w:rPr>
        <w:t>i</w:t>
      </w:r>
      <w:proofErr w:type="spellEnd"/>
      <w:r>
        <w:rPr>
          <w:szCs w:val="20"/>
          <w:lang w:eastAsia="en-US"/>
        </w:rPr>
        <w:t xml:space="preserve">) of the </w:t>
      </w:r>
      <w:proofErr w:type="spellStart"/>
      <w:r>
        <w:rPr>
          <w:szCs w:val="20"/>
          <w:lang w:eastAsia="en-US"/>
        </w:rPr>
        <w:t>PID</w:t>
      </w:r>
      <w:proofErr w:type="spellEnd"/>
      <w:r>
        <w:rPr>
          <w:szCs w:val="20"/>
          <w:lang w:eastAsia="en-US"/>
        </w:rPr>
        <w:t xml:space="preserve"> Act.</w:t>
      </w:r>
    </w:p>
    <w:p w14:paraId="53A6FF58" w14:textId="77777777" w:rsidR="006772DB" w:rsidRPr="00334072" w:rsidRDefault="006772DB" w:rsidP="006772DB">
      <w:pPr>
        <w:spacing w:before="100" w:after="40"/>
        <w:rPr>
          <w:b/>
          <w:szCs w:val="20"/>
          <w:lang w:eastAsia="en-US"/>
        </w:rPr>
      </w:pPr>
      <w:r w:rsidRPr="00334072">
        <w:rPr>
          <w:b/>
          <w:szCs w:val="20"/>
          <w:lang w:eastAsia="en-US"/>
        </w:rPr>
        <w:t xml:space="preserve">Item [4]—Repeal of note under </w:t>
      </w:r>
      <w:proofErr w:type="spellStart"/>
      <w:r w:rsidRPr="00334072">
        <w:rPr>
          <w:b/>
          <w:szCs w:val="20"/>
          <w:lang w:eastAsia="en-US"/>
        </w:rPr>
        <w:t>subregulation</w:t>
      </w:r>
      <w:proofErr w:type="spellEnd"/>
      <w:r w:rsidRPr="00334072">
        <w:rPr>
          <w:b/>
          <w:szCs w:val="20"/>
          <w:lang w:eastAsia="en-US"/>
        </w:rPr>
        <w:t xml:space="preserve"> 7.1(3)</w:t>
      </w:r>
    </w:p>
    <w:p w14:paraId="53A6FF59" w14:textId="77777777" w:rsidR="006772DB" w:rsidRDefault="006772DB" w:rsidP="006772DB">
      <w:pPr>
        <w:spacing w:before="100" w:after="40"/>
        <w:rPr>
          <w:szCs w:val="20"/>
          <w:lang w:eastAsia="en-US"/>
        </w:rPr>
      </w:pPr>
      <w:r>
        <w:rPr>
          <w:szCs w:val="20"/>
          <w:lang w:eastAsia="en-US"/>
        </w:rPr>
        <w:t>This item repeal</w:t>
      </w:r>
      <w:r w:rsidR="005A2874">
        <w:rPr>
          <w:szCs w:val="20"/>
          <w:lang w:eastAsia="en-US"/>
        </w:rPr>
        <w:t>s</w:t>
      </w:r>
      <w:r>
        <w:rPr>
          <w:szCs w:val="20"/>
          <w:lang w:eastAsia="en-US"/>
        </w:rPr>
        <w:t xml:space="preserve"> the note under </w:t>
      </w:r>
      <w:proofErr w:type="spellStart"/>
      <w:r>
        <w:rPr>
          <w:szCs w:val="20"/>
          <w:lang w:eastAsia="en-US"/>
        </w:rPr>
        <w:t>subregulation</w:t>
      </w:r>
      <w:proofErr w:type="spellEnd"/>
      <w:r>
        <w:rPr>
          <w:szCs w:val="20"/>
          <w:lang w:eastAsia="en-US"/>
        </w:rPr>
        <w:t xml:space="preserve"> 7.1(3) of the Principal Regulations. The note relates to the </w:t>
      </w:r>
      <w:proofErr w:type="spellStart"/>
      <w:r>
        <w:rPr>
          <w:szCs w:val="20"/>
          <w:lang w:eastAsia="en-US"/>
        </w:rPr>
        <w:t>MPC’s</w:t>
      </w:r>
      <w:proofErr w:type="spellEnd"/>
      <w:r>
        <w:rPr>
          <w:szCs w:val="20"/>
          <w:lang w:eastAsia="en-US"/>
        </w:rPr>
        <w:t xml:space="preserve"> functions in relation to </w:t>
      </w:r>
      <w:proofErr w:type="spellStart"/>
      <w:r>
        <w:rPr>
          <w:szCs w:val="20"/>
          <w:lang w:eastAsia="en-US"/>
        </w:rPr>
        <w:t>whistleblower</w:t>
      </w:r>
      <w:proofErr w:type="spellEnd"/>
      <w:r>
        <w:rPr>
          <w:szCs w:val="20"/>
          <w:lang w:eastAsia="en-US"/>
        </w:rPr>
        <w:t xml:space="preserve"> reports and will be obsolete given the repeal of the APS </w:t>
      </w:r>
      <w:proofErr w:type="spellStart"/>
      <w:r>
        <w:rPr>
          <w:szCs w:val="20"/>
          <w:lang w:eastAsia="en-US"/>
        </w:rPr>
        <w:t>whistleblower</w:t>
      </w:r>
      <w:proofErr w:type="spellEnd"/>
      <w:r>
        <w:rPr>
          <w:szCs w:val="20"/>
          <w:lang w:eastAsia="en-US"/>
        </w:rPr>
        <w:t xml:space="preserve"> framework.</w:t>
      </w:r>
    </w:p>
    <w:p w14:paraId="53A6FF5A" w14:textId="77777777" w:rsidR="006772DB" w:rsidRPr="005507F0" w:rsidRDefault="006772DB" w:rsidP="006772DB">
      <w:pPr>
        <w:spacing w:before="100" w:after="40"/>
        <w:rPr>
          <w:b/>
          <w:szCs w:val="20"/>
          <w:lang w:eastAsia="en-US"/>
        </w:rPr>
      </w:pPr>
      <w:r w:rsidRPr="005507F0">
        <w:rPr>
          <w:b/>
          <w:szCs w:val="20"/>
          <w:lang w:eastAsia="en-US"/>
        </w:rPr>
        <w:t>Item [5]—Insertion of regulation 7.1A</w:t>
      </w:r>
    </w:p>
    <w:p w14:paraId="53A6FF5B" w14:textId="77777777" w:rsidR="006772DB" w:rsidRDefault="006772DB" w:rsidP="006772DB">
      <w:pPr>
        <w:spacing w:before="100" w:after="40"/>
        <w:rPr>
          <w:rFonts w:eastAsia="Arial Unicode MS"/>
          <w:szCs w:val="20"/>
          <w:lang w:eastAsia="en-US"/>
        </w:rPr>
      </w:pPr>
      <w:r>
        <w:rPr>
          <w:rFonts w:eastAsia="Arial Unicode MS"/>
          <w:szCs w:val="20"/>
          <w:lang w:eastAsia="en-US"/>
        </w:rPr>
        <w:t>This item insert</w:t>
      </w:r>
      <w:r w:rsidR="005A2874">
        <w:rPr>
          <w:rFonts w:eastAsia="Arial Unicode MS"/>
          <w:szCs w:val="20"/>
          <w:lang w:eastAsia="en-US"/>
        </w:rPr>
        <w:t>s</w:t>
      </w:r>
      <w:r>
        <w:rPr>
          <w:rFonts w:eastAsia="Arial Unicode MS"/>
          <w:szCs w:val="20"/>
          <w:lang w:eastAsia="en-US"/>
        </w:rPr>
        <w:t xml:space="preserve"> a new regulation after regulation 7.1 of the Principal Regulations.</w:t>
      </w:r>
    </w:p>
    <w:p w14:paraId="53A6FF5C" w14:textId="77777777" w:rsidR="006772DB" w:rsidRDefault="005A2874" w:rsidP="006772DB">
      <w:pPr>
        <w:spacing w:before="100" w:after="40"/>
        <w:rPr>
          <w:rFonts w:eastAsia="Arial Unicode MS"/>
          <w:szCs w:val="20"/>
          <w:lang w:eastAsia="en-US"/>
        </w:rPr>
      </w:pPr>
      <w:r>
        <w:rPr>
          <w:rFonts w:eastAsia="Arial Unicode MS"/>
          <w:szCs w:val="20"/>
          <w:lang w:eastAsia="en-US"/>
        </w:rPr>
        <w:t>R</w:t>
      </w:r>
      <w:r w:rsidR="006772DB">
        <w:rPr>
          <w:rFonts w:eastAsia="Arial Unicode MS"/>
          <w:szCs w:val="20"/>
          <w:lang w:eastAsia="en-US"/>
        </w:rPr>
        <w:t>egulation 7.1A provide</w:t>
      </w:r>
      <w:r>
        <w:rPr>
          <w:rFonts w:eastAsia="Arial Unicode MS"/>
          <w:szCs w:val="20"/>
          <w:lang w:eastAsia="en-US"/>
        </w:rPr>
        <w:t>s</w:t>
      </w:r>
      <w:r w:rsidR="006772DB">
        <w:rPr>
          <w:rFonts w:eastAsia="Arial Unicode MS"/>
          <w:szCs w:val="20"/>
          <w:lang w:eastAsia="en-US"/>
        </w:rPr>
        <w:t xml:space="preserve"> for certain matters related to the </w:t>
      </w:r>
      <w:proofErr w:type="spellStart"/>
      <w:r w:rsidR="006772DB">
        <w:rPr>
          <w:rFonts w:eastAsia="Arial Unicode MS"/>
          <w:szCs w:val="20"/>
          <w:lang w:eastAsia="en-US"/>
        </w:rPr>
        <w:t>MPC’s</w:t>
      </w:r>
      <w:proofErr w:type="spellEnd"/>
      <w:r w:rsidR="006772DB">
        <w:rPr>
          <w:rFonts w:eastAsia="Arial Unicode MS"/>
          <w:szCs w:val="20"/>
          <w:lang w:eastAsia="en-US"/>
        </w:rPr>
        <w:t xml:space="preserve"> new function to inquire into ‘</w:t>
      </w:r>
      <w:r w:rsidR="006772DB" w:rsidRPr="006B68B2">
        <w:rPr>
          <w:rFonts w:eastAsia="Arial Unicode MS"/>
          <w:i/>
          <w:szCs w:val="20"/>
          <w:lang w:eastAsia="en-US"/>
        </w:rPr>
        <w:t>public interest disclosures</w:t>
      </w:r>
      <w:r w:rsidR="006772DB" w:rsidRPr="0059223D">
        <w:rPr>
          <w:rFonts w:eastAsia="Arial Unicode MS"/>
          <w:szCs w:val="20"/>
          <w:lang w:eastAsia="en-US"/>
        </w:rPr>
        <w:t>’</w:t>
      </w:r>
      <w:r w:rsidR="006772DB">
        <w:rPr>
          <w:rFonts w:eastAsia="Arial Unicode MS"/>
          <w:szCs w:val="20"/>
          <w:lang w:eastAsia="en-US"/>
        </w:rPr>
        <w:t xml:space="preserve"> that relate to alleged breaches of the Code of Conduct. The </w:t>
      </w:r>
      <w:proofErr w:type="spellStart"/>
      <w:r w:rsidR="006772DB">
        <w:rPr>
          <w:rFonts w:eastAsia="Arial Unicode MS"/>
          <w:szCs w:val="20"/>
          <w:lang w:eastAsia="en-US"/>
        </w:rPr>
        <w:t>MPC’s</w:t>
      </w:r>
      <w:proofErr w:type="spellEnd"/>
      <w:r w:rsidR="006772DB">
        <w:rPr>
          <w:rFonts w:eastAsia="Arial Unicode MS"/>
          <w:szCs w:val="20"/>
          <w:lang w:eastAsia="en-US"/>
        </w:rPr>
        <w:t xml:space="preserve"> function in paragraph 50(1)(a) of the PS Act is in identical terms to that of the Commissioner in paragraph 41(2)(o) and regulation 7.1A is in similar terms as regulation 6.1B.</w:t>
      </w:r>
    </w:p>
    <w:p w14:paraId="53A6FF5D"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The </w:t>
      </w:r>
      <w:proofErr w:type="spellStart"/>
      <w:r>
        <w:rPr>
          <w:rFonts w:eastAsia="Arial Unicode MS"/>
          <w:szCs w:val="20"/>
          <w:lang w:eastAsia="en-US"/>
        </w:rPr>
        <w:t>MPC’s</w:t>
      </w:r>
      <w:proofErr w:type="spellEnd"/>
      <w:r>
        <w:rPr>
          <w:rFonts w:eastAsia="Arial Unicode MS"/>
          <w:szCs w:val="20"/>
          <w:lang w:eastAsia="en-US"/>
        </w:rPr>
        <w:t xml:space="preserve"> inquiry function operate</w:t>
      </w:r>
      <w:r w:rsidR="005A2874">
        <w:rPr>
          <w:rFonts w:eastAsia="Arial Unicode MS"/>
          <w:szCs w:val="20"/>
          <w:lang w:eastAsia="en-US"/>
        </w:rPr>
        <w:t>s</w:t>
      </w:r>
      <w:r>
        <w:rPr>
          <w:rFonts w:eastAsia="Arial Unicode MS"/>
          <w:szCs w:val="20"/>
          <w:lang w:eastAsia="en-US"/>
        </w:rPr>
        <w:t xml:space="preserve"> independently of the </w:t>
      </w:r>
      <w:proofErr w:type="spellStart"/>
      <w:r>
        <w:rPr>
          <w:rFonts w:eastAsia="Arial Unicode MS"/>
          <w:szCs w:val="20"/>
          <w:lang w:eastAsia="en-US"/>
        </w:rPr>
        <w:t>PID</w:t>
      </w:r>
      <w:proofErr w:type="spellEnd"/>
      <w:r>
        <w:rPr>
          <w:rFonts w:eastAsia="Arial Unicode MS"/>
          <w:szCs w:val="20"/>
          <w:lang w:eastAsia="en-US"/>
        </w:rPr>
        <w:t xml:space="preserve"> Act.</w:t>
      </w:r>
      <w:r w:rsidR="00D1715E">
        <w:rPr>
          <w:rFonts w:eastAsia="Arial Unicode MS"/>
          <w:szCs w:val="20"/>
          <w:lang w:eastAsia="en-US"/>
        </w:rPr>
        <w:t xml:space="preserve"> </w:t>
      </w:r>
      <w:r>
        <w:rPr>
          <w:rFonts w:eastAsia="Arial Unicode MS"/>
          <w:szCs w:val="20"/>
          <w:lang w:eastAsia="en-US"/>
        </w:rPr>
        <w:t xml:space="preserve">It is proposed that the </w:t>
      </w:r>
      <w:proofErr w:type="spellStart"/>
      <w:r>
        <w:rPr>
          <w:rFonts w:eastAsia="Arial Unicode MS"/>
          <w:szCs w:val="20"/>
          <w:lang w:eastAsia="en-US"/>
        </w:rPr>
        <w:t>MPC</w:t>
      </w:r>
      <w:proofErr w:type="spellEnd"/>
      <w:r>
        <w:rPr>
          <w:rFonts w:eastAsia="Arial Unicode MS"/>
          <w:szCs w:val="20"/>
          <w:lang w:eastAsia="en-US"/>
        </w:rPr>
        <w:t xml:space="preserve"> will be prescribed by the </w:t>
      </w:r>
      <w:proofErr w:type="spellStart"/>
      <w:r>
        <w:rPr>
          <w:rFonts w:eastAsia="Arial Unicode MS"/>
          <w:szCs w:val="20"/>
          <w:lang w:eastAsia="en-US"/>
        </w:rPr>
        <w:t>PID</w:t>
      </w:r>
      <w:proofErr w:type="spellEnd"/>
      <w:r>
        <w:rPr>
          <w:rFonts w:eastAsia="Arial Unicode MS"/>
          <w:szCs w:val="20"/>
          <w:lang w:eastAsia="en-US"/>
        </w:rPr>
        <w:t xml:space="preserve"> Rules to be an ‘investigative agency’.</w:t>
      </w:r>
      <w:r w:rsidR="00D1715E">
        <w:rPr>
          <w:rFonts w:eastAsia="Arial Unicode MS"/>
          <w:szCs w:val="20"/>
          <w:lang w:eastAsia="en-US"/>
        </w:rPr>
        <w:t xml:space="preserve"> </w:t>
      </w:r>
      <w:r>
        <w:rPr>
          <w:rFonts w:eastAsia="Arial Unicode MS"/>
          <w:szCs w:val="20"/>
          <w:lang w:eastAsia="en-US"/>
        </w:rPr>
        <w:t xml:space="preserve">Under section 49 of the </w:t>
      </w:r>
      <w:proofErr w:type="spellStart"/>
      <w:r>
        <w:rPr>
          <w:rFonts w:eastAsia="Arial Unicode MS"/>
          <w:szCs w:val="20"/>
          <w:lang w:eastAsia="en-US"/>
        </w:rPr>
        <w:t>PID</w:t>
      </w:r>
      <w:proofErr w:type="spellEnd"/>
      <w:r>
        <w:rPr>
          <w:rFonts w:eastAsia="Arial Unicode MS"/>
          <w:szCs w:val="20"/>
          <w:lang w:eastAsia="en-US"/>
        </w:rPr>
        <w:t xml:space="preserve"> Act, an investigative agency that has a separate investigative power may decide to investigate a public interest disclosure under its separate investigative powers rather than under the </w:t>
      </w:r>
      <w:proofErr w:type="spellStart"/>
      <w:r>
        <w:rPr>
          <w:rFonts w:eastAsia="Arial Unicode MS"/>
          <w:szCs w:val="20"/>
          <w:lang w:eastAsia="en-US"/>
        </w:rPr>
        <w:t>PID</w:t>
      </w:r>
      <w:proofErr w:type="spellEnd"/>
      <w:r>
        <w:rPr>
          <w:rFonts w:eastAsia="Arial Unicode MS"/>
          <w:szCs w:val="20"/>
          <w:lang w:eastAsia="en-US"/>
        </w:rPr>
        <w:t xml:space="preserve"> Act.</w:t>
      </w:r>
      <w:r w:rsidR="00D1715E">
        <w:rPr>
          <w:rFonts w:eastAsia="Arial Unicode MS"/>
          <w:szCs w:val="20"/>
          <w:lang w:eastAsia="en-US"/>
        </w:rPr>
        <w:t xml:space="preserve"> </w:t>
      </w:r>
      <w:r>
        <w:rPr>
          <w:rFonts w:eastAsia="Arial Unicode MS"/>
          <w:szCs w:val="20"/>
          <w:lang w:eastAsia="en-US"/>
        </w:rPr>
        <w:t xml:space="preserve">Accordingly, the </w:t>
      </w:r>
      <w:proofErr w:type="spellStart"/>
      <w:r>
        <w:rPr>
          <w:rFonts w:eastAsia="Arial Unicode MS"/>
          <w:szCs w:val="20"/>
          <w:lang w:eastAsia="en-US"/>
        </w:rPr>
        <w:t>MPC</w:t>
      </w:r>
      <w:proofErr w:type="spellEnd"/>
      <w:r>
        <w:rPr>
          <w:rFonts w:eastAsia="Arial Unicode MS"/>
          <w:szCs w:val="20"/>
          <w:lang w:eastAsia="en-US"/>
        </w:rPr>
        <w:t xml:space="preserve"> </w:t>
      </w:r>
      <w:r w:rsidR="005A2874">
        <w:rPr>
          <w:rFonts w:eastAsia="Arial Unicode MS"/>
          <w:szCs w:val="20"/>
          <w:lang w:eastAsia="en-US"/>
        </w:rPr>
        <w:t xml:space="preserve">may </w:t>
      </w:r>
      <w:r>
        <w:rPr>
          <w:rFonts w:eastAsia="Arial Unicode MS"/>
          <w:szCs w:val="20"/>
          <w:lang w:eastAsia="en-US"/>
        </w:rPr>
        <w:t xml:space="preserve">inquire into certain public interest disclosures in accordance with the provisions of new paragraph 50(1)(a) of the PS Act and </w:t>
      </w:r>
      <w:r w:rsidR="005A2874">
        <w:rPr>
          <w:rFonts w:eastAsia="Arial Unicode MS"/>
          <w:szCs w:val="20"/>
          <w:lang w:eastAsia="en-US"/>
        </w:rPr>
        <w:t xml:space="preserve">new </w:t>
      </w:r>
      <w:r>
        <w:rPr>
          <w:rFonts w:eastAsia="Arial Unicode MS"/>
          <w:szCs w:val="20"/>
          <w:lang w:eastAsia="en-US"/>
        </w:rPr>
        <w:t xml:space="preserve">regulation 7.1A, rather than in accordance with Part 3 of the </w:t>
      </w:r>
      <w:proofErr w:type="spellStart"/>
      <w:r>
        <w:rPr>
          <w:rFonts w:eastAsia="Arial Unicode MS"/>
          <w:szCs w:val="20"/>
          <w:lang w:eastAsia="en-US"/>
        </w:rPr>
        <w:t>PID</w:t>
      </w:r>
      <w:proofErr w:type="spellEnd"/>
      <w:r>
        <w:rPr>
          <w:rFonts w:eastAsia="Arial Unicode MS"/>
          <w:szCs w:val="20"/>
          <w:lang w:eastAsia="en-US"/>
        </w:rPr>
        <w:t xml:space="preserve"> Act, after deciding for the purposes of section 49 of the </w:t>
      </w:r>
      <w:proofErr w:type="spellStart"/>
      <w:r>
        <w:rPr>
          <w:rFonts w:eastAsia="Arial Unicode MS"/>
          <w:szCs w:val="20"/>
          <w:lang w:eastAsia="en-US"/>
        </w:rPr>
        <w:t>PID</w:t>
      </w:r>
      <w:proofErr w:type="spellEnd"/>
      <w:r>
        <w:rPr>
          <w:rFonts w:eastAsia="Arial Unicode MS"/>
          <w:szCs w:val="20"/>
          <w:lang w:eastAsia="en-US"/>
        </w:rPr>
        <w:t xml:space="preserve"> Act to investigate the disclosure under this separate investigative power. </w:t>
      </w:r>
    </w:p>
    <w:p w14:paraId="53A6FF5E"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The insertion of the new inquiry power for the </w:t>
      </w:r>
      <w:proofErr w:type="spellStart"/>
      <w:r>
        <w:rPr>
          <w:rFonts w:eastAsia="Arial Unicode MS"/>
          <w:szCs w:val="20"/>
          <w:lang w:eastAsia="en-US"/>
        </w:rPr>
        <w:t>MPC</w:t>
      </w:r>
      <w:proofErr w:type="spellEnd"/>
      <w:r>
        <w:rPr>
          <w:rFonts w:eastAsia="Arial Unicode MS"/>
          <w:szCs w:val="20"/>
          <w:lang w:eastAsia="en-US"/>
        </w:rPr>
        <w:t xml:space="preserve"> in paragraph 50(1)(a) of the PS Act by the </w:t>
      </w:r>
      <w:proofErr w:type="spellStart"/>
      <w:r>
        <w:rPr>
          <w:rFonts w:eastAsia="Arial Unicode MS"/>
          <w:szCs w:val="20"/>
          <w:lang w:eastAsia="en-US"/>
        </w:rPr>
        <w:t>PID</w:t>
      </w:r>
      <w:proofErr w:type="spellEnd"/>
      <w:r>
        <w:rPr>
          <w:rFonts w:eastAsia="Arial Unicode MS"/>
          <w:szCs w:val="20"/>
          <w:lang w:eastAsia="en-US"/>
        </w:rPr>
        <w:t xml:space="preserve"> Consequential Act seeks to ensure that the </w:t>
      </w:r>
      <w:proofErr w:type="spellStart"/>
      <w:r>
        <w:rPr>
          <w:rFonts w:eastAsia="Arial Unicode MS"/>
          <w:szCs w:val="20"/>
          <w:lang w:eastAsia="en-US"/>
        </w:rPr>
        <w:t>MPC</w:t>
      </w:r>
      <w:proofErr w:type="spellEnd"/>
      <w:r>
        <w:rPr>
          <w:rFonts w:eastAsia="Arial Unicode MS"/>
          <w:szCs w:val="20"/>
          <w:lang w:eastAsia="en-US"/>
        </w:rPr>
        <w:t xml:space="preserve"> </w:t>
      </w:r>
      <w:r w:rsidRPr="00536275">
        <w:rPr>
          <w:rFonts w:eastAsia="Arial Unicode MS"/>
          <w:szCs w:val="20"/>
          <w:lang w:eastAsia="en-US"/>
        </w:rPr>
        <w:t>continue</w:t>
      </w:r>
      <w:r w:rsidR="005A2874">
        <w:rPr>
          <w:rFonts w:eastAsia="Arial Unicode MS"/>
          <w:szCs w:val="20"/>
          <w:lang w:eastAsia="en-US"/>
        </w:rPr>
        <w:t>s</w:t>
      </w:r>
      <w:r w:rsidRPr="00536275">
        <w:rPr>
          <w:rFonts w:eastAsia="Arial Unicode MS"/>
          <w:szCs w:val="20"/>
          <w:lang w:eastAsia="en-US"/>
        </w:rPr>
        <w:t xml:space="preserve"> to have functions</w:t>
      </w:r>
      <w:r>
        <w:rPr>
          <w:rFonts w:eastAsia="Arial Unicode MS"/>
          <w:szCs w:val="20"/>
          <w:lang w:eastAsia="en-US"/>
        </w:rPr>
        <w:t>,</w:t>
      </w:r>
      <w:r w:rsidRPr="00536275">
        <w:rPr>
          <w:rFonts w:eastAsia="Arial Unicode MS"/>
          <w:szCs w:val="20"/>
          <w:lang w:eastAsia="en-US"/>
        </w:rPr>
        <w:t xml:space="preserve"> </w:t>
      </w:r>
      <w:r>
        <w:rPr>
          <w:rFonts w:eastAsia="Arial Unicode MS"/>
          <w:szCs w:val="20"/>
          <w:lang w:eastAsia="en-US"/>
        </w:rPr>
        <w:t>after the repeal of section 16 of the PS Act,</w:t>
      </w:r>
      <w:r w:rsidRPr="00536275">
        <w:rPr>
          <w:rFonts w:eastAsia="Arial Unicode MS"/>
          <w:szCs w:val="20"/>
          <w:lang w:eastAsia="en-US"/>
        </w:rPr>
        <w:t xml:space="preserve"> to inquire into </w:t>
      </w:r>
      <w:r>
        <w:rPr>
          <w:rFonts w:eastAsia="Arial Unicode MS"/>
          <w:szCs w:val="20"/>
          <w:lang w:eastAsia="en-US"/>
        </w:rPr>
        <w:t xml:space="preserve">public interest </w:t>
      </w:r>
      <w:r w:rsidRPr="00536275">
        <w:rPr>
          <w:rFonts w:eastAsia="Arial Unicode MS"/>
          <w:szCs w:val="20"/>
          <w:lang w:eastAsia="en-US"/>
        </w:rPr>
        <w:t xml:space="preserve">disclosures to the extent </w:t>
      </w:r>
      <w:r>
        <w:rPr>
          <w:rFonts w:eastAsia="Arial Unicode MS"/>
          <w:szCs w:val="20"/>
          <w:lang w:eastAsia="en-US"/>
        </w:rPr>
        <w:t xml:space="preserve">that these relate </w:t>
      </w:r>
      <w:r w:rsidRPr="00536275">
        <w:rPr>
          <w:rFonts w:eastAsia="Arial Unicode MS"/>
          <w:szCs w:val="20"/>
          <w:lang w:eastAsia="en-US"/>
        </w:rPr>
        <w:t>to alleged breaches of the Code.</w:t>
      </w:r>
      <w:r>
        <w:rPr>
          <w:rFonts w:eastAsia="Arial Unicode MS"/>
          <w:szCs w:val="20"/>
          <w:lang w:eastAsia="en-US"/>
        </w:rPr>
        <w:t xml:space="preserve"> This </w:t>
      </w:r>
      <w:r w:rsidR="005A2874">
        <w:rPr>
          <w:rFonts w:eastAsia="Arial Unicode MS"/>
          <w:szCs w:val="20"/>
          <w:lang w:eastAsia="en-US"/>
        </w:rPr>
        <w:t xml:space="preserve">is </w:t>
      </w:r>
      <w:r>
        <w:rPr>
          <w:rFonts w:eastAsia="Arial Unicode MS"/>
          <w:szCs w:val="20"/>
          <w:lang w:eastAsia="en-US"/>
        </w:rPr>
        <w:t xml:space="preserve">to ensure that the </w:t>
      </w:r>
      <w:proofErr w:type="spellStart"/>
      <w:r>
        <w:rPr>
          <w:rFonts w:eastAsia="Arial Unicode MS"/>
          <w:szCs w:val="20"/>
          <w:lang w:eastAsia="en-US"/>
        </w:rPr>
        <w:t>PID</w:t>
      </w:r>
      <w:proofErr w:type="spellEnd"/>
      <w:r>
        <w:rPr>
          <w:rFonts w:eastAsia="Arial Unicode MS"/>
          <w:szCs w:val="20"/>
          <w:lang w:eastAsia="en-US"/>
        </w:rPr>
        <w:t xml:space="preserve"> Act and </w:t>
      </w:r>
      <w:proofErr w:type="spellStart"/>
      <w:r>
        <w:rPr>
          <w:rFonts w:eastAsia="Arial Unicode MS"/>
          <w:szCs w:val="20"/>
          <w:lang w:eastAsia="en-US"/>
        </w:rPr>
        <w:t>PID</w:t>
      </w:r>
      <w:proofErr w:type="spellEnd"/>
      <w:r>
        <w:rPr>
          <w:rFonts w:eastAsia="Arial Unicode MS"/>
          <w:szCs w:val="20"/>
          <w:lang w:eastAsia="en-US"/>
        </w:rPr>
        <w:t xml:space="preserve"> Consequential Act </w:t>
      </w:r>
      <w:r w:rsidR="005A2874">
        <w:rPr>
          <w:rFonts w:eastAsia="Arial Unicode MS"/>
          <w:szCs w:val="20"/>
          <w:lang w:eastAsia="en-US"/>
        </w:rPr>
        <w:t xml:space="preserve">do </w:t>
      </w:r>
      <w:r>
        <w:rPr>
          <w:rFonts w:eastAsia="Arial Unicode MS"/>
          <w:szCs w:val="20"/>
          <w:lang w:eastAsia="en-US"/>
        </w:rPr>
        <w:t xml:space="preserve">not curtail the existing jurisdiction of the </w:t>
      </w:r>
      <w:proofErr w:type="spellStart"/>
      <w:r>
        <w:rPr>
          <w:rFonts w:eastAsia="Arial Unicode MS"/>
          <w:szCs w:val="20"/>
          <w:lang w:eastAsia="en-US"/>
        </w:rPr>
        <w:t>MPC</w:t>
      </w:r>
      <w:proofErr w:type="spellEnd"/>
      <w:r>
        <w:rPr>
          <w:rFonts w:eastAsia="Arial Unicode MS"/>
          <w:szCs w:val="20"/>
          <w:lang w:eastAsia="en-US"/>
        </w:rPr>
        <w:t xml:space="preserve">, and to provide an avenue for the consideration of disclosures relating to the Code by the </w:t>
      </w:r>
      <w:proofErr w:type="spellStart"/>
      <w:r>
        <w:rPr>
          <w:rFonts w:eastAsia="Arial Unicode MS"/>
          <w:szCs w:val="20"/>
          <w:lang w:eastAsia="en-US"/>
        </w:rPr>
        <w:t>MPC</w:t>
      </w:r>
      <w:proofErr w:type="spellEnd"/>
      <w:r>
        <w:rPr>
          <w:rFonts w:eastAsia="Arial Unicode MS"/>
          <w:szCs w:val="20"/>
          <w:lang w:eastAsia="en-US"/>
        </w:rPr>
        <w:t xml:space="preserve"> as an independent, expert authority on Code matters. </w:t>
      </w:r>
    </w:p>
    <w:p w14:paraId="53A6FF5F" w14:textId="77777777" w:rsidR="006772DB" w:rsidRDefault="005A2874"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7.1A(1) provide</w:t>
      </w:r>
      <w:r>
        <w:rPr>
          <w:rFonts w:eastAsia="Arial Unicode MS"/>
          <w:szCs w:val="20"/>
          <w:lang w:eastAsia="en-US"/>
        </w:rPr>
        <w:t>s</w:t>
      </w:r>
      <w:r w:rsidR="006772DB">
        <w:rPr>
          <w:rFonts w:eastAsia="Arial Unicode MS"/>
          <w:szCs w:val="20"/>
          <w:lang w:eastAsia="en-US"/>
        </w:rPr>
        <w:t xml:space="preserve"> in respect of the general application of regulation 7.1A.</w:t>
      </w:r>
      <w:r w:rsidR="00D1715E">
        <w:rPr>
          <w:rFonts w:eastAsia="Arial Unicode MS"/>
          <w:szCs w:val="20"/>
          <w:lang w:eastAsia="en-US"/>
        </w:rPr>
        <w:t xml:space="preserve"> </w:t>
      </w:r>
      <w:r w:rsidR="006772DB">
        <w:rPr>
          <w:rFonts w:eastAsia="Arial Unicode MS"/>
          <w:szCs w:val="20"/>
          <w:lang w:eastAsia="en-US"/>
        </w:rPr>
        <w:t xml:space="preserve">It restates the </w:t>
      </w:r>
      <w:proofErr w:type="spellStart"/>
      <w:r w:rsidR="006772DB">
        <w:rPr>
          <w:rFonts w:eastAsia="Arial Unicode MS"/>
          <w:szCs w:val="20"/>
          <w:lang w:eastAsia="en-US"/>
        </w:rPr>
        <w:t>MPC’s</w:t>
      </w:r>
      <w:proofErr w:type="spellEnd"/>
      <w:r w:rsidR="006772DB">
        <w:rPr>
          <w:rFonts w:eastAsia="Arial Unicode MS"/>
          <w:szCs w:val="20"/>
          <w:lang w:eastAsia="en-US"/>
        </w:rPr>
        <w:t xml:space="preserve"> inquiry power in the PS Act and provides that the term ‘</w:t>
      </w:r>
      <w:r w:rsidR="006772DB" w:rsidRPr="006B68B2">
        <w:rPr>
          <w:rFonts w:eastAsia="Arial Unicode MS"/>
          <w:i/>
          <w:szCs w:val="20"/>
          <w:lang w:eastAsia="en-US"/>
        </w:rPr>
        <w:t>the disclosure</w:t>
      </w:r>
      <w:r w:rsidR="006772DB" w:rsidRPr="00F23621">
        <w:rPr>
          <w:rFonts w:eastAsia="Arial Unicode MS"/>
          <w:szCs w:val="20"/>
          <w:lang w:eastAsia="en-US"/>
        </w:rPr>
        <w:t xml:space="preserve">’ </w:t>
      </w:r>
      <w:r w:rsidR="006772DB">
        <w:rPr>
          <w:rFonts w:eastAsia="Arial Unicode MS"/>
          <w:szCs w:val="20"/>
          <w:lang w:eastAsia="en-US"/>
        </w:rPr>
        <w:t xml:space="preserve">is adopted throughout the regulation. </w:t>
      </w:r>
    </w:p>
    <w:p w14:paraId="53A6FF60" w14:textId="77777777" w:rsidR="006772DB" w:rsidRDefault="005A2874"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7.1A(2) provide</w:t>
      </w:r>
      <w:r>
        <w:rPr>
          <w:rFonts w:eastAsia="Arial Unicode MS"/>
          <w:szCs w:val="20"/>
          <w:lang w:eastAsia="en-US"/>
        </w:rPr>
        <w:t>s</w:t>
      </w:r>
      <w:r w:rsidR="006772DB">
        <w:rPr>
          <w:rFonts w:eastAsia="Arial Unicode MS"/>
          <w:szCs w:val="20"/>
          <w:lang w:eastAsia="en-US"/>
        </w:rPr>
        <w:t xml:space="preserve"> that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may inquire into the disclosure if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is satisfied that it would be inappropriate for the discloser to make the disclosure to an agency head.</w:t>
      </w:r>
    </w:p>
    <w:p w14:paraId="53A6FF61" w14:textId="77777777" w:rsidR="006772DB" w:rsidRDefault="005A2874"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7.1A(3) provide</w:t>
      </w:r>
      <w:r>
        <w:rPr>
          <w:rFonts w:eastAsia="Arial Unicode MS"/>
          <w:szCs w:val="20"/>
          <w:lang w:eastAsia="en-US"/>
        </w:rPr>
        <w:t>s</w:t>
      </w:r>
      <w:r w:rsidR="006772DB">
        <w:rPr>
          <w:rFonts w:eastAsia="Arial Unicode MS"/>
          <w:szCs w:val="20"/>
          <w:lang w:eastAsia="en-US"/>
        </w:rPr>
        <w:t xml:space="preserve"> that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may inquire into a disclosure if the discloser ha</w:t>
      </w:r>
      <w:r w:rsidR="009E2A5E">
        <w:rPr>
          <w:rFonts w:eastAsia="Arial Unicode MS"/>
          <w:szCs w:val="20"/>
          <w:lang w:eastAsia="en-US"/>
        </w:rPr>
        <w:t>s</w:t>
      </w:r>
      <w:r w:rsidR="006772DB">
        <w:rPr>
          <w:rFonts w:eastAsia="Arial Unicode MS"/>
          <w:szCs w:val="20"/>
          <w:lang w:eastAsia="en-US"/>
        </w:rPr>
        <w:t xml:space="preserve"> made the disclosure to an agency head and </w:t>
      </w:r>
      <w:r w:rsidR="009E2A5E">
        <w:rPr>
          <w:rFonts w:eastAsia="Arial Unicode MS"/>
          <w:szCs w:val="20"/>
          <w:lang w:eastAsia="en-US"/>
        </w:rPr>
        <w:t>is</w:t>
      </w:r>
      <w:r w:rsidR="006772DB">
        <w:rPr>
          <w:rFonts w:eastAsia="Arial Unicode MS"/>
          <w:szCs w:val="20"/>
          <w:lang w:eastAsia="en-US"/>
        </w:rPr>
        <w:t xml:space="preserve"> not satisfied with its outcome.</w:t>
      </w:r>
    </w:p>
    <w:p w14:paraId="53A6FF62" w14:textId="77777777" w:rsidR="009E2A5E" w:rsidRDefault="009E2A5E" w:rsidP="009E2A5E">
      <w:pPr>
        <w:spacing w:before="100" w:after="40"/>
        <w:rPr>
          <w:rFonts w:eastAsia="Arial Unicode MS"/>
          <w:szCs w:val="20"/>
          <w:lang w:eastAsia="en-US"/>
        </w:rPr>
      </w:pPr>
      <w:r>
        <w:rPr>
          <w:rFonts w:eastAsia="Arial Unicode MS"/>
          <w:szCs w:val="20"/>
          <w:lang w:eastAsia="en-US"/>
        </w:rPr>
        <w:t xml:space="preserve">These two </w:t>
      </w:r>
      <w:proofErr w:type="spellStart"/>
      <w:r>
        <w:rPr>
          <w:rFonts w:eastAsia="Arial Unicode MS"/>
          <w:szCs w:val="20"/>
          <w:lang w:eastAsia="en-US"/>
        </w:rPr>
        <w:t>subregulations</w:t>
      </w:r>
      <w:proofErr w:type="spellEnd"/>
      <w:r>
        <w:rPr>
          <w:rFonts w:eastAsia="Arial Unicode MS"/>
          <w:szCs w:val="20"/>
          <w:lang w:eastAsia="en-US"/>
        </w:rPr>
        <w:t xml:space="preserve"> essentially replicate the circumstances in which the </w:t>
      </w:r>
      <w:proofErr w:type="spellStart"/>
      <w:r>
        <w:rPr>
          <w:rFonts w:eastAsia="Arial Unicode MS"/>
          <w:szCs w:val="20"/>
          <w:lang w:eastAsia="en-US"/>
        </w:rPr>
        <w:t>MPC</w:t>
      </w:r>
      <w:proofErr w:type="spellEnd"/>
      <w:r>
        <w:rPr>
          <w:rFonts w:eastAsia="Arial Unicode MS"/>
          <w:szCs w:val="20"/>
          <w:lang w:eastAsia="en-US"/>
        </w:rPr>
        <w:t xml:space="preserve"> would consider inquiring into a </w:t>
      </w:r>
      <w:proofErr w:type="spellStart"/>
      <w:r>
        <w:rPr>
          <w:rFonts w:eastAsia="Arial Unicode MS"/>
          <w:szCs w:val="20"/>
          <w:lang w:eastAsia="en-US"/>
        </w:rPr>
        <w:t>whistleblower</w:t>
      </w:r>
      <w:proofErr w:type="spellEnd"/>
      <w:r>
        <w:rPr>
          <w:rFonts w:eastAsia="Arial Unicode MS"/>
          <w:szCs w:val="20"/>
          <w:lang w:eastAsia="en-US"/>
        </w:rPr>
        <w:t xml:space="preserve"> report under the PS Act whistleblowing framework.</w:t>
      </w:r>
    </w:p>
    <w:p w14:paraId="53A6FF63" w14:textId="77777777" w:rsidR="006772DB" w:rsidRDefault="005A2874" w:rsidP="006772DB">
      <w:pPr>
        <w:spacing w:before="100" w:after="40"/>
        <w:rPr>
          <w:rFonts w:eastAsia="Arial Unicode MS"/>
          <w:szCs w:val="20"/>
          <w:lang w:eastAsia="en-US"/>
        </w:rPr>
      </w:pPr>
      <w:proofErr w:type="spellStart"/>
      <w:r>
        <w:rPr>
          <w:rFonts w:eastAsia="Arial Unicode MS"/>
          <w:szCs w:val="20"/>
          <w:lang w:eastAsia="en-US"/>
        </w:rPr>
        <w:t>S</w:t>
      </w:r>
      <w:r w:rsidR="006772DB">
        <w:rPr>
          <w:rFonts w:eastAsia="Arial Unicode MS"/>
          <w:szCs w:val="20"/>
          <w:lang w:eastAsia="en-US"/>
        </w:rPr>
        <w:t>ubregulation</w:t>
      </w:r>
      <w:proofErr w:type="spellEnd"/>
      <w:r w:rsidR="006772DB">
        <w:rPr>
          <w:rFonts w:eastAsia="Arial Unicode MS"/>
          <w:szCs w:val="20"/>
          <w:lang w:eastAsia="en-US"/>
        </w:rPr>
        <w:t xml:space="preserve"> 7.1A(4) provide</w:t>
      </w:r>
      <w:r>
        <w:rPr>
          <w:rFonts w:eastAsia="Arial Unicode MS"/>
          <w:szCs w:val="20"/>
          <w:lang w:eastAsia="en-US"/>
        </w:rPr>
        <w:t>s</w:t>
      </w:r>
      <w:r w:rsidR="006772DB">
        <w:rPr>
          <w:rFonts w:eastAsia="Arial Unicode MS"/>
          <w:szCs w:val="20"/>
          <w:lang w:eastAsia="en-US"/>
        </w:rPr>
        <w:t xml:space="preserve"> that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may decide not to inquire into a disclosure, or inquire further into a disclosure, if he or she concludes that conducting or continuing the inquiry would not be justified in all the circumstances.</w:t>
      </w:r>
    </w:p>
    <w:p w14:paraId="53A6FF64" w14:textId="77777777" w:rsidR="006772DB" w:rsidRDefault="006772DB" w:rsidP="006772DB">
      <w:pPr>
        <w:spacing w:before="100" w:after="40"/>
        <w:rPr>
          <w:rFonts w:eastAsia="Arial Unicode MS"/>
          <w:szCs w:val="20"/>
          <w:lang w:eastAsia="en-US"/>
        </w:rPr>
      </w:pPr>
      <w:r>
        <w:rPr>
          <w:rFonts w:eastAsia="Arial Unicode MS"/>
          <w:szCs w:val="20"/>
          <w:lang w:eastAsia="en-US"/>
        </w:rPr>
        <w:t xml:space="preserve">The note under </w:t>
      </w:r>
      <w:proofErr w:type="spellStart"/>
      <w:r>
        <w:rPr>
          <w:rFonts w:eastAsia="Arial Unicode MS"/>
          <w:szCs w:val="20"/>
          <w:lang w:eastAsia="en-US"/>
        </w:rPr>
        <w:t>subregulation</w:t>
      </w:r>
      <w:proofErr w:type="spellEnd"/>
      <w:r>
        <w:rPr>
          <w:rFonts w:eastAsia="Arial Unicode MS"/>
          <w:szCs w:val="20"/>
          <w:lang w:eastAsia="en-US"/>
        </w:rPr>
        <w:t xml:space="preserve"> 7.1A(4) is in similar terms to the note under </w:t>
      </w:r>
      <w:proofErr w:type="spellStart"/>
      <w:r>
        <w:rPr>
          <w:rFonts w:eastAsia="Arial Unicode MS"/>
          <w:szCs w:val="20"/>
          <w:lang w:eastAsia="en-US"/>
        </w:rPr>
        <w:t>subregulation</w:t>
      </w:r>
      <w:proofErr w:type="spellEnd"/>
      <w:r>
        <w:rPr>
          <w:rFonts w:eastAsia="Arial Unicode MS"/>
          <w:szCs w:val="20"/>
          <w:lang w:eastAsia="en-US"/>
        </w:rPr>
        <w:t xml:space="preserve"> 6.1B(4).</w:t>
      </w:r>
    </w:p>
    <w:p w14:paraId="53A6FF65" w14:textId="77777777" w:rsidR="006772DB" w:rsidRDefault="005A2874" w:rsidP="006772DB">
      <w:pPr>
        <w:spacing w:before="100" w:after="40"/>
        <w:rPr>
          <w:szCs w:val="20"/>
          <w:lang w:eastAsia="en-US"/>
        </w:rPr>
      </w:pPr>
      <w:proofErr w:type="spellStart"/>
      <w:r>
        <w:rPr>
          <w:szCs w:val="20"/>
          <w:lang w:eastAsia="en-US"/>
        </w:rPr>
        <w:t>S</w:t>
      </w:r>
      <w:r w:rsidR="006772DB">
        <w:rPr>
          <w:szCs w:val="20"/>
          <w:lang w:eastAsia="en-US"/>
        </w:rPr>
        <w:t>ubregulation</w:t>
      </w:r>
      <w:proofErr w:type="spellEnd"/>
      <w:r w:rsidR="006772DB">
        <w:rPr>
          <w:szCs w:val="20"/>
          <w:lang w:eastAsia="en-US"/>
        </w:rPr>
        <w:t xml:space="preserve"> </w:t>
      </w:r>
      <w:r w:rsidR="006772DB">
        <w:rPr>
          <w:rFonts w:eastAsia="Arial Unicode MS"/>
          <w:szCs w:val="20"/>
          <w:lang w:eastAsia="en-US"/>
        </w:rPr>
        <w:t>7.1A</w:t>
      </w:r>
      <w:r w:rsidR="006772DB">
        <w:rPr>
          <w:szCs w:val="20"/>
          <w:lang w:eastAsia="en-US"/>
        </w:rPr>
        <w:t>(5) set</w:t>
      </w:r>
      <w:r>
        <w:rPr>
          <w:szCs w:val="20"/>
          <w:lang w:eastAsia="en-US"/>
        </w:rPr>
        <w:t>s</w:t>
      </w:r>
      <w:r w:rsidR="006772DB">
        <w:rPr>
          <w:szCs w:val="20"/>
          <w:lang w:eastAsia="en-US"/>
        </w:rPr>
        <w:t xml:space="preserve"> out the requirements for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w:t>
      </w:r>
      <w:r w:rsidR="006772DB">
        <w:rPr>
          <w:szCs w:val="20"/>
          <w:lang w:eastAsia="en-US"/>
        </w:rPr>
        <w:t xml:space="preserve">when he or she </w:t>
      </w:r>
      <w:proofErr w:type="spellStart"/>
      <w:r w:rsidR="006772DB">
        <w:rPr>
          <w:szCs w:val="20"/>
          <w:lang w:eastAsia="en-US"/>
        </w:rPr>
        <w:t>inquires</w:t>
      </w:r>
      <w:proofErr w:type="spellEnd"/>
      <w:r w:rsidR="006772DB">
        <w:rPr>
          <w:szCs w:val="20"/>
          <w:lang w:eastAsia="en-US"/>
        </w:rPr>
        <w:t xml:space="preserve"> into a disclosure.</w:t>
      </w:r>
    </w:p>
    <w:p w14:paraId="53A6FF66" w14:textId="77777777" w:rsidR="006772DB" w:rsidRPr="00F14E02" w:rsidRDefault="005A2874" w:rsidP="006772DB">
      <w:pPr>
        <w:spacing w:before="100" w:after="40"/>
        <w:rPr>
          <w:szCs w:val="20"/>
          <w:lang w:eastAsia="en-US"/>
        </w:rPr>
      </w:pPr>
      <w:r>
        <w:rPr>
          <w:szCs w:val="20"/>
          <w:lang w:eastAsia="en-US"/>
        </w:rPr>
        <w:t>P</w:t>
      </w:r>
      <w:r w:rsidR="006772DB">
        <w:rPr>
          <w:szCs w:val="20"/>
          <w:lang w:eastAsia="en-US"/>
        </w:rPr>
        <w:t xml:space="preserve">aragraph </w:t>
      </w:r>
      <w:r w:rsidR="006772DB">
        <w:rPr>
          <w:rFonts w:eastAsia="Arial Unicode MS"/>
          <w:szCs w:val="20"/>
          <w:lang w:eastAsia="en-US"/>
        </w:rPr>
        <w:t>7.1A</w:t>
      </w:r>
      <w:r w:rsidR="006772DB">
        <w:rPr>
          <w:szCs w:val="20"/>
          <w:lang w:eastAsia="en-US"/>
        </w:rPr>
        <w:t>(5)(a) provide</w:t>
      </w:r>
      <w:r>
        <w:rPr>
          <w:szCs w:val="20"/>
          <w:lang w:eastAsia="en-US"/>
        </w:rPr>
        <w:t>s</w:t>
      </w:r>
      <w:r w:rsidR="006772DB">
        <w:rPr>
          <w:szCs w:val="20"/>
          <w:lang w:eastAsia="en-US"/>
        </w:rPr>
        <w:t xml:space="preserve"> that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w:t>
      </w:r>
      <w:r w:rsidR="009E2A5E">
        <w:rPr>
          <w:szCs w:val="20"/>
          <w:lang w:eastAsia="en-US"/>
        </w:rPr>
        <w:t>must</w:t>
      </w:r>
      <w:r w:rsidR="006772DB">
        <w:rPr>
          <w:szCs w:val="20"/>
          <w:lang w:eastAsia="en-US"/>
        </w:rPr>
        <w:t xml:space="preserve"> consider, having regard to all the circumstances, whether to give a person about whom a disclosure has been made an opportunity to be heard in relation to the disclosure.</w:t>
      </w:r>
      <w:r w:rsidR="006772DB" w:rsidRPr="00EF1C9B">
        <w:rPr>
          <w:szCs w:val="20"/>
          <w:lang w:eastAsia="en-US"/>
        </w:rPr>
        <w:t xml:space="preserve"> </w:t>
      </w:r>
    </w:p>
    <w:p w14:paraId="53A6FF67" w14:textId="77777777" w:rsidR="006772DB" w:rsidRDefault="005A2874" w:rsidP="006772DB">
      <w:pPr>
        <w:spacing w:before="100" w:after="40"/>
        <w:rPr>
          <w:szCs w:val="20"/>
          <w:lang w:eastAsia="en-US"/>
        </w:rPr>
      </w:pPr>
      <w:r>
        <w:rPr>
          <w:szCs w:val="20"/>
          <w:lang w:eastAsia="en-US"/>
        </w:rPr>
        <w:t>P</w:t>
      </w:r>
      <w:r w:rsidR="006772DB">
        <w:rPr>
          <w:szCs w:val="20"/>
          <w:lang w:eastAsia="en-US"/>
        </w:rPr>
        <w:t xml:space="preserve">aragraph </w:t>
      </w:r>
      <w:r w:rsidR="006772DB">
        <w:rPr>
          <w:rFonts w:eastAsia="Arial Unicode MS"/>
          <w:szCs w:val="20"/>
          <w:lang w:eastAsia="en-US"/>
        </w:rPr>
        <w:t>7.1A</w:t>
      </w:r>
      <w:r w:rsidR="006772DB">
        <w:rPr>
          <w:szCs w:val="20"/>
          <w:lang w:eastAsia="en-US"/>
        </w:rPr>
        <w:t>(5)(b) provide</w:t>
      </w:r>
      <w:r>
        <w:rPr>
          <w:szCs w:val="20"/>
          <w:lang w:eastAsia="en-US"/>
        </w:rPr>
        <w:t>s</w:t>
      </w:r>
      <w:r w:rsidR="006772DB">
        <w:rPr>
          <w:szCs w:val="20"/>
          <w:lang w:eastAsia="en-US"/>
        </w:rPr>
        <w:t xml:space="preserve"> that the </w:t>
      </w:r>
      <w:proofErr w:type="spellStart"/>
      <w:r w:rsidR="006772DB">
        <w:rPr>
          <w:rFonts w:eastAsia="Arial Unicode MS"/>
          <w:szCs w:val="20"/>
          <w:lang w:eastAsia="en-US"/>
        </w:rPr>
        <w:t>MPC</w:t>
      </w:r>
      <w:proofErr w:type="spellEnd"/>
      <w:r w:rsidR="006772DB">
        <w:rPr>
          <w:rFonts w:eastAsia="Arial Unicode MS"/>
          <w:szCs w:val="20"/>
          <w:lang w:eastAsia="en-US"/>
        </w:rPr>
        <w:t xml:space="preserve"> </w:t>
      </w:r>
      <w:r w:rsidR="009E2A5E">
        <w:rPr>
          <w:szCs w:val="20"/>
          <w:lang w:eastAsia="en-US"/>
        </w:rPr>
        <w:t>must</w:t>
      </w:r>
      <w:r w:rsidR="006772DB">
        <w:rPr>
          <w:szCs w:val="20"/>
          <w:lang w:eastAsia="en-US"/>
        </w:rPr>
        <w:t xml:space="preserve"> take reasonable steps to report the outcome of the inquiry to the discloser and to the relevant agency head.</w:t>
      </w:r>
      <w:r w:rsidR="006772DB" w:rsidRPr="00B60F27">
        <w:rPr>
          <w:szCs w:val="20"/>
          <w:lang w:eastAsia="en-US"/>
        </w:rPr>
        <w:t xml:space="preserve"> </w:t>
      </w:r>
      <w:r w:rsidR="006772DB">
        <w:rPr>
          <w:szCs w:val="20"/>
          <w:lang w:eastAsia="en-US"/>
        </w:rPr>
        <w:t>This requirement appl</w:t>
      </w:r>
      <w:r>
        <w:rPr>
          <w:szCs w:val="20"/>
          <w:lang w:eastAsia="en-US"/>
        </w:rPr>
        <w:t>ies</w:t>
      </w:r>
      <w:r w:rsidR="006772DB">
        <w:rPr>
          <w:szCs w:val="20"/>
          <w:lang w:eastAsia="en-US"/>
        </w:rPr>
        <w:t xml:space="preserve"> in addition to the requirement in subsection 49(3) of the </w:t>
      </w:r>
      <w:proofErr w:type="spellStart"/>
      <w:r w:rsidR="006772DB">
        <w:rPr>
          <w:szCs w:val="20"/>
          <w:lang w:eastAsia="en-US"/>
        </w:rPr>
        <w:t>PID</w:t>
      </w:r>
      <w:proofErr w:type="spellEnd"/>
      <w:r w:rsidR="006772DB">
        <w:rPr>
          <w:szCs w:val="20"/>
          <w:lang w:eastAsia="en-US"/>
        </w:rPr>
        <w:t xml:space="preserve"> Act, which requires an investigative agency, on completion of an investigation of a disclosure under its separate investigative powers, to inform the discloser and the principal officer of each agency to which the suspected </w:t>
      </w:r>
      <w:proofErr w:type="spellStart"/>
      <w:r w:rsidR="006772DB">
        <w:rPr>
          <w:szCs w:val="20"/>
          <w:lang w:eastAsia="en-US"/>
        </w:rPr>
        <w:t>disclosable</w:t>
      </w:r>
      <w:proofErr w:type="spellEnd"/>
      <w:r w:rsidR="006772DB">
        <w:rPr>
          <w:szCs w:val="20"/>
          <w:lang w:eastAsia="en-US"/>
        </w:rPr>
        <w:t xml:space="preserve"> conduct relates that the investigation is complete</w:t>
      </w:r>
    </w:p>
    <w:p w14:paraId="53A6FF68" w14:textId="77777777" w:rsidR="006772DB" w:rsidRDefault="006772DB" w:rsidP="006772DB">
      <w:pPr>
        <w:spacing w:before="100" w:after="40"/>
        <w:rPr>
          <w:szCs w:val="20"/>
          <w:lang w:eastAsia="en-US"/>
        </w:rPr>
      </w:pPr>
      <w:r>
        <w:rPr>
          <w:szCs w:val="20"/>
          <w:lang w:eastAsia="en-US"/>
        </w:rPr>
        <w:t xml:space="preserve">A note under paragraph </w:t>
      </w:r>
      <w:r>
        <w:rPr>
          <w:rFonts w:eastAsia="Arial Unicode MS"/>
          <w:szCs w:val="20"/>
          <w:lang w:eastAsia="en-US"/>
        </w:rPr>
        <w:t>7.1A</w:t>
      </w:r>
      <w:r>
        <w:rPr>
          <w:szCs w:val="20"/>
          <w:lang w:eastAsia="en-US"/>
        </w:rPr>
        <w:t>(5)(b) provide</w:t>
      </w:r>
      <w:r w:rsidR="005A2874">
        <w:rPr>
          <w:szCs w:val="20"/>
          <w:lang w:eastAsia="en-US"/>
        </w:rPr>
        <w:t>s</w:t>
      </w:r>
      <w:r>
        <w:rPr>
          <w:szCs w:val="20"/>
          <w:lang w:eastAsia="en-US"/>
        </w:rPr>
        <w:t xml:space="preserve"> that the </w:t>
      </w:r>
      <w:proofErr w:type="spellStart"/>
      <w:r>
        <w:rPr>
          <w:rFonts w:eastAsia="Arial Unicode MS"/>
          <w:szCs w:val="20"/>
          <w:lang w:eastAsia="en-US"/>
        </w:rPr>
        <w:t>MPC</w:t>
      </w:r>
      <w:proofErr w:type="spellEnd"/>
      <w:r>
        <w:rPr>
          <w:szCs w:val="20"/>
          <w:lang w:eastAsia="en-US"/>
        </w:rPr>
        <w:t xml:space="preserve"> is authorised (in accordance with section 72B of the PS Act) to make a record of, disclose, or otherwise use certain information for the purposes of, or in connection with, the performance of his or her functions, and that inquiring into disclosures is a function of the </w:t>
      </w:r>
      <w:proofErr w:type="spellStart"/>
      <w:r>
        <w:rPr>
          <w:rFonts w:eastAsia="Arial Unicode MS"/>
          <w:szCs w:val="20"/>
          <w:lang w:eastAsia="en-US"/>
        </w:rPr>
        <w:t>MPC</w:t>
      </w:r>
      <w:proofErr w:type="spellEnd"/>
      <w:r>
        <w:rPr>
          <w:szCs w:val="20"/>
          <w:lang w:eastAsia="en-US"/>
        </w:rPr>
        <w:t>. The note also provide</w:t>
      </w:r>
      <w:r w:rsidR="005A2874">
        <w:rPr>
          <w:szCs w:val="20"/>
          <w:lang w:eastAsia="en-US"/>
        </w:rPr>
        <w:t>s</w:t>
      </w:r>
      <w:r>
        <w:rPr>
          <w:szCs w:val="20"/>
          <w:lang w:eastAsia="en-US"/>
        </w:rPr>
        <w:t xml:space="preserve"> that if the </w:t>
      </w:r>
      <w:proofErr w:type="spellStart"/>
      <w:r>
        <w:rPr>
          <w:rFonts w:eastAsia="Arial Unicode MS"/>
          <w:szCs w:val="20"/>
          <w:lang w:eastAsia="en-US"/>
        </w:rPr>
        <w:t>MPC</w:t>
      </w:r>
      <w:proofErr w:type="spellEnd"/>
      <w:r>
        <w:rPr>
          <w:rFonts w:eastAsia="Arial Unicode MS"/>
          <w:szCs w:val="20"/>
          <w:lang w:eastAsia="en-US"/>
        </w:rPr>
        <w:t xml:space="preserve"> </w:t>
      </w:r>
      <w:r w:rsidRPr="007D7732">
        <w:rPr>
          <w:szCs w:val="20"/>
          <w:lang w:eastAsia="en-US"/>
        </w:rPr>
        <w:t xml:space="preserve">gives a person about whom a disclosure has been made an opportunity to be heard in relation to the disclosure, the </w:t>
      </w:r>
      <w:proofErr w:type="spellStart"/>
      <w:r>
        <w:rPr>
          <w:rFonts w:eastAsia="Arial Unicode MS"/>
          <w:szCs w:val="20"/>
          <w:lang w:eastAsia="en-US"/>
        </w:rPr>
        <w:t>MPC</w:t>
      </w:r>
      <w:proofErr w:type="spellEnd"/>
      <w:r>
        <w:rPr>
          <w:rFonts w:eastAsia="Arial Unicode MS"/>
          <w:szCs w:val="20"/>
          <w:lang w:eastAsia="en-US"/>
        </w:rPr>
        <w:t xml:space="preserve"> </w:t>
      </w:r>
      <w:r w:rsidRPr="007D7732">
        <w:rPr>
          <w:szCs w:val="20"/>
          <w:lang w:eastAsia="en-US"/>
        </w:rPr>
        <w:t xml:space="preserve">may give the person information identifying the discloser to the extent the </w:t>
      </w:r>
      <w:proofErr w:type="spellStart"/>
      <w:r>
        <w:rPr>
          <w:rFonts w:eastAsia="Arial Unicode MS"/>
          <w:szCs w:val="20"/>
          <w:lang w:eastAsia="en-US"/>
        </w:rPr>
        <w:t>MPC</w:t>
      </w:r>
      <w:proofErr w:type="spellEnd"/>
      <w:r>
        <w:rPr>
          <w:rFonts w:eastAsia="Arial Unicode MS"/>
          <w:szCs w:val="20"/>
          <w:lang w:eastAsia="en-US"/>
        </w:rPr>
        <w:t xml:space="preserve"> </w:t>
      </w:r>
      <w:r w:rsidRPr="007D7732">
        <w:rPr>
          <w:szCs w:val="20"/>
          <w:lang w:eastAsia="en-US"/>
        </w:rPr>
        <w:t>considers appropriate in the circumstances.</w:t>
      </w:r>
      <w:r>
        <w:rPr>
          <w:szCs w:val="20"/>
          <w:lang w:eastAsia="en-US"/>
        </w:rPr>
        <w:t xml:space="preserve"> This acknowledges the fact that it is not always possible to afford the right to be heard to a person against whom allegations have been made without disclosing or otherwise making known the identity of the person who has made the disclosure. The note </w:t>
      </w:r>
      <w:r w:rsidR="005A2874">
        <w:rPr>
          <w:szCs w:val="20"/>
          <w:lang w:eastAsia="en-US"/>
        </w:rPr>
        <w:t xml:space="preserve">is </w:t>
      </w:r>
      <w:r>
        <w:rPr>
          <w:szCs w:val="20"/>
          <w:lang w:eastAsia="en-US"/>
        </w:rPr>
        <w:t>also intended to provide assurance that the disclosure is ‘for the purposes of a law of the Commonwealth’, for subparagraph 20(3)(d)(</w:t>
      </w:r>
      <w:proofErr w:type="spellStart"/>
      <w:r>
        <w:rPr>
          <w:szCs w:val="20"/>
          <w:lang w:eastAsia="en-US"/>
        </w:rPr>
        <w:t>i</w:t>
      </w:r>
      <w:proofErr w:type="spellEnd"/>
      <w:r>
        <w:rPr>
          <w:szCs w:val="20"/>
          <w:lang w:eastAsia="en-US"/>
        </w:rPr>
        <w:t xml:space="preserve">) of the </w:t>
      </w:r>
      <w:proofErr w:type="spellStart"/>
      <w:r>
        <w:rPr>
          <w:szCs w:val="20"/>
          <w:lang w:eastAsia="en-US"/>
        </w:rPr>
        <w:t>PID</w:t>
      </w:r>
      <w:proofErr w:type="spellEnd"/>
      <w:r>
        <w:rPr>
          <w:szCs w:val="20"/>
          <w:lang w:eastAsia="en-US"/>
        </w:rPr>
        <w:t xml:space="preserve"> Act.</w:t>
      </w:r>
    </w:p>
    <w:p w14:paraId="53A6FF69" w14:textId="77777777" w:rsidR="006772DB" w:rsidRPr="005507F0" w:rsidRDefault="006772DB" w:rsidP="006772DB">
      <w:pPr>
        <w:spacing w:before="100" w:after="40"/>
        <w:rPr>
          <w:b/>
          <w:szCs w:val="20"/>
          <w:lang w:eastAsia="en-US"/>
        </w:rPr>
      </w:pPr>
      <w:r w:rsidRPr="005507F0">
        <w:rPr>
          <w:b/>
          <w:szCs w:val="20"/>
          <w:lang w:eastAsia="en-US"/>
        </w:rPr>
        <w:t xml:space="preserve">Item [6]—Dictionary (definitions of </w:t>
      </w:r>
      <w:r w:rsidRPr="005507F0">
        <w:rPr>
          <w:b/>
          <w:i/>
          <w:szCs w:val="20"/>
          <w:lang w:eastAsia="en-US"/>
        </w:rPr>
        <w:t>discloser, public interest disclosure</w:t>
      </w:r>
      <w:r w:rsidRPr="005507F0">
        <w:rPr>
          <w:b/>
          <w:szCs w:val="20"/>
          <w:lang w:eastAsia="en-US"/>
        </w:rPr>
        <w:t>)</w:t>
      </w:r>
    </w:p>
    <w:p w14:paraId="53A6FF6A" w14:textId="77777777" w:rsidR="006772DB" w:rsidRDefault="006772DB" w:rsidP="006772DB">
      <w:pPr>
        <w:spacing w:before="100" w:after="40"/>
        <w:rPr>
          <w:szCs w:val="20"/>
          <w:lang w:eastAsia="en-US"/>
        </w:rPr>
      </w:pPr>
      <w:r>
        <w:rPr>
          <w:szCs w:val="20"/>
          <w:lang w:eastAsia="en-US"/>
        </w:rPr>
        <w:t>This item insert</w:t>
      </w:r>
      <w:r w:rsidR="005A2874">
        <w:rPr>
          <w:szCs w:val="20"/>
          <w:lang w:eastAsia="en-US"/>
        </w:rPr>
        <w:t>s</w:t>
      </w:r>
      <w:r>
        <w:rPr>
          <w:szCs w:val="20"/>
          <w:lang w:eastAsia="en-US"/>
        </w:rPr>
        <w:t xml:space="preserve"> the definition of ‘</w:t>
      </w:r>
      <w:r w:rsidRPr="001B3587">
        <w:rPr>
          <w:i/>
          <w:szCs w:val="20"/>
          <w:lang w:eastAsia="en-US"/>
        </w:rPr>
        <w:t>discloser</w:t>
      </w:r>
      <w:r>
        <w:rPr>
          <w:szCs w:val="20"/>
          <w:lang w:eastAsia="en-US"/>
        </w:rPr>
        <w:t xml:space="preserve">’ as a new item in the Dictionary. The term </w:t>
      </w:r>
      <w:r w:rsidR="005A2874">
        <w:rPr>
          <w:szCs w:val="20"/>
          <w:lang w:eastAsia="en-US"/>
        </w:rPr>
        <w:t xml:space="preserve">is </w:t>
      </w:r>
      <w:r>
        <w:rPr>
          <w:szCs w:val="20"/>
          <w:lang w:eastAsia="en-US"/>
        </w:rPr>
        <w:t xml:space="preserve">defined to have the same meaning as in the </w:t>
      </w:r>
      <w:proofErr w:type="spellStart"/>
      <w:r>
        <w:rPr>
          <w:szCs w:val="20"/>
          <w:lang w:eastAsia="en-US"/>
        </w:rPr>
        <w:t>PID</w:t>
      </w:r>
      <w:proofErr w:type="spellEnd"/>
      <w:r>
        <w:rPr>
          <w:szCs w:val="20"/>
          <w:lang w:eastAsia="en-US"/>
        </w:rPr>
        <w:t xml:space="preserve"> Act.</w:t>
      </w:r>
    </w:p>
    <w:p w14:paraId="53A6FF6B" w14:textId="77777777" w:rsidR="006772DB" w:rsidRDefault="006772DB" w:rsidP="006772DB">
      <w:pPr>
        <w:spacing w:before="100" w:after="40"/>
        <w:rPr>
          <w:szCs w:val="20"/>
          <w:lang w:eastAsia="en-US"/>
        </w:rPr>
      </w:pPr>
      <w:r>
        <w:rPr>
          <w:szCs w:val="20"/>
          <w:lang w:eastAsia="en-US"/>
        </w:rPr>
        <w:t>This item also insert</w:t>
      </w:r>
      <w:r w:rsidR="005A2874">
        <w:rPr>
          <w:szCs w:val="20"/>
          <w:lang w:eastAsia="en-US"/>
        </w:rPr>
        <w:t>s</w:t>
      </w:r>
      <w:r>
        <w:rPr>
          <w:szCs w:val="20"/>
          <w:lang w:eastAsia="en-US"/>
        </w:rPr>
        <w:t xml:space="preserve"> the definition of ‘</w:t>
      </w:r>
      <w:r w:rsidRPr="001B3587">
        <w:rPr>
          <w:i/>
          <w:szCs w:val="20"/>
          <w:lang w:eastAsia="en-US"/>
        </w:rPr>
        <w:t>public interest disclosure</w:t>
      </w:r>
      <w:r w:rsidRPr="001A6E52">
        <w:rPr>
          <w:szCs w:val="20"/>
          <w:lang w:eastAsia="en-US"/>
        </w:rPr>
        <w:t>’</w:t>
      </w:r>
      <w:r>
        <w:rPr>
          <w:szCs w:val="20"/>
          <w:lang w:eastAsia="en-US"/>
        </w:rPr>
        <w:t xml:space="preserve"> as a new item in the Dictionary. The term </w:t>
      </w:r>
      <w:r w:rsidR="005A2874">
        <w:rPr>
          <w:szCs w:val="20"/>
          <w:lang w:eastAsia="en-US"/>
        </w:rPr>
        <w:t xml:space="preserve">is </w:t>
      </w:r>
      <w:r>
        <w:rPr>
          <w:szCs w:val="20"/>
          <w:lang w:eastAsia="en-US"/>
        </w:rPr>
        <w:t xml:space="preserve">defined to have the same meaning as in the </w:t>
      </w:r>
      <w:proofErr w:type="spellStart"/>
      <w:r>
        <w:rPr>
          <w:szCs w:val="20"/>
          <w:lang w:eastAsia="en-US"/>
        </w:rPr>
        <w:t>PID</w:t>
      </w:r>
      <w:proofErr w:type="spellEnd"/>
      <w:r>
        <w:rPr>
          <w:szCs w:val="20"/>
          <w:lang w:eastAsia="en-US"/>
        </w:rPr>
        <w:t xml:space="preserve"> Act.</w:t>
      </w:r>
    </w:p>
    <w:p w14:paraId="53A6FF6C" w14:textId="77777777" w:rsidR="006772DB" w:rsidRPr="005507F0" w:rsidRDefault="006772DB" w:rsidP="006772DB">
      <w:pPr>
        <w:spacing w:before="100" w:after="40"/>
        <w:rPr>
          <w:b/>
          <w:szCs w:val="20"/>
          <w:lang w:eastAsia="en-US"/>
        </w:rPr>
      </w:pPr>
      <w:r w:rsidRPr="005507F0">
        <w:rPr>
          <w:b/>
          <w:szCs w:val="20"/>
          <w:lang w:eastAsia="en-US"/>
        </w:rPr>
        <w:t xml:space="preserve">Item [7]—Dictionary (definition of </w:t>
      </w:r>
      <w:proofErr w:type="spellStart"/>
      <w:r w:rsidRPr="005507F0">
        <w:rPr>
          <w:b/>
          <w:i/>
          <w:szCs w:val="20"/>
          <w:lang w:eastAsia="en-US"/>
        </w:rPr>
        <w:t>whistleblower</w:t>
      </w:r>
      <w:proofErr w:type="spellEnd"/>
      <w:r w:rsidRPr="005507F0">
        <w:rPr>
          <w:b/>
          <w:szCs w:val="20"/>
          <w:lang w:eastAsia="en-US"/>
        </w:rPr>
        <w:t>)</w:t>
      </w:r>
    </w:p>
    <w:p w14:paraId="53A6FF6D" w14:textId="77777777" w:rsidR="006772DB" w:rsidRDefault="006772DB" w:rsidP="006772DB">
      <w:pPr>
        <w:spacing w:before="100" w:after="40"/>
        <w:rPr>
          <w:szCs w:val="20"/>
          <w:lang w:eastAsia="en-US"/>
        </w:rPr>
      </w:pPr>
      <w:r>
        <w:rPr>
          <w:szCs w:val="20"/>
          <w:lang w:eastAsia="en-US"/>
        </w:rPr>
        <w:t>This item repeal</w:t>
      </w:r>
      <w:r w:rsidR="005A2874">
        <w:rPr>
          <w:szCs w:val="20"/>
          <w:lang w:eastAsia="en-US"/>
        </w:rPr>
        <w:t>s</w:t>
      </w:r>
      <w:r>
        <w:rPr>
          <w:szCs w:val="20"/>
          <w:lang w:eastAsia="en-US"/>
        </w:rPr>
        <w:t xml:space="preserve"> the definition of ‘</w:t>
      </w:r>
      <w:proofErr w:type="spellStart"/>
      <w:r w:rsidRPr="001B3587">
        <w:rPr>
          <w:i/>
          <w:szCs w:val="20"/>
          <w:lang w:eastAsia="en-US"/>
        </w:rPr>
        <w:t>whistleblower</w:t>
      </w:r>
      <w:proofErr w:type="spellEnd"/>
      <w:r>
        <w:rPr>
          <w:szCs w:val="20"/>
          <w:lang w:eastAsia="en-US"/>
        </w:rPr>
        <w:t>’ in the Principal Regulations.</w:t>
      </w:r>
    </w:p>
    <w:p w14:paraId="53A6FF6E" w14:textId="77777777" w:rsidR="006772DB" w:rsidRPr="005507F0" w:rsidRDefault="006772DB" w:rsidP="006772DB">
      <w:pPr>
        <w:spacing w:before="100" w:after="40"/>
        <w:rPr>
          <w:b/>
          <w:szCs w:val="20"/>
          <w:lang w:eastAsia="en-US"/>
        </w:rPr>
      </w:pPr>
      <w:r w:rsidRPr="005507F0">
        <w:rPr>
          <w:b/>
          <w:szCs w:val="20"/>
          <w:lang w:eastAsia="en-US"/>
        </w:rPr>
        <w:t xml:space="preserve">Item [8]—Dictionary (definition of </w:t>
      </w:r>
      <w:proofErr w:type="spellStart"/>
      <w:r w:rsidRPr="005507F0">
        <w:rPr>
          <w:b/>
          <w:i/>
          <w:szCs w:val="20"/>
          <w:lang w:eastAsia="en-US"/>
        </w:rPr>
        <w:t>whistleblower</w:t>
      </w:r>
      <w:proofErr w:type="spellEnd"/>
      <w:r w:rsidRPr="005507F0">
        <w:rPr>
          <w:b/>
          <w:i/>
          <w:szCs w:val="20"/>
          <w:lang w:eastAsia="en-US"/>
        </w:rPr>
        <w:t xml:space="preserve"> report</w:t>
      </w:r>
      <w:r w:rsidRPr="005507F0">
        <w:rPr>
          <w:b/>
          <w:szCs w:val="20"/>
          <w:lang w:eastAsia="en-US"/>
        </w:rPr>
        <w:t>)</w:t>
      </w:r>
    </w:p>
    <w:p w14:paraId="53A6FF6F" w14:textId="77777777" w:rsidR="006772DB" w:rsidRDefault="006772DB" w:rsidP="006772DB">
      <w:pPr>
        <w:spacing w:before="100" w:after="40"/>
        <w:rPr>
          <w:szCs w:val="20"/>
          <w:lang w:eastAsia="en-US"/>
        </w:rPr>
      </w:pPr>
      <w:r>
        <w:rPr>
          <w:szCs w:val="20"/>
          <w:lang w:eastAsia="en-US"/>
        </w:rPr>
        <w:t>This item repeal</w:t>
      </w:r>
      <w:r w:rsidR="005A2874">
        <w:rPr>
          <w:szCs w:val="20"/>
          <w:lang w:eastAsia="en-US"/>
        </w:rPr>
        <w:t>s</w:t>
      </w:r>
      <w:r>
        <w:rPr>
          <w:szCs w:val="20"/>
          <w:lang w:eastAsia="en-US"/>
        </w:rPr>
        <w:t xml:space="preserve"> the definition of ‘</w:t>
      </w:r>
      <w:proofErr w:type="spellStart"/>
      <w:r w:rsidRPr="001B3587">
        <w:rPr>
          <w:i/>
          <w:szCs w:val="20"/>
          <w:lang w:eastAsia="en-US"/>
        </w:rPr>
        <w:t>whistleblower</w:t>
      </w:r>
      <w:proofErr w:type="spellEnd"/>
      <w:r w:rsidRPr="001B3587">
        <w:rPr>
          <w:i/>
          <w:szCs w:val="20"/>
          <w:lang w:eastAsia="en-US"/>
        </w:rPr>
        <w:t xml:space="preserve"> report</w:t>
      </w:r>
      <w:r w:rsidRPr="001A6E52">
        <w:rPr>
          <w:szCs w:val="20"/>
          <w:lang w:eastAsia="en-US"/>
        </w:rPr>
        <w:t>’</w:t>
      </w:r>
      <w:r>
        <w:rPr>
          <w:szCs w:val="20"/>
          <w:lang w:eastAsia="en-US"/>
        </w:rPr>
        <w:t xml:space="preserve"> in the Principal Regulations.</w:t>
      </w:r>
    </w:p>
    <w:p w14:paraId="53A6FF70" w14:textId="77777777" w:rsidR="006772DB" w:rsidRPr="00F14E02" w:rsidRDefault="006772DB" w:rsidP="006772DB">
      <w:pPr>
        <w:spacing w:before="240" w:after="40"/>
        <w:rPr>
          <w:szCs w:val="20"/>
          <w:lang w:eastAsia="en-US"/>
        </w:rPr>
      </w:pPr>
      <w:r w:rsidRPr="00F14E02">
        <w:rPr>
          <w:szCs w:val="20"/>
          <w:u w:val="single"/>
          <w:lang w:eastAsia="en-US"/>
        </w:rPr>
        <w:t xml:space="preserve">Schedule </w:t>
      </w:r>
      <w:r>
        <w:rPr>
          <w:szCs w:val="20"/>
          <w:u w:val="single"/>
          <w:lang w:eastAsia="en-US"/>
        </w:rPr>
        <w:t>3</w:t>
      </w:r>
      <w:r w:rsidRPr="00F14E02">
        <w:rPr>
          <w:rFonts w:eastAsia="Arial Unicode MS"/>
          <w:b/>
          <w:szCs w:val="20"/>
          <w:u w:val="single"/>
          <w:lang w:eastAsia="en-US"/>
        </w:rPr>
        <w:t>—</w:t>
      </w:r>
      <w:r w:rsidRPr="00F14E02">
        <w:rPr>
          <w:szCs w:val="20"/>
          <w:u w:val="single"/>
          <w:lang w:eastAsia="en-US"/>
        </w:rPr>
        <w:t>Amendments</w:t>
      </w:r>
      <w:r>
        <w:rPr>
          <w:szCs w:val="20"/>
          <w:u w:val="single"/>
          <w:lang w:eastAsia="en-US"/>
        </w:rPr>
        <w:t xml:space="preserve"> commencing on 12 March 2014</w:t>
      </w:r>
    </w:p>
    <w:p w14:paraId="53A6FF71" w14:textId="77777777" w:rsidR="006772DB" w:rsidRDefault="006772DB" w:rsidP="006772DB">
      <w:pPr>
        <w:tabs>
          <w:tab w:val="left" w:pos="1134"/>
        </w:tabs>
        <w:spacing w:before="240" w:after="40"/>
        <w:rPr>
          <w:b/>
          <w:szCs w:val="20"/>
          <w:lang w:eastAsia="en-US"/>
        </w:rPr>
      </w:pPr>
      <w:r w:rsidRPr="00F14E02">
        <w:rPr>
          <w:b/>
          <w:szCs w:val="20"/>
          <w:lang w:eastAsia="en-US"/>
        </w:rPr>
        <w:t>Item [1]</w:t>
      </w:r>
      <w:r w:rsidRPr="00F14E02">
        <w:rPr>
          <w:rFonts w:eastAsia="Arial Unicode MS"/>
          <w:b/>
          <w:szCs w:val="20"/>
          <w:lang w:eastAsia="en-US"/>
        </w:rPr>
        <w:t>—</w:t>
      </w:r>
      <w:proofErr w:type="spellStart"/>
      <w:r>
        <w:rPr>
          <w:rFonts w:eastAsia="Arial Unicode MS"/>
          <w:b/>
          <w:szCs w:val="20"/>
          <w:lang w:eastAsia="en-US"/>
        </w:rPr>
        <w:t>Subregulations</w:t>
      </w:r>
      <w:proofErr w:type="spellEnd"/>
      <w:r>
        <w:rPr>
          <w:rFonts w:eastAsia="Arial Unicode MS"/>
          <w:b/>
          <w:szCs w:val="20"/>
          <w:lang w:eastAsia="en-US"/>
        </w:rPr>
        <w:t xml:space="preserve"> 9.2(7) and 9.2(8) </w:t>
      </w:r>
    </w:p>
    <w:p w14:paraId="53A6FF72" w14:textId="77777777" w:rsidR="006772DB" w:rsidRDefault="006772DB" w:rsidP="006772DB">
      <w:pPr>
        <w:spacing w:before="100" w:after="40"/>
        <w:rPr>
          <w:szCs w:val="20"/>
          <w:lang w:eastAsia="en-US"/>
        </w:rPr>
      </w:pPr>
      <w:r>
        <w:rPr>
          <w:szCs w:val="20"/>
          <w:lang w:eastAsia="en-US"/>
        </w:rPr>
        <w:t>This item repeal</w:t>
      </w:r>
      <w:r w:rsidR="005A2874">
        <w:rPr>
          <w:szCs w:val="20"/>
          <w:lang w:eastAsia="en-US"/>
        </w:rPr>
        <w:t>s</w:t>
      </w:r>
      <w:r>
        <w:rPr>
          <w:szCs w:val="20"/>
          <w:lang w:eastAsia="en-US"/>
        </w:rPr>
        <w:t xml:space="preserve"> </w:t>
      </w:r>
      <w:proofErr w:type="spellStart"/>
      <w:r>
        <w:rPr>
          <w:szCs w:val="20"/>
          <w:lang w:eastAsia="en-US"/>
        </w:rPr>
        <w:t>subregulations</w:t>
      </w:r>
      <w:proofErr w:type="spellEnd"/>
      <w:r>
        <w:rPr>
          <w:szCs w:val="20"/>
          <w:lang w:eastAsia="en-US"/>
        </w:rPr>
        <w:t xml:space="preserve"> 9.2(7) and 9.2(8) and substitute</w:t>
      </w:r>
      <w:r w:rsidR="005A2874">
        <w:rPr>
          <w:szCs w:val="20"/>
          <w:lang w:eastAsia="en-US"/>
        </w:rPr>
        <w:t>s</w:t>
      </w:r>
      <w:r>
        <w:rPr>
          <w:szCs w:val="20"/>
          <w:lang w:eastAsia="en-US"/>
        </w:rPr>
        <w:t xml:space="preserve"> </w:t>
      </w:r>
      <w:proofErr w:type="spellStart"/>
      <w:r>
        <w:rPr>
          <w:szCs w:val="20"/>
          <w:lang w:eastAsia="en-US"/>
        </w:rPr>
        <w:t>subregulation</w:t>
      </w:r>
      <w:proofErr w:type="spellEnd"/>
      <w:r>
        <w:rPr>
          <w:szCs w:val="20"/>
          <w:lang w:eastAsia="en-US"/>
        </w:rPr>
        <w:t xml:space="preserve"> 9.2(7).</w:t>
      </w:r>
    </w:p>
    <w:p w14:paraId="53A6FF73" w14:textId="77777777" w:rsidR="006772DB" w:rsidRPr="00F14E02" w:rsidRDefault="005A2874" w:rsidP="006772DB">
      <w:pPr>
        <w:spacing w:before="100" w:after="40"/>
        <w:rPr>
          <w:szCs w:val="20"/>
          <w:lang w:eastAsia="en-US"/>
        </w:rPr>
      </w:pPr>
      <w:proofErr w:type="spellStart"/>
      <w:r>
        <w:rPr>
          <w:szCs w:val="20"/>
          <w:lang w:eastAsia="en-US"/>
        </w:rPr>
        <w:t>S</w:t>
      </w:r>
      <w:r w:rsidR="006772DB">
        <w:rPr>
          <w:szCs w:val="20"/>
          <w:lang w:eastAsia="en-US"/>
        </w:rPr>
        <w:t>ubregulation</w:t>
      </w:r>
      <w:proofErr w:type="spellEnd"/>
      <w:r w:rsidR="006772DB">
        <w:rPr>
          <w:szCs w:val="20"/>
          <w:lang w:eastAsia="en-US"/>
        </w:rPr>
        <w:t xml:space="preserve"> 9.2(7) is consequential to the amendments to the </w:t>
      </w:r>
      <w:r w:rsidR="006772DB" w:rsidRPr="001B3587">
        <w:rPr>
          <w:i/>
          <w:szCs w:val="20"/>
          <w:lang w:eastAsia="en-US"/>
        </w:rPr>
        <w:t>Privacy Act 1988</w:t>
      </w:r>
      <w:r w:rsidR="006772DB">
        <w:rPr>
          <w:szCs w:val="20"/>
          <w:lang w:eastAsia="en-US"/>
        </w:rPr>
        <w:t>, which come into effect in 12 March 2014, and provide</w:t>
      </w:r>
      <w:r>
        <w:rPr>
          <w:szCs w:val="20"/>
          <w:lang w:eastAsia="en-US"/>
        </w:rPr>
        <w:t>s</w:t>
      </w:r>
      <w:r w:rsidR="006772DB">
        <w:rPr>
          <w:szCs w:val="20"/>
          <w:lang w:eastAsia="en-US"/>
        </w:rPr>
        <w:t xml:space="preserve"> that use and disclosure of personal information under regulation 9.2 of the Principal Regulations is authorised for the purposes of Australian Privacy Principle 6.2(b) under the </w:t>
      </w:r>
      <w:r w:rsidR="006772DB">
        <w:rPr>
          <w:i/>
          <w:szCs w:val="20"/>
          <w:lang w:eastAsia="en-US"/>
        </w:rPr>
        <w:t>Privacy Act 1988</w:t>
      </w:r>
      <w:r w:rsidR="006772DB">
        <w:rPr>
          <w:szCs w:val="20"/>
          <w:lang w:eastAsia="en-US"/>
        </w:rPr>
        <w:t>.</w:t>
      </w:r>
    </w:p>
    <w:p w14:paraId="53A6FF74" w14:textId="77777777" w:rsidR="00DE0690" w:rsidRPr="00F14E02" w:rsidRDefault="00DE0690" w:rsidP="006772DB">
      <w:pPr>
        <w:jc w:val="right"/>
        <w:rPr>
          <w:szCs w:val="20"/>
          <w:lang w:eastAsia="en-US"/>
        </w:rPr>
      </w:pPr>
    </w:p>
    <w:sectPr w:rsidR="00DE0690" w:rsidRPr="00F14E02" w:rsidSect="00A06D35">
      <w:headerReference w:type="first" r:id="rId15"/>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6FF77" w14:textId="77777777" w:rsidR="003A11B6" w:rsidRDefault="003A11B6">
      <w:r>
        <w:separator/>
      </w:r>
    </w:p>
  </w:endnote>
  <w:endnote w:type="continuationSeparator" w:id="0">
    <w:p w14:paraId="53A6FF78" w14:textId="77777777" w:rsidR="003A11B6" w:rsidRDefault="003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FF7B" w14:textId="77777777" w:rsidR="003A11B6" w:rsidRDefault="003A11B6">
    <w:pPr>
      <w:pStyle w:val="Footer"/>
      <w:jc w:val="center"/>
    </w:pPr>
  </w:p>
  <w:p w14:paraId="53A6FF7C" w14:textId="77777777" w:rsidR="003A11B6" w:rsidRDefault="003A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FF75" w14:textId="77777777" w:rsidR="003A11B6" w:rsidRDefault="003A11B6">
      <w:r>
        <w:separator/>
      </w:r>
    </w:p>
  </w:footnote>
  <w:footnote w:type="continuationSeparator" w:id="0">
    <w:p w14:paraId="53A6FF76" w14:textId="77777777" w:rsidR="003A11B6" w:rsidRDefault="003A11B6">
      <w:r>
        <w:continuationSeparator/>
      </w:r>
    </w:p>
  </w:footnote>
  <w:footnote w:id="1">
    <w:p w14:paraId="53A6FF80" w14:textId="77777777" w:rsidR="00CE354A" w:rsidRDefault="00CE354A" w:rsidP="00CE354A">
      <w:pPr>
        <w:pStyle w:val="FootnoteText"/>
      </w:pPr>
      <w:r>
        <w:rPr>
          <w:rStyle w:val="FootnoteReference"/>
        </w:rPr>
        <w:footnoteRef/>
      </w:r>
      <w:r>
        <w:t xml:space="preserve"> </w:t>
      </w:r>
      <w:r w:rsidRPr="00BE29DF">
        <w:t xml:space="preserve">Human Rights Committee, General Comment 16, (Twenty-third session, 1988), </w:t>
      </w:r>
      <w:r w:rsidRPr="00BE29DF">
        <w:rPr>
          <w:i/>
        </w:rPr>
        <w:t>Compilation of General Comments and General Recommendations Adopted by Human Rights Treaty Bodies</w:t>
      </w:r>
      <w:r w:rsidRPr="00BE29DF">
        <w:t xml:space="preserve">, U.N. Doc. </w:t>
      </w:r>
      <w:proofErr w:type="spellStart"/>
      <w:r w:rsidRPr="00BE29DF">
        <w:t>HRI</w:t>
      </w:r>
      <w:proofErr w:type="spellEnd"/>
      <w:r w:rsidRPr="00BE29DF">
        <w:t>/GEN/1/Rev.1 at 21 (1994)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27360"/>
      <w:docPartObj>
        <w:docPartGallery w:val="Page Numbers (Top of Page)"/>
        <w:docPartUnique/>
      </w:docPartObj>
    </w:sdtPr>
    <w:sdtEndPr>
      <w:rPr>
        <w:noProof/>
      </w:rPr>
    </w:sdtEndPr>
    <w:sdtContent>
      <w:p w14:paraId="53A6FF79" w14:textId="77777777" w:rsidR="00A06D35" w:rsidRDefault="00A06D35">
        <w:pPr>
          <w:pStyle w:val="Header"/>
          <w:jc w:val="center"/>
        </w:pPr>
        <w:r>
          <w:fldChar w:fldCharType="begin"/>
        </w:r>
        <w:r>
          <w:instrText xml:space="preserve"> PAGE   \* MERGEFORMAT </w:instrText>
        </w:r>
        <w:r>
          <w:fldChar w:fldCharType="separate"/>
        </w:r>
        <w:r w:rsidR="002D07C4">
          <w:rPr>
            <w:noProof/>
          </w:rPr>
          <w:t>2</w:t>
        </w:r>
        <w:r>
          <w:rPr>
            <w:noProof/>
          </w:rPr>
          <w:fldChar w:fldCharType="end"/>
        </w:r>
      </w:p>
    </w:sdtContent>
  </w:sdt>
  <w:p w14:paraId="53A6FF7A" w14:textId="77777777" w:rsidR="003A11B6" w:rsidRDefault="003A1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FF7D" w14:textId="77777777" w:rsidR="00A06D35" w:rsidRDefault="00A06D35">
    <w:pPr>
      <w:pStyle w:val="Header"/>
      <w:jc w:val="center"/>
    </w:pPr>
  </w:p>
  <w:p w14:paraId="53A6FF7E" w14:textId="77777777" w:rsidR="00A06D35" w:rsidRDefault="00A06D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FF7F" w14:textId="77777777" w:rsidR="00D14544" w:rsidRDefault="002D0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B26"/>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FA7DC9"/>
    <w:multiLevelType w:val="hybridMultilevel"/>
    <w:tmpl w:val="B5EC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7416F0"/>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EE5AF8"/>
    <w:multiLevelType w:val="hybridMultilevel"/>
    <w:tmpl w:val="49BAB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C50EED"/>
    <w:multiLevelType w:val="hybridMultilevel"/>
    <w:tmpl w:val="88E09F1A"/>
    <w:lvl w:ilvl="0" w:tplc="194A8D48">
      <w:start w:val="1"/>
      <w:numFmt w:val="bullet"/>
      <w:lvlText w:val=""/>
      <w:lvlJc w:val="left"/>
      <w:pPr>
        <w:tabs>
          <w:tab w:val="num" w:pos="425"/>
        </w:tabs>
        <w:ind w:left="425" w:hanging="425"/>
      </w:pPr>
      <w:rPr>
        <w:rFonts w:ascii="Symbol" w:hAnsi="Symbol" w:hint="default"/>
        <w:sz w:val="1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AEC0D27"/>
    <w:multiLevelType w:val="hybridMultilevel"/>
    <w:tmpl w:val="60E83A6A"/>
    <w:lvl w:ilvl="0" w:tplc="35AC83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6F0B2C"/>
    <w:multiLevelType w:val="hybridMultilevel"/>
    <w:tmpl w:val="B284E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E44F12"/>
    <w:multiLevelType w:val="hybridMultilevel"/>
    <w:tmpl w:val="61683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DE57C2"/>
    <w:multiLevelType w:val="hybridMultilevel"/>
    <w:tmpl w:val="6B483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C03CF4"/>
    <w:multiLevelType w:val="hybridMultilevel"/>
    <w:tmpl w:val="1724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F610C6"/>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1A5F8A"/>
    <w:multiLevelType w:val="hybridMultilevel"/>
    <w:tmpl w:val="F8963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EF414AE"/>
    <w:multiLevelType w:val="hybridMultilevel"/>
    <w:tmpl w:val="345C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F33E3B"/>
    <w:multiLevelType w:val="hybridMultilevel"/>
    <w:tmpl w:val="4D76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586C96"/>
    <w:multiLevelType w:val="hybridMultilevel"/>
    <w:tmpl w:val="0E925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251644"/>
    <w:multiLevelType w:val="hybridMultilevel"/>
    <w:tmpl w:val="EAAE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D75174"/>
    <w:multiLevelType w:val="hybridMultilevel"/>
    <w:tmpl w:val="05BC5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933100"/>
    <w:multiLevelType w:val="hybridMultilevel"/>
    <w:tmpl w:val="1E5C1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B9442E"/>
    <w:multiLevelType w:val="hybridMultilevel"/>
    <w:tmpl w:val="93F47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68C04ED"/>
    <w:multiLevelType w:val="hybridMultilevel"/>
    <w:tmpl w:val="4EDCC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8A42B4"/>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9236CD"/>
    <w:multiLevelType w:val="hybridMultilevel"/>
    <w:tmpl w:val="46163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8206091"/>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4C0A32"/>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A522AF0"/>
    <w:multiLevelType w:val="hybridMultilevel"/>
    <w:tmpl w:val="CADE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0C5DEA"/>
    <w:multiLevelType w:val="hybridMultilevel"/>
    <w:tmpl w:val="5502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262958"/>
    <w:multiLevelType w:val="hybridMultilevel"/>
    <w:tmpl w:val="BC94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106B01"/>
    <w:multiLevelType w:val="hybridMultilevel"/>
    <w:tmpl w:val="C29EC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3CF276F"/>
    <w:multiLevelType w:val="multilevel"/>
    <w:tmpl w:val="0418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E710F5"/>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542232F"/>
    <w:multiLevelType w:val="hybridMultilevel"/>
    <w:tmpl w:val="1524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0054B1"/>
    <w:multiLevelType w:val="hybridMultilevel"/>
    <w:tmpl w:val="8BC81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DF159CC"/>
    <w:multiLevelType w:val="hybridMultilevel"/>
    <w:tmpl w:val="3F32E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
  </w:num>
  <w:num w:numId="7">
    <w:abstractNumId w:val="30"/>
  </w:num>
  <w:num w:numId="8">
    <w:abstractNumId w:val="17"/>
  </w:num>
  <w:num w:numId="9">
    <w:abstractNumId w:val="6"/>
  </w:num>
  <w:num w:numId="10">
    <w:abstractNumId w:val="24"/>
  </w:num>
  <w:num w:numId="11">
    <w:abstractNumId w:val="15"/>
  </w:num>
  <w:num w:numId="12">
    <w:abstractNumId w:val="3"/>
  </w:num>
  <w:num w:numId="13">
    <w:abstractNumId w:val="12"/>
  </w:num>
  <w:num w:numId="14">
    <w:abstractNumId w:val="10"/>
  </w:num>
  <w:num w:numId="15">
    <w:abstractNumId w:val="5"/>
  </w:num>
  <w:num w:numId="16">
    <w:abstractNumId w:val="22"/>
  </w:num>
  <w:num w:numId="17">
    <w:abstractNumId w:val="29"/>
  </w:num>
  <w:num w:numId="18">
    <w:abstractNumId w:val="2"/>
  </w:num>
  <w:num w:numId="19">
    <w:abstractNumId w:val="32"/>
  </w:num>
  <w:num w:numId="20">
    <w:abstractNumId w:val="14"/>
  </w:num>
  <w:num w:numId="21">
    <w:abstractNumId w:val="8"/>
  </w:num>
  <w:num w:numId="22">
    <w:abstractNumId w:val="20"/>
  </w:num>
  <w:num w:numId="23">
    <w:abstractNumId w:val="23"/>
  </w:num>
  <w:num w:numId="24">
    <w:abstractNumId w:val="0"/>
  </w:num>
  <w:num w:numId="25">
    <w:abstractNumId w:val="13"/>
  </w:num>
  <w:num w:numId="26">
    <w:abstractNumId w:val="25"/>
  </w:num>
  <w:num w:numId="27">
    <w:abstractNumId w:val="26"/>
  </w:num>
  <w:num w:numId="28">
    <w:abstractNumId w:val="19"/>
  </w:num>
  <w:num w:numId="29">
    <w:abstractNumId w:val="21"/>
  </w:num>
  <w:num w:numId="30">
    <w:abstractNumId w:val="28"/>
  </w:num>
  <w:num w:numId="31">
    <w:abstractNumId w:val="16"/>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03"/>
    <w:rsid w:val="00006D99"/>
    <w:rsid w:val="00007D1C"/>
    <w:rsid w:val="00020587"/>
    <w:rsid w:val="00033DDF"/>
    <w:rsid w:val="00073ADC"/>
    <w:rsid w:val="000804D5"/>
    <w:rsid w:val="00081EDE"/>
    <w:rsid w:val="00096700"/>
    <w:rsid w:val="000A4936"/>
    <w:rsid w:val="000B0253"/>
    <w:rsid w:val="000C1108"/>
    <w:rsid w:val="000C4EF7"/>
    <w:rsid w:val="000D163F"/>
    <w:rsid w:val="000D1D85"/>
    <w:rsid w:val="000F6A99"/>
    <w:rsid w:val="001034A8"/>
    <w:rsid w:val="00106127"/>
    <w:rsid w:val="0014129D"/>
    <w:rsid w:val="001515F6"/>
    <w:rsid w:val="00157763"/>
    <w:rsid w:val="00162F14"/>
    <w:rsid w:val="00167935"/>
    <w:rsid w:val="00187285"/>
    <w:rsid w:val="00196D59"/>
    <w:rsid w:val="001A5686"/>
    <w:rsid w:val="001A5FAC"/>
    <w:rsid w:val="001B2AD7"/>
    <w:rsid w:val="001B3587"/>
    <w:rsid w:val="001E42B8"/>
    <w:rsid w:val="001E5708"/>
    <w:rsid w:val="001F37AA"/>
    <w:rsid w:val="001F51FB"/>
    <w:rsid w:val="00213F0D"/>
    <w:rsid w:val="002149B0"/>
    <w:rsid w:val="002225F4"/>
    <w:rsid w:val="00251369"/>
    <w:rsid w:val="0025359C"/>
    <w:rsid w:val="00253751"/>
    <w:rsid w:val="00255948"/>
    <w:rsid w:val="00271761"/>
    <w:rsid w:val="00297319"/>
    <w:rsid w:val="002A5D11"/>
    <w:rsid w:val="002A6531"/>
    <w:rsid w:val="002A6EC7"/>
    <w:rsid w:val="002C4B7B"/>
    <w:rsid w:val="002D07C4"/>
    <w:rsid w:val="002E6D98"/>
    <w:rsid w:val="00302F91"/>
    <w:rsid w:val="003129E4"/>
    <w:rsid w:val="00327C5F"/>
    <w:rsid w:val="00334072"/>
    <w:rsid w:val="0034173F"/>
    <w:rsid w:val="0034349C"/>
    <w:rsid w:val="0037363A"/>
    <w:rsid w:val="003747D5"/>
    <w:rsid w:val="00390353"/>
    <w:rsid w:val="003A11B6"/>
    <w:rsid w:val="003B1110"/>
    <w:rsid w:val="003B31E6"/>
    <w:rsid w:val="003C57E8"/>
    <w:rsid w:val="003F060F"/>
    <w:rsid w:val="003F1C00"/>
    <w:rsid w:val="003F401B"/>
    <w:rsid w:val="00406172"/>
    <w:rsid w:val="00406826"/>
    <w:rsid w:val="004233BF"/>
    <w:rsid w:val="00425CE6"/>
    <w:rsid w:val="0043000C"/>
    <w:rsid w:val="004301F8"/>
    <w:rsid w:val="00450CF5"/>
    <w:rsid w:val="00452063"/>
    <w:rsid w:val="00463679"/>
    <w:rsid w:val="00475760"/>
    <w:rsid w:val="00482C6A"/>
    <w:rsid w:val="00497AF5"/>
    <w:rsid w:val="004B0865"/>
    <w:rsid w:val="004B29B1"/>
    <w:rsid w:val="004D5065"/>
    <w:rsid w:val="00500534"/>
    <w:rsid w:val="005137C5"/>
    <w:rsid w:val="0052192B"/>
    <w:rsid w:val="00530FAB"/>
    <w:rsid w:val="0053143F"/>
    <w:rsid w:val="00536275"/>
    <w:rsid w:val="00541999"/>
    <w:rsid w:val="005433CF"/>
    <w:rsid w:val="005447AC"/>
    <w:rsid w:val="005507F0"/>
    <w:rsid w:val="0056269C"/>
    <w:rsid w:val="00564699"/>
    <w:rsid w:val="0058274B"/>
    <w:rsid w:val="005A0824"/>
    <w:rsid w:val="005A2874"/>
    <w:rsid w:val="005A30E7"/>
    <w:rsid w:val="005A3108"/>
    <w:rsid w:val="005A6310"/>
    <w:rsid w:val="005B3531"/>
    <w:rsid w:val="005D1A2F"/>
    <w:rsid w:val="005D236C"/>
    <w:rsid w:val="005D3616"/>
    <w:rsid w:val="005D7586"/>
    <w:rsid w:val="005E59C0"/>
    <w:rsid w:val="005E73F6"/>
    <w:rsid w:val="00604598"/>
    <w:rsid w:val="00626803"/>
    <w:rsid w:val="00627ABF"/>
    <w:rsid w:val="00633BF4"/>
    <w:rsid w:val="0064503A"/>
    <w:rsid w:val="00646D4C"/>
    <w:rsid w:val="00654D49"/>
    <w:rsid w:val="0067168E"/>
    <w:rsid w:val="006716B1"/>
    <w:rsid w:val="006772DB"/>
    <w:rsid w:val="006805B9"/>
    <w:rsid w:val="006A15BE"/>
    <w:rsid w:val="006C2690"/>
    <w:rsid w:val="006C44AE"/>
    <w:rsid w:val="006D03B4"/>
    <w:rsid w:val="006D1F9D"/>
    <w:rsid w:val="006D3E08"/>
    <w:rsid w:val="006D647E"/>
    <w:rsid w:val="006E2C3A"/>
    <w:rsid w:val="00711D45"/>
    <w:rsid w:val="007207F2"/>
    <w:rsid w:val="00733D1D"/>
    <w:rsid w:val="00737AB0"/>
    <w:rsid w:val="00754A28"/>
    <w:rsid w:val="00755168"/>
    <w:rsid w:val="00760F14"/>
    <w:rsid w:val="0076458B"/>
    <w:rsid w:val="0078547E"/>
    <w:rsid w:val="00785B34"/>
    <w:rsid w:val="00795BC1"/>
    <w:rsid w:val="007A0811"/>
    <w:rsid w:val="007A4FE6"/>
    <w:rsid w:val="007B1045"/>
    <w:rsid w:val="007B1EEF"/>
    <w:rsid w:val="007D5580"/>
    <w:rsid w:val="007D7732"/>
    <w:rsid w:val="007E0293"/>
    <w:rsid w:val="007E4DD1"/>
    <w:rsid w:val="007E6A30"/>
    <w:rsid w:val="007F39CB"/>
    <w:rsid w:val="007F5130"/>
    <w:rsid w:val="008043F8"/>
    <w:rsid w:val="00806295"/>
    <w:rsid w:val="00813796"/>
    <w:rsid w:val="008237E9"/>
    <w:rsid w:val="00830BEC"/>
    <w:rsid w:val="00831CD0"/>
    <w:rsid w:val="00840972"/>
    <w:rsid w:val="00850C9D"/>
    <w:rsid w:val="0085127F"/>
    <w:rsid w:val="00854849"/>
    <w:rsid w:val="00854A7B"/>
    <w:rsid w:val="0086581F"/>
    <w:rsid w:val="0086677E"/>
    <w:rsid w:val="008A1186"/>
    <w:rsid w:val="008A41FF"/>
    <w:rsid w:val="008A499E"/>
    <w:rsid w:val="008A613D"/>
    <w:rsid w:val="008A6BD3"/>
    <w:rsid w:val="008A6DC5"/>
    <w:rsid w:val="008B4112"/>
    <w:rsid w:val="008C0916"/>
    <w:rsid w:val="008C7A7B"/>
    <w:rsid w:val="008D31B5"/>
    <w:rsid w:val="00904492"/>
    <w:rsid w:val="00905F0B"/>
    <w:rsid w:val="009078D4"/>
    <w:rsid w:val="0091397E"/>
    <w:rsid w:val="00931C7C"/>
    <w:rsid w:val="00931F3D"/>
    <w:rsid w:val="00935366"/>
    <w:rsid w:val="00960972"/>
    <w:rsid w:val="00975744"/>
    <w:rsid w:val="00980B55"/>
    <w:rsid w:val="0098639B"/>
    <w:rsid w:val="009B7207"/>
    <w:rsid w:val="009C3A31"/>
    <w:rsid w:val="009D3ED4"/>
    <w:rsid w:val="009E2A5E"/>
    <w:rsid w:val="009E50CA"/>
    <w:rsid w:val="009F140D"/>
    <w:rsid w:val="009F2818"/>
    <w:rsid w:val="00A049E0"/>
    <w:rsid w:val="00A06D35"/>
    <w:rsid w:val="00A20A3C"/>
    <w:rsid w:val="00A25908"/>
    <w:rsid w:val="00A35BAC"/>
    <w:rsid w:val="00A43138"/>
    <w:rsid w:val="00A45675"/>
    <w:rsid w:val="00A52F7D"/>
    <w:rsid w:val="00A55FE3"/>
    <w:rsid w:val="00A65750"/>
    <w:rsid w:val="00A66B77"/>
    <w:rsid w:val="00A7222F"/>
    <w:rsid w:val="00A75B92"/>
    <w:rsid w:val="00A85A3E"/>
    <w:rsid w:val="00A96F51"/>
    <w:rsid w:val="00AA6E4C"/>
    <w:rsid w:val="00AB6F6E"/>
    <w:rsid w:val="00B00879"/>
    <w:rsid w:val="00B022FC"/>
    <w:rsid w:val="00B024D5"/>
    <w:rsid w:val="00B035D4"/>
    <w:rsid w:val="00B15CAD"/>
    <w:rsid w:val="00B24F65"/>
    <w:rsid w:val="00B27631"/>
    <w:rsid w:val="00B4410E"/>
    <w:rsid w:val="00B5345B"/>
    <w:rsid w:val="00B56542"/>
    <w:rsid w:val="00B56D62"/>
    <w:rsid w:val="00B60F27"/>
    <w:rsid w:val="00B641BE"/>
    <w:rsid w:val="00B82CD1"/>
    <w:rsid w:val="00B84F33"/>
    <w:rsid w:val="00BA2BF8"/>
    <w:rsid w:val="00BB37AC"/>
    <w:rsid w:val="00BC1EB0"/>
    <w:rsid w:val="00BD288A"/>
    <w:rsid w:val="00BD7B71"/>
    <w:rsid w:val="00BE1E24"/>
    <w:rsid w:val="00BE5764"/>
    <w:rsid w:val="00C46549"/>
    <w:rsid w:val="00C4739A"/>
    <w:rsid w:val="00C540D3"/>
    <w:rsid w:val="00C67AC7"/>
    <w:rsid w:val="00C711CB"/>
    <w:rsid w:val="00C925A3"/>
    <w:rsid w:val="00CA45E8"/>
    <w:rsid w:val="00CB5B25"/>
    <w:rsid w:val="00CC2D4C"/>
    <w:rsid w:val="00CD648C"/>
    <w:rsid w:val="00CD703C"/>
    <w:rsid w:val="00CE354A"/>
    <w:rsid w:val="00CE6C00"/>
    <w:rsid w:val="00CE7680"/>
    <w:rsid w:val="00CF52AA"/>
    <w:rsid w:val="00CF5912"/>
    <w:rsid w:val="00D02FFD"/>
    <w:rsid w:val="00D16540"/>
    <w:rsid w:val="00D1715E"/>
    <w:rsid w:val="00D427F9"/>
    <w:rsid w:val="00D5721A"/>
    <w:rsid w:val="00D80108"/>
    <w:rsid w:val="00D92902"/>
    <w:rsid w:val="00DA33F3"/>
    <w:rsid w:val="00DC51E9"/>
    <w:rsid w:val="00DD763E"/>
    <w:rsid w:val="00DE0690"/>
    <w:rsid w:val="00E033C1"/>
    <w:rsid w:val="00E067D4"/>
    <w:rsid w:val="00E13871"/>
    <w:rsid w:val="00E20719"/>
    <w:rsid w:val="00E26EC1"/>
    <w:rsid w:val="00E51259"/>
    <w:rsid w:val="00E540BF"/>
    <w:rsid w:val="00E65DE5"/>
    <w:rsid w:val="00E66DB6"/>
    <w:rsid w:val="00E73701"/>
    <w:rsid w:val="00E83F42"/>
    <w:rsid w:val="00E90223"/>
    <w:rsid w:val="00E914BE"/>
    <w:rsid w:val="00E93A15"/>
    <w:rsid w:val="00EA41AC"/>
    <w:rsid w:val="00EA748D"/>
    <w:rsid w:val="00EC5547"/>
    <w:rsid w:val="00EC7C39"/>
    <w:rsid w:val="00ED1D1A"/>
    <w:rsid w:val="00ED7EB5"/>
    <w:rsid w:val="00EE0EC0"/>
    <w:rsid w:val="00EF1C9B"/>
    <w:rsid w:val="00EF73F6"/>
    <w:rsid w:val="00F13022"/>
    <w:rsid w:val="00F14DD9"/>
    <w:rsid w:val="00F14E02"/>
    <w:rsid w:val="00F15395"/>
    <w:rsid w:val="00F23A13"/>
    <w:rsid w:val="00F33E48"/>
    <w:rsid w:val="00F35DAA"/>
    <w:rsid w:val="00F52385"/>
    <w:rsid w:val="00F61E3F"/>
    <w:rsid w:val="00F63785"/>
    <w:rsid w:val="00F7555B"/>
    <w:rsid w:val="00F80ACA"/>
    <w:rsid w:val="00F859BD"/>
    <w:rsid w:val="00F930C1"/>
    <w:rsid w:val="00F93FDC"/>
    <w:rsid w:val="00FC2B0D"/>
    <w:rsid w:val="00FC3474"/>
    <w:rsid w:val="00FC6BD6"/>
    <w:rsid w:val="00FC6EE9"/>
    <w:rsid w:val="00FD16BC"/>
    <w:rsid w:val="00FE1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A6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03"/>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rsid w:val="00626803"/>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626803"/>
    <w:rPr>
      <w:sz w:val="24"/>
      <w:lang w:eastAsia="en-US"/>
    </w:rPr>
  </w:style>
  <w:style w:type="paragraph" w:styleId="Footer">
    <w:name w:val="footer"/>
    <w:basedOn w:val="Normal"/>
    <w:link w:val="FooterChar"/>
    <w:uiPriority w:val="99"/>
    <w:rsid w:val="00626803"/>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626803"/>
    <w:rPr>
      <w:sz w:val="24"/>
      <w:lang w:eastAsia="en-US"/>
    </w:rPr>
  </w:style>
  <w:style w:type="paragraph" w:styleId="BalloonText">
    <w:name w:val="Balloon Text"/>
    <w:basedOn w:val="Normal"/>
    <w:link w:val="BalloonTextChar"/>
    <w:rsid w:val="00626803"/>
    <w:rPr>
      <w:rFonts w:ascii="Tahoma" w:hAnsi="Tahoma" w:cs="Tahoma"/>
      <w:sz w:val="16"/>
      <w:szCs w:val="16"/>
    </w:rPr>
  </w:style>
  <w:style w:type="character" w:customStyle="1" w:styleId="BalloonTextChar">
    <w:name w:val="Balloon Text Char"/>
    <w:basedOn w:val="DefaultParagraphFont"/>
    <w:link w:val="BalloonText"/>
    <w:rsid w:val="00626803"/>
    <w:rPr>
      <w:rFonts w:ascii="Tahoma" w:hAnsi="Tahoma" w:cs="Tahoma"/>
      <w:sz w:val="16"/>
      <w:szCs w:val="16"/>
    </w:rPr>
  </w:style>
  <w:style w:type="paragraph" w:styleId="ListParagraph">
    <w:name w:val="List Paragraph"/>
    <w:basedOn w:val="Normal"/>
    <w:uiPriority w:val="34"/>
    <w:qFormat/>
    <w:rsid w:val="00626803"/>
    <w:pPr>
      <w:ind w:left="720"/>
      <w:contextualSpacing/>
    </w:pPr>
  </w:style>
  <w:style w:type="character" w:styleId="CommentReference">
    <w:name w:val="annotation reference"/>
    <w:basedOn w:val="DefaultParagraphFont"/>
    <w:rsid w:val="005447AC"/>
    <w:rPr>
      <w:sz w:val="16"/>
      <w:szCs w:val="16"/>
    </w:rPr>
  </w:style>
  <w:style w:type="paragraph" w:styleId="CommentText">
    <w:name w:val="annotation text"/>
    <w:basedOn w:val="Normal"/>
    <w:link w:val="CommentTextChar"/>
    <w:rsid w:val="005447AC"/>
    <w:rPr>
      <w:sz w:val="20"/>
      <w:szCs w:val="20"/>
    </w:rPr>
  </w:style>
  <w:style w:type="character" w:customStyle="1" w:styleId="CommentTextChar">
    <w:name w:val="Comment Text Char"/>
    <w:basedOn w:val="DefaultParagraphFont"/>
    <w:link w:val="CommentText"/>
    <w:rsid w:val="005447AC"/>
  </w:style>
  <w:style w:type="paragraph" w:styleId="CommentSubject">
    <w:name w:val="annotation subject"/>
    <w:basedOn w:val="CommentText"/>
    <w:next w:val="CommentText"/>
    <w:link w:val="CommentSubjectChar"/>
    <w:rsid w:val="005447AC"/>
    <w:rPr>
      <w:b/>
      <w:bCs/>
    </w:rPr>
  </w:style>
  <w:style w:type="character" w:customStyle="1" w:styleId="CommentSubjectChar">
    <w:name w:val="Comment Subject Char"/>
    <w:basedOn w:val="CommentTextChar"/>
    <w:link w:val="CommentSubject"/>
    <w:rsid w:val="005447AC"/>
    <w:rPr>
      <w:b/>
      <w:bCs/>
    </w:rPr>
  </w:style>
  <w:style w:type="paragraph" w:styleId="FootnoteText">
    <w:name w:val="footnote text"/>
    <w:basedOn w:val="Normal"/>
    <w:link w:val="FootnoteTextChar"/>
    <w:rsid w:val="00B56542"/>
    <w:rPr>
      <w:sz w:val="20"/>
      <w:szCs w:val="20"/>
    </w:rPr>
  </w:style>
  <w:style w:type="character" w:customStyle="1" w:styleId="FootnoteTextChar">
    <w:name w:val="Footnote Text Char"/>
    <w:basedOn w:val="DefaultParagraphFont"/>
    <w:link w:val="FootnoteText"/>
    <w:rsid w:val="00B56542"/>
  </w:style>
  <w:style w:type="character" w:styleId="FootnoteReference">
    <w:name w:val="footnote reference"/>
    <w:basedOn w:val="DefaultParagraphFont"/>
    <w:rsid w:val="00B565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03"/>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rsid w:val="00626803"/>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626803"/>
    <w:rPr>
      <w:sz w:val="24"/>
      <w:lang w:eastAsia="en-US"/>
    </w:rPr>
  </w:style>
  <w:style w:type="paragraph" w:styleId="Footer">
    <w:name w:val="footer"/>
    <w:basedOn w:val="Normal"/>
    <w:link w:val="FooterChar"/>
    <w:uiPriority w:val="99"/>
    <w:rsid w:val="00626803"/>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626803"/>
    <w:rPr>
      <w:sz w:val="24"/>
      <w:lang w:eastAsia="en-US"/>
    </w:rPr>
  </w:style>
  <w:style w:type="paragraph" w:styleId="BalloonText">
    <w:name w:val="Balloon Text"/>
    <w:basedOn w:val="Normal"/>
    <w:link w:val="BalloonTextChar"/>
    <w:rsid w:val="00626803"/>
    <w:rPr>
      <w:rFonts w:ascii="Tahoma" w:hAnsi="Tahoma" w:cs="Tahoma"/>
      <w:sz w:val="16"/>
      <w:szCs w:val="16"/>
    </w:rPr>
  </w:style>
  <w:style w:type="character" w:customStyle="1" w:styleId="BalloonTextChar">
    <w:name w:val="Balloon Text Char"/>
    <w:basedOn w:val="DefaultParagraphFont"/>
    <w:link w:val="BalloonText"/>
    <w:rsid w:val="00626803"/>
    <w:rPr>
      <w:rFonts w:ascii="Tahoma" w:hAnsi="Tahoma" w:cs="Tahoma"/>
      <w:sz w:val="16"/>
      <w:szCs w:val="16"/>
    </w:rPr>
  </w:style>
  <w:style w:type="paragraph" w:styleId="ListParagraph">
    <w:name w:val="List Paragraph"/>
    <w:basedOn w:val="Normal"/>
    <w:uiPriority w:val="34"/>
    <w:qFormat/>
    <w:rsid w:val="00626803"/>
    <w:pPr>
      <w:ind w:left="720"/>
      <w:contextualSpacing/>
    </w:pPr>
  </w:style>
  <w:style w:type="character" w:styleId="CommentReference">
    <w:name w:val="annotation reference"/>
    <w:basedOn w:val="DefaultParagraphFont"/>
    <w:rsid w:val="005447AC"/>
    <w:rPr>
      <w:sz w:val="16"/>
      <w:szCs w:val="16"/>
    </w:rPr>
  </w:style>
  <w:style w:type="paragraph" w:styleId="CommentText">
    <w:name w:val="annotation text"/>
    <w:basedOn w:val="Normal"/>
    <w:link w:val="CommentTextChar"/>
    <w:rsid w:val="005447AC"/>
    <w:rPr>
      <w:sz w:val="20"/>
      <w:szCs w:val="20"/>
    </w:rPr>
  </w:style>
  <w:style w:type="character" w:customStyle="1" w:styleId="CommentTextChar">
    <w:name w:val="Comment Text Char"/>
    <w:basedOn w:val="DefaultParagraphFont"/>
    <w:link w:val="CommentText"/>
    <w:rsid w:val="005447AC"/>
  </w:style>
  <w:style w:type="paragraph" w:styleId="CommentSubject">
    <w:name w:val="annotation subject"/>
    <w:basedOn w:val="CommentText"/>
    <w:next w:val="CommentText"/>
    <w:link w:val="CommentSubjectChar"/>
    <w:rsid w:val="005447AC"/>
    <w:rPr>
      <w:b/>
      <w:bCs/>
    </w:rPr>
  </w:style>
  <w:style w:type="character" w:customStyle="1" w:styleId="CommentSubjectChar">
    <w:name w:val="Comment Subject Char"/>
    <w:basedOn w:val="CommentTextChar"/>
    <w:link w:val="CommentSubject"/>
    <w:rsid w:val="005447AC"/>
    <w:rPr>
      <w:b/>
      <w:bCs/>
    </w:rPr>
  </w:style>
  <w:style w:type="paragraph" w:styleId="FootnoteText">
    <w:name w:val="footnote text"/>
    <w:basedOn w:val="Normal"/>
    <w:link w:val="FootnoteTextChar"/>
    <w:rsid w:val="00B56542"/>
    <w:rPr>
      <w:sz w:val="20"/>
      <w:szCs w:val="20"/>
    </w:rPr>
  </w:style>
  <w:style w:type="character" w:customStyle="1" w:styleId="FootnoteTextChar">
    <w:name w:val="Footnote Text Char"/>
    <w:basedOn w:val="DefaultParagraphFont"/>
    <w:link w:val="FootnoteText"/>
    <w:rsid w:val="00B56542"/>
  </w:style>
  <w:style w:type="character" w:styleId="FootnoteReference">
    <w:name w:val="footnote reference"/>
    <w:basedOn w:val="DefaultParagraphFont"/>
    <w:rsid w:val="00B56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5645">
      <w:bodyDiv w:val="1"/>
      <w:marLeft w:val="0"/>
      <w:marRight w:val="0"/>
      <w:marTop w:val="0"/>
      <w:marBottom w:val="0"/>
      <w:divBdr>
        <w:top w:val="none" w:sz="0" w:space="0" w:color="auto"/>
        <w:left w:val="none" w:sz="0" w:space="0" w:color="auto"/>
        <w:bottom w:val="none" w:sz="0" w:space="0" w:color="auto"/>
        <w:right w:val="none" w:sz="0" w:space="0" w:color="auto"/>
      </w:divBdr>
    </w:div>
    <w:div w:id="1700937126">
      <w:bodyDiv w:val="1"/>
      <w:marLeft w:val="0"/>
      <w:marRight w:val="0"/>
      <w:marTop w:val="0"/>
      <w:marBottom w:val="0"/>
      <w:divBdr>
        <w:top w:val="none" w:sz="0" w:space="0" w:color="auto"/>
        <w:left w:val="none" w:sz="0" w:space="0" w:color="auto"/>
        <w:bottom w:val="none" w:sz="0" w:space="0" w:color="auto"/>
        <w:right w:val="none" w:sz="0" w:space="0" w:color="auto"/>
      </w:divBdr>
    </w:div>
    <w:div w:id="19774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5390377AD4418479F9020F9F4B403AE" ma:contentTypeVersion="" ma:contentTypeDescription="PDMS Documentation Content Type" ma:contentTypeScope="" ma:versionID="a38a99ad6aaf043386ce5bca315746f3">
  <xsd:schema xmlns:xsd="http://www.w3.org/2001/XMLSchema" xmlns:xs="http://www.w3.org/2001/XMLSchema" xmlns:p="http://schemas.microsoft.com/office/2006/metadata/properties" xmlns:ns2="234D5B51-7F2D-4798-BE44-432AE9DF60A9" targetNamespace="http://schemas.microsoft.com/office/2006/metadata/properties" ma:root="true" ma:fieldsID="5413e1baed885d303eb8f8f28c99ca30" ns2:_="">
    <xsd:import namespace="234D5B51-7F2D-4798-BE44-432AE9DF60A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5B51-7F2D-4798-BE44-432AE9DF60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234D5B51-7F2D-4798-BE44-432AE9DF60A9" xsi:nil="true"/>
    <SecurityClassification xmlns="234D5B51-7F2D-4798-BE44-432AE9DF60A9" xsi:nil="true"/>
    <pdms_Reason xmlns="234D5B51-7F2D-4798-BE44-432AE9DF60A9" xsi:nil="true"/>
    <pdms_DocumentType xmlns="234D5B51-7F2D-4798-BE44-432AE9DF60A9" xsi:nil="true"/>
    <pdms_AttachedBy xmlns="234D5B51-7F2D-4798-BE44-432AE9DF60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7386-0ED1-4C3D-A524-5F1283DF4D26}">
  <ds:schemaRefs>
    <ds:schemaRef ds:uri="http://schemas.microsoft.com/sharepoint/v3/contenttype/forms"/>
  </ds:schemaRefs>
</ds:datastoreItem>
</file>

<file path=customXml/itemProps2.xml><?xml version="1.0" encoding="utf-8"?>
<ds:datastoreItem xmlns:ds="http://schemas.openxmlformats.org/officeDocument/2006/customXml" ds:itemID="{64468AEF-1EA1-4464-9FCF-DBD80B1B1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5B51-7F2D-4798-BE44-432AE9DF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061A0-8C8B-4AD1-9A7E-4382F71F63A2}">
  <ds:schemaRefs>
    <ds:schemaRef ds:uri="234D5B51-7F2D-4798-BE44-432AE9DF60A9"/>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8B5C7A9-5259-4A03-9499-149918A3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5484</Words>
  <Characters>29595</Characters>
  <Application>Microsoft Office Word</Application>
  <DocSecurity>0</DocSecurity>
  <Lines>3699</Lines>
  <Paragraphs>1846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Sverdlin</dc:creator>
  <cp:lastModifiedBy>Hilhorst, Matt</cp:lastModifiedBy>
  <cp:revision>2</cp:revision>
  <cp:lastPrinted>2013-12-03T04:40:00Z</cp:lastPrinted>
  <dcterms:created xsi:type="dcterms:W3CDTF">2013-12-10T04:46:00Z</dcterms:created>
  <dcterms:modified xsi:type="dcterms:W3CDTF">2013-12-10T04:46:00Z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0x010100266966F133664895A6EE3632470D45F50100B5390377AD4418479F9020F9F4B403AE</vt:lpwstr>
  </property>
</Properties>
</file>