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BD" w:rsidRPr="00A77832" w:rsidRDefault="006A50BD" w:rsidP="006A50BD">
      <w:pPr>
        <w:jc w:val="center"/>
        <w:rPr>
          <w:rFonts w:ascii="Arial" w:hAnsi="Arial" w:cs="Arial"/>
          <w:b/>
          <w:sz w:val="20"/>
          <w:szCs w:val="20"/>
          <w:lang w:val="en-AU"/>
        </w:rPr>
      </w:pPr>
      <w:r w:rsidRPr="00A77832">
        <w:rPr>
          <w:rFonts w:ascii="Arial" w:hAnsi="Arial" w:cs="Arial"/>
          <w:b/>
          <w:sz w:val="20"/>
          <w:szCs w:val="20"/>
          <w:lang w:val="en-AU"/>
        </w:rPr>
        <w:t>EXPLANATORY STATEMENT</w:t>
      </w:r>
    </w:p>
    <w:p w:rsidR="006A50BD" w:rsidRPr="00A77832" w:rsidRDefault="006A50BD" w:rsidP="006A50BD">
      <w:pPr>
        <w:jc w:val="center"/>
        <w:rPr>
          <w:rFonts w:ascii="Arial" w:hAnsi="Arial" w:cs="Arial"/>
          <w:i/>
          <w:sz w:val="20"/>
          <w:szCs w:val="20"/>
          <w:lang w:val="en-AU"/>
        </w:rPr>
      </w:pPr>
    </w:p>
    <w:p w:rsidR="006A50BD" w:rsidRPr="00A77832" w:rsidRDefault="006A50BD" w:rsidP="006A50BD">
      <w:pPr>
        <w:jc w:val="center"/>
        <w:rPr>
          <w:rFonts w:ascii="Arial" w:hAnsi="Arial" w:cs="Arial"/>
          <w:sz w:val="20"/>
          <w:szCs w:val="20"/>
          <w:lang w:val="en-AU"/>
        </w:rPr>
      </w:pPr>
      <w:r w:rsidRPr="00A77832">
        <w:rPr>
          <w:rFonts w:ascii="Arial" w:hAnsi="Arial" w:cs="Arial"/>
          <w:sz w:val="20"/>
          <w:szCs w:val="20"/>
          <w:lang w:val="en-AU"/>
        </w:rPr>
        <w:t>Issued by the Australian Communications and Media Authority</w:t>
      </w:r>
    </w:p>
    <w:p w:rsidR="006A50BD" w:rsidRPr="00A77832" w:rsidRDefault="006A50BD" w:rsidP="006A50BD">
      <w:pPr>
        <w:jc w:val="center"/>
        <w:rPr>
          <w:rFonts w:ascii="Arial" w:hAnsi="Arial" w:cs="Arial"/>
          <w:i/>
          <w:sz w:val="20"/>
          <w:szCs w:val="20"/>
          <w:lang w:val="en-AU"/>
        </w:rPr>
      </w:pPr>
    </w:p>
    <w:p w:rsidR="006A50BD" w:rsidRPr="00A77832" w:rsidRDefault="006A50BD" w:rsidP="006A50BD">
      <w:pPr>
        <w:jc w:val="center"/>
        <w:rPr>
          <w:rFonts w:ascii="Arial" w:hAnsi="Arial" w:cs="Arial"/>
          <w:i/>
          <w:sz w:val="20"/>
          <w:szCs w:val="20"/>
          <w:lang w:val="en-AU"/>
        </w:rPr>
      </w:pPr>
      <w:r w:rsidRPr="00A77832">
        <w:rPr>
          <w:rFonts w:ascii="Arial" w:hAnsi="Arial" w:cs="Arial"/>
          <w:i/>
          <w:sz w:val="20"/>
          <w:szCs w:val="20"/>
          <w:lang w:val="en-AU"/>
        </w:rPr>
        <w:t>Radiocommunications Advisory Guidelines (Managing Interference from Spectrum Licensed Transmitters – 2.3 GHz Band) 2013</w:t>
      </w:r>
    </w:p>
    <w:p w:rsidR="006A50BD" w:rsidRPr="00A77832" w:rsidRDefault="006A50BD" w:rsidP="006A50BD">
      <w:pPr>
        <w:jc w:val="center"/>
        <w:rPr>
          <w:rFonts w:ascii="Arial" w:hAnsi="Arial" w:cs="Arial"/>
          <w:sz w:val="20"/>
          <w:szCs w:val="20"/>
          <w:lang w:val="en-AU"/>
        </w:rPr>
      </w:pPr>
    </w:p>
    <w:p w:rsidR="006A50BD" w:rsidRPr="00A77832" w:rsidRDefault="006A50BD" w:rsidP="006A50BD">
      <w:pPr>
        <w:jc w:val="center"/>
        <w:rPr>
          <w:rFonts w:ascii="Arial" w:hAnsi="Arial" w:cs="Arial"/>
          <w:i/>
          <w:sz w:val="20"/>
          <w:szCs w:val="20"/>
          <w:lang w:val="en-AU"/>
        </w:rPr>
      </w:pPr>
      <w:bookmarkStart w:id="0" w:name="OLE_LINK1"/>
      <w:bookmarkStart w:id="1" w:name="OLE_LINK2"/>
      <w:r w:rsidRPr="00A77832">
        <w:rPr>
          <w:rFonts w:ascii="Arial" w:hAnsi="Arial" w:cs="Arial"/>
          <w:i/>
          <w:sz w:val="20"/>
          <w:szCs w:val="20"/>
          <w:lang w:val="en-AU"/>
        </w:rPr>
        <w:t xml:space="preserve">Radiocommunications Act </w:t>
      </w:r>
      <w:bookmarkEnd w:id="0"/>
      <w:bookmarkEnd w:id="1"/>
      <w:r w:rsidRPr="00A77832">
        <w:rPr>
          <w:rFonts w:ascii="Arial" w:hAnsi="Arial" w:cs="Arial"/>
          <w:i/>
          <w:sz w:val="20"/>
          <w:szCs w:val="20"/>
          <w:lang w:val="en-AU"/>
        </w:rPr>
        <w:t>1992</w:t>
      </w:r>
    </w:p>
    <w:p w:rsidR="006A50BD" w:rsidRPr="00A77832" w:rsidRDefault="006A50BD" w:rsidP="006A50BD">
      <w:pPr>
        <w:jc w:val="both"/>
        <w:rPr>
          <w:rFonts w:ascii="Arial" w:hAnsi="Arial" w:cs="Arial"/>
          <w:sz w:val="20"/>
          <w:szCs w:val="20"/>
          <w:lang w:val="en-AU"/>
        </w:rPr>
      </w:pPr>
    </w:p>
    <w:p w:rsidR="006A50BD" w:rsidRPr="00A77832" w:rsidRDefault="006A50BD" w:rsidP="00A77832">
      <w:pPr>
        <w:spacing w:after="120"/>
        <w:jc w:val="both"/>
        <w:rPr>
          <w:rFonts w:ascii="Arial" w:hAnsi="Arial" w:cs="Arial"/>
          <w:b/>
          <w:sz w:val="20"/>
          <w:szCs w:val="20"/>
          <w:lang w:val="en-AU"/>
        </w:rPr>
      </w:pPr>
      <w:r w:rsidRPr="00A77832">
        <w:rPr>
          <w:rFonts w:ascii="Arial" w:hAnsi="Arial" w:cs="Arial"/>
          <w:b/>
          <w:sz w:val="20"/>
          <w:szCs w:val="20"/>
          <w:lang w:val="en-AU"/>
        </w:rPr>
        <w:t>Purpose</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 purpose of the </w:t>
      </w:r>
      <w:r w:rsidRPr="00A77832">
        <w:rPr>
          <w:rFonts w:ascii="Arial" w:hAnsi="Arial" w:cs="Arial"/>
          <w:i/>
          <w:sz w:val="20"/>
          <w:szCs w:val="20"/>
          <w:lang w:val="en-AU"/>
        </w:rPr>
        <w:t>Radiocommunications Advisory Guidelines (Managing Interference from Spectrum Licensed Transmitters – 2.3 GHz Band) 2013</w:t>
      </w:r>
      <w:r w:rsidRPr="00A77832">
        <w:rPr>
          <w:rFonts w:ascii="Arial" w:hAnsi="Arial" w:cs="Arial"/>
          <w:sz w:val="20"/>
          <w:szCs w:val="20"/>
          <w:lang w:val="en-AU"/>
        </w:rPr>
        <w:t xml:space="preserve"> (</w:t>
      </w:r>
      <w:r w:rsidRPr="00A77832">
        <w:rPr>
          <w:rFonts w:ascii="Arial" w:hAnsi="Arial" w:cs="Arial"/>
          <w:b/>
          <w:sz w:val="20"/>
          <w:szCs w:val="20"/>
          <w:lang w:val="en-AU"/>
        </w:rPr>
        <w:t>the Advisory Guidelines</w:t>
      </w:r>
      <w:r w:rsidRPr="00A77832">
        <w:rPr>
          <w:rFonts w:ascii="Arial" w:hAnsi="Arial" w:cs="Arial"/>
          <w:sz w:val="20"/>
          <w:szCs w:val="20"/>
          <w:lang w:val="en-AU"/>
        </w:rPr>
        <w:t xml:space="preserve">) is to provide guidance to assist in the protection of radiocommunications receivers operating under: </w:t>
      </w:r>
    </w:p>
    <w:p w:rsidR="006A50BD" w:rsidRPr="00A77832" w:rsidRDefault="006A50BD" w:rsidP="006A50BD">
      <w:pPr>
        <w:pStyle w:val="ListParagraph"/>
        <w:numPr>
          <w:ilvl w:val="0"/>
          <w:numId w:val="30"/>
        </w:numPr>
        <w:jc w:val="both"/>
        <w:rPr>
          <w:rFonts w:ascii="Arial" w:hAnsi="Arial" w:cs="Arial"/>
          <w:sz w:val="20"/>
          <w:szCs w:val="20"/>
          <w:lang w:val="en-AU"/>
        </w:rPr>
      </w:pPr>
      <w:r w:rsidRPr="00A77832">
        <w:rPr>
          <w:rFonts w:ascii="Arial" w:hAnsi="Arial" w:cs="Arial"/>
          <w:sz w:val="20"/>
          <w:szCs w:val="20"/>
          <w:lang w:val="en-AU"/>
        </w:rPr>
        <w:t xml:space="preserve">apparatus </w:t>
      </w:r>
      <w:r w:rsidR="00510C33" w:rsidRPr="00A77832">
        <w:rPr>
          <w:rFonts w:ascii="Arial" w:hAnsi="Arial" w:cs="Arial"/>
          <w:sz w:val="20"/>
          <w:szCs w:val="20"/>
          <w:lang w:val="en-AU"/>
        </w:rPr>
        <w:t xml:space="preserve">or class </w:t>
      </w:r>
      <w:r w:rsidRPr="00A77832">
        <w:rPr>
          <w:rFonts w:ascii="Arial" w:hAnsi="Arial" w:cs="Arial"/>
          <w:sz w:val="20"/>
          <w:szCs w:val="20"/>
          <w:lang w:val="en-AU"/>
        </w:rPr>
        <w:t>licences from interference caused by radiocommunications transmitters operating under spectrum licences in the 2.3 GHz band in adjacent geographic areas, or adjacent frequency bands; and</w:t>
      </w:r>
    </w:p>
    <w:p w:rsidR="006A50BD" w:rsidRPr="00A77832" w:rsidRDefault="006A50BD" w:rsidP="006A50BD">
      <w:pPr>
        <w:pStyle w:val="ListParagraph"/>
        <w:numPr>
          <w:ilvl w:val="0"/>
          <w:numId w:val="30"/>
        </w:numPr>
        <w:jc w:val="both"/>
        <w:rPr>
          <w:rFonts w:ascii="Arial" w:hAnsi="Arial" w:cs="Arial"/>
          <w:sz w:val="20"/>
          <w:szCs w:val="20"/>
          <w:lang w:val="en-AU"/>
        </w:rPr>
      </w:pPr>
      <w:r w:rsidRPr="00A77832">
        <w:rPr>
          <w:rFonts w:ascii="Arial" w:hAnsi="Arial" w:cs="Arial"/>
          <w:sz w:val="20"/>
          <w:szCs w:val="20"/>
          <w:lang w:val="en-AU"/>
        </w:rPr>
        <w:t>2.3 GHz band spectrum licences from interference caused by radiocommunications transmitters operating under spectrum licences in the 2.3 GHz band in adjacent geographic areas.</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The Advisory Guidelines are designed to be used by operators of spectrum licensed services and apparatus licensed services in the planning of services or in the resolution of interference.</w:t>
      </w:r>
    </w:p>
    <w:p w:rsidR="006A50BD" w:rsidRPr="00A77832" w:rsidRDefault="006A50BD" w:rsidP="006A50BD">
      <w:pPr>
        <w:jc w:val="both"/>
        <w:rPr>
          <w:rFonts w:ascii="Arial" w:hAnsi="Arial" w:cs="Arial"/>
          <w:sz w:val="20"/>
          <w:szCs w:val="20"/>
          <w:lang w:val="en-AU"/>
        </w:rPr>
      </w:pPr>
    </w:p>
    <w:p w:rsidR="006A50BD" w:rsidRPr="00A77832" w:rsidRDefault="006A50BD" w:rsidP="00A77832">
      <w:pPr>
        <w:spacing w:after="120"/>
        <w:jc w:val="both"/>
        <w:rPr>
          <w:rFonts w:ascii="Arial" w:hAnsi="Arial" w:cs="Arial"/>
          <w:b/>
          <w:sz w:val="20"/>
          <w:szCs w:val="20"/>
          <w:lang w:val="en-AU"/>
        </w:rPr>
      </w:pPr>
      <w:r w:rsidRPr="00A77832">
        <w:rPr>
          <w:rFonts w:ascii="Arial" w:hAnsi="Arial" w:cs="Arial"/>
          <w:b/>
          <w:sz w:val="20"/>
          <w:szCs w:val="20"/>
          <w:lang w:val="en-AU"/>
        </w:rPr>
        <w:t>Legislative Provisions</w:t>
      </w:r>
    </w:p>
    <w:p w:rsidR="00A4559D"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Under section 262 of the </w:t>
      </w:r>
      <w:r w:rsidRPr="00A77832">
        <w:rPr>
          <w:rFonts w:ascii="Arial" w:hAnsi="Arial" w:cs="Arial"/>
          <w:i/>
          <w:sz w:val="20"/>
          <w:szCs w:val="20"/>
          <w:lang w:val="en-AU"/>
        </w:rPr>
        <w:t>Radiocommunications Act 1992</w:t>
      </w:r>
      <w:r w:rsidRPr="00A77832">
        <w:rPr>
          <w:rFonts w:ascii="Arial" w:hAnsi="Arial" w:cs="Arial"/>
          <w:sz w:val="20"/>
          <w:szCs w:val="20"/>
          <w:lang w:val="en-AU"/>
        </w:rPr>
        <w:t xml:space="preserve"> (</w:t>
      </w:r>
      <w:r w:rsidRPr="00A77832">
        <w:rPr>
          <w:rFonts w:ascii="Arial" w:hAnsi="Arial" w:cs="Arial"/>
          <w:b/>
          <w:sz w:val="20"/>
          <w:szCs w:val="20"/>
          <w:lang w:val="en-AU"/>
        </w:rPr>
        <w:t>the Act</w:t>
      </w:r>
      <w:r w:rsidRPr="00A77832">
        <w:rPr>
          <w:rFonts w:ascii="Arial" w:hAnsi="Arial" w:cs="Arial"/>
          <w:sz w:val="20"/>
          <w:szCs w:val="20"/>
          <w:lang w:val="en-AU"/>
        </w:rPr>
        <w:t>), the Australian Communications and Media Authority (</w:t>
      </w:r>
      <w:r w:rsidRPr="00A77832">
        <w:rPr>
          <w:rFonts w:ascii="Arial" w:hAnsi="Arial" w:cs="Arial"/>
          <w:b/>
          <w:sz w:val="20"/>
          <w:szCs w:val="20"/>
          <w:lang w:val="en-AU"/>
        </w:rPr>
        <w:t>the ACMA</w:t>
      </w:r>
      <w:r w:rsidRPr="00A77832">
        <w:rPr>
          <w:rFonts w:ascii="Arial" w:hAnsi="Arial" w:cs="Arial"/>
          <w:sz w:val="20"/>
          <w:szCs w:val="20"/>
          <w:lang w:val="en-AU"/>
        </w:rPr>
        <w:t xml:space="preserve">) may make advisory guidelines about any aspect of radiocommunication or radio emissions.  Subsection 262(2) of the Act provides a non-exhaustive list of examples of the matters about which advisory guidelines may be made, one of which is ‘interference with radiocommunications’. </w:t>
      </w:r>
    </w:p>
    <w:p w:rsidR="00A4559D" w:rsidRDefault="00A4559D" w:rsidP="006A50BD">
      <w:pPr>
        <w:jc w:val="both"/>
        <w:rPr>
          <w:rFonts w:ascii="Arial" w:hAnsi="Arial" w:cs="Arial"/>
          <w:sz w:val="20"/>
          <w:szCs w:val="20"/>
          <w:lang w:val="en-AU"/>
        </w:rPr>
      </w:pPr>
    </w:p>
    <w:p w:rsidR="00A4559D" w:rsidRPr="004C49E2" w:rsidRDefault="00A4559D" w:rsidP="00A4559D">
      <w:pPr>
        <w:jc w:val="both"/>
        <w:rPr>
          <w:rFonts w:ascii="Arial" w:hAnsi="Arial" w:cs="Arial"/>
          <w:sz w:val="20"/>
          <w:szCs w:val="20"/>
          <w:lang w:val="en-AU"/>
        </w:rPr>
      </w:pPr>
      <w:r w:rsidRPr="00725BCD">
        <w:rPr>
          <w:rFonts w:ascii="Arial" w:hAnsi="Arial" w:cs="Arial"/>
          <w:sz w:val="20"/>
          <w:szCs w:val="20"/>
          <w:lang w:val="en-AU"/>
        </w:rPr>
        <w:t xml:space="preserve">Pursuant to subsection 33(3) of the </w:t>
      </w:r>
      <w:r w:rsidRPr="00725BCD">
        <w:rPr>
          <w:rFonts w:ascii="Arial" w:hAnsi="Arial" w:cs="Arial"/>
          <w:i/>
          <w:sz w:val="20"/>
          <w:szCs w:val="20"/>
          <w:lang w:val="en-AU"/>
        </w:rPr>
        <w:t xml:space="preserve">Acts Interpretation Act 1901 </w:t>
      </w:r>
      <w:r w:rsidRPr="00725BCD">
        <w:rPr>
          <w:rFonts w:ascii="Arial" w:hAnsi="Arial" w:cs="Arial"/>
          <w:sz w:val="20"/>
          <w:szCs w:val="20"/>
          <w:lang w:val="en-AU"/>
        </w:rPr>
        <w:t>and section 262 of the Act, the ACMA may revoke a legislative instrument made under section 262 of the Act.</w:t>
      </w:r>
      <w:r>
        <w:rPr>
          <w:rFonts w:ascii="Arial" w:hAnsi="Arial" w:cs="Arial"/>
          <w:sz w:val="20"/>
          <w:szCs w:val="20"/>
          <w:lang w:val="en-AU"/>
        </w:rPr>
        <w:t xml:space="preserve"> </w:t>
      </w:r>
    </w:p>
    <w:p w:rsidR="00A4559D" w:rsidRDefault="00A4559D" w:rsidP="006A50BD">
      <w:pPr>
        <w:jc w:val="both"/>
        <w:rPr>
          <w:rFonts w:ascii="Arial" w:hAnsi="Arial" w:cs="Arial"/>
          <w:sz w:val="20"/>
          <w:szCs w:val="20"/>
          <w:lang w:val="en-AU"/>
        </w:rPr>
      </w:pPr>
    </w:p>
    <w:p w:rsidR="006A50BD" w:rsidRPr="00A77832" w:rsidRDefault="006A50BD" w:rsidP="006A50BD">
      <w:pPr>
        <w:jc w:val="both"/>
        <w:rPr>
          <w:rFonts w:ascii="Arial" w:hAnsi="Arial" w:cs="Arial"/>
          <w:i/>
          <w:sz w:val="20"/>
          <w:szCs w:val="20"/>
          <w:lang w:val="en-AU"/>
        </w:rPr>
      </w:pPr>
      <w:r w:rsidRPr="00A77832">
        <w:rPr>
          <w:rFonts w:ascii="Arial" w:hAnsi="Arial" w:cs="Arial"/>
          <w:sz w:val="20"/>
          <w:szCs w:val="20"/>
          <w:lang w:val="en-AU"/>
        </w:rPr>
        <w:t xml:space="preserve">The Advisory Guidelines are a legislative instrument under the </w:t>
      </w:r>
      <w:r w:rsidRPr="00A77832">
        <w:rPr>
          <w:rFonts w:ascii="Arial" w:hAnsi="Arial" w:cs="Arial"/>
          <w:i/>
          <w:sz w:val="20"/>
          <w:szCs w:val="20"/>
          <w:lang w:val="en-AU"/>
        </w:rPr>
        <w:t>Legislative Instruments Act 2003</w:t>
      </w:r>
      <w:r w:rsidR="00BB033B" w:rsidRPr="00A77832">
        <w:rPr>
          <w:rFonts w:ascii="Arial" w:hAnsi="Arial" w:cs="Arial"/>
          <w:i/>
          <w:sz w:val="20"/>
          <w:szCs w:val="20"/>
          <w:lang w:val="en-AU"/>
        </w:rPr>
        <w:t xml:space="preserve"> </w:t>
      </w:r>
      <w:r w:rsidR="00BB033B" w:rsidRPr="00A77832">
        <w:rPr>
          <w:rFonts w:ascii="Arial" w:hAnsi="Arial" w:cs="Arial"/>
          <w:sz w:val="20"/>
          <w:szCs w:val="20"/>
          <w:lang w:val="en-AU"/>
        </w:rPr>
        <w:t>(</w:t>
      </w:r>
      <w:r w:rsidRPr="00A77832">
        <w:rPr>
          <w:rFonts w:ascii="Arial" w:hAnsi="Arial" w:cs="Arial"/>
          <w:b/>
          <w:sz w:val="20"/>
          <w:szCs w:val="20"/>
          <w:lang w:val="en-AU"/>
        </w:rPr>
        <w:t>the</w:t>
      </w:r>
      <w:r w:rsidR="00BB033B" w:rsidRPr="00A77832">
        <w:rPr>
          <w:rFonts w:ascii="Arial" w:hAnsi="Arial" w:cs="Arial"/>
          <w:sz w:val="20"/>
          <w:szCs w:val="20"/>
          <w:lang w:val="en-AU"/>
        </w:rPr>
        <w:t xml:space="preserve"> </w:t>
      </w:r>
      <w:r w:rsidR="00BB033B" w:rsidRPr="00A77832">
        <w:rPr>
          <w:rFonts w:ascii="Arial" w:hAnsi="Arial" w:cs="Arial"/>
          <w:b/>
          <w:sz w:val="20"/>
          <w:szCs w:val="20"/>
          <w:lang w:val="en-AU"/>
        </w:rPr>
        <w:t>LI Act</w:t>
      </w:r>
      <w:r w:rsidR="00BB033B" w:rsidRPr="00A77832">
        <w:rPr>
          <w:rFonts w:ascii="Arial" w:hAnsi="Arial" w:cs="Arial"/>
          <w:sz w:val="20"/>
          <w:szCs w:val="20"/>
          <w:lang w:val="en-AU"/>
        </w:rPr>
        <w:t>)</w:t>
      </w:r>
      <w:r w:rsidRPr="00A77832">
        <w:rPr>
          <w:rFonts w:ascii="Arial" w:hAnsi="Arial" w:cs="Arial"/>
          <w:i/>
          <w:sz w:val="20"/>
          <w:szCs w:val="20"/>
          <w:lang w:val="en-AU"/>
        </w:rPr>
        <w:t xml:space="preserve">. </w:t>
      </w:r>
    </w:p>
    <w:p w:rsidR="006A50BD" w:rsidRPr="00A77832" w:rsidRDefault="006A50BD" w:rsidP="006A50BD">
      <w:pPr>
        <w:jc w:val="both"/>
        <w:rPr>
          <w:rFonts w:ascii="Arial" w:hAnsi="Arial" w:cs="Arial"/>
          <w:sz w:val="20"/>
          <w:szCs w:val="20"/>
          <w:lang w:val="en-AU"/>
        </w:rPr>
      </w:pPr>
    </w:p>
    <w:p w:rsidR="006A50BD" w:rsidRPr="00A77832" w:rsidRDefault="006A50BD" w:rsidP="00A77832">
      <w:pPr>
        <w:keepNext/>
        <w:spacing w:after="120"/>
        <w:jc w:val="both"/>
        <w:outlineLvl w:val="0"/>
        <w:rPr>
          <w:rFonts w:ascii="Arial" w:hAnsi="Arial" w:cs="Arial"/>
          <w:b/>
          <w:sz w:val="20"/>
          <w:szCs w:val="20"/>
          <w:lang w:val="en-AU"/>
        </w:rPr>
      </w:pPr>
      <w:r w:rsidRPr="00A77832">
        <w:rPr>
          <w:rFonts w:ascii="Arial" w:hAnsi="Arial" w:cs="Arial"/>
          <w:b/>
          <w:sz w:val="20"/>
          <w:szCs w:val="20"/>
          <w:lang w:val="en-AU"/>
        </w:rPr>
        <w:t>Background</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respectively.  </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The Act provides a number of means by which the ACMA may manage interference resulting from operation of a radiocommunications transmitter under a spectrum licence</w:t>
      </w:r>
      <w:r w:rsidR="00BB033B" w:rsidRPr="00A77832">
        <w:rPr>
          <w:rFonts w:ascii="Arial" w:hAnsi="Arial" w:cs="Arial"/>
          <w:sz w:val="20"/>
          <w:szCs w:val="20"/>
          <w:lang w:val="en-AU"/>
        </w:rPr>
        <w:t>, including</w:t>
      </w:r>
      <w:r w:rsidRPr="00A77832">
        <w:rPr>
          <w:rFonts w:ascii="Arial" w:hAnsi="Arial" w:cs="Arial"/>
          <w:sz w:val="20"/>
          <w:szCs w:val="20"/>
          <w:lang w:val="en-AU"/>
        </w:rPr>
        <w:t xml:space="preserve"> the ability to make advisory guidelines under section 262 of the Act. The </w:t>
      </w:r>
      <w:r w:rsidRPr="00A77832">
        <w:rPr>
          <w:rFonts w:ascii="Arial" w:hAnsi="Arial" w:cs="Arial"/>
          <w:bCs/>
          <w:i/>
          <w:sz w:val="20"/>
          <w:szCs w:val="20"/>
        </w:rPr>
        <w:t>Radiocommunications Advisory Guidelines (Managing Interference from Transmitters - 2.3 GHz Band) 2009</w:t>
      </w:r>
      <w:r w:rsidRPr="00A77832">
        <w:rPr>
          <w:rFonts w:ascii="Arial" w:hAnsi="Arial" w:cs="Arial"/>
          <w:i/>
          <w:sz w:val="20"/>
          <w:szCs w:val="20"/>
        </w:rPr>
        <w:t xml:space="preserve"> </w:t>
      </w:r>
      <w:r w:rsidRPr="00A77832">
        <w:rPr>
          <w:rFonts w:ascii="Arial" w:hAnsi="Arial" w:cs="Arial"/>
          <w:sz w:val="20"/>
          <w:szCs w:val="20"/>
        </w:rPr>
        <w:t>(</w:t>
      </w:r>
      <w:r w:rsidRPr="00A77832">
        <w:rPr>
          <w:rFonts w:ascii="Arial" w:hAnsi="Arial" w:cs="Arial"/>
          <w:b/>
          <w:sz w:val="20"/>
          <w:szCs w:val="20"/>
        </w:rPr>
        <w:t>the 2009 Guidelines</w:t>
      </w:r>
      <w:r w:rsidRPr="00A77832">
        <w:rPr>
          <w:rFonts w:ascii="Arial" w:hAnsi="Arial" w:cs="Arial"/>
          <w:sz w:val="20"/>
          <w:szCs w:val="20"/>
        </w:rPr>
        <w:t>)</w:t>
      </w:r>
      <w:r w:rsidRPr="00A77832">
        <w:rPr>
          <w:rFonts w:ascii="Arial" w:hAnsi="Arial" w:cs="Arial"/>
          <w:i/>
          <w:sz w:val="20"/>
          <w:szCs w:val="20"/>
        </w:rPr>
        <w:t xml:space="preserve"> </w:t>
      </w:r>
      <w:r w:rsidRPr="00A77832">
        <w:rPr>
          <w:rFonts w:ascii="Arial" w:hAnsi="Arial" w:cs="Arial"/>
          <w:sz w:val="20"/>
          <w:szCs w:val="20"/>
          <w:lang w:val="en-AU"/>
        </w:rPr>
        <w:t>made under section 262 of the Act</w:t>
      </w:r>
      <w:r w:rsidR="00BB033B" w:rsidRPr="00A77832">
        <w:rPr>
          <w:rFonts w:ascii="Arial" w:hAnsi="Arial" w:cs="Arial"/>
          <w:sz w:val="20"/>
          <w:szCs w:val="20"/>
          <w:lang w:val="en-AU"/>
        </w:rPr>
        <w:t xml:space="preserve"> provide</w:t>
      </w:r>
      <w:r w:rsidRPr="00A77832">
        <w:rPr>
          <w:rFonts w:ascii="Arial" w:hAnsi="Arial" w:cs="Arial"/>
          <w:sz w:val="20"/>
          <w:szCs w:val="20"/>
          <w:lang w:val="en-AU"/>
        </w:rPr>
        <w:t xml:space="preserve"> guidance to assist with the protection of  radiocommunications receivers operating under other licences from spectrum licensed radiocommunications transmitters operating in the 2.3 GHz band. </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Current spectrum licences in the 2.3 GHz band will expire on 24 July 2015. To prepare for the re-issue and/or re-allocation of spectrum licences in the 2.3 GHz band, the ACMA conducted a review of the 2.3 GHz spectrum licensing technical framework. The aim of the review was to:</w:t>
      </w:r>
    </w:p>
    <w:p w:rsidR="006A50BD" w:rsidRPr="00A77832" w:rsidRDefault="006A50BD" w:rsidP="006A50BD">
      <w:pPr>
        <w:numPr>
          <w:ilvl w:val="0"/>
          <w:numId w:val="22"/>
        </w:numPr>
        <w:jc w:val="both"/>
        <w:rPr>
          <w:rFonts w:ascii="Arial" w:hAnsi="Arial" w:cs="Arial"/>
          <w:sz w:val="20"/>
          <w:szCs w:val="20"/>
          <w:lang w:val="en-AU"/>
        </w:rPr>
      </w:pPr>
      <w:r w:rsidRPr="00A77832">
        <w:rPr>
          <w:rFonts w:ascii="Arial" w:hAnsi="Arial" w:cs="Arial"/>
          <w:sz w:val="20"/>
          <w:szCs w:val="20"/>
          <w:lang w:val="en-AU"/>
        </w:rPr>
        <w:t>ensure flexibility so that a range of modern technologies can be used in the band, with a particular focus on International Mobile Telecommunications (IMT) technologies;</w:t>
      </w:r>
    </w:p>
    <w:p w:rsidR="006A50BD" w:rsidRPr="00A77832" w:rsidRDefault="006A50BD" w:rsidP="006A50BD">
      <w:pPr>
        <w:numPr>
          <w:ilvl w:val="0"/>
          <w:numId w:val="22"/>
        </w:numPr>
        <w:jc w:val="both"/>
        <w:rPr>
          <w:rFonts w:ascii="Arial" w:hAnsi="Arial" w:cs="Arial"/>
          <w:sz w:val="20"/>
          <w:szCs w:val="20"/>
          <w:lang w:val="en-AU"/>
        </w:rPr>
      </w:pPr>
      <w:r w:rsidRPr="00A77832">
        <w:rPr>
          <w:rFonts w:ascii="Arial" w:hAnsi="Arial" w:cs="Arial"/>
          <w:sz w:val="20"/>
          <w:szCs w:val="20"/>
          <w:lang w:val="en-AU"/>
        </w:rPr>
        <w:t>provide conditions that enable continued usage of existing network technologies in the band;</w:t>
      </w:r>
    </w:p>
    <w:p w:rsidR="006A50BD" w:rsidRPr="00A77832" w:rsidRDefault="006A50BD" w:rsidP="006A50BD">
      <w:pPr>
        <w:numPr>
          <w:ilvl w:val="0"/>
          <w:numId w:val="22"/>
        </w:numPr>
        <w:jc w:val="both"/>
        <w:rPr>
          <w:rFonts w:ascii="Arial" w:hAnsi="Arial" w:cs="Arial"/>
          <w:sz w:val="20"/>
          <w:szCs w:val="20"/>
          <w:lang w:val="en-AU"/>
        </w:rPr>
      </w:pPr>
      <w:r w:rsidRPr="00A77832">
        <w:rPr>
          <w:rFonts w:ascii="Arial" w:hAnsi="Arial" w:cs="Arial"/>
          <w:sz w:val="20"/>
          <w:szCs w:val="20"/>
          <w:lang w:val="en-AU"/>
        </w:rPr>
        <w:t xml:space="preserve">provide interference management within the 2.3 GHz band, and in adjacent bands; and </w:t>
      </w:r>
    </w:p>
    <w:p w:rsidR="006A50BD" w:rsidRPr="00A77832" w:rsidRDefault="006A50BD" w:rsidP="006A50BD">
      <w:pPr>
        <w:numPr>
          <w:ilvl w:val="0"/>
          <w:numId w:val="22"/>
        </w:numPr>
        <w:jc w:val="both"/>
        <w:rPr>
          <w:rFonts w:ascii="Arial" w:hAnsi="Arial" w:cs="Arial"/>
          <w:sz w:val="20"/>
          <w:szCs w:val="20"/>
          <w:lang w:val="en-AU"/>
        </w:rPr>
      </w:pPr>
      <w:r w:rsidRPr="00A77832">
        <w:rPr>
          <w:rFonts w:ascii="Arial" w:hAnsi="Arial" w:cs="Arial"/>
          <w:sz w:val="20"/>
          <w:szCs w:val="20"/>
          <w:lang w:val="en-AU"/>
        </w:rPr>
        <w:lastRenderedPageBreak/>
        <w:t>address deficiencies that have come to light during the current licence period.</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 review recommended that the 2009 Guidelines be amended to account for the modernisation of mobile communications technologies that has occurred since its publication, as well as to allow for developments that may be expected to take place in the next spectrum licence period. </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The Advisory Guidelines are one of a set of legal instruments being made by the ACMA to vary the technical framework applicable to the 2.3 GHz band according to the review recommendations. The Advisory Guidelines revoke</w:t>
      </w:r>
      <w:r w:rsidR="00F43D3D">
        <w:rPr>
          <w:rFonts w:ascii="Arial" w:hAnsi="Arial" w:cs="Arial"/>
          <w:sz w:val="20"/>
          <w:szCs w:val="20"/>
          <w:lang w:val="en-AU"/>
        </w:rPr>
        <w:t>, with effect from 25 July 2015,</w:t>
      </w:r>
      <w:r w:rsidRPr="00A77832">
        <w:rPr>
          <w:rFonts w:ascii="Arial" w:hAnsi="Arial" w:cs="Arial"/>
          <w:sz w:val="20"/>
          <w:szCs w:val="20"/>
          <w:lang w:val="en-AU"/>
        </w:rPr>
        <w:t xml:space="preserve"> the 2009 Guidelines and implement the review recommendations.  </w:t>
      </w:r>
      <w:r w:rsidR="00113D11" w:rsidRPr="00A77832">
        <w:rPr>
          <w:rFonts w:ascii="Arial" w:hAnsi="Arial" w:cs="Arial"/>
          <w:sz w:val="20"/>
          <w:szCs w:val="20"/>
          <w:lang w:val="en-AU"/>
        </w:rPr>
        <w:t>T</w:t>
      </w:r>
      <w:r w:rsidRPr="00A77832">
        <w:rPr>
          <w:rFonts w:ascii="Arial" w:hAnsi="Arial" w:cs="Arial"/>
          <w:sz w:val="20"/>
          <w:szCs w:val="20"/>
          <w:lang w:val="en-AU"/>
        </w:rPr>
        <w:t xml:space="preserve">he ACMA will also make the </w:t>
      </w:r>
      <w:r w:rsidRPr="00A77832">
        <w:rPr>
          <w:rFonts w:ascii="Arial" w:hAnsi="Arial" w:cs="Arial"/>
          <w:bCs/>
          <w:i/>
          <w:sz w:val="20"/>
          <w:szCs w:val="20"/>
        </w:rPr>
        <w:t xml:space="preserve">Radiocommunications Advisory Guidelines (Managing Interference to </w:t>
      </w:r>
      <w:r w:rsidR="00113D11" w:rsidRPr="00A77832">
        <w:rPr>
          <w:rFonts w:ascii="Arial" w:hAnsi="Arial" w:cs="Arial"/>
          <w:bCs/>
          <w:i/>
          <w:sz w:val="20"/>
          <w:szCs w:val="20"/>
        </w:rPr>
        <w:t xml:space="preserve">Spectrum Licensed </w:t>
      </w:r>
      <w:r w:rsidRPr="00A77832">
        <w:rPr>
          <w:rFonts w:ascii="Arial" w:hAnsi="Arial" w:cs="Arial"/>
          <w:bCs/>
          <w:i/>
          <w:sz w:val="20"/>
          <w:szCs w:val="20"/>
        </w:rPr>
        <w:t>Receivers - 2.3 GHz Band) 20</w:t>
      </w:r>
      <w:r w:rsidR="00113D11" w:rsidRPr="00A77832">
        <w:rPr>
          <w:rFonts w:ascii="Arial" w:hAnsi="Arial" w:cs="Arial"/>
          <w:bCs/>
          <w:i/>
          <w:sz w:val="20"/>
          <w:szCs w:val="20"/>
        </w:rPr>
        <w:t>13</w:t>
      </w:r>
      <w:r w:rsidRPr="00A77832">
        <w:rPr>
          <w:rFonts w:ascii="Arial" w:hAnsi="Arial" w:cs="Arial"/>
          <w:i/>
          <w:sz w:val="20"/>
          <w:szCs w:val="20"/>
          <w:lang w:val="en-AU"/>
        </w:rPr>
        <w:t xml:space="preserve"> </w:t>
      </w:r>
      <w:r w:rsidRPr="00A77832">
        <w:rPr>
          <w:rFonts w:ascii="Arial" w:hAnsi="Arial" w:cs="Arial"/>
          <w:sz w:val="20"/>
          <w:szCs w:val="20"/>
          <w:lang w:val="en-AU"/>
        </w:rPr>
        <w:t xml:space="preserve">and the </w:t>
      </w:r>
      <w:r w:rsidRPr="00A77832">
        <w:rPr>
          <w:rFonts w:ascii="Arial" w:hAnsi="Arial" w:cs="Arial"/>
          <w:i/>
          <w:sz w:val="20"/>
          <w:szCs w:val="20"/>
          <w:lang w:val="en-AU"/>
        </w:rPr>
        <w:t>Radiocommunications (Unacceptable Levels of Interference – 2.3 GHz Band) Determination 2013</w:t>
      </w:r>
      <w:r w:rsidRPr="00A77832">
        <w:rPr>
          <w:rFonts w:ascii="Arial" w:hAnsi="Arial" w:cs="Arial"/>
          <w:sz w:val="20"/>
          <w:szCs w:val="20"/>
          <w:lang w:val="en-AU"/>
        </w:rPr>
        <w:t xml:space="preserve">. </w:t>
      </w:r>
    </w:p>
    <w:p w:rsidR="006A50BD" w:rsidRPr="00A77832" w:rsidRDefault="006A50BD" w:rsidP="006A50BD">
      <w:pPr>
        <w:jc w:val="both"/>
        <w:rPr>
          <w:rFonts w:ascii="Arial" w:hAnsi="Arial" w:cs="Arial"/>
          <w:sz w:val="20"/>
          <w:szCs w:val="20"/>
          <w:lang w:val="en-AU"/>
        </w:rPr>
      </w:pPr>
    </w:p>
    <w:p w:rsidR="006A50BD" w:rsidRPr="00A77832" w:rsidRDefault="006A50BD" w:rsidP="00A77832">
      <w:pPr>
        <w:spacing w:after="120"/>
        <w:jc w:val="both"/>
        <w:outlineLvl w:val="0"/>
        <w:rPr>
          <w:rFonts w:ascii="Arial" w:hAnsi="Arial" w:cs="Arial"/>
          <w:b/>
          <w:sz w:val="20"/>
          <w:szCs w:val="20"/>
          <w:lang w:val="en-AU"/>
        </w:rPr>
      </w:pPr>
      <w:r w:rsidRPr="00A77832">
        <w:rPr>
          <w:rFonts w:ascii="Arial" w:hAnsi="Arial" w:cs="Arial"/>
          <w:b/>
          <w:sz w:val="20"/>
          <w:szCs w:val="20"/>
          <w:lang w:val="en-AU"/>
        </w:rPr>
        <w:t>Operation</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 Advisory Guidelines aim to manage the potential for unwanted emissions, </w:t>
      </w:r>
      <w:r w:rsidR="00EE702A" w:rsidRPr="00A77832">
        <w:rPr>
          <w:rFonts w:ascii="Arial" w:hAnsi="Arial" w:cs="Arial"/>
          <w:sz w:val="20"/>
          <w:szCs w:val="20"/>
          <w:lang w:val="en-AU"/>
        </w:rPr>
        <w:t>blocking and intermodulation products</w:t>
      </w:r>
      <w:r w:rsidRPr="00A77832">
        <w:rPr>
          <w:rFonts w:ascii="Arial" w:hAnsi="Arial" w:cs="Arial"/>
          <w:sz w:val="20"/>
          <w:szCs w:val="20"/>
          <w:lang w:val="en-AU"/>
        </w:rPr>
        <w:t xml:space="preserve"> caused by radiocommunications transmitters operating under a spectrum licence interfering with radiocommunications receivers in the circumstances specified in Parts 2, 3, 4</w:t>
      </w:r>
      <w:r w:rsidR="00282ED3" w:rsidRPr="00A77832">
        <w:rPr>
          <w:rFonts w:ascii="Arial" w:hAnsi="Arial" w:cs="Arial"/>
          <w:sz w:val="20"/>
          <w:szCs w:val="20"/>
          <w:lang w:val="en-AU"/>
        </w:rPr>
        <w:t>, 5</w:t>
      </w:r>
      <w:r w:rsidRPr="00A77832">
        <w:rPr>
          <w:rFonts w:ascii="Arial" w:hAnsi="Arial" w:cs="Arial"/>
          <w:sz w:val="20"/>
          <w:szCs w:val="20"/>
          <w:lang w:val="en-AU"/>
        </w:rPr>
        <w:t xml:space="preserve"> and 6 of the Advisory Guidelines. Further, the Advisory Guidelines provide advice regarding</w:t>
      </w:r>
      <w:r w:rsidR="00B2143B" w:rsidRPr="00A77832">
        <w:rPr>
          <w:rFonts w:ascii="Arial" w:hAnsi="Arial" w:cs="Arial"/>
          <w:sz w:val="20"/>
          <w:szCs w:val="20"/>
          <w:lang w:val="en-AU"/>
        </w:rPr>
        <w:t xml:space="preserve"> </w:t>
      </w:r>
      <w:r w:rsidRPr="00A77832">
        <w:rPr>
          <w:rFonts w:ascii="Arial" w:hAnsi="Arial" w:cs="Arial"/>
          <w:sz w:val="20"/>
          <w:szCs w:val="20"/>
          <w:lang w:val="en-AU"/>
        </w:rPr>
        <w:t xml:space="preserve">the protection of radio-astronomy services operating in the 2200 MHz - 2700 MHz band </w:t>
      </w:r>
      <w:r w:rsidR="00B2143B" w:rsidRPr="00A77832">
        <w:rPr>
          <w:rFonts w:ascii="Arial" w:hAnsi="Arial" w:cs="Arial"/>
          <w:sz w:val="20"/>
          <w:szCs w:val="20"/>
          <w:lang w:val="en-AU"/>
        </w:rPr>
        <w:t xml:space="preserve">(Part 7), and </w:t>
      </w:r>
      <w:r w:rsidRPr="00A77832">
        <w:rPr>
          <w:rFonts w:ascii="Arial" w:hAnsi="Arial" w:cs="Arial"/>
          <w:sz w:val="20"/>
          <w:szCs w:val="20"/>
          <w:lang w:val="en-AU"/>
        </w:rPr>
        <w:t>the management of interference across the geographical boundaries of 2.3 GHz spectrum licences</w:t>
      </w:r>
      <w:r w:rsidR="00B2143B" w:rsidRPr="00A77832">
        <w:rPr>
          <w:rFonts w:ascii="Arial" w:hAnsi="Arial" w:cs="Arial"/>
          <w:sz w:val="20"/>
          <w:szCs w:val="20"/>
          <w:lang w:val="en-AU"/>
        </w:rPr>
        <w:t xml:space="preserve"> (Part 8)</w:t>
      </w:r>
      <w:r w:rsidR="00983876" w:rsidRPr="00A77832">
        <w:rPr>
          <w:rFonts w:ascii="Arial" w:hAnsi="Arial" w:cs="Arial"/>
          <w:sz w:val="20"/>
          <w:szCs w:val="20"/>
          <w:lang w:val="en-AU"/>
        </w:rPr>
        <w:t>.</w:t>
      </w:r>
      <w:r w:rsidR="00447AA8" w:rsidRPr="00A77832">
        <w:rPr>
          <w:rFonts w:ascii="Arial" w:hAnsi="Arial" w:cs="Arial"/>
          <w:sz w:val="20"/>
          <w:szCs w:val="20"/>
          <w:lang w:val="en-AU"/>
        </w:rPr>
        <w:t xml:space="preserve"> </w:t>
      </w:r>
      <w:r w:rsidRPr="00A77832">
        <w:rPr>
          <w:rFonts w:ascii="Arial" w:hAnsi="Arial" w:cs="Arial"/>
          <w:sz w:val="20"/>
          <w:szCs w:val="20"/>
          <w:lang w:val="en-AU"/>
        </w:rPr>
        <w:t>Operators of spectrum licensed and apparatus licensed services should use the Advisory Guidelines in the planning of services or the resolution of interference. The ACMA also takes the Advisory Guidelines into account when determining whether a spectrum licensee is causing interference to a licensed radiocommunications receiver that is operating in accordance with its licence conditions.</w:t>
      </w:r>
    </w:p>
    <w:p w:rsidR="006A50BD" w:rsidRPr="00A77832" w:rsidRDefault="006A50BD" w:rsidP="006A50BD">
      <w:pPr>
        <w:jc w:val="both"/>
        <w:rPr>
          <w:rFonts w:ascii="Arial" w:hAnsi="Arial" w:cs="Arial"/>
          <w:sz w:val="20"/>
          <w:szCs w:val="20"/>
          <w:lang w:val="en-AU"/>
        </w:rPr>
      </w:pPr>
    </w:p>
    <w:p w:rsidR="006A50BD" w:rsidRPr="00A77832" w:rsidRDefault="006A50BD" w:rsidP="00A77832">
      <w:pPr>
        <w:spacing w:after="120"/>
        <w:jc w:val="both"/>
        <w:outlineLvl w:val="0"/>
        <w:rPr>
          <w:rFonts w:ascii="Arial" w:hAnsi="Arial" w:cs="Arial"/>
          <w:b/>
          <w:sz w:val="20"/>
          <w:szCs w:val="20"/>
          <w:lang w:val="en-AU"/>
        </w:rPr>
      </w:pPr>
      <w:r w:rsidRPr="00A77832">
        <w:rPr>
          <w:rFonts w:ascii="Arial" w:hAnsi="Arial" w:cs="Arial"/>
          <w:b/>
          <w:sz w:val="20"/>
          <w:szCs w:val="20"/>
          <w:lang w:val="en-AU"/>
        </w:rPr>
        <w:t>Consultation</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The ACMA has consulted extensively with stakeholders about the review of the spectrum licensing technical framework for the 2.3 GHz band.</w:t>
      </w:r>
      <w:r w:rsidR="00113D11" w:rsidRPr="00A77832">
        <w:rPr>
          <w:rFonts w:ascii="Arial" w:hAnsi="Arial" w:cs="Arial"/>
          <w:sz w:val="20"/>
          <w:szCs w:val="20"/>
          <w:lang w:val="en-AU"/>
        </w:rPr>
        <w:t xml:space="preserve"> </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In October 2012, the ACMA established an advisory body known as a Technical Liaison Group (</w:t>
      </w:r>
      <w:r w:rsidRPr="00F43D3D">
        <w:rPr>
          <w:rFonts w:ascii="Arial" w:hAnsi="Arial" w:cs="Arial"/>
          <w:b/>
          <w:sz w:val="20"/>
          <w:szCs w:val="20"/>
          <w:lang w:val="en-AU"/>
        </w:rPr>
        <w:t>TLG</w:t>
      </w:r>
      <w:r w:rsidRPr="00A77832">
        <w:rPr>
          <w:rFonts w:ascii="Arial" w:hAnsi="Arial" w:cs="Arial"/>
          <w:sz w:val="20"/>
          <w:szCs w:val="20"/>
          <w:lang w:val="en-AU"/>
        </w:rPr>
        <w:t>) to support the review of the technical framework in the 2.3 GHz band. Incumbent and prospective licensees for the 2.3 GHz band were invited to participate in the TLG process. The TLG</w:t>
      </w:r>
      <w:r w:rsidR="00113D11" w:rsidRPr="00A77832">
        <w:rPr>
          <w:rFonts w:ascii="Arial" w:hAnsi="Arial" w:cs="Arial"/>
          <w:sz w:val="20"/>
          <w:szCs w:val="20"/>
          <w:lang w:val="en-AU"/>
        </w:rPr>
        <w:t>’s role</w:t>
      </w:r>
      <w:r w:rsidRPr="00A77832">
        <w:rPr>
          <w:rFonts w:ascii="Arial" w:hAnsi="Arial" w:cs="Arial"/>
          <w:sz w:val="20"/>
          <w:szCs w:val="20"/>
          <w:lang w:val="en-AU"/>
        </w:rPr>
        <w:t xml:space="preserve"> was to consider and provide advice to the ACMA on technical aspects required for the development or review of the technical framework. </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 ACMA developed three discussion papers which outlined the proposed approach to the spectrum licensing framework for the 2.3 GHz band.  These papers were provided for comment by the ACMA to TLG members and are available on the ACMA website at </w:t>
      </w:r>
      <w:hyperlink r:id="rId12" w:history="1">
        <w:r w:rsidRPr="00A77832">
          <w:rPr>
            <w:rStyle w:val="Hyperlink"/>
            <w:rFonts w:ascii="Arial" w:hAnsi="Arial" w:cs="Arial"/>
            <w:sz w:val="20"/>
            <w:szCs w:val="20"/>
            <w:lang w:val="en-AU"/>
          </w:rPr>
          <w:t>http://www.acma.gov.au</w:t>
        </w:r>
      </w:hyperlink>
      <w:r w:rsidRPr="00A77832">
        <w:rPr>
          <w:rFonts w:ascii="Arial" w:hAnsi="Arial" w:cs="Arial"/>
          <w:sz w:val="20"/>
          <w:szCs w:val="20"/>
          <w:lang w:val="en-AU"/>
        </w:rPr>
        <w:t>.</w:t>
      </w:r>
    </w:p>
    <w:p w:rsidR="006A50BD" w:rsidRPr="00A77832" w:rsidRDefault="006A50BD" w:rsidP="006A50BD">
      <w:pPr>
        <w:jc w:val="both"/>
        <w:rPr>
          <w:rFonts w:ascii="Arial" w:hAnsi="Arial" w:cs="Arial"/>
          <w:sz w:val="20"/>
          <w:szCs w:val="20"/>
          <w:lang w:val="en-AU"/>
        </w:rPr>
      </w:pP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 ACMA took into account the views expressed by TLG members when preparing the draft Advisory Guidelines. The draft Advisory Guidelines were available for public comment from 14 October 2013 to 13 November 2013 in order to give TLG members, as well as other interested parties, a further opportunity to comment on the draft technical framework before the final Advisory Guidelines were made by the ACMA.  </w:t>
      </w:r>
    </w:p>
    <w:p w:rsidR="006A50BD" w:rsidRPr="00A77832" w:rsidRDefault="006A50BD" w:rsidP="006A50BD">
      <w:pPr>
        <w:jc w:val="both"/>
        <w:rPr>
          <w:rFonts w:ascii="Arial" w:hAnsi="Arial" w:cs="Arial"/>
          <w:sz w:val="20"/>
          <w:szCs w:val="20"/>
          <w:lang w:val="en-AU"/>
        </w:rPr>
      </w:pPr>
    </w:p>
    <w:p w:rsidR="009E4AA4"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There were </w:t>
      </w:r>
      <w:r w:rsidR="00A822BF" w:rsidRPr="00A77832">
        <w:rPr>
          <w:rFonts w:ascii="Arial" w:hAnsi="Arial" w:cs="Arial"/>
          <w:sz w:val="20"/>
          <w:szCs w:val="20"/>
          <w:lang w:val="en-AU"/>
        </w:rPr>
        <w:t>two</w:t>
      </w:r>
      <w:r w:rsidRPr="00A77832">
        <w:rPr>
          <w:rFonts w:ascii="Arial" w:hAnsi="Arial" w:cs="Arial"/>
          <w:sz w:val="20"/>
          <w:szCs w:val="20"/>
          <w:lang w:val="en-AU"/>
        </w:rPr>
        <w:t xml:space="preserve"> submissions received during public consultation regarding the revised technical framework. </w:t>
      </w:r>
      <w:r w:rsidR="009E4AA4" w:rsidRPr="00A77832">
        <w:rPr>
          <w:rFonts w:ascii="Arial" w:hAnsi="Arial" w:cs="Arial"/>
          <w:sz w:val="20"/>
          <w:szCs w:val="20"/>
          <w:lang w:val="en-AU"/>
        </w:rPr>
        <w:t>As a result of o</w:t>
      </w:r>
      <w:r w:rsidR="00A822BF" w:rsidRPr="00A77832">
        <w:rPr>
          <w:rFonts w:ascii="Arial" w:hAnsi="Arial" w:cs="Arial"/>
          <w:sz w:val="20"/>
          <w:szCs w:val="20"/>
          <w:lang w:val="en-AU"/>
        </w:rPr>
        <w:t>ne of t</w:t>
      </w:r>
      <w:r w:rsidRPr="00A77832">
        <w:rPr>
          <w:rFonts w:ascii="Arial" w:hAnsi="Arial" w:cs="Arial"/>
          <w:sz w:val="20"/>
          <w:szCs w:val="20"/>
          <w:lang w:val="en-AU"/>
        </w:rPr>
        <w:t>hese submissions</w:t>
      </w:r>
      <w:r w:rsidR="009E4AA4" w:rsidRPr="00A77832">
        <w:rPr>
          <w:rFonts w:ascii="Arial" w:hAnsi="Arial" w:cs="Arial"/>
          <w:sz w:val="20"/>
          <w:szCs w:val="20"/>
          <w:lang w:val="en-AU"/>
        </w:rPr>
        <w:t>, the ACMA made a</w:t>
      </w:r>
      <w:r w:rsidR="00A822BF" w:rsidRPr="00A77832">
        <w:rPr>
          <w:rFonts w:ascii="Arial" w:hAnsi="Arial" w:cs="Arial"/>
          <w:sz w:val="20"/>
          <w:szCs w:val="20"/>
          <w:lang w:val="en-AU"/>
        </w:rPr>
        <w:t xml:space="preserve"> minor</w:t>
      </w:r>
      <w:r w:rsidR="00282ED3" w:rsidRPr="00A77832">
        <w:rPr>
          <w:rFonts w:ascii="Arial" w:hAnsi="Arial" w:cs="Arial"/>
          <w:sz w:val="20"/>
          <w:szCs w:val="20"/>
          <w:lang w:val="en-AU"/>
        </w:rPr>
        <w:t xml:space="preserve"> change to </w:t>
      </w:r>
      <w:r w:rsidR="009E4AA4" w:rsidRPr="00A77832">
        <w:rPr>
          <w:rFonts w:ascii="Arial" w:hAnsi="Arial" w:cs="Arial"/>
          <w:sz w:val="20"/>
          <w:szCs w:val="20"/>
          <w:lang w:val="en-AU"/>
        </w:rPr>
        <w:t>P</w:t>
      </w:r>
      <w:r w:rsidR="00A822BF" w:rsidRPr="00A77832">
        <w:rPr>
          <w:rFonts w:ascii="Arial" w:hAnsi="Arial" w:cs="Arial"/>
          <w:sz w:val="20"/>
          <w:szCs w:val="20"/>
          <w:lang w:val="en-AU"/>
        </w:rPr>
        <w:t xml:space="preserve">art 3 of </w:t>
      </w:r>
      <w:r w:rsidR="00282ED3" w:rsidRPr="00A77832">
        <w:rPr>
          <w:rFonts w:ascii="Arial" w:hAnsi="Arial" w:cs="Arial"/>
          <w:sz w:val="20"/>
          <w:szCs w:val="20"/>
          <w:lang w:val="en-AU"/>
        </w:rPr>
        <w:t xml:space="preserve">the </w:t>
      </w:r>
      <w:r w:rsidRPr="00A77832">
        <w:rPr>
          <w:rFonts w:ascii="Arial" w:hAnsi="Arial" w:cs="Arial"/>
          <w:sz w:val="20"/>
          <w:szCs w:val="20"/>
          <w:lang w:val="en-AU"/>
        </w:rPr>
        <w:t>Advisory Guidelines</w:t>
      </w:r>
      <w:r w:rsidR="009E4AA4" w:rsidRPr="00A77832">
        <w:rPr>
          <w:rFonts w:ascii="Arial" w:hAnsi="Arial" w:cs="Arial"/>
          <w:sz w:val="20"/>
          <w:szCs w:val="20"/>
          <w:lang w:val="en-AU"/>
        </w:rPr>
        <w:t xml:space="preserve"> to </w:t>
      </w:r>
      <w:r w:rsidR="00A822BF" w:rsidRPr="00A77832">
        <w:rPr>
          <w:rFonts w:ascii="Arial" w:hAnsi="Arial" w:cs="Arial"/>
          <w:sz w:val="20"/>
          <w:szCs w:val="20"/>
          <w:lang w:val="en-AU"/>
        </w:rPr>
        <w:t>specif</w:t>
      </w:r>
      <w:r w:rsidR="009E4AA4" w:rsidRPr="00A77832">
        <w:rPr>
          <w:rFonts w:ascii="Arial" w:hAnsi="Arial" w:cs="Arial"/>
          <w:sz w:val="20"/>
          <w:szCs w:val="20"/>
          <w:lang w:val="en-AU"/>
        </w:rPr>
        <w:t>y</w:t>
      </w:r>
      <w:r w:rsidR="00A822BF" w:rsidRPr="00A77832">
        <w:rPr>
          <w:rFonts w:ascii="Arial" w:hAnsi="Arial" w:cs="Arial"/>
          <w:sz w:val="20"/>
          <w:szCs w:val="20"/>
          <w:lang w:val="en-AU"/>
        </w:rPr>
        <w:t xml:space="preserve"> that</w:t>
      </w:r>
      <w:r w:rsidRPr="00A77832">
        <w:rPr>
          <w:rFonts w:ascii="Arial" w:hAnsi="Arial" w:cs="Arial"/>
          <w:sz w:val="20"/>
          <w:szCs w:val="20"/>
          <w:lang w:val="en-AU"/>
        </w:rPr>
        <w:t xml:space="preserve"> </w:t>
      </w:r>
      <w:r w:rsidR="00A822BF" w:rsidRPr="00A77832">
        <w:rPr>
          <w:rFonts w:ascii="Arial" w:hAnsi="Arial" w:cs="Arial"/>
          <w:sz w:val="20"/>
          <w:szCs w:val="20"/>
          <w:lang w:val="en-AU"/>
        </w:rPr>
        <w:t>the protection and coordination requirements of RALI MS37</w:t>
      </w:r>
      <w:r w:rsidR="009E4AA4" w:rsidRPr="00A77832">
        <w:rPr>
          <w:rFonts w:ascii="Arial" w:hAnsi="Arial" w:cs="Arial"/>
          <w:sz w:val="20"/>
          <w:szCs w:val="20"/>
          <w:lang w:val="en-AU"/>
        </w:rPr>
        <w:t xml:space="preserve"> (referenced below)</w:t>
      </w:r>
      <w:r w:rsidR="00A822BF" w:rsidRPr="00A77832">
        <w:rPr>
          <w:rFonts w:ascii="Arial" w:hAnsi="Arial" w:cs="Arial"/>
          <w:sz w:val="20"/>
          <w:szCs w:val="20"/>
          <w:lang w:val="en-AU"/>
        </w:rPr>
        <w:t xml:space="preserve"> applies in the event </w:t>
      </w:r>
      <w:r w:rsidR="00447AA8" w:rsidRPr="00A77832">
        <w:rPr>
          <w:rFonts w:ascii="Arial" w:hAnsi="Arial" w:cs="Arial"/>
          <w:sz w:val="20"/>
          <w:szCs w:val="20"/>
          <w:lang w:val="en-AU"/>
        </w:rPr>
        <w:t xml:space="preserve">that </w:t>
      </w:r>
      <w:r w:rsidR="00A822BF" w:rsidRPr="00A77832">
        <w:rPr>
          <w:rFonts w:ascii="Arial" w:hAnsi="Arial" w:cs="Arial"/>
          <w:sz w:val="20"/>
          <w:szCs w:val="20"/>
          <w:lang w:val="en-AU"/>
        </w:rPr>
        <w:t xml:space="preserve">the transmission parameters of an existing device </w:t>
      </w:r>
      <w:r w:rsidR="00126F40">
        <w:rPr>
          <w:rFonts w:ascii="Arial" w:hAnsi="Arial" w:cs="Arial"/>
          <w:sz w:val="20"/>
          <w:szCs w:val="20"/>
          <w:lang w:val="en-AU"/>
        </w:rPr>
        <w:t xml:space="preserve">operating under a spectrum licence in the 2.3 GHz band </w:t>
      </w:r>
      <w:r w:rsidR="00A822BF" w:rsidRPr="00A77832">
        <w:rPr>
          <w:rFonts w:ascii="Arial" w:hAnsi="Arial" w:cs="Arial"/>
          <w:sz w:val="20"/>
          <w:szCs w:val="20"/>
          <w:lang w:val="en-AU"/>
        </w:rPr>
        <w:t xml:space="preserve">are modified. </w:t>
      </w:r>
      <w:r w:rsidR="009E4AA4" w:rsidRPr="00A77832">
        <w:rPr>
          <w:rFonts w:ascii="Arial" w:hAnsi="Arial" w:cs="Arial"/>
          <w:sz w:val="20"/>
          <w:szCs w:val="20"/>
          <w:lang w:val="en-AU"/>
        </w:rPr>
        <w:t xml:space="preserve"> No other material changes were made to the Advisory Guidelines after consultation. </w:t>
      </w:r>
    </w:p>
    <w:p w:rsidR="006A50BD" w:rsidRPr="00A77832" w:rsidRDefault="006A50BD" w:rsidP="006A50BD">
      <w:pPr>
        <w:jc w:val="both"/>
        <w:rPr>
          <w:rFonts w:ascii="Arial" w:hAnsi="Arial" w:cs="Arial"/>
          <w:sz w:val="20"/>
          <w:szCs w:val="20"/>
          <w:lang w:val="en-AU"/>
        </w:rPr>
      </w:pPr>
    </w:p>
    <w:p w:rsidR="006A50BD" w:rsidRPr="00A77832" w:rsidRDefault="006A50BD" w:rsidP="00A77832">
      <w:pPr>
        <w:spacing w:after="120"/>
        <w:jc w:val="both"/>
        <w:rPr>
          <w:rFonts w:ascii="Arial" w:hAnsi="Arial" w:cs="Arial"/>
          <w:b/>
          <w:sz w:val="20"/>
          <w:szCs w:val="20"/>
          <w:lang w:val="en-AU"/>
        </w:rPr>
      </w:pPr>
      <w:r w:rsidRPr="00A77832">
        <w:rPr>
          <w:rFonts w:ascii="Arial" w:hAnsi="Arial" w:cs="Arial"/>
          <w:b/>
          <w:sz w:val="20"/>
          <w:szCs w:val="20"/>
          <w:lang w:val="en-AU"/>
        </w:rPr>
        <w:t>Regulatory Impact</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Prior to releasing the draft Advisory Guidelines for comment, the ACMA consulted with the Office of Best Practice Regulation (</w:t>
      </w:r>
      <w:r w:rsidRPr="00F43D3D">
        <w:rPr>
          <w:rFonts w:ascii="Arial" w:hAnsi="Arial" w:cs="Arial"/>
          <w:b/>
          <w:sz w:val="20"/>
          <w:szCs w:val="20"/>
          <w:lang w:val="en-AU"/>
        </w:rPr>
        <w:t>the OBPR</w:t>
      </w:r>
      <w:r w:rsidRPr="00A77832">
        <w:rPr>
          <w:rFonts w:ascii="Arial" w:hAnsi="Arial" w:cs="Arial"/>
          <w:sz w:val="20"/>
          <w:szCs w:val="20"/>
          <w:lang w:val="en-AU"/>
        </w:rPr>
        <w:t>) on the requirement for a regulation impact statement (</w:t>
      </w:r>
      <w:r w:rsidRPr="00F43D3D">
        <w:rPr>
          <w:rFonts w:ascii="Arial" w:hAnsi="Arial" w:cs="Arial"/>
          <w:b/>
          <w:sz w:val="20"/>
          <w:szCs w:val="20"/>
          <w:lang w:val="en-AU"/>
        </w:rPr>
        <w:t>RIS</w:t>
      </w:r>
      <w:r w:rsidRPr="00A77832">
        <w:rPr>
          <w:rFonts w:ascii="Arial" w:hAnsi="Arial" w:cs="Arial"/>
          <w:sz w:val="20"/>
          <w:szCs w:val="20"/>
          <w:lang w:val="en-AU"/>
        </w:rPr>
        <w:t xml:space="preserve">) for this legislative instrument. The OBPR advised that the Advisory Guidelines do not warrant the preparation of a RIS because the instrument is likely to have only minor and machinery impacts. The reference for the OBPR’s assessment is ID </w:t>
      </w:r>
      <w:r w:rsidRPr="00A77832">
        <w:rPr>
          <w:rFonts w:ascii="Arial" w:hAnsi="Arial" w:cs="Arial"/>
          <w:sz w:val="20"/>
          <w:szCs w:val="20"/>
        </w:rPr>
        <w:t>16044</w:t>
      </w:r>
      <w:r w:rsidRPr="00A77832">
        <w:rPr>
          <w:rFonts w:ascii="Arial" w:hAnsi="Arial" w:cs="Arial"/>
          <w:sz w:val="20"/>
          <w:szCs w:val="20"/>
          <w:lang w:val="en-AU"/>
        </w:rPr>
        <w:t xml:space="preserve">. </w:t>
      </w:r>
    </w:p>
    <w:p w:rsidR="006A50BD" w:rsidRPr="00A77832" w:rsidRDefault="006A50BD" w:rsidP="00A77832">
      <w:pPr>
        <w:spacing w:after="120"/>
        <w:jc w:val="both"/>
        <w:rPr>
          <w:rFonts w:ascii="Arial" w:hAnsi="Arial" w:cs="Arial"/>
          <w:b/>
          <w:sz w:val="20"/>
          <w:szCs w:val="20"/>
          <w:lang w:val="en-AU"/>
        </w:rPr>
      </w:pPr>
      <w:r w:rsidRPr="00A77832">
        <w:rPr>
          <w:rFonts w:ascii="Arial" w:hAnsi="Arial" w:cs="Arial"/>
          <w:b/>
          <w:sz w:val="20"/>
          <w:szCs w:val="20"/>
          <w:lang w:val="en-AU"/>
        </w:rPr>
        <w:lastRenderedPageBreak/>
        <w:t>Documents Incorporated by Reference</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The Advisory Guidelines incorporate the following documents by reference: </w:t>
      </w:r>
    </w:p>
    <w:p w:rsidR="006A50BD" w:rsidRPr="00A77832" w:rsidRDefault="006A50BD" w:rsidP="006A50BD">
      <w:pPr>
        <w:jc w:val="both"/>
        <w:rPr>
          <w:rFonts w:ascii="Arial" w:hAnsi="Arial" w:cs="Arial"/>
          <w:sz w:val="20"/>
          <w:szCs w:val="20"/>
          <w:lang w:val="en-AU"/>
        </w:rPr>
      </w:pPr>
    </w:p>
    <w:p w:rsidR="006A50BD" w:rsidRPr="00A77832" w:rsidRDefault="006A50BD" w:rsidP="006A50BD">
      <w:pPr>
        <w:numPr>
          <w:ilvl w:val="0"/>
          <w:numId w:val="18"/>
        </w:numPr>
        <w:spacing w:after="120"/>
        <w:ind w:left="284" w:hanging="284"/>
        <w:jc w:val="both"/>
        <w:rPr>
          <w:rFonts w:ascii="Arial" w:hAnsi="Arial" w:cs="Arial"/>
          <w:sz w:val="20"/>
          <w:szCs w:val="20"/>
          <w:lang w:val="en-AU"/>
        </w:rPr>
      </w:pPr>
      <w:r w:rsidRPr="00A77832">
        <w:rPr>
          <w:rFonts w:ascii="Arial" w:hAnsi="Arial" w:cs="Arial"/>
          <w:sz w:val="20"/>
          <w:szCs w:val="20"/>
          <w:lang w:val="en-AU"/>
        </w:rPr>
        <w:t xml:space="preserve">The Radio Regulations published by the International Telecommunication Union (ITU), as in force from time to time. Copies of the Radio Regulations can be obtained at </w:t>
      </w:r>
      <w:hyperlink r:id="rId13" w:history="1">
        <w:r w:rsidRPr="00A77832">
          <w:rPr>
            <w:rStyle w:val="Hyperlink"/>
            <w:rFonts w:ascii="Arial" w:hAnsi="Arial" w:cs="Arial"/>
            <w:sz w:val="20"/>
            <w:szCs w:val="20"/>
            <w:lang w:val="en-AU"/>
          </w:rPr>
          <w:t>www.itu.int</w:t>
        </w:r>
      </w:hyperlink>
      <w:r w:rsidRPr="00A77832">
        <w:rPr>
          <w:rFonts w:ascii="Arial" w:hAnsi="Arial" w:cs="Arial"/>
          <w:sz w:val="20"/>
          <w:szCs w:val="20"/>
          <w:lang w:val="en-AU"/>
        </w:rPr>
        <w:t>.</w:t>
      </w:r>
    </w:p>
    <w:p w:rsidR="006A50BD" w:rsidRPr="00A77832" w:rsidRDefault="006A50BD" w:rsidP="006A50BD">
      <w:pPr>
        <w:numPr>
          <w:ilvl w:val="0"/>
          <w:numId w:val="18"/>
        </w:numPr>
        <w:spacing w:after="120"/>
        <w:ind w:left="284" w:hanging="284"/>
        <w:jc w:val="both"/>
        <w:rPr>
          <w:rFonts w:ascii="Arial" w:hAnsi="Arial" w:cs="Arial"/>
          <w:sz w:val="20"/>
          <w:szCs w:val="20"/>
          <w:lang w:val="en-AU"/>
        </w:rPr>
      </w:pPr>
      <w:r w:rsidRPr="00A77832">
        <w:rPr>
          <w:rFonts w:ascii="Arial" w:hAnsi="Arial" w:cs="Arial"/>
          <w:sz w:val="20"/>
          <w:szCs w:val="20"/>
          <w:lang w:val="en-AU"/>
        </w:rPr>
        <w:t xml:space="preserve">The </w:t>
      </w:r>
      <w:r w:rsidRPr="00A77832">
        <w:rPr>
          <w:rFonts w:ascii="Arial" w:hAnsi="Arial" w:cs="Arial"/>
          <w:i/>
          <w:sz w:val="20"/>
          <w:szCs w:val="20"/>
          <w:lang w:val="en-AU"/>
        </w:rPr>
        <w:t xml:space="preserve">Radiocommunications Assignment and Licensing Instruction No. FX 3 - Microwave </w:t>
      </w:r>
      <w:r w:rsidR="00A36EE9" w:rsidRPr="00A77832">
        <w:rPr>
          <w:rFonts w:ascii="Arial" w:hAnsi="Arial" w:cs="Arial"/>
          <w:i/>
          <w:sz w:val="20"/>
          <w:szCs w:val="20"/>
          <w:lang w:val="en-AU"/>
        </w:rPr>
        <w:t>F</w:t>
      </w:r>
      <w:r w:rsidRPr="00A77832">
        <w:rPr>
          <w:rFonts w:ascii="Arial" w:hAnsi="Arial" w:cs="Arial"/>
          <w:i/>
          <w:sz w:val="20"/>
          <w:szCs w:val="20"/>
          <w:lang w:val="en-AU"/>
        </w:rPr>
        <w:t xml:space="preserve">ixed </w:t>
      </w:r>
      <w:r w:rsidR="00A36EE9" w:rsidRPr="00A77832">
        <w:rPr>
          <w:rFonts w:ascii="Arial" w:hAnsi="Arial" w:cs="Arial"/>
          <w:i/>
          <w:sz w:val="20"/>
          <w:szCs w:val="20"/>
          <w:lang w:val="en-AU"/>
        </w:rPr>
        <w:t>S</w:t>
      </w:r>
      <w:r w:rsidRPr="00A77832">
        <w:rPr>
          <w:rFonts w:ascii="Arial" w:hAnsi="Arial" w:cs="Arial"/>
          <w:i/>
          <w:sz w:val="20"/>
          <w:szCs w:val="20"/>
          <w:lang w:val="en-AU"/>
        </w:rPr>
        <w:t xml:space="preserve">ervices </w:t>
      </w:r>
      <w:r w:rsidR="00A36EE9" w:rsidRPr="00A77832">
        <w:rPr>
          <w:rFonts w:ascii="Arial" w:hAnsi="Arial" w:cs="Arial"/>
          <w:i/>
          <w:sz w:val="20"/>
          <w:szCs w:val="20"/>
          <w:lang w:val="en-AU"/>
        </w:rPr>
        <w:t>F</w:t>
      </w:r>
      <w:r w:rsidRPr="00A77832">
        <w:rPr>
          <w:rFonts w:ascii="Arial" w:hAnsi="Arial" w:cs="Arial"/>
          <w:i/>
          <w:sz w:val="20"/>
          <w:szCs w:val="20"/>
          <w:lang w:val="en-AU"/>
        </w:rPr>
        <w:t xml:space="preserve">requency </w:t>
      </w:r>
      <w:r w:rsidR="00A36EE9" w:rsidRPr="00A77832">
        <w:rPr>
          <w:rFonts w:ascii="Arial" w:hAnsi="Arial" w:cs="Arial"/>
          <w:i/>
          <w:sz w:val="20"/>
          <w:szCs w:val="20"/>
          <w:lang w:val="en-AU"/>
        </w:rPr>
        <w:t>C</w:t>
      </w:r>
      <w:r w:rsidRPr="00A77832">
        <w:rPr>
          <w:rFonts w:ascii="Arial" w:hAnsi="Arial" w:cs="Arial"/>
          <w:i/>
          <w:sz w:val="20"/>
          <w:szCs w:val="20"/>
          <w:lang w:val="en-AU"/>
        </w:rPr>
        <w:t>oordination</w:t>
      </w:r>
      <w:r w:rsidRPr="00A77832">
        <w:rPr>
          <w:rFonts w:ascii="Arial" w:hAnsi="Arial" w:cs="Arial"/>
          <w:sz w:val="20"/>
          <w:szCs w:val="20"/>
          <w:lang w:val="en-AU"/>
        </w:rPr>
        <w:t xml:space="preserve"> (RALI FX 3) published by the ACMA</w:t>
      </w:r>
      <w:r w:rsidR="00002F35" w:rsidRPr="00A77832">
        <w:rPr>
          <w:rFonts w:ascii="Arial" w:hAnsi="Arial" w:cs="Arial"/>
          <w:sz w:val="20"/>
          <w:szCs w:val="20"/>
          <w:lang w:val="en-AU"/>
        </w:rPr>
        <w:t>,</w:t>
      </w:r>
      <w:r w:rsidRPr="00A77832">
        <w:rPr>
          <w:rFonts w:ascii="Arial" w:hAnsi="Arial" w:cs="Arial"/>
          <w:sz w:val="20"/>
          <w:szCs w:val="20"/>
          <w:lang w:val="en-AU"/>
        </w:rPr>
        <w:t xml:space="preserve"> as in existence from time to time</w:t>
      </w:r>
      <w:r w:rsidR="00A36EE9" w:rsidRPr="00A77832">
        <w:rPr>
          <w:rFonts w:ascii="Arial" w:hAnsi="Arial" w:cs="Arial"/>
          <w:sz w:val="20"/>
          <w:szCs w:val="20"/>
          <w:lang w:val="en-AU"/>
        </w:rPr>
        <w:t>.</w:t>
      </w:r>
      <w:r w:rsidR="00AA1598" w:rsidRPr="00A77832">
        <w:rPr>
          <w:rStyle w:val="FootnoteReference"/>
          <w:rFonts w:ascii="Arial" w:hAnsi="Arial" w:cs="Arial"/>
          <w:sz w:val="20"/>
          <w:szCs w:val="20"/>
          <w:lang w:val="en-AU"/>
        </w:rPr>
        <w:footnoteReference w:id="1"/>
      </w:r>
    </w:p>
    <w:p w:rsidR="006A50BD" w:rsidRPr="00A77832" w:rsidRDefault="006A50BD" w:rsidP="006A50BD">
      <w:pPr>
        <w:numPr>
          <w:ilvl w:val="0"/>
          <w:numId w:val="18"/>
        </w:numPr>
        <w:spacing w:after="120"/>
        <w:ind w:left="284" w:hanging="284"/>
        <w:jc w:val="both"/>
        <w:rPr>
          <w:rFonts w:ascii="Arial" w:hAnsi="Arial" w:cs="Arial"/>
          <w:sz w:val="20"/>
          <w:szCs w:val="20"/>
          <w:lang w:val="en-AU"/>
        </w:rPr>
      </w:pPr>
      <w:r w:rsidRPr="00A77832">
        <w:rPr>
          <w:rFonts w:ascii="Arial" w:hAnsi="Arial" w:cs="Arial"/>
          <w:sz w:val="20"/>
          <w:szCs w:val="20"/>
          <w:lang w:val="en-AU"/>
        </w:rPr>
        <w:t xml:space="preserve">The </w:t>
      </w:r>
      <w:r w:rsidRPr="00A77832">
        <w:rPr>
          <w:rFonts w:ascii="Arial" w:hAnsi="Arial" w:cs="Arial"/>
          <w:i/>
          <w:sz w:val="20"/>
          <w:szCs w:val="20"/>
          <w:lang w:val="en-AU"/>
        </w:rPr>
        <w:t xml:space="preserve">Radiocommunications Assignment and Licensing Instruction </w:t>
      </w:r>
      <w:r w:rsidR="00A36EE9" w:rsidRPr="00A77832">
        <w:rPr>
          <w:rFonts w:ascii="Arial" w:hAnsi="Arial" w:cs="Arial"/>
          <w:i/>
          <w:sz w:val="20"/>
          <w:szCs w:val="20"/>
          <w:lang w:val="en-AU"/>
        </w:rPr>
        <w:t>FX</w:t>
      </w:r>
      <w:r w:rsidRPr="00A77832">
        <w:rPr>
          <w:rFonts w:ascii="Arial" w:hAnsi="Arial" w:cs="Arial"/>
          <w:i/>
          <w:sz w:val="20"/>
          <w:szCs w:val="20"/>
          <w:lang w:val="en-AU"/>
        </w:rPr>
        <w:t xml:space="preserve"> 21 - Television Outside Broadcasting Services in the bands 1980-2110 MHz and 2170-2300 MHz </w:t>
      </w:r>
      <w:r w:rsidRPr="00A77832">
        <w:rPr>
          <w:rFonts w:ascii="Arial" w:hAnsi="Arial" w:cs="Arial"/>
          <w:sz w:val="20"/>
          <w:szCs w:val="20"/>
          <w:lang w:val="en-AU"/>
        </w:rPr>
        <w:t>(RALI FX 21) published by the ACMA</w:t>
      </w:r>
      <w:r w:rsidR="00002F35" w:rsidRPr="00A77832">
        <w:rPr>
          <w:rFonts w:ascii="Arial" w:hAnsi="Arial" w:cs="Arial"/>
          <w:sz w:val="20"/>
          <w:szCs w:val="20"/>
          <w:lang w:val="en-AU"/>
        </w:rPr>
        <w:t>,</w:t>
      </w:r>
      <w:r w:rsidRPr="00A77832">
        <w:rPr>
          <w:rFonts w:ascii="Arial" w:hAnsi="Arial" w:cs="Arial"/>
          <w:sz w:val="20"/>
          <w:szCs w:val="20"/>
          <w:lang w:val="en-AU"/>
        </w:rPr>
        <w:t xml:space="preserve"> as in existence from time to time</w:t>
      </w:r>
      <w:r w:rsidR="00002F35" w:rsidRPr="00A77832">
        <w:rPr>
          <w:rFonts w:ascii="Arial" w:hAnsi="Arial" w:cs="Arial"/>
          <w:sz w:val="20"/>
          <w:szCs w:val="20"/>
          <w:lang w:val="en-AU"/>
        </w:rPr>
        <w:t>.</w:t>
      </w:r>
    </w:p>
    <w:p w:rsidR="006A50BD" w:rsidRPr="00A77832" w:rsidRDefault="006A50BD" w:rsidP="006A50BD">
      <w:pPr>
        <w:numPr>
          <w:ilvl w:val="0"/>
          <w:numId w:val="18"/>
        </w:numPr>
        <w:spacing w:after="120"/>
        <w:ind w:left="284" w:hanging="284"/>
        <w:jc w:val="both"/>
        <w:rPr>
          <w:rFonts w:ascii="Arial" w:hAnsi="Arial" w:cs="Arial"/>
          <w:sz w:val="20"/>
          <w:szCs w:val="20"/>
          <w:lang w:val="en-AU"/>
        </w:rPr>
      </w:pPr>
      <w:r w:rsidRPr="00A77832">
        <w:rPr>
          <w:rFonts w:ascii="Arial" w:hAnsi="Arial" w:cs="Arial"/>
          <w:sz w:val="20"/>
          <w:szCs w:val="20"/>
          <w:lang w:val="en-AU"/>
        </w:rPr>
        <w:t xml:space="preserve">The </w:t>
      </w:r>
      <w:r w:rsidRPr="00A77832">
        <w:rPr>
          <w:rFonts w:ascii="Arial" w:hAnsi="Arial" w:cs="Arial"/>
          <w:i/>
          <w:sz w:val="20"/>
          <w:szCs w:val="20"/>
          <w:lang w:val="en-AU"/>
        </w:rPr>
        <w:t xml:space="preserve">Radiocommunications Assignment and Licensing Instruction MS 31 - Notification Zones for Apparatus Licensed Services Around Radio Astronomy Facilities </w:t>
      </w:r>
      <w:r w:rsidRPr="00A77832">
        <w:rPr>
          <w:rFonts w:ascii="Arial" w:hAnsi="Arial" w:cs="Arial"/>
          <w:sz w:val="20"/>
          <w:szCs w:val="20"/>
          <w:lang w:val="en-AU"/>
        </w:rPr>
        <w:t>(RALI MS 31) published by the ACMA, as in existence from time to time.</w:t>
      </w:r>
    </w:p>
    <w:p w:rsidR="006A50BD" w:rsidRPr="00A77832" w:rsidRDefault="006A50BD" w:rsidP="006A50BD">
      <w:pPr>
        <w:numPr>
          <w:ilvl w:val="0"/>
          <w:numId w:val="18"/>
        </w:numPr>
        <w:spacing w:after="120"/>
        <w:ind w:left="284" w:hanging="284"/>
        <w:jc w:val="both"/>
        <w:rPr>
          <w:rFonts w:ascii="Arial" w:hAnsi="Arial" w:cs="Arial"/>
          <w:sz w:val="20"/>
          <w:szCs w:val="20"/>
          <w:lang w:val="en-AU"/>
        </w:rPr>
      </w:pPr>
      <w:r w:rsidRPr="00A77832">
        <w:rPr>
          <w:rFonts w:ascii="Arial" w:hAnsi="Arial" w:cs="Arial"/>
          <w:sz w:val="20"/>
          <w:szCs w:val="20"/>
          <w:lang w:val="en-AU"/>
        </w:rPr>
        <w:t xml:space="preserve">The </w:t>
      </w:r>
      <w:r w:rsidRPr="00A77832">
        <w:rPr>
          <w:rFonts w:ascii="Arial" w:hAnsi="Arial" w:cs="Arial"/>
          <w:i/>
          <w:sz w:val="20"/>
          <w:szCs w:val="20"/>
          <w:lang w:val="en-AU"/>
        </w:rPr>
        <w:t>Radiocommunications Assignment and Licensing Instruction No. MS 37 - C</w:t>
      </w:r>
      <w:r w:rsidRPr="00A77832">
        <w:rPr>
          <w:rFonts w:ascii="Arial" w:hAnsi="Arial" w:cs="Arial"/>
          <w:i/>
          <w:sz w:val="20"/>
          <w:szCs w:val="20"/>
          <w:lang w:val="en-GB"/>
        </w:rPr>
        <w:t>oordination of spectrum-licensed devices operating in the 2.3 GHz band with SRS earth stations in the 2290–2300 MHz band</w:t>
      </w:r>
      <w:r w:rsidRPr="00A77832">
        <w:rPr>
          <w:rFonts w:ascii="Arial" w:hAnsi="Arial" w:cs="Arial"/>
          <w:i/>
          <w:sz w:val="20"/>
          <w:szCs w:val="20"/>
          <w:lang w:val="en-AU"/>
        </w:rPr>
        <w:t xml:space="preserve"> </w:t>
      </w:r>
      <w:r w:rsidRPr="00A77832">
        <w:rPr>
          <w:rFonts w:ascii="Arial" w:hAnsi="Arial" w:cs="Arial"/>
          <w:sz w:val="20"/>
          <w:szCs w:val="20"/>
          <w:lang w:val="en-AU"/>
        </w:rPr>
        <w:t>(RALI MS 37) published by the ACMA, as in existence from time to time</w:t>
      </w:r>
      <w:r w:rsidR="00916989" w:rsidRPr="00A77832">
        <w:rPr>
          <w:rFonts w:ascii="Arial" w:hAnsi="Arial" w:cs="Arial"/>
          <w:sz w:val="20"/>
          <w:szCs w:val="20"/>
          <w:lang w:val="en-AU"/>
        </w:rPr>
        <w:t>.</w:t>
      </w:r>
    </w:p>
    <w:p w:rsidR="006A50BD" w:rsidRPr="00A77832" w:rsidRDefault="006A50BD" w:rsidP="006A50BD">
      <w:pPr>
        <w:numPr>
          <w:ilvl w:val="0"/>
          <w:numId w:val="18"/>
        </w:numPr>
        <w:ind w:left="284" w:hanging="284"/>
        <w:jc w:val="both"/>
        <w:rPr>
          <w:rFonts w:ascii="Arial" w:hAnsi="Arial" w:cs="Arial"/>
          <w:sz w:val="20"/>
          <w:szCs w:val="20"/>
          <w:lang w:val="en-AU"/>
        </w:rPr>
      </w:pPr>
      <w:r w:rsidRPr="00A77832">
        <w:rPr>
          <w:rFonts w:ascii="Arial" w:hAnsi="Arial" w:cs="Arial"/>
          <w:sz w:val="20"/>
          <w:szCs w:val="20"/>
          <w:lang w:val="en-AU"/>
        </w:rPr>
        <w:t>The following documents published by the ITU Radiocommunications Sector and available on the ITU website</w:t>
      </w:r>
      <w:r w:rsidR="00916989" w:rsidRPr="00A77832">
        <w:rPr>
          <w:rFonts w:ascii="Arial" w:hAnsi="Arial" w:cs="Arial"/>
          <w:sz w:val="20"/>
          <w:szCs w:val="20"/>
          <w:lang w:val="en-AU"/>
        </w:rPr>
        <w:t xml:space="preserve"> (</w:t>
      </w:r>
      <w:hyperlink r:id="rId14" w:history="1">
        <w:r w:rsidRPr="00A77832">
          <w:rPr>
            <w:rStyle w:val="Hyperlink"/>
            <w:rFonts w:ascii="Arial" w:hAnsi="Arial" w:cs="Arial"/>
            <w:sz w:val="20"/>
            <w:szCs w:val="20"/>
            <w:lang w:val="en-AU"/>
          </w:rPr>
          <w:t>http://www.itu.int</w:t>
        </w:r>
      </w:hyperlink>
      <w:r w:rsidR="00916989" w:rsidRPr="00A77832">
        <w:rPr>
          <w:sz w:val="20"/>
          <w:szCs w:val="20"/>
        </w:rPr>
        <w:t>)</w:t>
      </w:r>
      <w:r w:rsidRPr="00A77832">
        <w:rPr>
          <w:rFonts w:ascii="Arial" w:hAnsi="Arial" w:cs="Arial"/>
          <w:sz w:val="20"/>
          <w:szCs w:val="20"/>
          <w:lang w:val="en-AU"/>
        </w:rPr>
        <w:t>:</w:t>
      </w:r>
    </w:p>
    <w:p w:rsidR="006A50BD" w:rsidRPr="00A77832" w:rsidRDefault="006A50BD" w:rsidP="006A50BD">
      <w:pPr>
        <w:pStyle w:val="ListParagraph"/>
        <w:jc w:val="both"/>
        <w:rPr>
          <w:rFonts w:ascii="Arial" w:hAnsi="Arial" w:cs="Arial"/>
          <w:sz w:val="20"/>
          <w:szCs w:val="20"/>
          <w:lang w:val="en-AU"/>
        </w:rPr>
      </w:pP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P.1144 </w:t>
      </w:r>
      <w:r w:rsidRPr="00A77832">
        <w:rPr>
          <w:rFonts w:ascii="Arial" w:hAnsi="Arial" w:cs="Arial"/>
          <w:i/>
          <w:sz w:val="20"/>
          <w:szCs w:val="20"/>
          <w:lang w:val="en-AU"/>
        </w:rPr>
        <w:t>Guide to the application of the propagation methods of Radiocommunications Study Group 3</w:t>
      </w:r>
      <w:r w:rsidR="00126F40">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i/>
          <w:sz w:val="20"/>
          <w:szCs w:val="20"/>
          <w:lang w:val="en-AU"/>
        </w:rPr>
      </w:pPr>
      <w:r w:rsidRPr="00A77832">
        <w:rPr>
          <w:rFonts w:ascii="Arial" w:hAnsi="Arial" w:cs="Arial"/>
          <w:sz w:val="20"/>
          <w:szCs w:val="20"/>
          <w:lang w:val="en-AU"/>
        </w:rPr>
        <w:t xml:space="preserve">Recommendation ITU-R SF.1006 </w:t>
      </w:r>
      <w:r w:rsidRPr="00A77832">
        <w:rPr>
          <w:rFonts w:ascii="Arial" w:hAnsi="Arial" w:cs="Arial"/>
          <w:i/>
          <w:sz w:val="20"/>
          <w:szCs w:val="20"/>
          <w:lang w:val="en-AU"/>
        </w:rPr>
        <w:t>Determination of the interference potential between earth stations of the fixed-satellite service and stations in the fixed service</w:t>
      </w:r>
      <w:r w:rsidR="00126F40">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SA.1154 </w:t>
      </w:r>
      <w:r w:rsidRPr="00A77832">
        <w:rPr>
          <w:rFonts w:ascii="Arial" w:hAnsi="Arial" w:cs="Arial"/>
          <w:i/>
          <w:sz w:val="20"/>
          <w:szCs w:val="20"/>
          <w:lang w:val="en-AU"/>
        </w:rPr>
        <w:t>Provisions to protect the space research (SR), space operations (SO) and Earth exploration-satellite services (EESS) and to facilitate sharing with the mobile service in the 2 025–2 110 MHz and 2 200–2 290 MHz bands</w:t>
      </w:r>
      <w:r w:rsidRPr="00A77832">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SA.363 </w:t>
      </w:r>
      <w:r w:rsidRPr="00A77832">
        <w:rPr>
          <w:rFonts w:ascii="Arial" w:hAnsi="Arial" w:cs="Arial"/>
          <w:i/>
          <w:sz w:val="20"/>
          <w:szCs w:val="20"/>
          <w:lang w:val="en-AU"/>
        </w:rPr>
        <w:t>Space operation system</w:t>
      </w:r>
      <w:r w:rsidR="00126F40">
        <w:rPr>
          <w:rFonts w:ascii="Arial" w:hAnsi="Arial" w:cs="Arial"/>
          <w:i/>
          <w:sz w:val="20"/>
          <w:szCs w:val="20"/>
          <w:lang w:val="en-AU"/>
        </w:rPr>
        <w:t>s</w:t>
      </w:r>
      <w:r w:rsidRPr="00A77832">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SA.609 </w:t>
      </w:r>
      <w:r w:rsidRPr="00A77832">
        <w:rPr>
          <w:rFonts w:ascii="Arial" w:hAnsi="Arial" w:cs="Arial"/>
          <w:i/>
          <w:sz w:val="20"/>
          <w:szCs w:val="20"/>
          <w:lang w:val="en-AU"/>
        </w:rPr>
        <w:t>Protection criteria for radiocommunication links for manned and unmanned near</w:t>
      </w:r>
      <w:r w:rsidR="00126F40">
        <w:rPr>
          <w:rFonts w:ascii="Arial" w:hAnsi="Arial" w:cs="Arial"/>
          <w:i/>
          <w:sz w:val="20"/>
          <w:szCs w:val="20"/>
          <w:lang w:val="en-AU"/>
        </w:rPr>
        <w:t>-</w:t>
      </w:r>
      <w:r w:rsidRPr="00A77832">
        <w:rPr>
          <w:rFonts w:ascii="Arial" w:hAnsi="Arial" w:cs="Arial"/>
          <w:i/>
          <w:sz w:val="20"/>
          <w:szCs w:val="20"/>
          <w:lang w:val="en-AU"/>
        </w:rPr>
        <w:t>Earth research satellites</w:t>
      </w:r>
      <w:r w:rsidRPr="00A77832">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SA.1157 </w:t>
      </w:r>
      <w:r w:rsidRPr="00A77832">
        <w:rPr>
          <w:rFonts w:ascii="Arial" w:hAnsi="Arial" w:cs="Arial"/>
          <w:i/>
          <w:sz w:val="20"/>
          <w:szCs w:val="20"/>
          <w:lang w:val="en-AU"/>
        </w:rPr>
        <w:t xml:space="preserve">Protection criteria for </w:t>
      </w:r>
      <w:r w:rsidR="00126F40" w:rsidRPr="00A77832">
        <w:rPr>
          <w:rFonts w:ascii="Arial" w:hAnsi="Arial" w:cs="Arial"/>
          <w:i/>
          <w:sz w:val="20"/>
          <w:szCs w:val="20"/>
          <w:lang w:val="en-AU"/>
        </w:rPr>
        <w:t>deep</w:t>
      </w:r>
      <w:r w:rsidR="00126F40">
        <w:rPr>
          <w:rFonts w:ascii="Arial" w:hAnsi="Arial" w:cs="Arial"/>
          <w:i/>
          <w:sz w:val="20"/>
          <w:szCs w:val="20"/>
          <w:lang w:val="en-AU"/>
        </w:rPr>
        <w:t>-</w:t>
      </w:r>
      <w:r w:rsidRPr="00A77832">
        <w:rPr>
          <w:rFonts w:ascii="Arial" w:hAnsi="Arial" w:cs="Arial"/>
          <w:i/>
          <w:sz w:val="20"/>
          <w:szCs w:val="20"/>
          <w:lang w:val="en-AU"/>
        </w:rPr>
        <w:t>space research</w:t>
      </w:r>
      <w:r w:rsidRPr="00A77832">
        <w:rPr>
          <w:rFonts w:ascii="Arial" w:hAnsi="Arial" w:cs="Arial"/>
          <w:sz w:val="20"/>
          <w:szCs w:val="20"/>
          <w:lang w:val="en-AU"/>
        </w:rPr>
        <w:t xml:space="preserve">; </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SA.509 </w:t>
      </w:r>
      <w:r w:rsidRPr="00A77832">
        <w:rPr>
          <w:rFonts w:ascii="Arial" w:hAnsi="Arial" w:cs="Arial"/>
          <w:i/>
          <w:sz w:val="20"/>
          <w:szCs w:val="20"/>
          <w:lang w:val="en-AU"/>
        </w:rPr>
        <w:t>Space research earth station and radio astronomy reference antenna radiation patterns for use in interference calculations, including coordination procedures</w:t>
      </w:r>
      <w:r w:rsidRPr="00A77832">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SA.1014 </w:t>
      </w:r>
      <w:r w:rsidRPr="00A77832">
        <w:rPr>
          <w:rFonts w:ascii="Arial" w:hAnsi="Arial" w:cs="Arial"/>
          <w:i/>
          <w:sz w:val="20"/>
          <w:szCs w:val="20"/>
          <w:lang w:val="en-AU"/>
        </w:rPr>
        <w:t>Telecommunications requirements for manned and unmanned deep space research</w:t>
      </w:r>
      <w:r w:rsidRPr="00A77832">
        <w:rPr>
          <w:rFonts w:ascii="Arial" w:hAnsi="Arial" w:cs="Arial"/>
          <w:sz w:val="20"/>
          <w:szCs w:val="20"/>
          <w:lang w:val="en-AU"/>
        </w:rPr>
        <w:t>;</w:t>
      </w:r>
    </w:p>
    <w:p w:rsidR="006A50BD" w:rsidRPr="00A77832" w:rsidRDefault="006A50BD" w:rsidP="006A50BD">
      <w:pPr>
        <w:numPr>
          <w:ilvl w:val="1"/>
          <w:numId w:val="18"/>
        </w:numPr>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SA.1016 </w:t>
      </w:r>
      <w:r w:rsidRPr="00A77832">
        <w:rPr>
          <w:rFonts w:ascii="Arial" w:hAnsi="Arial" w:cs="Arial"/>
          <w:i/>
          <w:sz w:val="20"/>
          <w:szCs w:val="20"/>
          <w:lang w:val="en-AU"/>
        </w:rPr>
        <w:t>Sharing considerations relating to Deep</w:t>
      </w:r>
      <w:r w:rsidR="00126F40">
        <w:rPr>
          <w:rFonts w:ascii="Arial" w:hAnsi="Arial" w:cs="Arial"/>
          <w:i/>
          <w:sz w:val="20"/>
          <w:szCs w:val="20"/>
          <w:lang w:val="en-AU"/>
        </w:rPr>
        <w:t>-</w:t>
      </w:r>
      <w:r w:rsidRPr="00A77832">
        <w:rPr>
          <w:rFonts w:ascii="Arial" w:hAnsi="Arial" w:cs="Arial"/>
          <w:i/>
          <w:sz w:val="20"/>
          <w:szCs w:val="20"/>
          <w:lang w:val="en-AU"/>
        </w:rPr>
        <w:t>Space Research</w:t>
      </w:r>
      <w:r w:rsidRPr="00A77832">
        <w:rPr>
          <w:rFonts w:ascii="Arial" w:hAnsi="Arial" w:cs="Arial"/>
          <w:sz w:val="20"/>
          <w:szCs w:val="20"/>
          <w:lang w:val="en-AU"/>
        </w:rPr>
        <w:t>;</w:t>
      </w:r>
    </w:p>
    <w:p w:rsidR="006A50BD" w:rsidRPr="00A77832" w:rsidRDefault="006A50BD" w:rsidP="006A50BD">
      <w:pPr>
        <w:numPr>
          <w:ilvl w:val="1"/>
          <w:numId w:val="18"/>
        </w:numPr>
        <w:spacing w:after="120"/>
        <w:ind w:left="993" w:hanging="426"/>
        <w:jc w:val="both"/>
        <w:rPr>
          <w:rFonts w:ascii="Arial" w:hAnsi="Arial" w:cs="Arial"/>
          <w:sz w:val="20"/>
          <w:szCs w:val="20"/>
          <w:lang w:val="en-AU"/>
        </w:rPr>
      </w:pPr>
      <w:r w:rsidRPr="00A77832">
        <w:rPr>
          <w:rFonts w:ascii="Arial" w:hAnsi="Arial" w:cs="Arial"/>
          <w:sz w:val="20"/>
          <w:szCs w:val="20"/>
          <w:lang w:val="en-AU"/>
        </w:rPr>
        <w:t xml:space="preserve">Recommendation ITU-R SA.1743 </w:t>
      </w:r>
      <w:r w:rsidRPr="00A77832">
        <w:rPr>
          <w:rFonts w:ascii="Arial" w:hAnsi="Arial" w:cs="Arial"/>
          <w:i/>
          <w:sz w:val="20"/>
          <w:szCs w:val="20"/>
          <w:lang w:val="en-AU"/>
        </w:rPr>
        <w:t>Maximum allowable degradation to radiocommunication links of the space research and space operation services arising from interference from emissions and radiations from other radio sources</w:t>
      </w:r>
      <w:r w:rsidRPr="00A77832">
        <w:rPr>
          <w:rFonts w:ascii="Arial" w:hAnsi="Arial" w:cs="Arial"/>
          <w:sz w:val="20"/>
          <w:szCs w:val="20"/>
          <w:lang w:val="en-AU"/>
        </w:rPr>
        <w:t>.</w:t>
      </w:r>
    </w:p>
    <w:p w:rsidR="006A50BD" w:rsidRPr="00A77832" w:rsidRDefault="006A50BD" w:rsidP="006A50BD">
      <w:pPr>
        <w:numPr>
          <w:ilvl w:val="0"/>
          <w:numId w:val="18"/>
        </w:numPr>
        <w:ind w:left="284" w:hanging="284"/>
        <w:jc w:val="both"/>
        <w:rPr>
          <w:rFonts w:ascii="Arial" w:hAnsi="Arial" w:cs="Arial"/>
          <w:sz w:val="20"/>
          <w:szCs w:val="20"/>
          <w:lang w:val="en-AU"/>
        </w:rPr>
      </w:pPr>
      <w:r w:rsidRPr="00A77832">
        <w:rPr>
          <w:rFonts w:ascii="Arial" w:hAnsi="Arial" w:cs="Arial"/>
          <w:sz w:val="20"/>
          <w:szCs w:val="20"/>
          <w:lang w:val="en-AU"/>
        </w:rPr>
        <w:t xml:space="preserve">Spectrum Planning Paper 10/01 </w:t>
      </w:r>
      <w:r w:rsidRPr="00A77832">
        <w:rPr>
          <w:rFonts w:ascii="Arial" w:hAnsi="Arial" w:cs="Arial"/>
          <w:i/>
          <w:sz w:val="20"/>
          <w:szCs w:val="20"/>
          <w:lang w:val="en-AU"/>
        </w:rPr>
        <w:t>Coordination Information for Defence Aeronautical Mobile Telemetry Systems Operating in the 2200 to 2300 MHz Frequency Range</w:t>
      </w:r>
      <w:r w:rsidRPr="00A77832">
        <w:rPr>
          <w:rFonts w:ascii="Arial" w:hAnsi="Arial" w:cs="Arial"/>
          <w:sz w:val="20"/>
          <w:szCs w:val="20"/>
          <w:lang w:val="en-AU"/>
        </w:rPr>
        <w:t xml:space="preserve"> made by the ACMA. Copies are available at </w:t>
      </w:r>
      <w:hyperlink r:id="rId15" w:history="1">
        <w:r w:rsidRPr="00A77832">
          <w:rPr>
            <w:rStyle w:val="Hyperlink"/>
            <w:rFonts w:ascii="Arial" w:hAnsi="Arial" w:cs="Arial"/>
            <w:sz w:val="20"/>
            <w:szCs w:val="20"/>
            <w:lang w:val="en-AU"/>
          </w:rPr>
          <w:t>http://www.acma.gov.au</w:t>
        </w:r>
      </w:hyperlink>
      <w:r w:rsidRPr="00A77832">
        <w:rPr>
          <w:rFonts w:ascii="Arial" w:hAnsi="Arial" w:cs="Arial"/>
          <w:sz w:val="20"/>
          <w:szCs w:val="20"/>
          <w:lang w:val="en-AU"/>
        </w:rPr>
        <w:t xml:space="preserve">.  </w:t>
      </w:r>
    </w:p>
    <w:p w:rsidR="006A50BD" w:rsidRPr="00A77832" w:rsidRDefault="006A50BD" w:rsidP="006A50BD">
      <w:pPr>
        <w:ind w:left="567"/>
        <w:jc w:val="both"/>
        <w:rPr>
          <w:rFonts w:ascii="Arial" w:hAnsi="Arial" w:cs="Arial"/>
          <w:sz w:val="20"/>
          <w:szCs w:val="20"/>
          <w:lang w:val="en-AU"/>
        </w:rPr>
      </w:pPr>
    </w:p>
    <w:p w:rsidR="00D27FD9" w:rsidRPr="00A77832" w:rsidRDefault="00D27FD9" w:rsidP="00D27FD9">
      <w:pPr>
        <w:spacing w:after="240"/>
        <w:jc w:val="both"/>
        <w:outlineLvl w:val="0"/>
        <w:rPr>
          <w:rFonts w:ascii="Arial" w:hAnsi="Arial" w:cs="Arial"/>
          <w:b/>
          <w:sz w:val="20"/>
          <w:szCs w:val="20"/>
          <w:lang w:val="en-AU"/>
        </w:rPr>
      </w:pPr>
      <w:r w:rsidRPr="00A77832">
        <w:rPr>
          <w:rFonts w:ascii="Arial" w:hAnsi="Arial" w:cs="Arial"/>
          <w:b/>
          <w:sz w:val="20"/>
          <w:szCs w:val="20"/>
          <w:lang w:val="en-AU"/>
        </w:rPr>
        <w:t>Statement of compatibility with human rights</w:t>
      </w:r>
    </w:p>
    <w:p w:rsidR="00D27FD9" w:rsidRPr="00A77832" w:rsidRDefault="00D27FD9" w:rsidP="00D27FD9">
      <w:pPr>
        <w:jc w:val="both"/>
        <w:rPr>
          <w:rFonts w:ascii="Arial" w:hAnsi="Arial" w:cs="Arial"/>
          <w:b/>
          <w:sz w:val="20"/>
          <w:szCs w:val="20"/>
          <w:lang w:val="en-AU"/>
        </w:rPr>
      </w:pPr>
      <w:r w:rsidRPr="00A77832">
        <w:rPr>
          <w:rFonts w:ascii="Arial" w:hAnsi="Arial" w:cs="Arial"/>
          <w:sz w:val="20"/>
          <w:szCs w:val="20"/>
          <w:lang w:val="en-AU"/>
        </w:rPr>
        <w:t xml:space="preserve">Subsection 9(1) of the </w:t>
      </w:r>
      <w:r w:rsidRPr="00A77832">
        <w:rPr>
          <w:rFonts w:ascii="Arial" w:hAnsi="Arial" w:cs="Arial"/>
          <w:i/>
          <w:sz w:val="20"/>
          <w:szCs w:val="20"/>
          <w:lang w:val="en-AU"/>
        </w:rPr>
        <w:t>Human Rights (Parliamentary Scrutiny) Act 2011</w:t>
      </w:r>
      <w:r w:rsidRPr="00A77832">
        <w:rPr>
          <w:rFonts w:ascii="Arial" w:hAnsi="Arial" w:cs="Arial"/>
          <w:sz w:val="20"/>
          <w:szCs w:val="20"/>
          <w:lang w:val="en-AU"/>
        </w:rPr>
        <w:t xml:space="preserve"> requires the rule maker in relation to a legislative instrument to which section 42 (disallowance) of the LI Act applies to cause a statement of compatibility to be prepared in respect of that legislative instrument. The Advisory Guidelines are a legislative instrument to which section 42 applies.</w:t>
      </w:r>
    </w:p>
    <w:p w:rsidR="00D27FD9" w:rsidRPr="00A77832" w:rsidRDefault="00D27FD9" w:rsidP="00D27FD9">
      <w:pPr>
        <w:jc w:val="both"/>
        <w:rPr>
          <w:rFonts w:ascii="Arial" w:hAnsi="Arial" w:cs="Arial"/>
          <w:sz w:val="20"/>
          <w:szCs w:val="20"/>
        </w:rPr>
      </w:pPr>
    </w:p>
    <w:p w:rsidR="00D27FD9" w:rsidRPr="00A77832" w:rsidRDefault="00D27FD9" w:rsidP="00D27FD9">
      <w:pPr>
        <w:jc w:val="both"/>
        <w:rPr>
          <w:rFonts w:ascii="Arial" w:hAnsi="Arial" w:cs="Arial"/>
          <w:sz w:val="20"/>
          <w:szCs w:val="20"/>
        </w:rPr>
      </w:pPr>
      <w:r w:rsidRPr="00A77832">
        <w:rPr>
          <w:rFonts w:ascii="Arial" w:hAnsi="Arial" w:cs="Arial"/>
          <w:sz w:val="20"/>
          <w:szCs w:val="20"/>
        </w:rPr>
        <w:t xml:space="preserve">The ACMA is satisfied that the Advisory Guidelines are compatible with the human rights and freedoms recognised or declared in the international instruments listed in section 3 of the </w:t>
      </w:r>
      <w:r w:rsidRPr="00A77832">
        <w:rPr>
          <w:rFonts w:ascii="Arial" w:hAnsi="Arial" w:cs="Arial"/>
          <w:i/>
          <w:sz w:val="20"/>
          <w:szCs w:val="20"/>
        </w:rPr>
        <w:t xml:space="preserve">Human </w:t>
      </w:r>
      <w:r w:rsidRPr="00A77832">
        <w:rPr>
          <w:rFonts w:ascii="Arial" w:hAnsi="Arial" w:cs="Arial"/>
          <w:i/>
          <w:sz w:val="20"/>
          <w:szCs w:val="20"/>
        </w:rPr>
        <w:lastRenderedPageBreak/>
        <w:t>Rights (Parliamentary Scrutiny) Act 2011</w:t>
      </w:r>
      <w:r w:rsidRPr="00A77832">
        <w:rPr>
          <w:rFonts w:ascii="Arial" w:hAnsi="Arial" w:cs="Arial"/>
          <w:sz w:val="20"/>
          <w:szCs w:val="20"/>
        </w:rPr>
        <w:t xml:space="preserve">. The Advisory Guidelines do not have any human rights implications as they do not engage any of the applicable rights or freedoms. </w:t>
      </w:r>
    </w:p>
    <w:p w:rsidR="00126F40" w:rsidRDefault="00126F40" w:rsidP="00D27FD9">
      <w:pPr>
        <w:jc w:val="both"/>
        <w:rPr>
          <w:rFonts w:ascii="Arial" w:hAnsi="Arial" w:cs="Arial"/>
          <w:sz w:val="20"/>
          <w:szCs w:val="20"/>
        </w:rPr>
      </w:pPr>
    </w:p>
    <w:p w:rsidR="00D27FD9" w:rsidRPr="00A77832" w:rsidRDefault="00D27FD9" w:rsidP="00D27FD9">
      <w:pPr>
        <w:jc w:val="both"/>
        <w:rPr>
          <w:rFonts w:ascii="Arial" w:hAnsi="Arial" w:cs="Arial"/>
          <w:sz w:val="20"/>
          <w:szCs w:val="20"/>
        </w:rPr>
      </w:pPr>
      <w:r w:rsidRPr="00A77832">
        <w:rPr>
          <w:rFonts w:ascii="Arial" w:hAnsi="Arial" w:cs="Arial"/>
          <w:sz w:val="20"/>
          <w:szCs w:val="20"/>
        </w:rPr>
        <w:t>The Advisory Guidelines are compatible with human rights as they do not raise any human rights issues.</w:t>
      </w:r>
    </w:p>
    <w:p w:rsidR="00B2143B" w:rsidRPr="00A77832" w:rsidRDefault="00B2143B">
      <w:pPr>
        <w:rPr>
          <w:rFonts w:ascii="Arial" w:hAnsi="Arial" w:cs="Arial"/>
          <w:sz w:val="20"/>
          <w:szCs w:val="20"/>
          <w:lang w:val="en-AU"/>
        </w:rPr>
      </w:pPr>
    </w:p>
    <w:p w:rsidR="006A50BD" w:rsidRPr="00A77832" w:rsidRDefault="006A50BD" w:rsidP="006A50BD">
      <w:pPr>
        <w:jc w:val="both"/>
        <w:rPr>
          <w:rFonts w:ascii="Arial" w:hAnsi="Arial" w:cs="Arial"/>
          <w:b/>
          <w:sz w:val="20"/>
          <w:szCs w:val="20"/>
          <w:lang w:val="en-AU"/>
        </w:rPr>
      </w:pPr>
      <w:r w:rsidRPr="00A77832">
        <w:rPr>
          <w:rFonts w:ascii="Arial" w:hAnsi="Arial" w:cs="Arial"/>
          <w:b/>
          <w:sz w:val="20"/>
          <w:szCs w:val="20"/>
          <w:lang w:val="en-AU"/>
        </w:rPr>
        <w:t>Detailed Description of the Instrument</w:t>
      </w:r>
    </w:p>
    <w:p w:rsidR="006A50BD" w:rsidRPr="00A77832" w:rsidRDefault="006A50BD" w:rsidP="006A50BD">
      <w:pPr>
        <w:spacing w:after="120"/>
        <w:jc w:val="both"/>
        <w:rPr>
          <w:rFonts w:ascii="Arial" w:hAnsi="Arial" w:cs="Arial"/>
          <w:sz w:val="20"/>
          <w:szCs w:val="20"/>
          <w:lang w:val="en-AU"/>
        </w:rPr>
      </w:pPr>
    </w:p>
    <w:p w:rsidR="006A50BD" w:rsidRPr="00A77832" w:rsidRDefault="006A50BD" w:rsidP="006A50BD">
      <w:pPr>
        <w:spacing w:after="120"/>
        <w:jc w:val="both"/>
        <w:rPr>
          <w:rFonts w:ascii="Arial" w:hAnsi="Arial" w:cs="Arial"/>
          <w:b/>
          <w:sz w:val="20"/>
          <w:szCs w:val="20"/>
          <w:lang w:val="en-AU"/>
        </w:rPr>
      </w:pPr>
      <w:r w:rsidRPr="00A77832">
        <w:rPr>
          <w:rFonts w:ascii="Arial" w:hAnsi="Arial" w:cs="Arial"/>
          <w:b/>
          <w:sz w:val="20"/>
          <w:szCs w:val="20"/>
          <w:lang w:val="en-AU"/>
        </w:rPr>
        <w:t>Section 1 – Name of Advisory Guidelines</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This section provides that the name of the Advisory Guidelines is the </w:t>
      </w:r>
      <w:r w:rsidRPr="00A77832">
        <w:rPr>
          <w:rFonts w:ascii="Arial" w:hAnsi="Arial" w:cs="Arial"/>
          <w:i/>
          <w:color w:val="000000"/>
          <w:sz w:val="20"/>
          <w:szCs w:val="20"/>
          <w:lang w:val="en-AU"/>
        </w:rPr>
        <w:t>Radiocommunications Advisory Guidelines (Managing Interference from Spectrum Licensed Transmitters – 2.3 GHz Band) 2013</w:t>
      </w:r>
      <w:r w:rsidRPr="00A77832">
        <w:rPr>
          <w:rFonts w:ascii="Arial" w:hAnsi="Arial" w:cs="Arial"/>
          <w:color w:val="000000"/>
          <w:sz w:val="20"/>
          <w:szCs w:val="20"/>
          <w:lang w:val="en-AU"/>
        </w:rPr>
        <w:t>.</w:t>
      </w:r>
    </w:p>
    <w:p w:rsidR="006A50BD" w:rsidRPr="00A77832" w:rsidRDefault="006A50BD" w:rsidP="006A50BD">
      <w:pPr>
        <w:jc w:val="both"/>
        <w:rPr>
          <w:rFonts w:ascii="Arial" w:hAnsi="Arial" w:cs="Arial"/>
          <w:b/>
          <w:sz w:val="20"/>
          <w:szCs w:val="20"/>
          <w:lang w:val="en-AU"/>
        </w:rPr>
      </w:pPr>
    </w:p>
    <w:p w:rsidR="006A50BD" w:rsidRPr="00A77832" w:rsidRDefault="006A50BD" w:rsidP="006A50BD">
      <w:pPr>
        <w:spacing w:after="120"/>
        <w:jc w:val="both"/>
        <w:rPr>
          <w:rFonts w:ascii="Arial" w:hAnsi="Arial" w:cs="Arial"/>
          <w:b/>
          <w:sz w:val="20"/>
          <w:szCs w:val="20"/>
          <w:lang w:val="en-AU"/>
        </w:rPr>
      </w:pPr>
      <w:r w:rsidRPr="00A77832">
        <w:rPr>
          <w:rFonts w:ascii="Arial" w:hAnsi="Arial" w:cs="Arial"/>
          <w:b/>
          <w:sz w:val="20"/>
          <w:szCs w:val="20"/>
          <w:lang w:val="en-AU"/>
        </w:rPr>
        <w:t>Section 2 – Commencement</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This section provides that the Advisory Guidelines commence on 25 July 2015.</w:t>
      </w:r>
    </w:p>
    <w:p w:rsidR="006A50BD" w:rsidRPr="00A77832" w:rsidRDefault="006A50BD" w:rsidP="006A50BD">
      <w:pPr>
        <w:jc w:val="both"/>
        <w:rPr>
          <w:rFonts w:ascii="Arial" w:hAnsi="Arial" w:cs="Arial"/>
          <w:sz w:val="20"/>
          <w:szCs w:val="20"/>
          <w:lang w:val="en-AU"/>
        </w:rPr>
      </w:pPr>
    </w:p>
    <w:p w:rsidR="006A50BD" w:rsidRPr="00A77832" w:rsidRDefault="006A50BD" w:rsidP="006A50BD">
      <w:pPr>
        <w:spacing w:after="120"/>
        <w:jc w:val="both"/>
        <w:rPr>
          <w:rFonts w:ascii="Arial" w:hAnsi="Arial" w:cs="Arial"/>
          <w:b/>
          <w:sz w:val="20"/>
          <w:szCs w:val="20"/>
          <w:lang w:val="en-AU"/>
        </w:rPr>
      </w:pPr>
      <w:r w:rsidRPr="00A77832">
        <w:rPr>
          <w:rFonts w:ascii="Arial" w:hAnsi="Arial" w:cs="Arial"/>
          <w:b/>
          <w:sz w:val="20"/>
          <w:szCs w:val="20"/>
          <w:lang w:val="en-AU"/>
        </w:rPr>
        <w:t>Section 3 – Revocation</w:t>
      </w:r>
    </w:p>
    <w:p w:rsidR="006A50BD" w:rsidRPr="00A77832" w:rsidRDefault="006A50BD" w:rsidP="006A50BD">
      <w:pPr>
        <w:jc w:val="both"/>
        <w:rPr>
          <w:rFonts w:ascii="Arial" w:hAnsi="Arial" w:cs="Arial"/>
          <w:sz w:val="20"/>
          <w:szCs w:val="20"/>
          <w:lang w:val="en-AU"/>
        </w:rPr>
      </w:pPr>
      <w:r w:rsidRPr="00A77832">
        <w:rPr>
          <w:rFonts w:ascii="Arial" w:hAnsi="Arial" w:cs="Arial"/>
          <w:sz w:val="20"/>
          <w:szCs w:val="20"/>
          <w:lang w:val="en-AU"/>
        </w:rPr>
        <w:t xml:space="preserve">This section revokes the </w:t>
      </w:r>
      <w:r w:rsidRPr="00A77832">
        <w:rPr>
          <w:rFonts w:ascii="Arial" w:hAnsi="Arial" w:cs="Arial"/>
          <w:i/>
          <w:sz w:val="20"/>
          <w:szCs w:val="20"/>
          <w:lang w:val="en-AU"/>
        </w:rPr>
        <w:t>Radiocommunications Advisory Guidelines (Managing Interference from Transmitters — 2.3 GHz Band) 2009</w:t>
      </w:r>
      <w:r w:rsidR="00F43D3D">
        <w:rPr>
          <w:rFonts w:ascii="Arial" w:hAnsi="Arial" w:cs="Arial"/>
          <w:sz w:val="20"/>
          <w:szCs w:val="20"/>
          <w:lang w:val="en-AU"/>
        </w:rPr>
        <w:t xml:space="preserve">, with effect from 25 July 2015. </w:t>
      </w:r>
    </w:p>
    <w:p w:rsidR="006A50BD" w:rsidRPr="00A77832" w:rsidRDefault="006A50BD" w:rsidP="006A50BD">
      <w:pPr>
        <w:ind w:left="570" w:hanging="570"/>
        <w:jc w:val="both"/>
        <w:rPr>
          <w:rFonts w:ascii="Arial" w:hAnsi="Arial" w:cs="Arial"/>
          <w:sz w:val="20"/>
          <w:szCs w:val="20"/>
          <w:lang w:val="en-AU"/>
        </w:rPr>
      </w:pPr>
    </w:p>
    <w:p w:rsidR="006A50BD" w:rsidRPr="00A77832" w:rsidRDefault="006A50BD" w:rsidP="006A50BD">
      <w:pPr>
        <w:keepNext/>
        <w:keepLines/>
        <w:spacing w:after="120"/>
        <w:jc w:val="both"/>
        <w:rPr>
          <w:rFonts w:ascii="Arial" w:hAnsi="Arial" w:cs="Arial"/>
          <w:b/>
          <w:i/>
          <w:sz w:val="20"/>
          <w:szCs w:val="20"/>
          <w:lang w:val="en-AU"/>
        </w:rPr>
      </w:pPr>
      <w:r w:rsidRPr="00A77832">
        <w:rPr>
          <w:rFonts w:ascii="Arial" w:hAnsi="Arial" w:cs="Arial"/>
          <w:b/>
          <w:sz w:val="20"/>
          <w:szCs w:val="20"/>
          <w:lang w:val="en-AU"/>
        </w:rPr>
        <w:t xml:space="preserve">Section 4 – Purpose </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This section states that the purpose of the Advisory Guidelines is to </w:t>
      </w:r>
      <w:r w:rsidRPr="00A77832">
        <w:rPr>
          <w:rFonts w:ascii="Arial" w:hAnsi="Arial" w:cs="Arial"/>
          <w:sz w:val="20"/>
          <w:szCs w:val="20"/>
          <w:lang w:val="en-AU"/>
        </w:rPr>
        <w:t>manage</w:t>
      </w:r>
      <w:r w:rsidRPr="00A77832">
        <w:rPr>
          <w:rFonts w:ascii="Arial" w:hAnsi="Arial" w:cs="Arial"/>
          <w:color w:val="000000"/>
          <w:sz w:val="20"/>
          <w:szCs w:val="20"/>
          <w:lang w:val="en-AU"/>
        </w:rPr>
        <w:t xml:space="preserve"> interference to radiocommunications receivers operating under another licence that is adjacent (in frequency or area) to a 2.3 GHz band spectrum licence. </w:t>
      </w:r>
      <w:r w:rsidRPr="00A77832">
        <w:rPr>
          <w:rFonts w:ascii="Arial" w:hAnsi="Arial" w:cs="Arial"/>
          <w:sz w:val="20"/>
          <w:szCs w:val="20"/>
        </w:rPr>
        <w:t>The</w:t>
      </w:r>
      <w:r w:rsidR="00437F03" w:rsidRPr="00A77832">
        <w:rPr>
          <w:rFonts w:ascii="Arial" w:hAnsi="Arial" w:cs="Arial"/>
          <w:sz w:val="20"/>
          <w:szCs w:val="20"/>
        </w:rPr>
        <w:t xml:space="preserve"> </w:t>
      </w:r>
      <w:r w:rsidRPr="00A77832">
        <w:rPr>
          <w:rFonts w:ascii="Arial" w:hAnsi="Arial" w:cs="Arial"/>
          <w:sz w:val="20"/>
          <w:szCs w:val="20"/>
        </w:rPr>
        <w:t>guidelines also provide guidance on managing interference across the geographical boundaries of 2.3 GHz spectrum licences.</w:t>
      </w:r>
      <w:r w:rsidR="00437F03" w:rsidRPr="00A77832">
        <w:rPr>
          <w:rFonts w:ascii="Arial" w:hAnsi="Arial" w:cs="Arial"/>
          <w:color w:val="000000"/>
          <w:sz w:val="20"/>
          <w:szCs w:val="20"/>
          <w:lang w:val="en-AU"/>
        </w:rPr>
        <w:t xml:space="preserve"> T</w:t>
      </w:r>
      <w:r w:rsidRPr="00A77832">
        <w:rPr>
          <w:rFonts w:ascii="Arial" w:hAnsi="Arial" w:cs="Arial"/>
          <w:color w:val="000000"/>
          <w:sz w:val="20"/>
          <w:szCs w:val="20"/>
          <w:lang w:val="en-AU"/>
        </w:rPr>
        <w:t>he Advisory Guidelines should be referred to in the planning of services in the 2.3 GHz band as well as in the settling of any interference dispute that may arise between spectrum licensees and any licensees in adjacent licence areas and bands.</w:t>
      </w:r>
    </w:p>
    <w:p w:rsidR="006A50BD" w:rsidRPr="00A77832" w:rsidRDefault="006A50BD" w:rsidP="006A50BD">
      <w:pPr>
        <w:jc w:val="both"/>
        <w:rPr>
          <w:rFonts w:ascii="Arial" w:hAnsi="Arial" w:cs="Arial"/>
          <w:color w:val="000000"/>
          <w:sz w:val="20"/>
          <w:szCs w:val="20"/>
          <w:lang w:val="en-AU"/>
        </w:rPr>
      </w:pPr>
    </w:p>
    <w:p w:rsidR="006A50BD" w:rsidRPr="00A77832" w:rsidRDefault="006A50BD" w:rsidP="006A50BD">
      <w:pPr>
        <w:keepNext/>
        <w:keepLines/>
        <w:spacing w:after="120"/>
        <w:jc w:val="both"/>
        <w:rPr>
          <w:rFonts w:ascii="Arial" w:hAnsi="Arial" w:cs="Arial"/>
          <w:b/>
          <w:i/>
          <w:sz w:val="20"/>
          <w:szCs w:val="20"/>
          <w:lang w:val="en-AU"/>
        </w:rPr>
      </w:pPr>
      <w:r w:rsidRPr="00A77832">
        <w:rPr>
          <w:rFonts w:ascii="Arial" w:hAnsi="Arial" w:cs="Arial"/>
          <w:b/>
          <w:sz w:val="20"/>
          <w:szCs w:val="20"/>
          <w:lang w:val="en-AU"/>
        </w:rPr>
        <w:t>Section 5 – Interpretation</w:t>
      </w:r>
    </w:p>
    <w:p w:rsidR="006A50BD" w:rsidRPr="00A77832" w:rsidRDefault="006A50BD" w:rsidP="006A50BD">
      <w:pPr>
        <w:keepNext/>
        <w:keepLines/>
        <w:jc w:val="both"/>
        <w:rPr>
          <w:rFonts w:ascii="Arial" w:hAnsi="Arial" w:cs="Arial"/>
          <w:sz w:val="20"/>
          <w:szCs w:val="20"/>
          <w:lang w:val="en-AU"/>
        </w:rPr>
      </w:pPr>
      <w:r w:rsidRPr="00A77832">
        <w:rPr>
          <w:rFonts w:ascii="Arial" w:hAnsi="Arial" w:cs="Arial"/>
          <w:sz w:val="20"/>
          <w:szCs w:val="20"/>
          <w:lang w:val="en-AU"/>
        </w:rPr>
        <w:t xml:space="preserve">This section defines terms used in the Advisory Guidelines. Unless the contrary </w:t>
      </w:r>
      <w:r w:rsidR="00F43D3D">
        <w:rPr>
          <w:rFonts w:ascii="Arial" w:hAnsi="Arial" w:cs="Arial"/>
          <w:sz w:val="20"/>
          <w:szCs w:val="20"/>
          <w:lang w:val="en-AU"/>
        </w:rPr>
        <w:t xml:space="preserve">intention </w:t>
      </w:r>
      <w:r w:rsidRPr="00A77832">
        <w:rPr>
          <w:rFonts w:ascii="Arial" w:hAnsi="Arial" w:cs="Arial"/>
          <w:sz w:val="20"/>
          <w:szCs w:val="20"/>
          <w:lang w:val="en-AU"/>
        </w:rPr>
        <w:t xml:space="preserve">appears, terms used </w:t>
      </w:r>
      <w:r w:rsidR="00437F03" w:rsidRPr="00A77832">
        <w:rPr>
          <w:rFonts w:ascii="Arial" w:hAnsi="Arial" w:cs="Arial"/>
          <w:sz w:val="20"/>
          <w:szCs w:val="20"/>
          <w:lang w:val="en-AU"/>
        </w:rPr>
        <w:t xml:space="preserve">in the guidelines that are defined in the </w:t>
      </w:r>
      <w:r w:rsidRPr="00A77832">
        <w:rPr>
          <w:rFonts w:ascii="Arial" w:hAnsi="Arial" w:cs="Arial"/>
          <w:i/>
          <w:sz w:val="20"/>
          <w:szCs w:val="20"/>
          <w:lang w:val="en-AU"/>
        </w:rPr>
        <w:t>Radiocommunications (Unacceptable Levels of Interference – 2.3 GHz Band) Determination 201</w:t>
      </w:r>
      <w:r w:rsidR="00437F03" w:rsidRPr="00A77832">
        <w:rPr>
          <w:rFonts w:ascii="Arial" w:hAnsi="Arial" w:cs="Arial"/>
          <w:i/>
          <w:sz w:val="20"/>
          <w:szCs w:val="20"/>
          <w:lang w:val="en-AU"/>
        </w:rPr>
        <w:t>3</w:t>
      </w:r>
      <w:r w:rsidR="00F43D3D">
        <w:rPr>
          <w:rFonts w:ascii="Arial" w:hAnsi="Arial" w:cs="Arial"/>
          <w:sz w:val="20"/>
          <w:szCs w:val="20"/>
          <w:lang w:val="en-AU"/>
        </w:rPr>
        <w:t xml:space="preserve"> </w:t>
      </w:r>
      <w:r w:rsidR="008A4FBE" w:rsidRPr="00A77832">
        <w:rPr>
          <w:rFonts w:ascii="Arial" w:hAnsi="Arial" w:cs="Arial"/>
          <w:sz w:val="20"/>
          <w:szCs w:val="20"/>
          <w:lang w:val="en-AU"/>
        </w:rPr>
        <w:t>(</w:t>
      </w:r>
      <w:r w:rsidR="008A4FBE" w:rsidRPr="00A77832">
        <w:rPr>
          <w:rFonts w:ascii="Arial" w:hAnsi="Arial" w:cs="Arial"/>
          <w:b/>
          <w:sz w:val="20"/>
          <w:szCs w:val="20"/>
          <w:lang w:val="en-AU"/>
        </w:rPr>
        <w:t>subsection 145(4) determination</w:t>
      </w:r>
      <w:r w:rsidR="008A4FBE" w:rsidRPr="00A77832">
        <w:rPr>
          <w:rFonts w:ascii="Arial" w:hAnsi="Arial" w:cs="Arial"/>
          <w:sz w:val="20"/>
          <w:szCs w:val="20"/>
          <w:lang w:val="en-AU"/>
        </w:rPr>
        <w:t>),</w:t>
      </w:r>
      <w:r w:rsidRPr="00A77832">
        <w:rPr>
          <w:rFonts w:ascii="Arial" w:hAnsi="Arial" w:cs="Arial"/>
          <w:sz w:val="20"/>
          <w:szCs w:val="20"/>
          <w:lang w:val="en-AU"/>
        </w:rPr>
        <w:t xml:space="preserve"> the </w:t>
      </w:r>
      <w:r w:rsidRPr="00A77832">
        <w:rPr>
          <w:rFonts w:ascii="Arial" w:hAnsi="Arial" w:cs="Arial"/>
          <w:i/>
          <w:sz w:val="20"/>
          <w:szCs w:val="20"/>
        </w:rPr>
        <w:t xml:space="preserve">Radiocommunications (Interpretation) Determination 2000 </w:t>
      </w:r>
      <w:r w:rsidR="00437F03" w:rsidRPr="00A77832">
        <w:rPr>
          <w:rFonts w:ascii="Arial" w:hAnsi="Arial" w:cs="Arial"/>
          <w:sz w:val="20"/>
          <w:szCs w:val="20"/>
          <w:lang w:val="en-AU"/>
        </w:rPr>
        <w:t>or</w:t>
      </w:r>
      <w:r w:rsidRPr="00A77832">
        <w:rPr>
          <w:rFonts w:ascii="Arial" w:hAnsi="Arial" w:cs="Arial"/>
          <w:sz w:val="20"/>
          <w:szCs w:val="20"/>
          <w:lang w:val="en-AU"/>
        </w:rPr>
        <w:t xml:space="preserve"> the Act</w:t>
      </w:r>
      <w:r w:rsidR="00437F03" w:rsidRPr="00A77832">
        <w:rPr>
          <w:rFonts w:ascii="Arial" w:hAnsi="Arial" w:cs="Arial"/>
          <w:sz w:val="20"/>
          <w:szCs w:val="20"/>
          <w:lang w:val="en-AU"/>
        </w:rPr>
        <w:t xml:space="preserve"> have the same meaning as in those instruments</w:t>
      </w:r>
      <w:r w:rsidR="00F43D3D">
        <w:rPr>
          <w:rFonts w:ascii="Arial" w:hAnsi="Arial" w:cs="Arial"/>
          <w:sz w:val="20"/>
          <w:szCs w:val="20"/>
          <w:lang w:val="en-AU"/>
        </w:rPr>
        <w:t>.</w:t>
      </w:r>
      <w:r w:rsidRPr="00A77832">
        <w:rPr>
          <w:rFonts w:ascii="Arial" w:hAnsi="Arial" w:cs="Arial"/>
          <w:sz w:val="20"/>
          <w:szCs w:val="20"/>
          <w:lang w:val="en-AU"/>
        </w:rPr>
        <w:t xml:space="preserve"> </w:t>
      </w:r>
    </w:p>
    <w:p w:rsidR="006A50BD" w:rsidRPr="00A77832" w:rsidRDefault="006A50BD" w:rsidP="006A50BD">
      <w:pPr>
        <w:jc w:val="both"/>
        <w:rPr>
          <w:rFonts w:ascii="Arial" w:hAnsi="Arial" w:cs="Arial"/>
          <w:sz w:val="20"/>
          <w:szCs w:val="20"/>
          <w:lang w:val="en-AU"/>
        </w:rPr>
      </w:pPr>
    </w:p>
    <w:p w:rsidR="006A50BD" w:rsidRPr="00A77832" w:rsidRDefault="006A50BD" w:rsidP="006A50BD">
      <w:pPr>
        <w:keepNext/>
        <w:keepLines/>
        <w:spacing w:after="120"/>
        <w:ind w:left="570" w:hanging="570"/>
        <w:jc w:val="both"/>
        <w:rPr>
          <w:rFonts w:ascii="Arial" w:hAnsi="Arial" w:cs="Arial"/>
          <w:b/>
          <w:sz w:val="20"/>
          <w:szCs w:val="20"/>
          <w:lang w:val="en-AU"/>
        </w:rPr>
      </w:pPr>
      <w:r w:rsidRPr="00A77832">
        <w:rPr>
          <w:rFonts w:ascii="Arial" w:hAnsi="Arial" w:cs="Arial"/>
          <w:b/>
          <w:sz w:val="20"/>
          <w:szCs w:val="20"/>
          <w:lang w:val="en-AU"/>
        </w:rPr>
        <w:t>Part 1 - Background</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This Part provides background information about the 2.3 GHz spectrum licence band. A radiocommunications transmitter operating under a spectrum licence may cause interference by way of unwanted emissions and blocking. Part 1 </w:t>
      </w:r>
      <w:r w:rsidR="00906633" w:rsidRPr="00A77832">
        <w:rPr>
          <w:rFonts w:ascii="Arial" w:hAnsi="Arial" w:cs="Arial"/>
          <w:color w:val="000000"/>
          <w:sz w:val="20"/>
          <w:szCs w:val="20"/>
          <w:lang w:val="en-AU"/>
        </w:rPr>
        <w:t xml:space="preserve">outlines what Parts 2-8 of </w:t>
      </w:r>
      <w:r w:rsidRPr="00A77832">
        <w:rPr>
          <w:rFonts w:ascii="Arial" w:hAnsi="Arial" w:cs="Arial"/>
          <w:color w:val="000000"/>
          <w:sz w:val="20"/>
          <w:szCs w:val="20"/>
          <w:lang w:val="en-AU"/>
        </w:rPr>
        <w:t>the Advisory Guidelines address</w:t>
      </w:r>
      <w:r w:rsidR="002E309A" w:rsidRPr="00A77832">
        <w:rPr>
          <w:rFonts w:ascii="Arial" w:hAnsi="Arial" w:cs="Arial"/>
          <w:color w:val="000000"/>
          <w:sz w:val="20"/>
          <w:szCs w:val="20"/>
          <w:lang w:val="en-AU"/>
        </w:rPr>
        <w:t xml:space="preserve">. </w:t>
      </w:r>
      <w:r w:rsidRPr="00A77832">
        <w:rPr>
          <w:rFonts w:ascii="Arial" w:hAnsi="Arial" w:cs="Arial"/>
          <w:color w:val="000000"/>
          <w:sz w:val="20"/>
          <w:szCs w:val="20"/>
          <w:lang w:val="en-AU"/>
        </w:rPr>
        <w:t>Part 1 also refers to ITU-R Recommendation P.1144 “</w:t>
      </w:r>
      <w:r w:rsidRPr="00A77832">
        <w:rPr>
          <w:rFonts w:ascii="Arial" w:hAnsi="Arial" w:cs="Arial"/>
          <w:i/>
          <w:color w:val="000000"/>
          <w:sz w:val="20"/>
          <w:szCs w:val="20"/>
          <w:lang w:val="en-AU"/>
        </w:rPr>
        <w:t>Guide to the application of the propagation methods of Radiocommunications Study Group 3</w:t>
      </w:r>
      <w:r w:rsidRPr="00A77832">
        <w:rPr>
          <w:rFonts w:ascii="Arial" w:hAnsi="Arial" w:cs="Arial"/>
          <w:color w:val="000000"/>
          <w:sz w:val="20"/>
          <w:szCs w:val="20"/>
          <w:lang w:val="en-AU"/>
        </w:rPr>
        <w:t xml:space="preserve">”. This recommendation provides a guide on the application of various propagation methods developed internationally by the ITU-R. It is recommended that consideration be given to this </w:t>
      </w:r>
      <w:r w:rsidR="008E06DA" w:rsidRPr="00A77832">
        <w:rPr>
          <w:rFonts w:ascii="Arial" w:hAnsi="Arial" w:cs="Arial"/>
          <w:color w:val="000000"/>
          <w:sz w:val="20"/>
          <w:szCs w:val="20"/>
          <w:lang w:val="en-AU"/>
        </w:rPr>
        <w:t>ITU-R R</w:t>
      </w:r>
      <w:r w:rsidRPr="00A77832">
        <w:rPr>
          <w:rFonts w:ascii="Arial" w:hAnsi="Arial" w:cs="Arial"/>
          <w:color w:val="000000"/>
          <w:sz w:val="20"/>
          <w:szCs w:val="20"/>
          <w:lang w:val="en-AU"/>
        </w:rPr>
        <w:t>ecommendation when choosing a propagation model to assess interference.</w:t>
      </w:r>
    </w:p>
    <w:p w:rsidR="006A50BD" w:rsidRPr="00A77832" w:rsidRDefault="006A50BD" w:rsidP="006A50BD">
      <w:pPr>
        <w:jc w:val="both"/>
        <w:rPr>
          <w:rFonts w:ascii="Arial" w:hAnsi="Arial" w:cs="Arial"/>
          <w:color w:val="000000"/>
          <w:sz w:val="20"/>
          <w:szCs w:val="20"/>
          <w:lang w:val="en-AU"/>
        </w:rPr>
      </w:pP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Part 2 – Point-to-point fixed service receivers</w:t>
      </w:r>
    </w:p>
    <w:p w:rsidR="006A50BD" w:rsidRPr="00A77832" w:rsidRDefault="006A50BD" w:rsidP="006A50BD">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2.1 – Background</w:t>
      </w:r>
      <w:r w:rsidR="0029582B" w:rsidRPr="00A77832">
        <w:rPr>
          <w:rFonts w:ascii="Arial" w:hAnsi="Arial" w:cs="Arial"/>
          <w:b/>
          <w:color w:val="000000"/>
          <w:sz w:val="20"/>
          <w:szCs w:val="20"/>
          <w:lang w:val="en-AU"/>
        </w:rPr>
        <w:t xml:space="preserve"> and Section 2.2 – Protection requirements</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Section 2.1 provides background information on point-to-point fixed service receivers operating in bands adjacent to the 2.3 GHz band.  A reference to RALI FX 3 is made for guidance on channel arrangements and frequency assignment criteria for point-to-point fixed services. Since RALI FX 3 is under constant review</w:t>
      </w:r>
      <w:r w:rsidR="00F43D3D">
        <w:rPr>
          <w:rFonts w:ascii="Arial" w:hAnsi="Arial" w:cs="Arial"/>
          <w:color w:val="000000"/>
          <w:sz w:val="20"/>
          <w:szCs w:val="20"/>
          <w:lang w:val="en-AU"/>
        </w:rPr>
        <w:t>,</w:t>
      </w:r>
      <w:r w:rsidRPr="00A77832">
        <w:rPr>
          <w:rFonts w:ascii="Arial" w:hAnsi="Arial" w:cs="Arial"/>
          <w:color w:val="000000"/>
          <w:sz w:val="20"/>
          <w:szCs w:val="20"/>
          <w:lang w:val="en-AU"/>
        </w:rPr>
        <w:t xml:space="preserve"> licensees are advised to consult the most current version when planning systems and managing interference. </w:t>
      </w:r>
    </w:p>
    <w:p w:rsidR="006A50BD" w:rsidRPr="00A77832" w:rsidRDefault="006A50BD" w:rsidP="006A50BD">
      <w:pPr>
        <w:jc w:val="both"/>
        <w:rPr>
          <w:rFonts w:ascii="Arial" w:hAnsi="Arial" w:cs="Arial"/>
          <w:color w:val="000000"/>
          <w:sz w:val="20"/>
          <w:szCs w:val="20"/>
          <w:lang w:val="en-AU"/>
        </w:rPr>
      </w:pP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Section 2.2 </w:t>
      </w:r>
      <w:r w:rsidR="000760FB" w:rsidRPr="00A77832">
        <w:rPr>
          <w:rFonts w:ascii="Arial" w:hAnsi="Arial" w:cs="Arial"/>
          <w:color w:val="000000"/>
          <w:sz w:val="20"/>
          <w:szCs w:val="20"/>
          <w:lang w:val="en-AU"/>
        </w:rPr>
        <w:t xml:space="preserve">provides </w:t>
      </w:r>
      <w:r w:rsidRPr="00A77832">
        <w:rPr>
          <w:rFonts w:ascii="Arial" w:hAnsi="Arial" w:cs="Arial"/>
          <w:color w:val="000000"/>
          <w:sz w:val="20"/>
          <w:szCs w:val="20"/>
          <w:lang w:val="en-AU"/>
        </w:rPr>
        <w:t xml:space="preserve">that </w:t>
      </w:r>
      <w:r w:rsidR="000760FB" w:rsidRPr="00A77832">
        <w:rPr>
          <w:rFonts w:ascii="Arial" w:hAnsi="Arial" w:cs="Arial"/>
          <w:color w:val="000000"/>
          <w:sz w:val="20"/>
          <w:szCs w:val="20"/>
          <w:lang w:val="en-AU"/>
        </w:rPr>
        <w:t xml:space="preserve">point-to-point </w:t>
      </w:r>
      <w:r w:rsidRPr="00A77832">
        <w:rPr>
          <w:rFonts w:ascii="Arial" w:hAnsi="Arial" w:cs="Arial"/>
          <w:color w:val="000000"/>
          <w:sz w:val="20"/>
          <w:szCs w:val="20"/>
          <w:lang w:val="en-AU"/>
        </w:rPr>
        <w:t xml:space="preserve">fixed services are to be provided protection on a first-in-time coordinated basis. This means fixed service receivers that are registered in the </w:t>
      </w:r>
      <w:r w:rsidR="000760FB" w:rsidRPr="00A77832">
        <w:rPr>
          <w:rFonts w:ascii="Arial" w:hAnsi="Arial" w:cs="Arial"/>
          <w:color w:val="000000"/>
          <w:sz w:val="20"/>
          <w:szCs w:val="20"/>
          <w:lang w:val="en-AU"/>
        </w:rPr>
        <w:t>register of radiocommunications licences (</w:t>
      </w:r>
      <w:r w:rsidR="000760FB" w:rsidRPr="00F43D3D">
        <w:rPr>
          <w:rFonts w:ascii="Arial" w:hAnsi="Arial" w:cs="Arial"/>
          <w:b/>
          <w:color w:val="000000"/>
          <w:sz w:val="20"/>
          <w:szCs w:val="20"/>
          <w:lang w:val="en-AU"/>
        </w:rPr>
        <w:t xml:space="preserve">the </w:t>
      </w:r>
      <w:r w:rsidRPr="00F43D3D">
        <w:rPr>
          <w:rFonts w:ascii="Arial" w:hAnsi="Arial" w:cs="Arial"/>
          <w:b/>
          <w:color w:val="000000"/>
          <w:sz w:val="20"/>
          <w:szCs w:val="20"/>
          <w:lang w:val="en-AU"/>
        </w:rPr>
        <w:t>Register</w:t>
      </w:r>
      <w:r w:rsidR="000760FB" w:rsidRPr="00A77832">
        <w:rPr>
          <w:rFonts w:ascii="Arial" w:hAnsi="Arial" w:cs="Arial"/>
          <w:color w:val="000000"/>
          <w:sz w:val="20"/>
          <w:szCs w:val="20"/>
          <w:lang w:val="en-AU"/>
        </w:rPr>
        <w:t>) established under section 143 of the Act,</w:t>
      </w:r>
      <w:r w:rsidRPr="00A77832">
        <w:rPr>
          <w:rFonts w:ascii="Arial" w:hAnsi="Arial" w:cs="Arial"/>
          <w:color w:val="000000"/>
          <w:sz w:val="20"/>
          <w:szCs w:val="20"/>
          <w:lang w:val="en-AU"/>
        </w:rPr>
        <w:t xml:space="preserve"> before a </w:t>
      </w:r>
      <w:r w:rsidRPr="00A77832">
        <w:rPr>
          <w:rFonts w:ascii="Arial" w:hAnsi="Arial" w:cs="Arial"/>
          <w:color w:val="000000"/>
          <w:sz w:val="20"/>
          <w:szCs w:val="20"/>
          <w:lang w:val="en-AU"/>
        </w:rPr>
        <w:lastRenderedPageBreak/>
        <w:t>radiocommunications transmitter operated under a 2.3 GHz band spectrum licence</w:t>
      </w:r>
      <w:r w:rsidR="000760FB" w:rsidRPr="00A77832">
        <w:rPr>
          <w:rFonts w:ascii="Arial" w:hAnsi="Arial" w:cs="Arial"/>
          <w:color w:val="000000"/>
          <w:sz w:val="20"/>
          <w:szCs w:val="20"/>
          <w:lang w:val="en-AU"/>
        </w:rPr>
        <w:t>,</w:t>
      </w:r>
      <w:r w:rsidRPr="00A77832">
        <w:rPr>
          <w:rFonts w:ascii="Arial" w:hAnsi="Arial" w:cs="Arial"/>
          <w:color w:val="000000"/>
          <w:sz w:val="20"/>
          <w:szCs w:val="20"/>
          <w:lang w:val="en-AU"/>
        </w:rPr>
        <w:t xml:space="preserve"> are afforded the protection </w:t>
      </w:r>
      <w:r w:rsidR="000760FB" w:rsidRPr="00A77832">
        <w:rPr>
          <w:rFonts w:ascii="Arial" w:hAnsi="Arial" w:cs="Arial"/>
          <w:color w:val="000000"/>
          <w:sz w:val="20"/>
          <w:szCs w:val="20"/>
          <w:lang w:val="en-AU"/>
        </w:rPr>
        <w:t xml:space="preserve">specified </w:t>
      </w:r>
      <w:r w:rsidRPr="00A77832">
        <w:rPr>
          <w:rFonts w:ascii="Arial" w:hAnsi="Arial" w:cs="Arial"/>
          <w:color w:val="000000"/>
          <w:sz w:val="20"/>
          <w:szCs w:val="20"/>
          <w:lang w:val="en-AU"/>
        </w:rPr>
        <w:t>in RALI FX</w:t>
      </w:r>
      <w:r w:rsidR="00F43D3D">
        <w:rPr>
          <w:rFonts w:ascii="Arial" w:hAnsi="Arial" w:cs="Arial"/>
          <w:color w:val="000000"/>
          <w:sz w:val="20"/>
          <w:szCs w:val="20"/>
          <w:lang w:val="en-AU"/>
        </w:rPr>
        <w:t xml:space="preserve"> </w:t>
      </w:r>
      <w:r w:rsidRPr="00A77832">
        <w:rPr>
          <w:rFonts w:ascii="Arial" w:hAnsi="Arial" w:cs="Arial"/>
          <w:color w:val="000000"/>
          <w:sz w:val="20"/>
          <w:szCs w:val="20"/>
          <w:lang w:val="en-AU"/>
        </w:rPr>
        <w:t xml:space="preserve">3.  </w:t>
      </w:r>
    </w:p>
    <w:p w:rsidR="006A50BD" w:rsidRPr="00A77832" w:rsidRDefault="006A50BD" w:rsidP="006A50BD">
      <w:pPr>
        <w:jc w:val="both"/>
        <w:rPr>
          <w:rFonts w:ascii="Arial" w:hAnsi="Arial" w:cs="Arial"/>
          <w:b/>
          <w:color w:val="000000"/>
          <w:sz w:val="20"/>
          <w:szCs w:val="20"/>
          <w:lang w:val="en-AU"/>
        </w:rPr>
      </w:pP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Part 3 – Space research, space operations and earth exploration-satellite service receivers</w:t>
      </w:r>
    </w:p>
    <w:p w:rsidR="006A50BD" w:rsidRPr="00A77832" w:rsidRDefault="006A50BD" w:rsidP="006A50BD">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3.1 - Background</w:t>
      </w:r>
      <w:r w:rsidR="0029582B" w:rsidRPr="00A77832">
        <w:rPr>
          <w:rFonts w:ascii="Arial" w:hAnsi="Arial" w:cs="Arial"/>
          <w:b/>
          <w:color w:val="000000"/>
          <w:sz w:val="20"/>
          <w:szCs w:val="20"/>
          <w:lang w:val="en-AU"/>
        </w:rPr>
        <w:t xml:space="preserve"> and Section 3.2 – Protection requirements</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Section 3.1 outlines the use of the 2200-2300 MHz band by space research, space operations and earth exploration-satellite services. It states that it is a condition of a 2.3 GHz band </w:t>
      </w:r>
      <w:r w:rsidR="00B228A8" w:rsidRPr="00A77832">
        <w:rPr>
          <w:rFonts w:ascii="Arial" w:hAnsi="Arial" w:cs="Arial"/>
          <w:color w:val="000000"/>
          <w:sz w:val="20"/>
          <w:szCs w:val="20"/>
          <w:lang w:val="en-AU"/>
        </w:rPr>
        <w:t>s</w:t>
      </w:r>
      <w:r w:rsidRPr="00A77832">
        <w:rPr>
          <w:rFonts w:ascii="Arial" w:hAnsi="Arial" w:cs="Arial"/>
          <w:color w:val="000000"/>
          <w:sz w:val="20"/>
          <w:szCs w:val="20"/>
          <w:lang w:val="en-AU"/>
        </w:rPr>
        <w:t xml:space="preserve">pectrum licence that earth stations operating under these services </w:t>
      </w:r>
      <w:r w:rsidR="001B53D9" w:rsidRPr="00A77832">
        <w:rPr>
          <w:rFonts w:ascii="Arial" w:hAnsi="Arial" w:cs="Arial"/>
          <w:color w:val="000000"/>
          <w:sz w:val="20"/>
          <w:szCs w:val="20"/>
          <w:lang w:val="en-AU"/>
        </w:rPr>
        <w:t>are</w:t>
      </w:r>
      <w:r w:rsidRPr="00A77832">
        <w:rPr>
          <w:rFonts w:ascii="Arial" w:hAnsi="Arial" w:cs="Arial"/>
          <w:color w:val="000000"/>
          <w:sz w:val="20"/>
          <w:szCs w:val="20"/>
          <w:lang w:val="en-AU"/>
        </w:rPr>
        <w:t xml:space="preserve"> provided with the in-band protection defined in Recommendation ITU-R SF.1006. Details of the relevant earth stations to protect are contained on the Register.</w:t>
      </w:r>
    </w:p>
    <w:p w:rsidR="008E06DA" w:rsidRPr="00A77832" w:rsidRDefault="006A50BD" w:rsidP="008E06DA">
      <w:pPr>
        <w:pStyle w:val="R1"/>
        <w:tabs>
          <w:tab w:val="clear" w:pos="794"/>
        </w:tabs>
        <w:ind w:left="0" w:firstLine="0"/>
        <w:rPr>
          <w:rFonts w:ascii="Arial" w:hAnsi="Arial" w:cs="Arial"/>
          <w:sz w:val="20"/>
          <w:szCs w:val="20"/>
        </w:rPr>
      </w:pPr>
      <w:r w:rsidRPr="00A77832">
        <w:rPr>
          <w:rFonts w:ascii="Arial" w:hAnsi="Arial" w:cs="Arial"/>
          <w:color w:val="000000"/>
          <w:sz w:val="20"/>
          <w:szCs w:val="20"/>
        </w:rPr>
        <w:t>Section 3.2 explains that the protection requirements for Earth station radiocommunications receivers operating in the space research service</w:t>
      </w:r>
      <w:r w:rsidR="003C14ED" w:rsidRPr="00A77832">
        <w:rPr>
          <w:rFonts w:ascii="Arial" w:hAnsi="Arial" w:cs="Arial"/>
          <w:color w:val="000000"/>
          <w:sz w:val="20"/>
          <w:szCs w:val="20"/>
        </w:rPr>
        <w:t xml:space="preserve"> (</w:t>
      </w:r>
      <w:r w:rsidR="008E06DA" w:rsidRPr="00A77832">
        <w:rPr>
          <w:rFonts w:ascii="Arial" w:hAnsi="Arial" w:cs="Arial"/>
          <w:color w:val="000000"/>
          <w:sz w:val="20"/>
          <w:szCs w:val="20"/>
        </w:rPr>
        <w:t xml:space="preserve">deep space, space-to-space) in the band 2290-2300 MHz are defined in RALI MS 37. </w:t>
      </w:r>
      <w:r w:rsidR="00466E15" w:rsidRPr="00A77832">
        <w:rPr>
          <w:rFonts w:ascii="Arial" w:hAnsi="Arial" w:cs="Arial"/>
          <w:color w:val="000000"/>
          <w:sz w:val="20"/>
          <w:szCs w:val="20"/>
        </w:rPr>
        <w:t>RALI MS 37 includes in-band protection requirements in accordance with Annex 7 to Appendix 7 of the Radio Regulations (</w:t>
      </w:r>
      <w:r w:rsidR="008E06DA" w:rsidRPr="00A77832">
        <w:rPr>
          <w:rFonts w:ascii="Arial" w:hAnsi="Arial" w:cs="Arial"/>
          <w:color w:val="000000"/>
          <w:sz w:val="20"/>
          <w:szCs w:val="20"/>
        </w:rPr>
        <w:t>see subsection</w:t>
      </w:r>
      <w:r w:rsidR="00466E15" w:rsidRPr="00A77832">
        <w:rPr>
          <w:rFonts w:ascii="Arial" w:hAnsi="Arial" w:cs="Arial"/>
          <w:color w:val="000000"/>
          <w:sz w:val="20"/>
          <w:szCs w:val="20"/>
        </w:rPr>
        <w:t xml:space="preserve"> 3.2(1)), as well as out-of-band protection requirements which provide protection from blocking to these receivers. </w:t>
      </w:r>
      <w:r w:rsidR="008E06DA" w:rsidRPr="00A77832">
        <w:rPr>
          <w:rFonts w:ascii="Arial" w:hAnsi="Arial" w:cs="Arial"/>
          <w:sz w:val="20"/>
          <w:szCs w:val="20"/>
        </w:rPr>
        <w:t xml:space="preserve">It is a condition of </w:t>
      </w:r>
      <w:r w:rsidR="00F43D3D">
        <w:rPr>
          <w:rFonts w:ascii="Arial" w:hAnsi="Arial" w:cs="Arial"/>
          <w:sz w:val="20"/>
          <w:szCs w:val="20"/>
        </w:rPr>
        <w:t>a</w:t>
      </w:r>
      <w:r w:rsidR="00F43D3D" w:rsidRPr="00A77832">
        <w:rPr>
          <w:rFonts w:ascii="Arial" w:hAnsi="Arial" w:cs="Arial"/>
          <w:sz w:val="20"/>
          <w:szCs w:val="20"/>
        </w:rPr>
        <w:t xml:space="preserve"> </w:t>
      </w:r>
      <w:r w:rsidR="008E06DA" w:rsidRPr="00A77832">
        <w:rPr>
          <w:rFonts w:ascii="Arial" w:hAnsi="Arial" w:cs="Arial"/>
          <w:sz w:val="20"/>
          <w:szCs w:val="20"/>
        </w:rPr>
        <w:t>2.3 GHz spectrum licence that the licensee must comply with the requirements specified in RALI MS 37 relating to the protection to be afforded to deep space Earth station receivers if the receiver:</w:t>
      </w:r>
    </w:p>
    <w:p w:rsidR="008E06DA" w:rsidRPr="00A77832" w:rsidRDefault="008E06DA" w:rsidP="008E06DA">
      <w:pPr>
        <w:pStyle w:val="R1"/>
        <w:tabs>
          <w:tab w:val="clear" w:pos="794"/>
        </w:tabs>
        <w:ind w:left="426" w:firstLine="0"/>
        <w:rPr>
          <w:rFonts w:ascii="Arial" w:hAnsi="Arial" w:cs="Arial"/>
          <w:sz w:val="20"/>
          <w:szCs w:val="20"/>
        </w:rPr>
      </w:pPr>
      <w:r w:rsidRPr="00A77832">
        <w:rPr>
          <w:rFonts w:ascii="Arial" w:hAnsi="Arial" w:cs="Arial"/>
          <w:sz w:val="20"/>
          <w:szCs w:val="20"/>
        </w:rPr>
        <w:t>(a)</w:t>
      </w:r>
      <w:r w:rsidRPr="00A77832">
        <w:rPr>
          <w:rFonts w:ascii="Arial" w:hAnsi="Arial" w:cs="Arial"/>
          <w:sz w:val="20"/>
          <w:szCs w:val="20"/>
        </w:rPr>
        <w:tab/>
      </w:r>
      <w:r w:rsidRPr="00A77832">
        <w:rPr>
          <w:rFonts w:ascii="Arial" w:hAnsi="Arial" w:cs="Arial"/>
          <w:sz w:val="20"/>
          <w:szCs w:val="20"/>
          <w:lang w:eastAsia="en-US"/>
        </w:rPr>
        <w:t>is licensed under the Act; and</w:t>
      </w:r>
    </w:p>
    <w:p w:rsidR="008E06DA" w:rsidRPr="00A77832" w:rsidRDefault="008E06DA" w:rsidP="00126F40">
      <w:pPr>
        <w:pStyle w:val="R1"/>
        <w:tabs>
          <w:tab w:val="clear" w:pos="794"/>
        </w:tabs>
        <w:ind w:left="1134" w:hanging="708"/>
        <w:rPr>
          <w:rFonts w:ascii="Arial" w:hAnsi="Arial" w:cs="Arial"/>
          <w:sz w:val="20"/>
          <w:szCs w:val="20"/>
          <w:lang w:eastAsia="en-US"/>
        </w:rPr>
      </w:pPr>
      <w:r w:rsidRPr="00A77832">
        <w:rPr>
          <w:rFonts w:ascii="Arial" w:hAnsi="Arial" w:cs="Arial"/>
          <w:sz w:val="20"/>
          <w:szCs w:val="20"/>
        </w:rPr>
        <w:t>(b)</w:t>
      </w:r>
      <w:r w:rsidRPr="00A77832">
        <w:rPr>
          <w:rFonts w:ascii="Arial" w:hAnsi="Arial" w:cs="Arial"/>
          <w:sz w:val="20"/>
          <w:szCs w:val="20"/>
        </w:rPr>
        <w:tab/>
      </w:r>
      <w:r w:rsidRPr="00A77832">
        <w:rPr>
          <w:rFonts w:ascii="Arial" w:hAnsi="Arial" w:cs="Arial"/>
          <w:sz w:val="20"/>
          <w:szCs w:val="20"/>
          <w:lang w:eastAsia="en-US"/>
        </w:rPr>
        <w:t xml:space="preserve">was registered in the Register prior to the date on which the </w:t>
      </w:r>
      <w:r w:rsidR="00126F40">
        <w:rPr>
          <w:rFonts w:ascii="Arial" w:hAnsi="Arial" w:cs="Arial"/>
          <w:sz w:val="20"/>
          <w:szCs w:val="20"/>
          <w:lang w:eastAsia="en-US"/>
        </w:rPr>
        <w:t xml:space="preserve">radiocommunications transmitter </w:t>
      </w:r>
      <w:r w:rsidRPr="00A77832">
        <w:rPr>
          <w:rFonts w:ascii="Arial" w:hAnsi="Arial" w:cs="Arial"/>
          <w:sz w:val="20"/>
          <w:szCs w:val="20"/>
          <w:lang w:eastAsia="en-US"/>
        </w:rPr>
        <w:t>operated under a 2.3 GHz spectrum licence is registered.</w:t>
      </w:r>
    </w:p>
    <w:p w:rsidR="008E06DA" w:rsidRPr="00A77832" w:rsidRDefault="008E06DA" w:rsidP="008E06DA"/>
    <w:p w:rsidR="009E4AA4" w:rsidRPr="00A77832" w:rsidRDefault="008E06DA" w:rsidP="003C14ED">
      <w:pPr>
        <w:jc w:val="both"/>
        <w:rPr>
          <w:rFonts w:ascii="Arial" w:hAnsi="Arial" w:cs="Arial"/>
          <w:color w:val="000000"/>
          <w:sz w:val="20"/>
          <w:szCs w:val="20"/>
          <w:lang w:val="en-AU"/>
        </w:rPr>
      </w:pPr>
      <w:r w:rsidRPr="00A77832">
        <w:rPr>
          <w:rFonts w:ascii="Arial" w:hAnsi="Arial" w:cs="Arial"/>
          <w:sz w:val="20"/>
          <w:szCs w:val="20"/>
        </w:rPr>
        <w:t>Further, the protection and coordination requirements of RALI MS 37 apply to radiocommunications transmitters operated under spectrum licences in the 2.3 GHz band if their transmission parameters are modified after the date on which an Earth station receiver was registered in the Register.</w:t>
      </w:r>
      <w:r w:rsidR="00AB0087" w:rsidRPr="00A77832">
        <w:rPr>
          <w:rFonts w:ascii="Arial" w:hAnsi="Arial" w:cs="Arial"/>
          <w:color w:val="000000"/>
          <w:sz w:val="20"/>
          <w:szCs w:val="20"/>
          <w:lang w:val="en-AU"/>
        </w:rPr>
        <w:t xml:space="preserve"> </w:t>
      </w:r>
      <w:r w:rsidR="009E4AA4" w:rsidRPr="00A77832">
        <w:rPr>
          <w:rFonts w:ascii="Arial" w:hAnsi="Arial" w:cs="Arial"/>
          <w:color w:val="000000"/>
          <w:sz w:val="20"/>
          <w:szCs w:val="20"/>
          <w:lang w:val="en-AU"/>
        </w:rPr>
        <w:t xml:space="preserve"> </w:t>
      </w:r>
    </w:p>
    <w:p w:rsidR="009E4AA4" w:rsidRPr="00A77832" w:rsidRDefault="009E4AA4" w:rsidP="003C14ED">
      <w:pPr>
        <w:jc w:val="both"/>
        <w:rPr>
          <w:rFonts w:ascii="Arial" w:hAnsi="Arial" w:cs="Arial"/>
          <w:color w:val="000000"/>
          <w:sz w:val="20"/>
          <w:szCs w:val="20"/>
          <w:lang w:val="en-AU"/>
        </w:rPr>
      </w:pPr>
    </w:p>
    <w:p w:rsidR="006A50BD" w:rsidRPr="00A77832" w:rsidRDefault="008E06DA" w:rsidP="003C14E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Additional information in the form of references to various ITU-R Recommendations is also </w:t>
      </w:r>
      <w:r w:rsidR="006E4FE9" w:rsidRPr="00A77832">
        <w:rPr>
          <w:rFonts w:ascii="Arial" w:hAnsi="Arial" w:cs="Arial"/>
          <w:color w:val="000000"/>
          <w:sz w:val="20"/>
          <w:szCs w:val="20"/>
          <w:lang w:val="en-AU"/>
        </w:rPr>
        <w:t>provided in</w:t>
      </w:r>
      <w:r w:rsidR="009E4AA4" w:rsidRPr="00A77832">
        <w:rPr>
          <w:rFonts w:ascii="Arial" w:hAnsi="Arial" w:cs="Arial"/>
          <w:color w:val="000000"/>
          <w:sz w:val="20"/>
          <w:szCs w:val="20"/>
          <w:lang w:val="en-AU"/>
        </w:rPr>
        <w:t xml:space="preserve"> section 3.2 </w:t>
      </w:r>
      <w:r w:rsidRPr="00A77832">
        <w:rPr>
          <w:rFonts w:ascii="Arial" w:hAnsi="Arial" w:cs="Arial"/>
          <w:color w:val="000000"/>
          <w:sz w:val="20"/>
          <w:szCs w:val="20"/>
          <w:lang w:val="en-AU"/>
        </w:rPr>
        <w:t xml:space="preserve">to assist in managing interference. </w:t>
      </w:r>
    </w:p>
    <w:p w:rsidR="006A50BD" w:rsidRPr="00A77832" w:rsidRDefault="006A50BD" w:rsidP="006A50BD">
      <w:pPr>
        <w:jc w:val="both"/>
        <w:rPr>
          <w:rFonts w:ascii="Arial" w:hAnsi="Arial" w:cs="Arial"/>
          <w:color w:val="000000"/>
          <w:sz w:val="20"/>
          <w:szCs w:val="20"/>
          <w:lang w:val="en-AU"/>
        </w:rPr>
      </w:pP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Part 4 – Mobile Services</w:t>
      </w:r>
    </w:p>
    <w:p w:rsidR="006A50BD" w:rsidRPr="00A77832" w:rsidRDefault="006A50BD" w:rsidP="006A50BD">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4.1 – Background</w:t>
      </w:r>
      <w:r w:rsidR="0029582B" w:rsidRPr="00A77832">
        <w:rPr>
          <w:rFonts w:ascii="Arial" w:hAnsi="Arial" w:cs="Arial"/>
          <w:b/>
          <w:color w:val="000000"/>
          <w:sz w:val="20"/>
          <w:szCs w:val="20"/>
          <w:lang w:val="en-AU"/>
        </w:rPr>
        <w:t xml:space="preserve"> and Section 4.2 – Protection requirements</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Section 4.1 provide</w:t>
      </w:r>
      <w:r w:rsidR="00A63F16" w:rsidRPr="00A77832">
        <w:rPr>
          <w:rFonts w:ascii="Arial" w:hAnsi="Arial" w:cs="Arial"/>
          <w:color w:val="000000"/>
          <w:sz w:val="20"/>
          <w:szCs w:val="20"/>
          <w:lang w:val="en-AU"/>
        </w:rPr>
        <w:t>s</w:t>
      </w:r>
      <w:r w:rsidRPr="00A77832">
        <w:rPr>
          <w:rFonts w:ascii="Arial" w:hAnsi="Arial" w:cs="Arial"/>
          <w:color w:val="000000"/>
          <w:sz w:val="20"/>
          <w:szCs w:val="20"/>
          <w:lang w:val="en-AU"/>
        </w:rPr>
        <w:t xml:space="preserve"> information on mobile services that operate in 2200-2290 MHz band. Currently the only mobile services in operation in the band are aeronautical mobile telemetry (</w:t>
      </w:r>
      <w:r w:rsidRPr="00F43D3D">
        <w:rPr>
          <w:rFonts w:ascii="Arial" w:hAnsi="Arial" w:cs="Arial"/>
          <w:b/>
          <w:color w:val="000000"/>
          <w:sz w:val="20"/>
          <w:szCs w:val="20"/>
          <w:lang w:val="en-AU"/>
        </w:rPr>
        <w:t>AMT</w:t>
      </w:r>
      <w:r w:rsidRPr="00A77832">
        <w:rPr>
          <w:rFonts w:ascii="Arial" w:hAnsi="Arial" w:cs="Arial"/>
          <w:color w:val="000000"/>
          <w:sz w:val="20"/>
          <w:szCs w:val="20"/>
          <w:lang w:val="en-AU"/>
        </w:rPr>
        <w:t>) services at specific locations as provided in the Spectrum Planning Paper 10/01.</w:t>
      </w:r>
      <w:r w:rsidRPr="00A77832">
        <w:rPr>
          <w:rFonts w:ascii="Arial" w:hAnsi="Arial" w:cs="Arial"/>
          <w:i/>
          <w:color w:val="000000"/>
          <w:sz w:val="20"/>
          <w:szCs w:val="20"/>
          <w:lang w:val="en-AU"/>
        </w:rPr>
        <w:t xml:space="preserve"> </w:t>
      </w:r>
      <w:r w:rsidR="00126F40">
        <w:rPr>
          <w:rFonts w:ascii="Arial" w:hAnsi="Arial" w:cs="Arial"/>
          <w:color w:val="000000"/>
          <w:sz w:val="20"/>
          <w:szCs w:val="20"/>
          <w:lang w:val="en-AU"/>
        </w:rPr>
        <w:t>Section 4.2</w:t>
      </w:r>
      <w:r w:rsidRPr="00A77832">
        <w:rPr>
          <w:rFonts w:ascii="Arial" w:hAnsi="Arial" w:cs="Arial"/>
          <w:color w:val="000000"/>
          <w:sz w:val="20"/>
          <w:szCs w:val="20"/>
          <w:lang w:val="en-AU"/>
        </w:rPr>
        <w:t xml:space="preserve"> provides that a spectrum licensed transmitter </w:t>
      </w:r>
      <w:r w:rsidR="00A63F16" w:rsidRPr="00A77832">
        <w:rPr>
          <w:rFonts w:ascii="Arial" w:hAnsi="Arial" w:cs="Arial"/>
          <w:color w:val="000000"/>
          <w:sz w:val="20"/>
          <w:szCs w:val="20"/>
          <w:lang w:val="en-AU"/>
        </w:rPr>
        <w:t>operating in the 2.3</w:t>
      </w:r>
      <w:r w:rsidR="00F37614" w:rsidRPr="00A77832">
        <w:rPr>
          <w:rFonts w:ascii="Arial" w:hAnsi="Arial" w:cs="Arial"/>
          <w:color w:val="000000"/>
          <w:sz w:val="20"/>
          <w:szCs w:val="20"/>
          <w:lang w:val="en-AU"/>
        </w:rPr>
        <w:t xml:space="preserve"> </w:t>
      </w:r>
      <w:r w:rsidR="00A63F16" w:rsidRPr="00A77832">
        <w:rPr>
          <w:rFonts w:ascii="Arial" w:hAnsi="Arial" w:cs="Arial"/>
          <w:color w:val="000000"/>
          <w:sz w:val="20"/>
          <w:szCs w:val="20"/>
          <w:lang w:val="en-AU"/>
        </w:rPr>
        <w:t xml:space="preserve">GHz band </w:t>
      </w:r>
      <w:r w:rsidRPr="00A77832">
        <w:rPr>
          <w:rFonts w:ascii="Arial" w:hAnsi="Arial" w:cs="Arial"/>
          <w:color w:val="000000"/>
          <w:sz w:val="20"/>
          <w:szCs w:val="20"/>
          <w:lang w:val="en-AU"/>
        </w:rPr>
        <w:t>will not be deemed to cause unacceptable interference to AMT services if it is operated in accordance with the conditions of the licence. It is noted that currently no mobile service operate</w:t>
      </w:r>
      <w:r w:rsidR="00F43D3D">
        <w:rPr>
          <w:rFonts w:ascii="Arial" w:hAnsi="Arial" w:cs="Arial"/>
          <w:color w:val="000000"/>
          <w:sz w:val="20"/>
          <w:szCs w:val="20"/>
          <w:lang w:val="en-AU"/>
        </w:rPr>
        <w:t>s</w:t>
      </w:r>
      <w:r w:rsidRPr="00A77832">
        <w:rPr>
          <w:rFonts w:ascii="Arial" w:hAnsi="Arial" w:cs="Arial"/>
          <w:color w:val="000000"/>
          <w:sz w:val="20"/>
          <w:szCs w:val="20"/>
          <w:lang w:val="en-AU"/>
        </w:rPr>
        <w:t xml:space="preserve"> in the 2290-2300 MHz band. However, the Advisory Guidelines will be updated in the event this changes.</w:t>
      </w:r>
    </w:p>
    <w:p w:rsidR="006A50BD" w:rsidRPr="00A77832" w:rsidRDefault="006A50BD" w:rsidP="006A50BD">
      <w:pPr>
        <w:ind w:left="360"/>
        <w:jc w:val="both"/>
        <w:rPr>
          <w:rFonts w:ascii="Arial" w:hAnsi="Arial" w:cs="Arial"/>
          <w:color w:val="000000"/>
          <w:sz w:val="20"/>
          <w:szCs w:val="20"/>
          <w:lang w:val="en-AU"/>
        </w:rPr>
      </w:pP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 xml:space="preserve">Part 5 – Television outside broadcast (TVOB) service </w:t>
      </w:r>
    </w:p>
    <w:p w:rsidR="0029582B" w:rsidRPr="00A77832" w:rsidRDefault="006A50BD" w:rsidP="0029582B">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5.1 – Background</w:t>
      </w:r>
      <w:r w:rsidR="0029582B" w:rsidRPr="00A77832">
        <w:rPr>
          <w:rFonts w:ascii="Arial" w:hAnsi="Arial" w:cs="Arial"/>
          <w:b/>
          <w:color w:val="000000"/>
          <w:sz w:val="20"/>
          <w:szCs w:val="20"/>
          <w:lang w:val="en-AU"/>
        </w:rPr>
        <w:t xml:space="preserve"> and Section 5.2 – Protection requirements</w:t>
      </w:r>
    </w:p>
    <w:p w:rsidR="006A50BD" w:rsidRPr="00A77832" w:rsidRDefault="00A63F16" w:rsidP="006A50BD">
      <w:pPr>
        <w:jc w:val="both"/>
        <w:rPr>
          <w:rFonts w:ascii="Arial" w:hAnsi="Arial" w:cs="Arial"/>
          <w:color w:val="000000"/>
          <w:sz w:val="20"/>
          <w:szCs w:val="20"/>
          <w:lang w:val="en-AU"/>
        </w:rPr>
      </w:pPr>
      <w:r w:rsidRPr="00A77832">
        <w:rPr>
          <w:rFonts w:ascii="Arial" w:hAnsi="Arial" w:cs="Arial"/>
          <w:color w:val="000000"/>
          <w:sz w:val="20"/>
          <w:szCs w:val="20"/>
          <w:lang w:val="en-AU"/>
        </w:rPr>
        <w:t>Section 5.1 states</w:t>
      </w:r>
      <w:r w:rsidR="006A50BD" w:rsidRPr="00A77832">
        <w:rPr>
          <w:rFonts w:ascii="Arial" w:hAnsi="Arial" w:cs="Arial"/>
          <w:color w:val="000000"/>
          <w:sz w:val="20"/>
          <w:szCs w:val="20"/>
          <w:lang w:val="en-AU"/>
        </w:rPr>
        <w:t xml:space="preserve"> that the</w:t>
      </w:r>
      <w:r w:rsidR="006A50BD" w:rsidRPr="00A77832">
        <w:rPr>
          <w:i/>
          <w:noProof/>
          <w:sz w:val="20"/>
          <w:szCs w:val="20"/>
          <w:lang w:val="en-AU" w:eastAsia="en-AU"/>
        </w:rPr>
        <w:t xml:space="preserve"> </w:t>
      </w:r>
      <w:r w:rsidR="006A50BD" w:rsidRPr="00A77832">
        <w:rPr>
          <w:rFonts w:ascii="Arial" w:hAnsi="Arial" w:cs="Arial"/>
          <w:i/>
          <w:color w:val="000000"/>
          <w:sz w:val="20"/>
          <w:szCs w:val="20"/>
          <w:lang w:val="en-AU"/>
        </w:rPr>
        <w:t>Television Outside Broadcast Service (1980</w:t>
      </w:r>
      <w:r w:rsidR="006A50BD" w:rsidRPr="00A77832">
        <w:rPr>
          <w:rFonts w:ascii="Arial" w:hAnsi="Arial" w:cs="Arial" w:hint="eastAsia"/>
          <w:i/>
          <w:color w:val="000000"/>
          <w:sz w:val="20"/>
          <w:szCs w:val="20"/>
          <w:lang w:val="en-AU"/>
        </w:rPr>
        <w:t>–</w:t>
      </w:r>
      <w:r w:rsidR="006A50BD" w:rsidRPr="00A77832">
        <w:rPr>
          <w:rFonts w:ascii="Arial" w:hAnsi="Arial" w:cs="Arial"/>
          <w:i/>
          <w:color w:val="000000"/>
          <w:sz w:val="20"/>
          <w:szCs w:val="20"/>
          <w:lang w:val="en-AU"/>
        </w:rPr>
        <w:t>2110 MHz and 2170</w:t>
      </w:r>
      <w:r w:rsidR="006A50BD" w:rsidRPr="00A77832">
        <w:rPr>
          <w:rFonts w:ascii="Arial" w:hAnsi="Arial" w:cs="Arial" w:hint="eastAsia"/>
          <w:i/>
          <w:color w:val="000000"/>
          <w:sz w:val="20"/>
          <w:szCs w:val="20"/>
          <w:lang w:val="en-AU"/>
        </w:rPr>
        <w:t>–</w:t>
      </w:r>
      <w:r w:rsidR="006A50BD" w:rsidRPr="00A77832">
        <w:rPr>
          <w:rFonts w:ascii="Arial" w:hAnsi="Arial" w:cs="Arial"/>
          <w:i/>
          <w:color w:val="000000"/>
          <w:sz w:val="20"/>
          <w:szCs w:val="20"/>
          <w:lang w:val="en-AU"/>
        </w:rPr>
        <w:t xml:space="preserve">2300 MHz) Frequency Band Plan 2012 </w:t>
      </w:r>
      <w:r w:rsidR="006A50BD" w:rsidRPr="00A77832">
        <w:rPr>
          <w:rFonts w:ascii="Arial" w:hAnsi="Arial" w:cs="Arial"/>
          <w:color w:val="000000"/>
          <w:sz w:val="20"/>
          <w:szCs w:val="20"/>
          <w:lang w:val="en-AU"/>
        </w:rPr>
        <w:t xml:space="preserve">makes provision for television outside broadcast </w:t>
      </w:r>
      <w:r w:rsidRPr="00A77832">
        <w:rPr>
          <w:rFonts w:ascii="Arial" w:hAnsi="Arial" w:cs="Arial"/>
          <w:color w:val="000000"/>
          <w:sz w:val="20"/>
          <w:szCs w:val="20"/>
          <w:lang w:val="en-AU"/>
        </w:rPr>
        <w:t>(</w:t>
      </w:r>
      <w:r w:rsidR="006A50BD" w:rsidRPr="00A77832">
        <w:rPr>
          <w:rFonts w:ascii="Arial" w:hAnsi="Arial" w:cs="Arial"/>
          <w:b/>
          <w:color w:val="000000"/>
          <w:sz w:val="20"/>
          <w:szCs w:val="20"/>
          <w:lang w:val="en-AU"/>
        </w:rPr>
        <w:t>TVOB</w:t>
      </w:r>
      <w:r w:rsidRPr="00A77832">
        <w:rPr>
          <w:rFonts w:ascii="Arial" w:hAnsi="Arial" w:cs="Arial"/>
          <w:color w:val="000000"/>
          <w:sz w:val="20"/>
          <w:szCs w:val="20"/>
          <w:lang w:val="en-AU"/>
        </w:rPr>
        <w:t xml:space="preserve">) </w:t>
      </w:r>
      <w:r w:rsidR="006A50BD" w:rsidRPr="00A77832">
        <w:rPr>
          <w:rFonts w:ascii="Arial" w:hAnsi="Arial" w:cs="Arial"/>
          <w:color w:val="000000"/>
          <w:sz w:val="20"/>
          <w:szCs w:val="20"/>
          <w:lang w:val="en-AU"/>
        </w:rPr>
        <w:t>services to operate in the 1980–2110 MHz and 2170–2300 MHz frequency bands.</w:t>
      </w:r>
      <w:r w:rsidR="006A50BD" w:rsidRPr="00A77832">
        <w:rPr>
          <w:rFonts w:ascii="Arial" w:hAnsi="Arial" w:cs="Arial"/>
          <w:i/>
          <w:color w:val="000000"/>
          <w:sz w:val="20"/>
          <w:szCs w:val="20"/>
          <w:lang w:val="en-AU"/>
        </w:rPr>
        <w:t xml:space="preserve"> </w:t>
      </w:r>
      <w:r w:rsidR="00983876" w:rsidRPr="00A77832">
        <w:rPr>
          <w:rFonts w:ascii="Arial" w:hAnsi="Arial" w:cs="Arial"/>
          <w:color w:val="000000"/>
          <w:sz w:val="20"/>
          <w:szCs w:val="20"/>
          <w:lang w:val="en-AU"/>
        </w:rPr>
        <w:t>Section</w:t>
      </w:r>
      <w:r w:rsidRPr="00A77832">
        <w:rPr>
          <w:rFonts w:ascii="Arial" w:hAnsi="Arial" w:cs="Arial"/>
          <w:color w:val="000000"/>
          <w:sz w:val="20"/>
          <w:szCs w:val="20"/>
          <w:lang w:val="en-AU"/>
        </w:rPr>
        <w:t xml:space="preserve"> 5.2</w:t>
      </w:r>
      <w:r w:rsidR="006A50BD" w:rsidRPr="00A77832">
        <w:rPr>
          <w:rFonts w:ascii="Arial" w:hAnsi="Arial" w:cs="Arial"/>
          <w:color w:val="000000"/>
          <w:sz w:val="20"/>
          <w:szCs w:val="20"/>
          <w:lang w:val="en-AU"/>
        </w:rPr>
        <w:t xml:space="preserve"> provides that a radiocommunications transmitter operated under a 2.3 GHz band spectrum licence is required to protect </w:t>
      </w:r>
      <w:r w:rsidRPr="00A77832">
        <w:rPr>
          <w:rFonts w:ascii="Arial" w:hAnsi="Arial" w:cs="Arial"/>
          <w:color w:val="000000"/>
          <w:sz w:val="20"/>
          <w:szCs w:val="20"/>
          <w:lang w:val="en-AU"/>
        </w:rPr>
        <w:t>TVOB</w:t>
      </w:r>
      <w:r w:rsidR="006A50BD" w:rsidRPr="00A77832">
        <w:rPr>
          <w:rFonts w:ascii="Arial" w:hAnsi="Arial" w:cs="Arial"/>
          <w:color w:val="000000"/>
          <w:sz w:val="20"/>
          <w:szCs w:val="20"/>
          <w:lang w:val="en-AU"/>
        </w:rPr>
        <w:t xml:space="preserve"> services in accordance with RALI FX</w:t>
      </w:r>
      <w:r w:rsidR="00F43D3D">
        <w:rPr>
          <w:rFonts w:ascii="Arial" w:hAnsi="Arial" w:cs="Arial"/>
          <w:color w:val="000000"/>
          <w:sz w:val="20"/>
          <w:szCs w:val="20"/>
          <w:lang w:val="en-AU"/>
        </w:rPr>
        <w:t xml:space="preserve"> </w:t>
      </w:r>
      <w:r w:rsidR="006A50BD" w:rsidRPr="00A77832">
        <w:rPr>
          <w:rFonts w:ascii="Arial" w:hAnsi="Arial" w:cs="Arial"/>
          <w:color w:val="000000"/>
          <w:sz w:val="20"/>
          <w:szCs w:val="20"/>
          <w:lang w:val="en-AU"/>
        </w:rPr>
        <w:t>21</w:t>
      </w:r>
      <w:r w:rsidRPr="00A77832">
        <w:rPr>
          <w:rFonts w:ascii="Arial" w:hAnsi="Arial" w:cs="Arial"/>
          <w:color w:val="000000"/>
          <w:sz w:val="20"/>
          <w:szCs w:val="20"/>
          <w:lang w:val="en-AU"/>
        </w:rPr>
        <w:t>, if the transmitter was registered in the Register after the date of issue of the TVOB apparatus licence.</w:t>
      </w:r>
      <w:r w:rsidR="006A50BD" w:rsidRPr="00A77832">
        <w:rPr>
          <w:rFonts w:ascii="Arial" w:hAnsi="Arial" w:cs="Arial"/>
          <w:color w:val="000000"/>
          <w:sz w:val="20"/>
          <w:szCs w:val="20"/>
          <w:lang w:val="en-AU"/>
        </w:rPr>
        <w:t xml:space="preserve"> </w:t>
      </w:r>
      <w:r w:rsidRPr="00A77832">
        <w:rPr>
          <w:rFonts w:ascii="Arial" w:hAnsi="Arial" w:cs="Arial"/>
          <w:color w:val="000000"/>
          <w:sz w:val="20"/>
          <w:szCs w:val="20"/>
          <w:lang w:val="en-AU"/>
        </w:rPr>
        <w:t>O</w:t>
      </w:r>
      <w:r w:rsidR="006A50BD" w:rsidRPr="00A77832">
        <w:rPr>
          <w:rFonts w:ascii="Arial" w:hAnsi="Arial" w:cs="Arial"/>
          <w:color w:val="000000"/>
          <w:sz w:val="20"/>
          <w:szCs w:val="20"/>
          <w:lang w:val="en-AU"/>
        </w:rPr>
        <w:t xml:space="preserve">nly </w:t>
      </w:r>
      <w:r w:rsidRPr="00A77832">
        <w:rPr>
          <w:rFonts w:ascii="Arial" w:hAnsi="Arial" w:cs="Arial"/>
          <w:color w:val="000000"/>
          <w:sz w:val="20"/>
          <w:szCs w:val="20"/>
          <w:lang w:val="en-AU"/>
        </w:rPr>
        <w:t>TVOB</w:t>
      </w:r>
      <w:r w:rsidR="006A50BD" w:rsidRPr="00A77832">
        <w:rPr>
          <w:rFonts w:ascii="Arial" w:hAnsi="Arial" w:cs="Arial"/>
          <w:color w:val="000000"/>
          <w:sz w:val="20"/>
          <w:szCs w:val="20"/>
          <w:lang w:val="en-AU"/>
        </w:rPr>
        <w:t xml:space="preserve"> receivers with site details recorded in the Register will be afforded protection. </w:t>
      </w:r>
    </w:p>
    <w:p w:rsidR="006A50BD" w:rsidRPr="00A77832" w:rsidRDefault="006A50BD" w:rsidP="006A50BD">
      <w:pPr>
        <w:ind w:left="360"/>
        <w:jc w:val="both"/>
        <w:rPr>
          <w:rFonts w:ascii="Arial" w:hAnsi="Arial" w:cs="Arial"/>
          <w:color w:val="000000"/>
          <w:sz w:val="20"/>
          <w:szCs w:val="20"/>
          <w:lang w:val="en-AU"/>
        </w:rPr>
      </w:pP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Part 6 – Class licensed services</w:t>
      </w:r>
    </w:p>
    <w:p w:rsidR="0029582B" w:rsidRPr="00A77832" w:rsidRDefault="006A50BD" w:rsidP="0029582B">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6.1 – Background</w:t>
      </w:r>
      <w:r w:rsidR="0029582B" w:rsidRPr="00A77832">
        <w:rPr>
          <w:rFonts w:ascii="Arial" w:hAnsi="Arial" w:cs="Arial"/>
          <w:b/>
          <w:color w:val="000000"/>
          <w:sz w:val="20"/>
          <w:szCs w:val="20"/>
          <w:lang w:val="en-AU"/>
        </w:rPr>
        <w:t xml:space="preserve"> and Section 6.2 – Protection requirements</w:t>
      </w:r>
    </w:p>
    <w:p w:rsidR="006A50BD" w:rsidRPr="00A77832" w:rsidRDefault="00AF4BDF" w:rsidP="006A50BD">
      <w:pPr>
        <w:jc w:val="both"/>
        <w:rPr>
          <w:rFonts w:ascii="Arial" w:hAnsi="Arial" w:cs="Arial"/>
          <w:color w:val="000000"/>
          <w:sz w:val="20"/>
          <w:szCs w:val="20"/>
          <w:lang w:val="en-AU"/>
        </w:rPr>
      </w:pPr>
      <w:r w:rsidRPr="00A77832">
        <w:rPr>
          <w:rFonts w:ascii="Arial" w:hAnsi="Arial" w:cs="Arial"/>
          <w:color w:val="000000"/>
          <w:sz w:val="20"/>
          <w:szCs w:val="20"/>
          <w:lang w:val="en-AU"/>
        </w:rPr>
        <w:t>This section states that t</w:t>
      </w:r>
      <w:r w:rsidR="006A50BD" w:rsidRPr="00A77832">
        <w:rPr>
          <w:rFonts w:ascii="Arial" w:hAnsi="Arial" w:cs="Arial"/>
          <w:color w:val="000000"/>
          <w:sz w:val="20"/>
          <w:szCs w:val="20"/>
          <w:lang w:val="en-AU"/>
        </w:rPr>
        <w:t xml:space="preserve">he LIPD class licence permits the operation of a number of different types of radiocommunications transmitters in the 2400-2483.5 MHz band. Devices operated under the LIPD class licence must not cause interference to other services and are not offered protection from other services. </w:t>
      </w:r>
      <w:r w:rsidR="00126F40">
        <w:rPr>
          <w:rFonts w:ascii="Arial" w:hAnsi="Arial" w:cs="Arial"/>
          <w:color w:val="000000"/>
          <w:sz w:val="20"/>
          <w:szCs w:val="20"/>
          <w:lang w:val="en-AU"/>
        </w:rPr>
        <w:t>Section 6.2</w:t>
      </w:r>
      <w:r w:rsidR="006A50BD" w:rsidRPr="00A77832">
        <w:rPr>
          <w:rFonts w:ascii="Arial" w:hAnsi="Arial" w:cs="Arial"/>
          <w:color w:val="000000"/>
          <w:sz w:val="20"/>
          <w:szCs w:val="20"/>
          <w:lang w:val="en-AU"/>
        </w:rPr>
        <w:t xml:space="preserve"> provides that a spectrum licensed transmitter </w:t>
      </w:r>
      <w:r w:rsidR="00F37614" w:rsidRPr="00A77832">
        <w:rPr>
          <w:rFonts w:ascii="Arial" w:hAnsi="Arial" w:cs="Arial"/>
          <w:color w:val="000000"/>
          <w:sz w:val="20"/>
          <w:szCs w:val="20"/>
          <w:lang w:val="en-AU"/>
        </w:rPr>
        <w:t xml:space="preserve">operating in the 2.3 GHz band </w:t>
      </w:r>
      <w:r w:rsidR="006A50BD" w:rsidRPr="00A77832">
        <w:rPr>
          <w:rFonts w:ascii="Arial" w:hAnsi="Arial" w:cs="Arial"/>
          <w:color w:val="000000"/>
          <w:sz w:val="20"/>
          <w:szCs w:val="20"/>
          <w:lang w:val="en-AU"/>
        </w:rPr>
        <w:t xml:space="preserve">will </w:t>
      </w:r>
      <w:r w:rsidR="006A50BD" w:rsidRPr="00A77832">
        <w:rPr>
          <w:rFonts w:ascii="Arial" w:hAnsi="Arial" w:cs="Arial"/>
          <w:color w:val="000000"/>
          <w:sz w:val="20"/>
          <w:szCs w:val="20"/>
          <w:lang w:val="en-AU"/>
        </w:rPr>
        <w:lastRenderedPageBreak/>
        <w:t xml:space="preserve">not be deemed to cause unacceptable interference to a device operating under the LIPD class licence if it is operated in accordance with the conditions of the licence. </w:t>
      </w:r>
    </w:p>
    <w:p w:rsidR="006A50BD" w:rsidRPr="00A77832"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 xml:space="preserve"> </w:t>
      </w: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Part 7 – Radio Astronomy Service Receivers</w:t>
      </w:r>
    </w:p>
    <w:p w:rsidR="006A50BD" w:rsidRPr="00A77832" w:rsidRDefault="006A50BD" w:rsidP="006A50BD">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7.1 Background</w:t>
      </w:r>
      <w:r w:rsidR="0029582B" w:rsidRPr="00A77832">
        <w:rPr>
          <w:rFonts w:ascii="Arial" w:hAnsi="Arial" w:cs="Arial"/>
          <w:b/>
          <w:color w:val="000000"/>
          <w:sz w:val="20"/>
          <w:szCs w:val="20"/>
          <w:lang w:val="en-AU"/>
        </w:rPr>
        <w:t xml:space="preserve"> and Section 7.2 – Protection Requirements</w:t>
      </w:r>
    </w:p>
    <w:p w:rsidR="006A50BD" w:rsidRPr="00A77832" w:rsidRDefault="00126F40" w:rsidP="006A50BD">
      <w:pPr>
        <w:jc w:val="both"/>
        <w:rPr>
          <w:rFonts w:ascii="Arial" w:hAnsi="Arial" w:cs="Arial"/>
          <w:color w:val="000000"/>
          <w:sz w:val="20"/>
          <w:szCs w:val="20"/>
          <w:lang w:val="en-AU"/>
        </w:rPr>
      </w:pPr>
      <w:r>
        <w:rPr>
          <w:rFonts w:ascii="Arial" w:hAnsi="Arial" w:cs="Arial"/>
          <w:color w:val="000000"/>
          <w:sz w:val="20"/>
          <w:szCs w:val="20"/>
          <w:lang w:val="en-AU"/>
        </w:rPr>
        <w:t>Section 7.1</w:t>
      </w:r>
      <w:r w:rsidR="006A50BD" w:rsidRPr="00A77832">
        <w:rPr>
          <w:rFonts w:ascii="Arial" w:hAnsi="Arial" w:cs="Arial"/>
          <w:color w:val="000000"/>
          <w:sz w:val="20"/>
          <w:szCs w:val="20"/>
          <w:lang w:val="en-AU"/>
        </w:rPr>
        <w:t xml:space="preserve"> provides information on the use of various bands by Radio Astronomy services under Australian footnote AUS87 of the </w:t>
      </w:r>
      <w:r w:rsidR="002636B5" w:rsidRPr="00A77832">
        <w:rPr>
          <w:rFonts w:ascii="Arial" w:hAnsi="Arial" w:cs="Arial"/>
          <w:color w:val="000000"/>
          <w:sz w:val="20"/>
          <w:szCs w:val="20"/>
          <w:lang w:val="en-AU"/>
        </w:rPr>
        <w:t xml:space="preserve">Australian </w:t>
      </w:r>
      <w:r w:rsidR="00983876" w:rsidRPr="00A77832">
        <w:rPr>
          <w:rFonts w:ascii="Arial" w:hAnsi="Arial" w:cs="Arial"/>
          <w:color w:val="000000"/>
          <w:sz w:val="20"/>
          <w:szCs w:val="20"/>
          <w:lang w:val="en-AU"/>
        </w:rPr>
        <w:t>Radiofrequency</w:t>
      </w:r>
      <w:r w:rsidR="002636B5" w:rsidRPr="00A77832">
        <w:rPr>
          <w:rFonts w:ascii="Arial" w:hAnsi="Arial" w:cs="Arial"/>
          <w:color w:val="000000"/>
          <w:sz w:val="20"/>
          <w:szCs w:val="20"/>
          <w:lang w:val="en-AU"/>
        </w:rPr>
        <w:t xml:space="preserve"> Spectrum Plan </w:t>
      </w:r>
      <w:r w:rsidR="001F7B1E" w:rsidRPr="00A77832">
        <w:rPr>
          <w:rFonts w:ascii="Arial" w:hAnsi="Arial" w:cs="Arial"/>
          <w:color w:val="000000"/>
          <w:sz w:val="20"/>
          <w:szCs w:val="20"/>
          <w:lang w:val="en-AU"/>
        </w:rPr>
        <w:t>(</w:t>
      </w:r>
      <w:r w:rsidR="001F7B1E" w:rsidRPr="00A77832">
        <w:rPr>
          <w:rFonts w:ascii="Arial" w:hAnsi="Arial" w:cs="Arial"/>
          <w:b/>
          <w:color w:val="000000"/>
          <w:sz w:val="20"/>
          <w:szCs w:val="20"/>
          <w:lang w:val="en-AU"/>
        </w:rPr>
        <w:t xml:space="preserve">Spectrum </w:t>
      </w:r>
      <w:r w:rsidR="001B53D9" w:rsidRPr="00A77832">
        <w:rPr>
          <w:rFonts w:ascii="Arial" w:hAnsi="Arial" w:cs="Arial"/>
          <w:b/>
          <w:color w:val="000000"/>
          <w:sz w:val="20"/>
          <w:szCs w:val="20"/>
          <w:lang w:val="en-AU"/>
        </w:rPr>
        <w:t>Plan</w:t>
      </w:r>
      <w:r w:rsidR="001F7B1E" w:rsidRPr="00A77832">
        <w:rPr>
          <w:rFonts w:ascii="Arial" w:hAnsi="Arial" w:cs="Arial"/>
          <w:color w:val="000000"/>
          <w:sz w:val="20"/>
          <w:szCs w:val="20"/>
          <w:lang w:val="en-AU"/>
        </w:rPr>
        <w:t xml:space="preserve">) </w:t>
      </w:r>
      <w:r w:rsidR="001B53D9" w:rsidRPr="00A77832">
        <w:rPr>
          <w:rFonts w:ascii="Arial" w:hAnsi="Arial" w:cs="Arial"/>
          <w:color w:val="000000"/>
          <w:sz w:val="20"/>
          <w:szCs w:val="20"/>
          <w:lang w:val="en-AU"/>
        </w:rPr>
        <w:t>prepared</w:t>
      </w:r>
      <w:r w:rsidR="002636B5" w:rsidRPr="00A77832">
        <w:rPr>
          <w:rFonts w:ascii="Arial" w:hAnsi="Arial" w:cs="Arial"/>
          <w:color w:val="000000"/>
          <w:sz w:val="20"/>
          <w:szCs w:val="20"/>
          <w:lang w:val="en-AU"/>
        </w:rPr>
        <w:t xml:space="preserve"> under subsection 30(1) of the Act</w:t>
      </w:r>
      <w:r w:rsidR="006A50BD" w:rsidRPr="00A77832">
        <w:rPr>
          <w:rFonts w:ascii="Arial" w:hAnsi="Arial" w:cs="Arial"/>
          <w:color w:val="000000"/>
          <w:sz w:val="20"/>
          <w:szCs w:val="20"/>
          <w:lang w:val="en-AU"/>
        </w:rPr>
        <w:t>.  One of these bands overlaps with part of the 2.3 GHz band.  This use is on a fortuitous basis, however due to the highly sensitive nature of radio-astronomy equipment</w:t>
      </w:r>
      <w:r>
        <w:rPr>
          <w:rFonts w:ascii="Arial" w:hAnsi="Arial" w:cs="Arial"/>
          <w:color w:val="000000"/>
          <w:sz w:val="20"/>
          <w:szCs w:val="20"/>
          <w:lang w:val="en-AU"/>
        </w:rPr>
        <w:t>,</w:t>
      </w:r>
      <w:r w:rsidR="006A50BD" w:rsidRPr="00A77832">
        <w:rPr>
          <w:rFonts w:ascii="Arial" w:hAnsi="Arial" w:cs="Arial"/>
          <w:color w:val="000000"/>
          <w:sz w:val="20"/>
          <w:szCs w:val="20"/>
          <w:lang w:val="en-AU"/>
        </w:rPr>
        <w:t xml:space="preserve"> the ACMA </w:t>
      </w:r>
      <w:r w:rsidR="001F7B1E" w:rsidRPr="00A77832">
        <w:rPr>
          <w:rFonts w:ascii="Arial" w:hAnsi="Arial" w:cs="Arial"/>
          <w:color w:val="000000"/>
          <w:sz w:val="20"/>
          <w:szCs w:val="20"/>
          <w:lang w:val="en-AU"/>
        </w:rPr>
        <w:t>requests</w:t>
      </w:r>
      <w:r w:rsidR="006A50BD" w:rsidRPr="00A77832">
        <w:rPr>
          <w:rFonts w:ascii="Arial" w:hAnsi="Arial" w:cs="Arial"/>
          <w:color w:val="000000"/>
          <w:sz w:val="20"/>
          <w:szCs w:val="20"/>
          <w:lang w:val="en-AU"/>
        </w:rPr>
        <w:t xml:space="preserve"> that spectrum licensees</w:t>
      </w:r>
      <w:r w:rsidR="001F7B1E" w:rsidRPr="00A77832">
        <w:rPr>
          <w:rFonts w:ascii="Arial" w:hAnsi="Arial" w:cs="Arial"/>
          <w:color w:val="000000"/>
          <w:sz w:val="20"/>
          <w:szCs w:val="20"/>
          <w:lang w:val="en-AU"/>
        </w:rPr>
        <w:t xml:space="preserve"> operating radiocommunications transmitters in the 2.3 GHz band</w:t>
      </w:r>
      <w:r w:rsidR="006A50BD" w:rsidRPr="00A77832">
        <w:rPr>
          <w:rFonts w:ascii="Arial" w:hAnsi="Arial" w:cs="Arial"/>
          <w:color w:val="000000"/>
          <w:sz w:val="20"/>
          <w:szCs w:val="20"/>
          <w:lang w:val="en-AU"/>
        </w:rPr>
        <w:t xml:space="preserve"> have regard to this service when deploying systems.</w:t>
      </w:r>
    </w:p>
    <w:p w:rsidR="00126F40" w:rsidRDefault="00126F40" w:rsidP="0029582B">
      <w:pPr>
        <w:jc w:val="both"/>
        <w:rPr>
          <w:rFonts w:ascii="Arial" w:hAnsi="Arial" w:cs="Arial"/>
          <w:color w:val="000000"/>
          <w:sz w:val="20"/>
          <w:szCs w:val="20"/>
          <w:lang w:val="en-AU"/>
        </w:rPr>
      </w:pPr>
    </w:p>
    <w:p w:rsidR="0029582B" w:rsidRPr="00A77832" w:rsidRDefault="00126F40" w:rsidP="0029582B">
      <w:pPr>
        <w:jc w:val="both"/>
        <w:rPr>
          <w:rFonts w:ascii="Arial" w:hAnsi="Arial" w:cs="Arial"/>
          <w:color w:val="000000"/>
          <w:sz w:val="20"/>
          <w:szCs w:val="20"/>
          <w:lang w:val="en-AU"/>
        </w:rPr>
      </w:pPr>
      <w:r>
        <w:rPr>
          <w:rFonts w:ascii="Arial" w:hAnsi="Arial" w:cs="Arial"/>
          <w:color w:val="000000"/>
          <w:sz w:val="20"/>
          <w:szCs w:val="20"/>
          <w:lang w:val="en-AU"/>
        </w:rPr>
        <w:t>S</w:t>
      </w:r>
      <w:r w:rsidR="006A50BD" w:rsidRPr="00A77832">
        <w:rPr>
          <w:rFonts w:ascii="Arial" w:hAnsi="Arial" w:cs="Arial"/>
          <w:color w:val="000000"/>
          <w:sz w:val="20"/>
          <w:szCs w:val="20"/>
          <w:lang w:val="en-AU"/>
        </w:rPr>
        <w:t xml:space="preserve">ection </w:t>
      </w:r>
      <w:r>
        <w:rPr>
          <w:rFonts w:ascii="Arial" w:hAnsi="Arial" w:cs="Arial"/>
          <w:color w:val="000000"/>
          <w:sz w:val="20"/>
          <w:szCs w:val="20"/>
          <w:lang w:val="en-AU"/>
        </w:rPr>
        <w:t xml:space="preserve">7.2 </w:t>
      </w:r>
      <w:r w:rsidR="006A50BD" w:rsidRPr="00A77832">
        <w:rPr>
          <w:rFonts w:ascii="Arial" w:hAnsi="Arial" w:cs="Arial"/>
          <w:color w:val="000000"/>
          <w:sz w:val="20"/>
          <w:szCs w:val="20"/>
          <w:lang w:val="en-AU"/>
        </w:rPr>
        <w:t xml:space="preserve">requests that, when deploying systems, spectrum licensees have regard to Radio Astronomy services operating under footnote AUS87 of the </w:t>
      </w:r>
      <w:r w:rsidR="00466E15" w:rsidRPr="00A77832">
        <w:rPr>
          <w:rFonts w:ascii="Arial" w:hAnsi="Arial" w:cs="Arial"/>
          <w:color w:val="000000"/>
          <w:sz w:val="20"/>
          <w:szCs w:val="20"/>
          <w:lang w:val="en-AU"/>
        </w:rPr>
        <w:t>Spectrum Plan</w:t>
      </w:r>
      <w:r w:rsidR="007F5333" w:rsidRPr="00A77832">
        <w:rPr>
          <w:rFonts w:ascii="Arial" w:hAnsi="Arial" w:cs="Arial"/>
          <w:color w:val="000000"/>
          <w:sz w:val="20"/>
          <w:szCs w:val="20"/>
          <w:lang w:val="en-AU"/>
        </w:rPr>
        <w:t>.</w:t>
      </w:r>
      <w:r w:rsidR="006A50BD" w:rsidRPr="00A77832">
        <w:rPr>
          <w:rFonts w:ascii="Arial" w:hAnsi="Arial" w:cs="Arial"/>
          <w:color w:val="000000"/>
          <w:sz w:val="20"/>
          <w:szCs w:val="20"/>
          <w:lang w:val="en-AU"/>
        </w:rPr>
        <w:t xml:space="preserve"> RALI MS 31 is referenced as it contains details on the notification procedure to follow before deploying systems. Since RALI MS 31 is subject to review, licensees are advised to consult the most current version to ensure the most up-to-date information and notification procedures are used.</w:t>
      </w:r>
      <w:r w:rsidR="0029582B" w:rsidRPr="00A77832">
        <w:rPr>
          <w:rFonts w:ascii="Arial" w:hAnsi="Arial" w:cs="Arial"/>
          <w:color w:val="000000"/>
          <w:sz w:val="20"/>
          <w:szCs w:val="20"/>
          <w:lang w:val="en-AU"/>
        </w:rPr>
        <w:t xml:space="preserve"> Details on the location of radio astronomy receivers operating in the spectrum in</w:t>
      </w:r>
      <w:r w:rsidR="00F43D3D">
        <w:rPr>
          <w:rFonts w:ascii="Arial" w:hAnsi="Arial" w:cs="Arial"/>
          <w:color w:val="000000"/>
          <w:sz w:val="20"/>
          <w:szCs w:val="20"/>
          <w:lang w:val="en-AU"/>
        </w:rPr>
        <w:t>,</w:t>
      </w:r>
      <w:r w:rsidR="0029582B" w:rsidRPr="00A77832">
        <w:rPr>
          <w:rFonts w:ascii="Arial" w:hAnsi="Arial" w:cs="Arial"/>
          <w:color w:val="000000"/>
          <w:sz w:val="20"/>
          <w:szCs w:val="20"/>
          <w:lang w:val="en-AU"/>
        </w:rPr>
        <w:t xml:space="preserve"> or close in frequency to</w:t>
      </w:r>
      <w:r w:rsidR="00F43D3D">
        <w:rPr>
          <w:rFonts w:ascii="Arial" w:hAnsi="Arial" w:cs="Arial"/>
          <w:color w:val="000000"/>
          <w:sz w:val="20"/>
          <w:szCs w:val="20"/>
          <w:lang w:val="en-AU"/>
        </w:rPr>
        <w:t>,</w:t>
      </w:r>
      <w:r w:rsidR="0029582B" w:rsidRPr="00A77832">
        <w:rPr>
          <w:rFonts w:ascii="Arial" w:hAnsi="Arial" w:cs="Arial"/>
          <w:color w:val="000000"/>
          <w:sz w:val="20"/>
          <w:szCs w:val="20"/>
          <w:lang w:val="en-AU"/>
        </w:rPr>
        <w:t xml:space="preserve"> the 2.3 GHz band are contained in footnote AUS87 of the Spectrum Plan. When considering Radio Astronomy sites contained in footnote AUS87, the most current version of the </w:t>
      </w:r>
      <w:r w:rsidR="00A77832" w:rsidRPr="00A77832">
        <w:rPr>
          <w:rFonts w:ascii="Arial" w:hAnsi="Arial" w:cs="Arial"/>
          <w:color w:val="000000"/>
          <w:sz w:val="20"/>
          <w:szCs w:val="20"/>
          <w:lang w:val="en-AU"/>
        </w:rPr>
        <w:t>Spectrum</w:t>
      </w:r>
      <w:r w:rsidR="0029582B" w:rsidRPr="00A77832">
        <w:rPr>
          <w:rFonts w:ascii="Arial" w:hAnsi="Arial" w:cs="Arial"/>
          <w:color w:val="000000"/>
          <w:sz w:val="20"/>
          <w:szCs w:val="20"/>
          <w:lang w:val="en-AU"/>
        </w:rPr>
        <w:t xml:space="preserve"> Plan should be consulted to determine if any sites have been removed from or included in this list. At the time of making of the Advisory Guidelines, the </w:t>
      </w:r>
      <w:r w:rsidR="0029582B" w:rsidRPr="00A77832">
        <w:rPr>
          <w:rFonts w:ascii="Arial" w:hAnsi="Arial" w:cs="Arial"/>
          <w:i/>
          <w:color w:val="000000"/>
          <w:sz w:val="20"/>
          <w:szCs w:val="20"/>
          <w:lang w:val="en-AU"/>
        </w:rPr>
        <w:t xml:space="preserve">Australian </w:t>
      </w:r>
      <w:r w:rsidR="00983876" w:rsidRPr="00A77832">
        <w:rPr>
          <w:rFonts w:ascii="Arial" w:hAnsi="Arial" w:cs="Arial"/>
          <w:i/>
          <w:color w:val="000000"/>
          <w:sz w:val="20"/>
          <w:szCs w:val="20"/>
          <w:lang w:val="en-AU"/>
        </w:rPr>
        <w:t>Radiofrequency</w:t>
      </w:r>
      <w:r w:rsidR="0029582B" w:rsidRPr="00A77832">
        <w:rPr>
          <w:rFonts w:ascii="Arial" w:hAnsi="Arial" w:cs="Arial"/>
          <w:i/>
          <w:color w:val="000000"/>
          <w:sz w:val="20"/>
          <w:szCs w:val="20"/>
          <w:lang w:val="en-AU"/>
        </w:rPr>
        <w:t xml:space="preserve"> Spectrum Plan 2013 </w:t>
      </w:r>
      <w:r w:rsidR="0029582B" w:rsidRPr="00A77832">
        <w:rPr>
          <w:rFonts w:ascii="Arial" w:hAnsi="Arial" w:cs="Arial"/>
          <w:color w:val="000000"/>
          <w:sz w:val="20"/>
          <w:szCs w:val="20"/>
          <w:lang w:val="en-AU"/>
        </w:rPr>
        <w:t xml:space="preserve">is the current version. </w:t>
      </w:r>
    </w:p>
    <w:p w:rsidR="006A50BD" w:rsidRPr="00A77832" w:rsidRDefault="006A50BD" w:rsidP="006A50BD">
      <w:pPr>
        <w:jc w:val="both"/>
        <w:rPr>
          <w:rFonts w:ascii="Arial" w:hAnsi="Arial" w:cs="Arial"/>
          <w:color w:val="000000"/>
          <w:sz w:val="20"/>
          <w:szCs w:val="20"/>
          <w:lang w:val="en-AU"/>
        </w:rPr>
      </w:pPr>
    </w:p>
    <w:p w:rsidR="006A50BD" w:rsidRPr="00A77832" w:rsidRDefault="006A50BD" w:rsidP="006A50BD">
      <w:pPr>
        <w:jc w:val="both"/>
        <w:rPr>
          <w:rFonts w:ascii="Arial" w:hAnsi="Arial" w:cs="Arial"/>
          <w:b/>
          <w:color w:val="000000"/>
          <w:sz w:val="20"/>
          <w:szCs w:val="20"/>
          <w:lang w:val="en-AU"/>
        </w:rPr>
      </w:pPr>
    </w:p>
    <w:p w:rsidR="006A50BD" w:rsidRPr="00A77832" w:rsidRDefault="006A50BD" w:rsidP="006A50BD">
      <w:pPr>
        <w:jc w:val="both"/>
        <w:rPr>
          <w:rFonts w:ascii="Arial" w:hAnsi="Arial" w:cs="Arial"/>
          <w:b/>
          <w:color w:val="000000"/>
          <w:sz w:val="20"/>
          <w:szCs w:val="20"/>
          <w:lang w:val="en-AU"/>
        </w:rPr>
      </w:pPr>
      <w:r w:rsidRPr="00A77832">
        <w:rPr>
          <w:rFonts w:ascii="Arial" w:hAnsi="Arial" w:cs="Arial"/>
          <w:b/>
          <w:color w:val="000000"/>
          <w:sz w:val="20"/>
          <w:szCs w:val="20"/>
          <w:lang w:val="en-AU"/>
        </w:rPr>
        <w:t>Part 8 – Adjacent area spectrum licensed receivers</w:t>
      </w:r>
    </w:p>
    <w:p w:rsidR="006A50BD" w:rsidRPr="00A77832" w:rsidRDefault="006A50BD" w:rsidP="006A50BD">
      <w:pPr>
        <w:spacing w:after="120"/>
        <w:jc w:val="both"/>
        <w:rPr>
          <w:rFonts w:ascii="Arial" w:hAnsi="Arial" w:cs="Arial"/>
          <w:b/>
          <w:color w:val="000000"/>
          <w:sz w:val="20"/>
          <w:szCs w:val="20"/>
          <w:lang w:val="en-AU"/>
        </w:rPr>
      </w:pPr>
      <w:r w:rsidRPr="00A77832">
        <w:rPr>
          <w:rFonts w:ascii="Arial" w:hAnsi="Arial" w:cs="Arial"/>
          <w:b/>
          <w:color w:val="000000"/>
          <w:sz w:val="20"/>
          <w:szCs w:val="20"/>
          <w:lang w:val="en-AU"/>
        </w:rPr>
        <w:t>Section 8.1 - Background</w:t>
      </w:r>
      <w:r w:rsidR="0029582B" w:rsidRPr="00A77832">
        <w:rPr>
          <w:rFonts w:ascii="Arial" w:hAnsi="Arial" w:cs="Arial"/>
          <w:b/>
          <w:color w:val="000000"/>
          <w:sz w:val="20"/>
          <w:szCs w:val="20"/>
          <w:lang w:val="en-AU"/>
        </w:rPr>
        <w:t xml:space="preserve"> and Section 8.2 – Recommended preliminary coordination procedures</w:t>
      </w:r>
    </w:p>
    <w:p w:rsidR="00126F40" w:rsidRDefault="006A50BD" w:rsidP="006A50BD">
      <w:pPr>
        <w:jc w:val="both"/>
        <w:rPr>
          <w:rFonts w:ascii="Arial" w:hAnsi="Arial" w:cs="Arial"/>
          <w:color w:val="000000"/>
          <w:sz w:val="20"/>
          <w:szCs w:val="20"/>
          <w:lang w:val="en-AU"/>
        </w:rPr>
      </w:pPr>
      <w:r w:rsidRPr="00A77832">
        <w:rPr>
          <w:rFonts w:ascii="Arial" w:hAnsi="Arial" w:cs="Arial"/>
          <w:color w:val="000000"/>
          <w:sz w:val="20"/>
          <w:szCs w:val="20"/>
          <w:lang w:val="en-AU"/>
        </w:rPr>
        <w:t>Section 8.1 provides background information on the primary mechanism for managing interference across spectrum licence geographical boundaries</w:t>
      </w:r>
      <w:r w:rsidR="003E7E12" w:rsidRPr="00A77832">
        <w:rPr>
          <w:rFonts w:ascii="Arial" w:hAnsi="Arial" w:cs="Arial"/>
          <w:color w:val="000000"/>
          <w:sz w:val="20"/>
          <w:szCs w:val="20"/>
          <w:lang w:val="en-AU"/>
        </w:rPr>
        <w:t xml:space="preserve">, which is through the </w:t>
      </w:r>
      <w:r w:rsidRPr="00A77832">
        <w:rPr>
          <w:rFonts w:ascii="Arial" w:hAnsi="Arial" w:cs="Arial"/>
          <w:color w:val="000000"/>
          <w:sz w:val="20"/>
          <w:szCs w:val="20"/>
          <w:lang w:val="en-AU"/>
        </w:rPr>
        <w:t xml:space="preserve">subsection 145(4) </w:t>
      </w:r>
      <w:r w:rsidR="003E7E12" w:rsidRPr="00A77832">
        <w:rPr>
          <w:rFonts w:ascii="Arial" w:hAnsi="Arial" w:cs="Arial"/>
          <w:color w:val="000000"/>
          <w:sz w:val="20"/>
          <w:szCs w:val="20"/>
          <w:lang w:val="en-AU"/>
        </w:rPr>
        <w:t>d</w:t>
      </w:r>
      <w:r w:rsidRPr="00A77832">
        <w:rPr>
          <w:rFonts w:ascii="Arial" w:hAnsi="Arial" w:cs="Arial"/>
          <w:color w:val="000000"/>
          <w:sz w:val="20"/>
          <w:szCs w:val="20"/>
          <w:lang w:val="en-AU"/>
        </w:rPr>
        <w:t>etermination.</w:t>
      </w:r>
      <w:r w:rsidR="003E7E12" w:rsidRPr="00A77832">
        <w:rPr>
          <w:rFonts w:ascii="Arial" w:hAnsi="Arial" w:cs="Arial"/>
          <w:color w:val="000000"/>
          <w:sz w:val="20"/>
          <w:szCs w:val="20"/>
          <w:lang w:val="en-AU"/>
        </w:rPr>
        <w:t xml:space="preserve"> The unacceptable levels of </w:t>
      </w:r>
      <w:r w:rsidR="00983876" w:rsidRPr="00A77832">
        <w:rPr>
          <w:rFonts w:ascii="Arial" w:hAnsi="Arial" w:cs="Arial"/>
          <w:color w:val="000000"/>
          <w:sz w:val="20"/>
          <w:szCs w:val="20"/>
          <w:lang w:val="en-AU"/>
        </w:rPr>
        <w:t>interference</w:t>
      </w:r>
      <w:r w:rsidR="003E7E12" w:rsidRPr="00A77832">
        <w:rPr>
          <w:rFonts w:ascii="Arial" w:hAnsi="Arial" w:cs="Arial"/>
          <w:color w:val="000000"/>
          <w:sz w:val="20"/>
          <w:szCs w:val="20"/>
          <w:lang w:val="en-AU"/>
        </w:rPr>
        <w:t xml:space="preserve"> specified in that determination</w:t>
      </w:r>
      <w:r w:rsidRPr="00A77832">
        <w:rPr>
          <w:rFonts w:ascii="Arial" w:hAnsi="Arial" w:cs="Arial"/>
          <w:color w:val="000000"/>
          <w:sz w:val="20"/>
          <w:szCs w:val="20"/>
          <w:lang w:val="en-AU"/>
        </w:rPr>
        <w:t xml:space="preserve"> </w:t>
      </w:r>
      <w:r w:rsidR="00466E15" w:rsidRPr="00A77832">
        <w:rPr>
          <w:rFonts w:ascii="Arial" w:hAnsi="Arial" w:cs="Arial"/>
          <w:color w:val="000000"/>
          <w:sz w:val="20"/>
          <w:szCs w:val="20"/>
          <w:lang w:val="en-AU"/>
        </w:rPr>
        <w:t>control</w:t>
      </w:r>
      <w:r w:rsidR="007F5333" w:rsidRPr="00A77832">
        <w:rPr>
          <w:rFonts w:ascii="Arial" w:hAnsi="Arial" w:cs="Arial"/>
          <w:color w:val="000000"/>
          <w:sz w:val="20"/>
          <w:szCs w:val="20"/>
          <w:lang w:val="en-AU"/>
        </w:rPr>
        <w:t xml:space="preserve"> levels of</w:t>
      </w:r>
      <w:r w:rsidRPr="00A77832">
        <w:rPr>
          <w:rFonts w:ascii="Arial" w:hAnsi="Arial" w:cs="Arial"/>
          <w:color w:val="000000"/>
          <w:sz w:val="20"/>
          <w:szCs w:val="20"/>
          <w:lang w:val="en-AU"/>
        </w:rPr>
        <w:t xml:space="preserve"> emissions across a geographical boundary rather than coordinating with individual stations. Since Time Division Duplex</w:t>
      </w:r>
      <w:r w:rsidR="007F5333" w:rsidRPr="00A77832">
        <w:rPr>
          <w:rFonts w:ascii="Arial" w:hAnsi="Arial" w:cs="Arial"/>
          <w:color w:val="000000"/>
          <w:sz w:val="20"/>
          <w:szCs w:val="20"/>
          <w:lang w:val="en-AU"/>
        </w:rPr>
        <w:t xml:space="preserve"> (</w:t>
      </w:r>
      <w:r w:rsidR="008E06DA" w:rsidRPr="00A77832">
        <w:rPr>
          <w:rFonts w:ascii="Arial" w:hAnsi="Arial" w:cs="Arial"/>
          <w:b/>
          <w:color w:val="000000"/>
          <w:sz w:val="20"/>
          <w:szCs w:val="20"/>
          <w:lang w:val="en-AU"/>
        </w:rPr>
        <w:t>TDD</w:t>
      </w:r>
      <w:r w:rsidR="00466E15" w:rsidRPr="00A77832">
        <w:rPr>
          <w:rFonts w:ascii="Arial" w:hAnsi="Arial" w:cs="Arial"/>
          <w:color w:val="000000"/>
          <w:sz w:val="20"/>
          <w:szCs w:val="20"/>
          <w:lang w:val="en-AU"/>
        </w:rPr>
        <w:t>)</w:t>
      </w:r>
      <w:r w:rsidRPr="00A77832">
        <w:rPr>
          <w:rFonts w:ascii="Arial" w:hAnsi="Arial" w:cs="Arial"/>
          <w:color w:val="000000"/>
          <w:sz w:val="20"/>
          <w:szCs w:val="20"/>
          <w:lang w:val="en-AU"/>
        </w:rPr>
        <w:t xml:space="preserve"> technologies are considered the most likely to be deployed in the </w:t>
      </w:r>
      <w:r w:rsidR="003E7E12" w:rsidRPr="00A77832">
        <w:rPr>
          <w:rFonts w:ascii="Arial" w:hAnsi="Arial" w:cs="Arial"/>
          <w:color w:val="000000"/>
          <w:sz w:val="20"/>
          <w:szCs w:val="20"/>
          <w:lang w:val="en-AU"/>
        </w:rPr>
        <w:t xml:space="preserve">2.3 GHz </w:t>
      </w:r>
      <w:r w:rsidRPr="00A77832">
        <w:rPr>
          <w:rFonts w:ascii="Arial" w:hAnsi="Arial" w:cs="Arial"/>
          <w:color w:val="000000"/>
          <w:sz w:val="20"/>
          <w:szCs w:val="20"/>
          <w:lang w:val="en-AU"/>
        </w:rPr>
        <w:t xml:space="preserve">band, it is noted that at times it may be necessary for licensees operating radiocommunications transmitters in the 2.3 GHz band to negotiate with adjacent area spectrum licensees when deploying services in order to avoid </w:t>
      </w:r>
      <w:r w:rsidR="001F2B55" w:rsidRPr="00A77832">
        <w:rPr>
          <w:rFonts w:ascii="Arial" w:hAnsi="Arial" w:cs="Arial"/>
          <w:color w:val="000000"/>
          <w:sz w:val="20"/>
          <w:szCs w:val="20"/>
          <w:lang w:val="en-AU"/>
        </w:rPr>
        <w:t>causing harmful interference</w:t>
      </w:r>
      <w:r w:rsidRPr="00A77832">
        <w:rPr>
          <w:rFonts w:ascii="Arial" w:hAnsi="Arial" w:cs="Arial"/>
          <w:color w:val="000000"/>
          <w:sz w:val="20"/>
          <w:szCs w:val="20"/>
          <w:lang w:val="en-AU"/>
        </w:rPr>
        <w:t>.</w:t>
      </w:r>
      <w:r w:rsidR="001F2B55" w:rsidRPr="00A77832">
        <w:rPr>
          <w:rFonts w:ascii="Arial" w:hAnsi="Arial" w:cs="Arial"/>
          <w:color w:val="000000"/>
          <w:sz w:val="20"/>
          <w:szCs w:val="20"/>
          <w:lang w:val="en-AU"/>
        </w:rPr>
        <w:t xml:space="preserve"> Harmful interference has the same meaning as in the Spectrum Plan. </w:t>
      </w:r>
      <w:r w:rsidRPr="00A77832">
        <w:rPr>
          <w:rFonts w:ascii="Arial" w:hAnsi="Arial" w:cs="Arial"/>
          <w:color w:val="000000"/>
          <w:sz w:val="20"/>
          <w:szCs w:val="20"/>
          <w:lang w:val="en-AU"/>
        </w:rPr>
        <w:t xml:space="preserve"> </w:t>
      </w:r>
    </w:p>
    <w:p w:rsidR="00126F40" w:rsidRDefault="00126F40" w:rsidP="006A50BD">
      <w:pPr>
        <w:jc w:val="both"/>
        <w:rPr>
          <w:rFonts w:ascii="Arial" w:hAnsi="Arial" w:cs="Arial"/>
          <w:color w:val="000000"/>
          <w:sz w:val="20"/>
          <w:szCs w:val="20"/>
          <w:lang w:val="en-AU"/>
        </w:rPr>
      </w:pPr>
    </w:p>
    <w:p w:rsidR="006A50BD" w:rsidRPr="006A50BD" w:rsidRDefault="00126F40" w:rsidP="006A50BD">
      <w:pPr>
        <w:jc w:val="both"/>
        <w:rPr>
          <w:rFonts w:ascii="Arial" w:hAnsi="Arial" w:cs="Arial"/>
          <w:color w:val="000000"/>
          <w:sz w:val="20"/>
          <w:szCs w:val="20"/>
          <w:lang w:val="en-AU"/>
        </w:rPr>
      </w:pPr>
      <w:r>
        <w:rPr>
          <w:rFonts w:ascii="Arial" w:hAnsi="Arial" w:cs="Arial"/>
          <w:color w:val="000000"/>
          <w:sz w:val="20"/>
          <w:szCs w:val="20"/>
          <w:lang w:val="en-AU"/>
        </w:rPr>
        <w:t xml:space="preserve">Section 8.2 </w:t>
      </w:r>
      <w:r w:rsidR="006E4FE9">
        <w:rPr>
          <w:rFonts w:ascii="Arial" w:hAnsi="Arial" w:cs="Arial"/>
          <w:color w:val="000000"/>
          <w:sz w:val="20"/>
          <w:szCs w:val="20"/>
          <w:lang w:val="en-AU"/>
        </w:rPr>
        <w:t>provides</w:t>
      </w:r>
      <w:r>
        <w:rPr>
          <w:rFonts w:ascii="Arial" w:hAnsi="Arial" w:cs="Arial"/>
          <w:color w:val="000000"/>
          <w:sz w:val="20"/>
          <w:szCs w:val="20"/>
          <w:lang w:val="en-AU"/>
        </w:rPr>
        <w:t xml:space="preserve"> that i</w:t>
      </w:r>
      <w:r w:rsidR="006A50BD" w:rsidRPr="00A77832">
        <w:rPr>
          <w:rFonts w:ascii="Arial" w:hAnsi="Arial" w:cs="Arial"/>
          <w:color w:val="000000"/>
          <w:sz w:val="20"/>
          <w:szCs w:val="20"/>
          <w:lang w:val="en-AU"/>
        </w:rPr>
        <w:t xml:space="preserve">n order to best manage interference across geographical boundaries it is recommended that when planning services, </w:t>
      </w:r>
      <w:r w:rsidR="00E5506F" w:rsidRPr="00A77832">
        <w:rPr>
          <w:rFonts w:ascii="Arial" w:hAnsi="Arial" w:cs="Arial"/>
          <w:color w:val="000000"/>
          <w:sz w:val="20"/>
          <w:szCs w:val="20"/>
          <w:lang w:val="en-AU"/>
        </w:rPr>
        <w:t xml:space="preserve">spectrum </w:t>
      </w:r>
      <w:r w:rsidR="006A50BD" w:rsidRPr="00A77832">
        <w:rPr>
          <w:rFonts w:ascii="Arial" w:hAnsi="Arial" w:cs="Arial"/>
          <w:color w:val="000000"/>
          <w:sz w:val="20"/>
          <w:szCs w:val="20"/>
          <w:lang w:val="en-AU"/>
        </w:rPr>
        <w:t>licensees</w:t>
      </w:r>
      <w:r w:rsidR="00E5506F" w:rsidRPr="00A77832">
        <w:rPr>
          <w:rFonts w:ascii="Arial" w:hAnsi="Arial" w:cs="Arial"/>
          <w:color w:val="000000"/>
          <w:sz w:val="20"/>
          <w:szCs w:val="20"/>
          <w:lang w:val="en-AU"/>
        </w:rPr>
        <w:t xml:space="preserve"> operating radiocommunications transmitters in the 2.3 GHz band should</w:t>
      </w:r>
      <w:r w:rsidR="006A50BD" w:rsidRPr="00A77832">
        <w:rPr>
          <w:rFonts w:ascii="Arial" w:hAnsi="Arial" w:cs="Arial"/>
          <w:color w:val="000000"/>
          <w:sz w:val="20"/>
          <w:szCs w:val="20"/>
          <w:lang w:val="en-AU"/>
        </w:rPr>
        <w:t xml:space="preserve">, in addition to meeting the requirements of the subsection 145(4) </w:t>
      </w:r>
      <w:r w:rsidR="00E5506F" w:rsidRPr="00A77832">
        <w:rPr>
          <w:rFonts w:ascii="Arial" w:hAnsi="Arial" w:cs="Arial"/>
          <w:color w:val="000000"/>
          <w:sz w:val="20"/>
          <w:szCs w:val="20"/>
          <w:lang w:val="en-AU"/>
        </w:rPr>
        <w:t>d</w:t>
      </w:r>
      <w:r w:rsidR="006A50BD" w:rsidRPr="00A77832">
        <w:rPr>
          <w:rFonts w:ascii="Arial" w:hAnsi="Arial" w:cs="Arial"/>
          <w:color w:val="000000"/>
          <w:sz w:val="20"/>
          <w:szCs w:val="20"/>
          <w:lang w:val="en-AU"/>
        </w:rPr>
        <w:t>etermination, coordinate with services that are registered</w:t>
      </w:r>
      <w:r w:rsidR="00E5506F" w:rsidRPr="00A77832">
        <w:rPr>
          <w:rFonts w:ascii="Arial" w:hAnsi="Arial" w:cs="Arial"/>
          <w:color w:val="000000"/>
          <w:sz w:val="20"/>
          <w:szCs w:val="20"/>
          <w:lang w:val="en-AU"/>
        </w:rPr>
        <w:t xml:space="preserve"> in the Register</w:t>
      </w:r>
      <w:r w:rsidR="006A50BD" w:rsidRPr="00A77832">
        <w:rPr>
          <w:rFonts w:ascii="Arial" w:hAnsi="Arial" w:cs="Arial"/>
          <w:color w:val="000000"/>
          <w:sz w:val="20"/>
          <w:szCs w:val="20"/>
          <w:lang w:val="en-AU"/>
        </w:rPr>
        <w:t xml:space="preserve"> </w:t>
      </w:r>
      <w:r w:rsidR="00E5506F" w:rsidRPr="00A77832">
        <w:rPr>
          <w:rFonts w:ascii="Arial" w:hAnsi="Arial" w:cs="Arial"/>
          <w:color w:val="000000"/>
          <w:sz w:val="20"/>
          <w:szCs w:val="20"/>
          <w:lang w:val="en-AU"/>
        </w:rPr>
        <w:t xml:space="preserve">and operating under spectrum licences in geographic areas </w:t>
      </w:r>
      <w:r w:rsidR="006A50BD" w:rsidRPr="00A77832">
        <w:rPr>
          <w:rFonts w:ascii="Arial" w:hAnsi="Arial" w:cs="Arial"/>
          <w:color w:val="000000"/>
          <w:sz w:val="20"/>
          <w:szCs w:val="20"/>
          <w:lang w:val="en-AU"/>
        </w:rPr>
        <w:t xml:space="preserve">adjacent </w:t>
      </w:r>
      <w:r w:rsidR="00E5506F" w:rsidRPr="00A77832">
        <w:rPr>
          <w:rFonts w:ascii="Arial" w:hAnsi="Arial" w:cs="Arial"/>
          <w:color w:val="000000"/>
          <w:sz w:val="20"/>
          <w:szCs w:val="20"/>
          <w:lang w:val="en-AU"/>
        </w:rPr>
        <w:t xml:space="preserve">to their licence area to avoid harmful </w:t>
      </w:r>
      <w:r w:rsidR="00983876" w:rsidRPr="00A77832">
        <w:rPr>
          <w:rFonts w:ascii="Arial" w:hAnsi="Arial" w:cs="Arial"/>
          <w:color w:val="000000"/>
          <w:sz w:val="20"/>
          <w:szCs w:val="20"/>
          <w:lang w:val="en-AU"/>
        </w:rPr>
        <w:t>interference</w:t>
      </w:r>
      <w:r w:rsidR="006A50BD" w:rsidRPr="00A77832">
        <w:rPr>
          <w:rFonts w:ascii="Arial" w:hAnsi="Arial" w:cs="Arial"/>
          <w:color w:val="000000"/>
          <w:sz w:val="20"/>
          <w:szCs w:val="20"/>
          <w:lang w:val="en-AU"/>
        </w:rPr>
        <w:t>. If this preliminary coordination indicates interference may occur, it is recommended that license</w:t>
      </w:r>
      <w:r w:rsidR="00E5506F" w:rsidRPr="00A77832">
        <w:rPr>
          <w:rFonts w:ascii="Arial" w:hAnsi="Arial" w:cs="Arial"/>
          <w:color w:val="000000"/>
          <w:sz w:val="20"/>
          <w:szCs w:val="20"/>
          <w:lang w:val="en-AU"/>
        </w:rPr>
        <w:t>e</w:t>
      </w:r>
      <w:r w:rsidR="006A50BD" w:rsidRPr="00A77832">
        <w:rPr>
          <w:rFonts w:ascii="Arial" w:hAnsi="Arial" w:cs="Arial"/>
          <w:color w:val="000000"/>
          <w:sz w:val="20"/>
          <w:szCs w:val="20"/>
          <w:lang w:val="en-AU"/>
        </w:rPr>
        <w:t xml:space="preserve">s either replan their systems or negotiate with </w:t>
      </w:r>
      <w:r w:rsidR="00E5506F" w:rsidRPr="00A77832">
        <w:rPr>
          <w:rFonts w:ascii="Arial" w:hAnsi="Arial" w:cs="Arial"/>
          <w:color w:val="000000"/>
          <w:sz w:val="20"/>
          <w:szCs w:val="20"/>
          <w:lang w:val="en-AU"/>
        </w:rPr>
        <w:t xml:space="preserve">the </w:t>
      </w:r>
      <w:r w:rsidR="006A50BD" w:rsidRPr="00A77832">
        <w:rPr>
          <w:rFonts w:ascii="Arial" w:hAnsi="Arial" w:cs="Arial"/>
          <w:color w:val="000000"/>
          <w:sz w:val="20"/>
          <w:szCs w:val="20"/>
          <w:lang w:val="en-AU"/>
        </w:rPr>
        <w:t>affected spectrum licensees to find a resolution.</w:t>
      </w:r>
    </w:p>
    <w:p w:rsidR="006A50BD" w:rsidRPr="006A50BD" w:rsidRDefault="006A50BD" w:rsidP="006A50BD">
      <w:pPr>
        <w:jc w:val="both"/>
        <w:rPr>
          <w:rFonts w:ascii="Arial" w:hAnsi="Arial" w:cs="Arial"/>
          <w:color w:val="000000"/>
          <w:sz w:val="20"/>
          <w:szCs w:val="20"/>
          <w:lang w:val="en-AU"/>
        </w:rPr>
      </w:pPr>
    </w:p>
    <w:p w:rsidR="006A50BD" w:rsidRPr="006A50BD" w:rsidRDefault="006A50BD" w:rsidP="006A50BD">
      <w:pPr>
        <w:jc w:val="both"/>
        <w:rPr>
          <w:rFonts w:ascii="Arial" w:hAnsi="Arial" w:cs="Arial"/>
          <w:color w:val="000000"/>
          <w:sz w:val="20"/>
          <w:szCs w:val="20"/>
          <w:lang w:val="en-AU"/>
        </w:rPr>
      </w:pPr>
    </w:p>
    <w:p w:rsidR="006A50BD" w:rsidRPr="006A50BD" w:rsidRDefault="006A50BD" w:rsidP="006A50BD">
      <w:pPr>
        <w:jc w:val="both"/>
        <w:rPr>
          <w:rFonts w:ascii="Arial" w:hAnsi="Arial" w:cs="Arial"/>
          <w:sz w:val="20"/>
          <w:szCs w:val="20"/>
          <w:lang w:val="en-AU"/>
        </w:rPr>
      </w:pPr>
    </w:p>
    <w:sectPr w:rsidR="006A50BD" w:rsidRPr="006A50BD" w:rsidSect="0074067F">
      <w:headerReference w:type="even" r:id="rId16"/>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52" w:rsidRDefault="00215852">
      <w:r>
        <w:separator/>
      </w:r>
    </w:p>
  </w:endnote>
  <w:endnote w:type="continuationSeparator" w:id="0">
    <w:p w:rsidR="00215852" w:rsidRDefault="00215852">
      <w:r>
        <w:continuationSeparator/>
      </w:r>
    </w:p>
  </w:endnote>
</w:endnotes>
</file>

<file path=word/fontTable.xml><?xml version="1.0" encoding="utf-8"?>
<w:fonts xmlns:r="http://schemas.openxmlformats.org/officeDocument/2006/relationships" xmlns:w="http://schemas.openxmlformats.org/wordprocessingml/2006/main">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0929"/>
      <w:docPartObj>
        <w:docPartGallery w:val="Page Numbers (Bottom of Page)"/>
        <w:docPartUnique/>
      </w:docPartObj>
    </w:sdtPr>
    <w:sdtContent>
      <w:p w:rsidR="00126F40" w:rsidRDefault="00081600">
        <w:pPr>
          <w:pStyle w:val="Footer"/>
          <w:jc w:val="center"/>
        </w:pPr>
        <w:r>
          <w:fldChar w:fldCharType="begin"/>
        </w:r>
        <w:r w:rsidR="00126F40">
          <w:instrText xml:space="preserve"> PAGE   \* MERGEFORMAT </w:instrText>
        </w:r>
        <w:r>
          <w:fldChar w:fldCharType="separate"/>
        </w:r>
        <w:r w:rsidR="00476144">
          <w:rPr>
            <w:noProof/>
          </w:rPr>
          <w:t>6</w:t>
        </w:r>
        <w:r>
          <w:fldChar w:fldCharType="end"/>
        </w:r>
      </w:p>
    </w:sdtContent>
  </w:sdt>
  <w:p w:rsidR="00282ED3" w:rsidRDefault="00282ED3" w:rsidP="0036213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D3" w:rsidRDefault="00282ED3" w:rsidP="00B32F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52" w:rsidRDefault="00215852">
      <w:r>
        <w:separator/>
      </w:r>
    </w:p>
  </w:footnote>
  <w:footnote w:type="continuationSeparator" w:id="0">
    <w:p w:rsidR="00215852" w:rsidRDefault="00215852">
      <w:r>
        <w:continuationSeparator/>
      </w:r>
    </w:p>
  </w:footnote>
  <w:footnote w:id="1">
    <w:p w:rsidR="00282ED3" w:rsidRPr="00AA1598" w:rsidRDefault="006A50BD">
      <w:pPr>
        <w:pStyle w:val="FootnoteText"/>
        <w:rPr>
          <w:rFonts w:ascii="Arial" w:hAnsi="Arial" w:cs="Arial"/>
          <w:sz w:val="16"/>
          <w:szCs w:val="16"/>
          <w:lang w:val="en-AU"/>
        </w:rPr>
      </w:pPr>
      <w:r w:rsidRPr="006A50BD">
        <w:rPr>
          <w:rStyle w:val="FootnoteReference"/>
          <w:rFonts w:ascii="Arial" w:hAnsi="Arial" w:cs="Arial"/>
          <w:sz w:val="16"/>
          <w:szCs w:val="16"/>
        </w:rPr>
        <w:footnoteRef/>
      </w:r>
      <w:r w:rsidRPr="006A50BD">
        <w:rPr>
          <w:rFonts w:ascii="Arial" w:hAnsi="Arial" w:cs="Arial"/>
          <w:sz w:val="16"/>
          <w:szCs w:val="16"/>
        </w:rPr>
        <w:t xml:space="preserve"> </w:t>
      </w:r>
      <w:r w:rsidRPr="006A50BD">
        <w:rPr>
          <w:rFonts w:ascii="Arial" w:hAnsi="Arial" w:cs="Arial"/>
          <w:sz w:val="16"/>
          <w:szCs w:val="16"/>
          <w:lang w:val="en-AU"/>
        </w:rPr>
        <w:t>Copies of each RALI may be obtained from the ACMA’s website at http://</w:t>
      </w:r>
      <w:hyperlink r:id="rId1" w:history="1">
        <w:r w:rsidRPr="006A50BD">
          <w:rPr>
            <w:rStyle w:val="Hyperlink"/>
            <w:rFonts w:ascii="Arial" w:hAnsi="Arial" w:cs="Arial"/>
            <w:sz w:val="16"/>
            <w:szCs w:val="16"/>
            <w:lang w:val="en-AU"/>
          </w:rPr>
          <w:t>www.acma.gov.au</w:t>
        </w:r>
      </w:hyperlink>
      <w:r w:rsidRPr="006A50BD">
        <w:rPr>
          <w:rFonts w:ascii="Arial" w:hAnsi="Arial" w:cs="Arial"/>
          <w:sz w:val="16"/>
          <w:szCs w:val="16"/>
          <w:lang w:val="en-A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D3" w:rsidRDefault="00081600"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rsidR="00282ED3" w:rsidRDefault="00282E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D3" w:rsidRDefault="00282ED3" w:rsidP="00362134">
    <w:pPr>
      <w:pStyle w:val="Header"/>
      <w:jc w:val="center"/>
      <w:rPr>
        <w:b/>
        <w:sz w:val="32"/>
        <w:szCs w:val="32"/>
        <w:lang w:val="en-AU"/>
      </w:rPr>
    </w:pPr>
  </w:p>
  <w:p w:rsidR="00282ED3" w:rsidRDefault="00282ED3" w:rsidP="00E72F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FFFFFFFE"/>
    <w:multiLevelType w:val="singleLevel"/>
    <w:tmpl w:val="35B85848"/>
    <w:lvl w:ilvl="0">
      <w:numFmt w:val="bullet"/>
      <w:lvlText w:val="*"/>
      <w:lvlJc w:val="left"/>
    </w:lvl>
  </w:abstractNum>
  <w:abstractNum w:abstractNumId="2">
    <w:nsid w:val="025C27F5"/>
    <w:multiLevelType w:val="hybridMultilevel"/>
    <w:tmpl w:val="1EB68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B204A"/>
    <w:multiLevelType w:val="hybridMultilevel"/>
    <w:tmpl w:val="A9FA672E"/>
    <w:lvl w:ilvl="0" w:tplc="555039C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EA09EF"/>
    <w:multiLevelType w:val="hybridMultilevel"/>
    <w:tmpl w:val="752CA0D4"/>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B76651"/>
    <w:multiLevelType w:val="hybridMultilevel"/>
    <w:tmpl w:val="563A7DC4"/>
    <w:lvl w:ilvl="0" w:tplc="44D64128">
      <w:start w:val="1"/>
      <w:numFmt w:val="bullet"/>
      <w:lvlText w:val="˃"/>
      <w:lvlJc w:val="left"/>
      <w:pPr>
        <w:ind w:left="720" w:hanging="360"/>
      </w:pPr>
      <w:rPr>
        <w:rFonts w:ascii="Arial" w:hAnsi="Aria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5C2EFB"/>
    <w:multiLevelType w:val="hybridMultilevel"/>
    <w:tmpl w:val="E0AEF3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B66172D"/>
    <w:multiLevelType w:val="hybridMultilevel"/>
    <w:tmpl w:val="83FC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C277D0"/>
    <w:multiLevelType w:val="hybridMultilevel"/>
    <w:tmpl w:val="59D012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B8119F"/>
    <w:multiLevelType w:val="hybridMultilevel"/>
    <w:tmpl w:val="530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5061C"/>
    <w:multiLevelType w:val="hybridMultilevel"/>
    <w:tmpl w:val="0D8E4A70"/>
    <w:lvl w:ilvl="0" w:tplc="0C090019">
      <w:start w:val="1"/>
      <w:numFmt w:val="lowerLetter"/>
      <w:lvlText w:val="%1."/>
      <w:lvlJc w:val="left"/>
      <w:pPr>
        <w:tabs>
          <w:tab w:val="num" w:pos="900"/>
        </w:tabs>
        <w:ind w:left="900" w:hanging="360"/>
      </w:pPr>
    </w:lvl>
    <w:lvl w:ilvl="1" w:tplc="40A2D154">
      <w:start w:val="1"/>
      <w:numFmt w:val="lowerLetter"/>
      <w:lvlText w:val="(%2)"/>
      <w:lvlJc w:val="left"/>
      <w:pPr>
        <w:ind w:left="1620" w:hanging="360"/>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nsid w:val="4D7A09C8"/>
    <w:multiLevelType w:val="hybridMultilevel"/>
    <w:tmpl w:val="F0B6FAB0"/>
    <w:lvl w:ilvl="0" w:tplc="802E03CC">
      <w:start w:val="2"/>
      <w:numFmt w:val="bullet"/>
      <w:lvlText w:val="&gt;"/>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9017BB"/>
    <w:multiLevelType w:val="hybridMultilevel"/>
    <w:tmpl w:val="4442F4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791F3F"/>
    <w:multiLevelType w:val="hybridMultilevel"/>
    <w:tmpl w:val="EF28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0E2F15"/>
    <w:multiLevelType w:val="hybridMultilevel"/>
    <w:tmpl w:val="0B1E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4"/>
  </w:num>
  <w:num w:numId="4">
    <w:abstractNumId w:val="3"/>
  </w:num>
  <w:num w:numId="5">
    <w:abstractNumId w:val="22"/>
  </w:num>
  <w:num w:numId="6">
    <w:abstractNumId w:val="1"/>
    <w:lvlOverride w:ilvl="0">
      <w:lvl w:ilvl="0">
        <w:numFmt w:val="bullet"/>
        <w:lvlText w:val="•"/>
        <w:legacy w:legacy="1" w:legacySpace="0" w:legacyIndent="0"/>
        <w:lvlJc w:val="left"/>
        <w:rPr>
          <w:rFonts w:ascii="Helv" w:hAnsi="Helv" w:hint="default"/>
        </w:rPr>
      </w:lvl>
    </w:lvlOverride>
  </w:num>
  <w:num w:numId="7">
    <w:abstractNumId w:val="25"/>
  </w:num>
  <w:num w:numId="8">
    <w:abstractNumId w:val="16"/>
  </w:num>
  <w:num w:numId="9">
    <w:abstractNumId w:val="17"/>
  </w:num>
  <w:num w:numId="10">
    <w:abstractNumId w:val="8"/>
  </w:num>
  <w:num w:numId="11">
    <w:abstractNumId w:val="14"/>
  </w:num>
  <w:num w:numId="12">
    <w:abstractNumId w:val="30"/>
  </w:num>
  <w:num w:numId="13">
    <w:abstractNumId w:val="20"/>
  </w:num>
  <w:num w:numId="14">
    <w:abstractNumId w:val="4"/>
  </w:num>
  <w:num w:numId="15">
    <w:abstractNumId w:val="9"/>
  </w:num>
  <w:num w:numId="16">
    <w:abstractNumId w:val="28"/>
  </w:num>
  <w:num w:numId="17">
    <w:abstractNumId w:val="6"/>
  </w:num>
  <w:num w:numId="18">
    <w:abstractNumId w:val="10"/>
  </w:num>
  <w:num w:numId="19">
    <w:abstractNumId w:val="7"/>
  </w:num>
  <w:num w:numId="20">
    <w:abstractNumId w:val="13"/>
  </w:num>
  <w:num w:numId="21">
    <w:abstractNumId w:val="26"/>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8"/>
  </w:num>
  <w:num w:numId="26">
    <w:abstractNumId w:val="2"/>
  </w:num>
  <w:num w:numId="27">
    <w:abstractNumId w:val="27"/>
  </w:num>
  <w:num w:numId="28">
    <w:abstractNumId w:val="15"/>
  </w:num>
  <w:num w:numId="29">
    <w:abstractNumId w:val="0"/>
  </w:num>
  <w:num w:numId="30">
    <w:abstractNumId w:val="12"/>
  </w:num>
  <w:num w:numId="31">
    <w:abstractNumId w:val="5"/>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stylePaneFormatFilter w:val="3F01"/>
  <w:defaultTabStop w:val="567"/>
  <w:drawingGridHorizontalSpacing w:val="120"/>
  <w:displayHorizontalDrawingGridEvery w:val="2"/>
  <w:characterSpacingControl w:val="doNotCompress"/>
  <w:footnotePr>
    <w:footnote w:id="-1"/>
    <w:footnote w:id="0"/>
  </w:footnotePr>
  <w:endnotePr>
    <w:endnote w:id="-1"/>
    <w:endnote w:id="0"/>
  </w:endnotePr>
  <w:compat/>
  <w:rsids>
    <w:rsidRoot w:val="00DA1022"/>
    <w:rsid w:val="00002F35"/>
    <w:rsid w:val="0000300B"/>
    <w:rsid w:val="0000334E"/>
    <w:rsid w:val="00005643"/>
    <w:rsid w:val="00007C8D"/>
    <w:rsid w:val="00016BA2"/>
    <w:rsid w:val="00020E56"/>
    <w:rsid w:val="000227EC"/>
    <w:rsid w:val="00023C08"/>
    <w:rsid w:val="00025D13"/>
    <w:rsid w:val="0003025D"/>
    <w:rsid w:val="00032B32"/>
    <w:rsid w:val="00035C5D"/>
    <w:rsid w:val="00036086"/>
    <w:rsid w:val="00040B05"/>
    <w:rsid w:val="0004150F"/>
    <w:rsid w:val="0004274A"/>
    <w:rsid w:val="00043812"/>
    <w:rsid w:val="000440AD"/>
    <w:rsid w:val="00046969"/>
    <w:rsid w:val="00051A91"/>
    <w:rsid w:val="0005280F"/>
    <w:rsid w:val="00052DB6"/>
    <w:rsid w:val="0005491A"/>
    <w:rsid w:val="000609D9"/>
    <w:rsid w:val="00065340"/>
    <w:rsid w:val="00070531"/>
    <w:rsid w:val="00070A52"/>
    <w:rsid w:val="00072306"/>
    <w:rsid w:val="00072549"/>
    <w:rsid w:val="000727E2"/>
    <w:rsid w:val="00073B86"/>
    <w:rsid w:val="000760FB"/>
    <w:rsid w:val="00076E3A"/>
    <w:rsid w:val="00081600"/>
    <w:rsid w:val="00082EB4"/>
    <w:rsid w:val="00084D8E"/>
    <w:rsid w:val="00086091"/>
    <w:rsid w:val="000907DE"/>
    <w:rsid w:val="00096FB8"/>
    <w:rsid w:val="000A0E4B"/>
    <w:rsid w:val="000A2AE5"/>
    <w:rsid w:val="000A3641"/>
    <w:rsid w:val="000A4D28"/>
    <w:rsid w:val="000A5293"/>
    <w:rsid w:val="000A6A9B"/>
    <w:rsid w:val="000A72F1"/>
    <w:rsid w:val="000A78D9"/>
    <w:rsid w:val="000A79B8"/>
    <w:rsid w:val="000A7A3F"/>
    <w:rsid w:val="000B1051"/>
    <w:rsid w:val="000B193B"/>
    <w:rsid w:val="000B2131"/>
    <w:rsid w:val="000B2834"/>
    <w:rsid w:val="000B2A91"/>
    <w:rsid w:val="000B3A34"/>
    <w:rsid w:val="000B3F4F"/>
    <w:rsid w:val="000B46E0"/>
    <w:rsid w:val="000B69A3"/>
    <w:rsid w:val="000B785D"/>
    <w:rsid w:val="000B7990"/>
    <w:rsid w:val="000C14FE"/>
    <w:rsid w:val="000C2BDB"/>
    <w:rsid w:val="000C3067"/>
    <w:rsid w:val="000C7244"/>
    <w:rsid w:val="000C7E17"/>
    <w:rsid w:val="000D02FC"/>
    <w:rsid w:val="000D0461"/>
    <w:rsid w:val="000D1326"/>
    <w:rsid w:val="000D432B"/>
    <w:rsid w:val="000D454D"/>
    <w:rsid w:val="000D4FF8"/>
    <w:rsid w:val="000D61AC"/>
    <w:rsid w:val="000D68D5"/>
    <w:rsid w:val="000D767B"/>
    <w:rsid w:val="000D797B"/>
    <w:rsid w:val="000E312C"/>
    <w:rsid w:val="000E3954"/>
    <w:rsid w:val="000E44D2"/>
    <w:rsid w:val="000E7688"/>
    <w:rsid w:val="000E7BC7"/>
    <w:rsid w:val="000F145B"/>
    <w:rsid w:val="000F1F80"/>
    <w:rsid w:val="000F66BE"/>
    <w:rsid w:val="000F6A00"/>
    <w:rsid w:val="000F7B2C"/>
    <w:rsid w:val="000F7DDD"/>
    <w:rsid w:val="001002A8"/>
    <w:rsid w:val="001019FD"/>
    <w:rsid w:val="001037A5"/>
    <w:rsid w:val="001040ED"/>
    <w:rsid w:val="00105943"/>
    <w:rsid w:val="00107C9C"/>
    <w:rsid w:val="00110856"/>
    <w:rsid w:val="00111D3B"/>
    <w:rsid w:val="001127B6"/>
    <w:rsid w:val="001127FD"/>
    <w:rsid w:val="001130BC"/>
    <w:rsid w:val="00113D11"/>
    <w:rsid w:val="00113FC2"/>
    <w:rsid w:val="0011424C"/>
    <w:rsid w:val="00122FA0"/>
    <w:rsid w:val="0012342D"/>
    <w:rsid w:val="00123DFD"/>
    <w:rsid w:val="001240A3"/>
    <w:rsid w:val="001244AE"/>
    <w:rsid w:val="00124A67"/>
    <w:rsid w:val="001250A7"/>
    <w:rsid w:val="00125A68"/>
    <w:rsid w:val="001264EA"/>
    <w:rsid w:val="00126F40"/>
    <w:rsid w:val="00126FD0"/>
    <w:rsid w:val="00134A4B"/>
    <w:rsid w:val="001358C8"/>
    <w:rsid w:val="00135A6D"/>
    <w:rsid w:val="00137EBF"/>
    <w:rsid w:val="001421F8"/>
    <w:rsid w:val="00145166"/>
    <w:rsid w:val="001469CC"/>
    <w:rsid w:val="00147015"/>
    <w:rsid w:val="001522E5"/>
    <w:rsid w:val="00153F0C"/>
    <w:rsid w:val="001611E0"/>
    <w:rsid w:val="00161DE7"/>
    <w:rsid w:val="00162CC3"/>
    <w:rsid w:val="001631C5"/>
    <w:rsid w:val="00165E54"/>
    <w:rsid w:val="001673DE"/>
    <w:rsid w:val="00170D27"/>
    <w:rsid w:val="00171504"/>
    <w:rsid w:val="001716D9"/>
    <w:rsid w:val="0017393E"/>
    <w:rsid w:val="00175F46"/>
    <w:rsid w:val="001767FA"/>
    <w:rsid w:val="00176E4D"/>
    <w:rsid w:val="00177AFD"/>
    <w:rsid w:val="001802C0"/>
    <w:rsid w:val="0018129A"/>
    <w:rsid w:val="00181E1C"/>
    <w:rsid w:val="001847A6"/>
    <w:rsid w:val="00185301"/>
    <w:rsid w:val="001901D9"/>
    <w:rsid w:val="00191769"/>
    <w:rsid w:val="00191C04"/>
    <w:rsid w:val="00193000"/>
    <w:rsid w:val="001939F0"/>
    <w:rsid w:val="00193CCB"/>
    <w:rsid w:val="00193EB6"/>
    <w:rsid w:val="0019576A"/>
    <w:rsid w:val="00197574"/>
    <w:rsid w:val="001A084F"/>
    <w:rsid w:val="001A0B8E"/>
    <w:rsid w:val="001A0C51"/>
    <w:rsid w:val="001A2609"/>
    <w:rsid w:val="001A4ADD"/>
    <w:rsid w:val="001A5D71"/>
    <w:rsid w:val="001A730C"/>
    <w:rsid w:val="001B218D"/>
    <w:rsid w:val="001B30AB"/>
    <w:rsid w:val="001B466C"/>
    <w:rsid w:val="001B53D9"/>
    <w:rsid w:val="001B58E7"/>
    <w:rsid w:val="001B5A54"/>
    <w:rsid w:val="001B700D"/>
    <w:rsid w:val="001B79DD"/>
    <w:rsid w:val="001C2D26"/>
    <w:rsid w:val="001C7822"/>
    <w:rsid w:val="001D0811"/>
    <w:rsid w:val="001D3D7B"/>
    <w:rsid w:val="001D597D"/>
    <w:rsid w:val="001D7A76"/>
    <w:rsid w:val="001E0ED3"/>
    <w:rsid w:val="001E11A4"/>
    <w:rsid w:val="001E4C38"/>
    <w:rsid w:val="001E504A"/>
    <w:rsid w:val="001E7008"/>
    <w:rsid w:val="001F0D48"/>
    <w:rsid w:val="001F1B3D"/>
    <w:rsid w:val="001F2B55"/>
    <w:rsid w:val="001F375E"/>
    <w:rsid w:val="001F645C"/>
    <w:rsid w:val="001F6F5B"/>
    <w:rsid w:val="001F7B1E"/>
    <w:rsid w:val="00203272"/>
    <w:rsid w:val="002036F3"/>
    <w:rsid w:val="00203DB1"/>
    <w:rsid w:val="002041C8"/>
    <w:rsid w:val="002102B8"/>
    <w:rsid w:val="002104D9"/>
    <w:rsid w:val="002108C7"/>
    <w:rsid w:val="00212BDC"/>
    <w:rsid w:val="002137F6"/>
    <w:rsid w:val="00214F91"/>
    <w:rsid w:val="00215852"/>
    <w:rsid w:val="00221DD3"/>
    <w:rsid w:val="00224576"/>
    <w:rsid w:val="00224650"/>
    <w:rsid w:val="00224F56"/>
    <w:rsid w:val="00225E40"/>
    <w:rsid w:val="00232983"/>
    <w:rsid w:val="00235C92"/>
    <w:rsid w:val="00236BB5"/>
    <w:rsid w:val="00237298"/>
    <w:rsid w:val="002378FB"/>
    <w:rsid w:val="00237B11"/>
    <w:rsid w:val="002406D2"/>
    <w:rsid w:val="002419E7"/>
    <w:rsid w:val="00242911"/>
    <w:rsid w:val="00242A7B"/>
    <w:rsid w:val="00245D33"/>
    <w:rsid w:val="00246998"/>
    <w:rsid w:val="002520E1"/>
    <w:rsid w:val="002546FC"/>
    <w:rsid w:val="0025733D"/>
    <w:rsid w:val="00257897"/>
    <w:rsid w:val="00260D08"/>
    <w:rsid w:val="00262777"/>
    <w:rsid w:val="002631B5"/>
    <w:rsid w:val="002636B5"/>
    <w:rsid w:val="0026726C"/>
    <w:rsid w:val="00267635"/>
    <w:rsid w:val="00271A26"/>
    <w:rsid w:val="00272394"/>
    <w:rsid w:val="00272903"/>
    <w:rsid w:val="002729D9"/>
    <w:rsid w:val="002745BF"/>
    <w:rsid w:val="00275CCC"/>
    <w:rsid w:val="00276491"/>
    <w:rsid w:val="00276EAE"/>
    <w:rsid w:val="00277A54"/>
    <w:rsid w:val="00277B95"/>
    <w:rsid w:val="002806E5"/>
    <w:rsid w:val="002815AE"/>
    <w:rsid w:val="00281E6D"/>
    <w:rsid w:val="00282ED3"/>
    <w:rsid w:val="002840DE"/>
    <w:rsid w:val="0029141C"/>
    <w:rsid w:val="00293E33"/>
    <w:rsid w:val="00293EA0"/>
    <w:rsid w:val="0029459F"/>
    <w:rsid w:val="00294E1F"/>
    <w:rsid w:val="0029582B"/>
    <w:rsid w:val="00296E82"/>
    <w:rsid w:val="002A23F8"/>
    <w:rsid w:val="002A385F"/>
    <w:rsid w:val="002A4CD1"/>
    <w:rsid w:val="002A4EDD"/>
    <w:rsid w:val="002A6D08"/>
    <w:rsid w:val="002A7083"/>
    <w:rsid w:val="002B2544"/>
    <w:rsid w:val="002B33EF"/>
    <w:rsid w:val="002B3894"/>
    <w:rsid w:val="002B4583"/>
    <w:rsid w:val="002B5841"/>
    <w:rsid w:val="002B5972"/>
    <w:rsid w:val="002B79CE"/>
    <w:rsid w:val="002B7A07"/>
    <w:rsid w:val="002C0058"/>
    <w:rsid w:val="002C0956"/>
    <w:rsid w:val="002C102F"/>
    <w:rsid w:val="002C1EB2"/>
    <w:rsid w:val="002C5DFB"/>
    <w:rsid w:val="002D0747"/>
    <w:rsid w:val="002D3196"/>
    <w:rsid w:val="002D6B3F"/>
    <w:rsid w:val="002E1DCA"/>
    <w:rsid w:val="002E1E61"/>
    <w:rsid w:val="002E25EB"/>
    <w:rsid w:val="002E309A"/>
    <w:rsid w:val="002E37B6"/>
    <w:rsid w:val="002E4BAD"/>
    <w:rsid w:val="002E5DE0"/>
    <w:rsid w:val="002E77CA"/>
    <w:rsid w:val="002F0B29"/>
    <w:rsid w:val="002F482C"/>
    <w:rsid w:val="002F4D69"/>
    <w:rsid w:val="002F5BF5"/>
    <w:rsid w:val="002F7391"/>
    <w:rsid w:val="00300BC6"/>
    <w:rsid w:val="00301425"/>
    <w:rsid w:val="003017BE"/>
    <w:rsid w:val="0030187D"/>
    <w:rsid w:val="00303130"/>
    <w:rsid w:val="00304232"/>
    <w:rsid w:val="003057AE"/>
    <w:rsid w:val="00305928"/>
    <w:rsid w:val="00311E45"/>
    <w:rsid w:val="0031334B"/>
    <w:rsid w:val="0031382E"/>
    <w:rsid w:val="00322075"/>
    <w:rsid w:val="00326BE5"/>
    <w:rsid w:val="003274A8"/>
    <w:rsid w:val="00327D8A"/>
    <w:rsid w:val="0033118F"/>
    <w:rsid w:val="0033639D"/>
    <w:rsid w:val="00337EE5"/>
    <w:rsid w:val="00340E2E"/>
    <w:rsid w:val="00340EA6"/>
    <w:rsid w:val="00340F08"/>
    <w:rsid w:val="00342B33"/>
    <w:rsid w:val="00343425"/>
    <w:rsid w:val="00343921"/>
    <w:rsid w:val="00344282"/>
    <w:rsid w:val="0034610D"/>
    <w:rsid w:val="0034741A"/>
    <w:rsid w:val="00351C52"/>
    <w:rsid w:val="00353910"/>
    <w:rsid w:val="003541E8"/>
    <w:rsid w:val="00354A22"/>
    <w:rsid w:val="00357E8B"/>
    <w:rsid w:val="00362134"/>
    <w:rsid w:val="003634DD"/>
    <w:rsid w:val="00363579"/>
    <w:rsid w:val="00363C72"/>
    <w:rsid w:val="00367786"/>
    <w:rsid w:val="00370DB5"/>
    <w:rsid w:val="0037141B"/>
    <w:rsid w:val="0037224D"/>
    <w:rsid w:val="00374AF5"/>
    <w:rsid w:val="00376093"/>
    <w:rsid w:val="00377C7C"/>
    <w:rsid w:val="00382D1E"/>
    <w:rsid w:val="0038369F"/>
    <w:rsid w:val="00383D7C"/>
    <w:rsid w:val="003879DF"/>
    <w:rsid w:val="00390D0A"/>
    <w:rsid w:val="0039504C"/>
    <w:rsid w:val="003955FC"/>
    <w:rsid w:val="00397C1B"/>
    <w:rsid w:val="003A0F7D"/>
    <w:rsid w:val="003A19D6"/>
    <w:rsid w:val="003A346C"/>
    <w:rsid w:val="003A547B"/>
    <w:rsid w:val="003B0803"/>
    <w:rsid w:val="003B0A1E"/>
    <w:rsid w:val="003B0E76"/>
    <w:rsid w:val="003B125F"/>
    <w:rsid w:val="003B1A98"/>
    <w:rsid w:val="003B324C"/>
    <w:rsid w:val="003B3402"/>
    <w:rsid w:val="003B3D41"/>
    <w:rsid w:val="003B61D0"/>
    <w:rsid w:val="003C0792"/>
    <w:rsid w:val="003C14ED"/>
    <w:rsid w:val="003C1578"/>
    <w:rsid w:val="003C1691"/>
    <w:rsid w:val="003C23DE"/>
    <w:rsid w:val="003C24D0"/>
    <w:rsid w:val="003C7A04"/>
    <w:rsid w:val="003D1955"/>
    <w:rsid w:val="003D3468"/>
    <w:rsid w:val="003D4EA5"/>
    <w:rsid w:val="003D5948"/>
    <w:rsid w:val="003D629D"/>
    <w:rsid w:val="003D7D4A"/>
    <w:rsid w:val="003E0537"/>
    <w:rsid w:val="003E1E77"/>
    <w:rsid w:val="003E225E"/>
    <w:rsid w:val="003E22FC"/>
    <w:rsid w:val="003E57F8"/>
    <w:rsid w:val="003E689D"/>
    <w:rsid w:val="003E7E12"/>
    <w:rsid w:val="003F2116"/>
    <w:rsid w:val="003F2693"/>
    <w:rsid w:val="003F68EA"/>
    <w:rsid w:val="003F6C2D"/>
    <w:rsid w:val="0040129F"/>
    <w:rsid w:val="00402C1C"/>
    <w:rsid w:val="00402CED"/>
    <w:rsid w:val="00403F51"/>
    <w:rsid w:val="00404E95"/>
    <w:rsid w:val="00406A3E"/>
    <w:rsid w:val="00411188"/>
    <w:rsid w:val="00416765"/>
    <w:rsid w:val="004261DB"/>
    <w:rsid w:val="00426566"/>
    <w:rsid w:val="004273B8"/>
    <w:rsid w:val="00427D2E"/>
    <w:rsid w:val="0043191F"/>
    <w:rsid w:val="00433ADF"/>
    <w:rsid w:val="0043436F"/>
    <w:rsid w:val="00437695"/>
    <w:rsid w:val="00437BA1"/>
    <w:rsid w:val="00437CBA"/>
    <w:rsid w:val="00437F03"/>
    <w:rsid w:val="004437B3"/>
    <w:rsid w:val="004471CE"/>
    <w:rsid w:val="00447AA8"/>
    <w:rsid w:val="00450357"/>
    <w:rsid w:val="00452BEB"/>
    <w:rsid w:val="00453A54"/>
    <w:rsid w:val="00454284"/>
    <w:rsid w:val="0045517A"/>
    <w:rsid w:val="00456404"/>
    <w:rsid w:val="0045700F"/>
    <w:rsid w:val="00464707"/>
    <w:rsid w:val="0046505B"/>
    <w:rsid w:val="00466743"/>
    <w:rsid w:val="00466E15"/>
    <w:rsid w:val="00467644"/>
    <w:rsid w:val="00472449"/>
    <w:rsid w:val="00476144"/>
    <w:rsid w:val="00476F8B"/>
    <w:rsid w:val="0048134B"/>
    <w:rsid w:val="00481707"/>
    <w:rsid w:val="004829D0"/>
    <w:rsid w:val="0048765D"/>
    <w:rsid w:val="00491998"/>
    <w:rsid w:val="00493C8E"/>
    <w:rsid w:val="004A054B"/>
    <w:rsid w:val="004A0D98"/>
    <w:rsid w:val="004A19A3"/>
    <w:rsid w:val="004A4EA1"/>
    <w:rsid w:val="004A59D9"/>
    <w:rsid w:val="004A5B88"/>
    <w:rsid w:val="004A69DF"/>
    <w:rsid w:val="004A789E"/>
    <w:rsid w:val="004B0659"/>
    <w:rsid w:val="004B128D"/>
    <w:rsid w:val="004B2D77"/>
    <w:rsid w:val="004C24D3"/>
    <w:rsid w:val="004C2506"/>
    <w:rsid w:val="004C3CE8"/>
    <w:rsid w:val="004C3FD6"/>
    <w:rsid w:val="004C61EA"/>
    <w:rsid w:val="004D08CE"/>
    <w:rsid w:val="004D47D9"/>
    <w:rsid w:val="004D52E9"/>
    <w:rsid w:val="004E0192"/>
    <w:rsid w:val="004E025A"/>
    <w:rsid w:val="004E320F"/>
    <w:rsid w:val="004E35A3"/>
    <w:rsid w:val="004E4C3C"/>
    <w:rsid w:val="004E6C7A"/>
    <w:rsid w:val="004E6E14"/>
    <w:rsid w:val="004F0388"/>
    <w:rsid w:val="004F2FDE"/>
    <w:rsid w:val="004F3FEF"/>
    <w:rsid w:val="004F4155"/>
    <w:rsid w:val="004F5BAE"/>
    <w:rsid w:val="004F5DC7"/>
    <w:rsid w:val="004F641F"/>
    <w:rsid w:val="004F6459"/>
    <w:rsid w:val="004F6A6B"/>
    <w:rsid w:val="004F72F7"/>
    <w:rsid w:val="00503BDE"/>
    <w:rsid w:val="00503F64"/>
    <w:rsid w:val="00505C16"/>
    <w:rsid w:val="00507010"/>
    <w:rsid w:val="00510C33"/>
    <w:rsid w:val="00511097"/>
    <w:rsid w:val="00511181"/>
    <w:rsid w:val="00513CDE"/>
    <w:rsid w:val="0052206D"/>
    <w:rsid w:val="0052263F"/>
    <w:rsid w:val="00522C7C"/>
    <w:rsid w:val="00522DC5"/>
    <w:rsid w:val="0052325C"/>
    <w:rsid w:val="00524A35"/>
    <w:rsid w:val="00524A47"/>
    <w:rsid w:val="00525AF3"/>
    <w:rsid w:val="00531B55"/>
    <w:rsid w:val="0053278B"/>
    <w:rsid w:val="0054110B"/>
    <w:rsid w:val="0054415C"/>
    <w:rsid w:val="0054416C"/>
    <w:rsid w:val="00544701"/>
    <w:rsid w:val="00551EE5"/>
    <w:rsid w:val="0055293B"/>
    <w:rsid w:val="005536DF"/>
    <w:rsid w:val="00557A8F"/>
    <w:rsid w:val="005609C4"/>
    <w:rsid w:val="005614D6"/>
    <w:rsid w:val="00562BBE"/>
    <w:rsid w:val="00562DAE"/>
    <w:rsid w:val="00570FC1"/>
    <w:rsid w:val="00573732"/>
    <w:rsid w:val="0057385A"/>
    <w:rsid w:val="00574E59"/>
    <w:rsid w:val="00576D51"/>
    <w:rsid w:val="00580AC1"/>
    <w:rsid w:val="00581992"/>
    <w:rsid w:val="005842A4"/>
    <w:rsid w:val="005855E7"/>
    <w:rsid w:val="005861E6"/>
    <w:rsid w:val="00586C54"/>
    <w:rsid w:val="00590384"/>
    <w:rsid w:val="005907C3"/>
    <w:rsid w:val="005908D2"/>
    <w:rsid w:val="00591C99"/>
    <w:rsid w:val="00592092"/>
    <w:rsid w:val="00592454"/>
    <w:rsid w:val="00593959"/>
    <w:rsid w:val="005939A7"/>
    <w:rsid w:val="00593AB5"/>
    <w:rsid w:val="005948AF"/>
    <w:rsid w:val="005958C1"/>
    <w:rsid w:val="00595E64"/>
    <w:rsid w:val="005965E9"/>
    <w:rsid w:val="00597470"/>
    <w:rsid w:val="005A1292"/>
    <w:rsid w:val="005A1FF2"/>
    <w:rsid w:val="005A599B"/>
    <w:rsid w:val="005A64F7"/>
    <w:rsid w:val="005B1791"/>
    <w:rsid w:val="005B1D3D"/>
    <w:rsid w:val="005B5B68"/>
    <w:rsid w:val="005C341C"/>
    <w:rsid w:val="005C3787"/>
    <w:rsid w:val="005C3AB7"/>
    <w:rsid w:val="005C51F7"/>
    <w:rsid w:val="005D1812"/>
    <w:rsid w:val="005D206A"/>
    <w:rsid w:val="005D2679"/>
    <w:rsid w:val="005D48CA"/>
    <w:rsid w:val="005D5A16"/>
    <w:rsid w:val="005E0661"/>
    <w:rsid w:val="005E09F7"/>
    <w:rsid w:val="005E110A"/>
    <w:rsid w:val="005E306B"/>
    <w:rsid w:val="005E4329"/>
    <w:rsid w:val="005F0138"/>
    <w:rsid w:val="005F23D4"/>
    <w:rsid w:val="005F3083"/>
    <w:rsid w:val="005F4643"/>
    <w:rsid w:val="005F4C60"/>
    <w:rsid w:val="005F5D29"/>
    <w:rsid w:val="005F68AC"/>
    <w:rsid w:val="005F7F10"/>
    <w:rsid w:val="006009AE"/>
    <w:rsid w:val="00601D0E"/>
    <w:rsid w:val="006046F8"/>
    <w:rsid w:val="00604ECF"/>
    <w:rsid w:val="00605EEE"/>
    <w:rsid w:val="006065D3"/>
    <w:rsid w:val="00606741"/>
    <w:rsid w:val="00606889"/>
    <w:rsid w:val="00607B24"/>
    <w:rsid w:val="006103E3"/>
    <w:rsid w:val="006142CB"/>
    <w:rsid w:val="0061493C"/>
    <w:rsid w:val="00615237"/>
    <w:rsid w:val="00617167"/>
    <w:rsid w:val="00617543"/>
    <w:rsid w:val="00621713"/>
    <w:rsid w:val="00623C0D"/>
    <w:rsid w:val="00626085"/>
    <w:rsid w:val="006266C6"/>
    <w:rsid w:val="00626DE6"/>
    <w:rsid w:val="00627040"/>
    <w:rsid w:val="00627E5C"/>
    <w:rsid w:val="006300DE"/>
    <w:rsid w:val="0063048A"/>
    <w:rsid w:val="00631A55"/>
    <w:rsid w:val="00635547"/>
    <w:rsid w:val="0063614D"/>
    <w:rsid w:val="00640477"/>
    <w:rsid w:val="006445AD"/>
    <w:rsid w:val="0064732F"/>
    <w:rsid w:val="00647418"/>
    <w:rsid w:val="00647AEA"/>
    <w:rsid w:val="00650720"/>
    <w:rsid w:val="00651944"/>
    <w:rsid w:val="0065257F"/>
    <w:rsid w:val="006534C6"/>
    <w:rsid w:val="006623F2"/>
    <w:rsid w:val="00662DD9"/>
    <w:rsid w:val="006636A6"/>
    <w:rsid w:val="00664DC3"/>
    <w:rsid w:val="00665C05"/>
    <w:rsid w:val="0066629F"/>
    <w:rsid w:val="00667ADE"/>
    <w:rsid w:val="00675410"/>
    <w:rsid w:val="00681510"/>
    <w:rsid w:val="00681ADC"/>
    <w:rsid w:val="006846A9"/>
    <w:rsid w:val="006851A5"/>
    <w:rsid w:val="00687704"/>
    <w:rsid w:val="006A1904"/>
    <w:rsid w:val="006A32AA"/>
    <w:rsid w:val="006A44C1"/>
    <w:rsid w:val="006A4999"/>
    <w:rsid w:val="006A50BD"/>
    <w:rsid w:val="006A5F06"/>
    <w:rsid w:val="006A727F"/>
    <w:rsid w:val="006B28C4"/>
    <w:rsid w:val="006B2F38"/>
    <w:rsid w:val="006C3D70"/>
    <w:rsid w:val="006C60D1"/>
    <w:rsid w:val="006C7D95"/>
    <w:rsid w:val="006D0A5C"/>
    <w:rsid w:val="006D0B5D"/>
    <w:rsid w:val="006D5E01"/>
    <w:rsid w:val="006D6479"/>
    <w:rsid w:val="006D749A"/>
    <w:rsid w:val="006E00EA"/>
    <w:rsid w:val="006E0975"/>
    <w:rsid w:val="006E0AC6"/>
    <w:rsid w:val="006E1935"/>
    <w:rsid w:val="006E39EC"/>
    <w:rsid w:val="006E4FE9"/>
    <w:rsid w:val="006E7459"/>
    <w:rsid w:val="006F011A"/>
    <w:rsid w:val="006F22F7"/>
    <w:rsid w:val="006F4862"/>
    <w:rsid w:val="006F4C8C"/>
    <w:rsid w:val="006F4D67"/>
    <w:rsid w:val="006F778E"/>
    <w:rsid w:val="006F7A60"/>
    <w:rsid w:val="00700626"/>
    <w:rsid w:val="007022CD"/>
    <w:rsid w:val="007045F7"/>
    <w:rsid w:val="007055F7"/>
    <w:rsid w:val="00707DCF"/>
    <w:rsid w:val="00707FEF"/>
    <w:rsid w:val="00711188"/>
    <w:rsid w:val="00711584"/>
    <w:rsid w:val="00713A6E"/>
    <w:rsid w:val="007163AA"/>
    <w:rsid w:val="007172FD"/>
    <w:rsid w:val="00717714"/>
    <w:rsid w:val="00725AA7"/>
    <w:rsid w:val="0072722A"/>
    <w:rsid w:val="007273F0"/>
    <w:rsid w:val="007304CB"/>
    <w:rsid w:val="00732357"/>
    <w:rsid w:val="007332AD"/>
    <w:rsid w:val="00735B89"/>
    <w:rsid w:val="0074067F"/>
    <w:rsid w:val="00740F62"/>
    <w:rsid w:val="007424D8"/>
    <w:rsid w:val="00742978"/>
    <w:rsid w:val="00742EA5"/>
    <w:rsid w:val="00742F88"/>
    <w:rsid w:val="00744FCB"/>
    <w:rsid w:val="00745491"/>
    <w:rsid w:val="00745527"/>
    <w:rsid w:val="007460C3"/>
    <w:rsid w:val="00746205"/>
    <w:rsid w:val="00746C7E"/>
    <w:rsid w:val="007506D8"/>
    <w:rsid w:val="00750DB6"/>
    <w:rsid w:val="00755059"/>
    <w:rsid w:val="00755E64"/>
    <w:rsid w:val="00756BEE"/>
    <w:rsid w:val="00757531"/>
    <w:rsid w:val="0076073C"/>
    <w:rsid w:val="00760F83"/>
    <w:rsid w:val="00761C8D"/>
    <w:rsid w:val="007625E7"/>
    <w:rsid w:val="0076357D"/>
    <w:rsid w:val="00764418"/>
    <w:rsid w:val="00765927"/>
    <w:rsid w:val="00773D41"/>
    <w:rsid w:val="007745AD"/>
    <w:rsid w:val="00774617"/>
    <w:rsid w:val="00776FB8"/>
    <w:rsid w:val="00780E42"/>
    <w:rsid w:val="007846EA"/>
    <w:rsid w:val="00784997"/>
    <w:rsid w:val="00786B66"/>
    <w:rsid w:val="0079221C"/>
    <w:rsid w:val="00796B12"/>
    <w:rsid w:val="007A0937"/>
    <w:rsid w:val="007A5674"/>
    <w:rsid w:val="007A6995"/>
    <w:rsid w:val="007A72F5"/>
    <w:rsid w:val="007B37DA"/>
    <w:rsid w:val="007B4CDE"/>
    <w:rsid w:val="007C03C6"/>
    <w:rsid w:val="007C08A7"/>
    <w:rsid w:val="007C213F"/>
    <w:rsid w:val="007C4108"/>
    <w:rsid w:val="007C5003"/>
    <w:rsid w:val="007C7864"/>
    <w:rsid w:val="007C79D1"/>
    <w:rsid w:val="007D0224"/>
    <w:rsid w:val="007D5DE0"/>
    <w:rsid w:val="007E2540"/>
    <w:rsid w:val="007E42E6"/>
    <w:rsid w:val="007F0969"/>
    <w:rsid w:val="007F40E0"/>
    <w:rsid w:val="007F504F"/>
    <w:rsid w:val="007F5333"/>
    <w:rsid w:val="007F6C6C"/>
    <w:rsid w:val="00800903"/>
    <w:rsid w:val="0080190D"/>
    <w:rsid w:val="00803443"/>
    <w:rsid w:val="00805EFE"/>
    <w:rsid w:val="00810038"/>
    <w:rsid w:val="00811EA3"/>
    <w:rsid w:val="0081505B"/>
    <w:rsid w:val="008160F0"/>
    <w:rsid w:val="008207A6"/>
    <w:rsid w:val="00821D09"/>
    <w:rsid w:val="0082440D"/>
    <w:rsid w:val="00825324"/>
    <w:rsid w:val="00833ACD"/>
    <w:rsid w:val="00834D8C"/>
    <w:rsid w:val="00840056"/>
    <w:rsid w:val="008424C7"/>
    <w:rsid w:val="0084448C"/>
    <w:rsid w:val="00846186"/>
    <w:rsid w:val="00852E1F"/>
    <w:rsid w:val="00854A74"/>
    <w:rsid w:val="00855664"/>
    <w:rsid w:val="008565A7"/>
    <w:rsid w:val="00856E01"/>
    <w:rsid w:val="00857222"/>
    <w:rsid w:val="008579AF"/>
    <w:rsid w:val="00860498"/>
    <w:rsid w:val="0086194A"/>
    <w:rsid w:val="00861FE4"/>
    <w:rsid w:val="0086440B"/>
    <w:rsid w:val="0086502F"/>
    <w:rsid w:val="008664BE"/>
    <w:rsid w:val="008670E9"/>
    <w:rsid w:val="0087052C"/>
    <w:rsid w:val="008735CD"/>
    <w:rsid w:val="00875E54"/>
    <w:rsid w:val="00875F47"/>
    <w:rsid w:val="00876233"/>
    <w:rsid w:val="0088025E"/>
    <w:rsid w:val="008842A2"/>
    <w:rsid w:val="00887248"/>
    <w:rsid w:val="00887CC1"/>
    <w:rsid w:val="00890895"/>
    <w:rsid w:val="00892E16"/>
    <w:rsid w:val="00893253"/>
    <w:rsid w:val="008934E0"/>
    <w:rsid w:val="00896094"/>
    <w:rsid w:val="008965FB"/>
    <w:rsid w:val="00897680"/>
    <w:rsid w:val="008A0420"/>
    <w:rsid w:val="008A0FB0"/>
    <w:rsid w:val="008A16B3"/>
    <w:rsid w:val="008A1D78"/>
    <w:rsid w:val="008A40F0"/>
    <w:rsid w:val="008A4FBE"/>
    <w:rsid w:val="008A5186"/>
    <w:rsid w:val="008A6E78"/>
    <w:rsid w:val="008A7A77"/>
    <w:rsid w:val="008B006E"/>
    <w:rsid w:val="008B608B"/>
    <w:rsid w:val="008C27CD"/>
    <w:rsid w:val="008C4786"/>
    <w:rsid w:val="008D1340"/>
    <w:rsid w:val="008D1436"/>
    <w:rsid w:val="008D20E8"/>
    <w:rsid w:val="008D29F2"/>
    <w:rsid w:val="008D4068"/>
    <w:rsid w:val="008D70C8"/>
    <w:rsid w:val="008D7AC0"/>
    <w:rsid w:val="008E06DA"/>
    <w:rsid w:val="008E0AAE"/>
    <w:rsid w:val="008E3968"/>
    <w:rsid w:val="008E49A5"/>
    <w:rsid w:val="008E658A"/>
    <w:rsid w:val="008E7352"/>
    <w:rsid w:val="008F0A2F"/>
    <w:rsid w:val="008F0AA0"/>
    <w:rsid w:val="008F1A30"/>
    <w:rsid w:val="008F265A"/>
    <w:rsid w:val="008F268F"/>
    <w:rsid w:val="008F3515"/>
    <w:rsid w:val="008F3CE5"/>
    <w:rsid w:val="008F4DCB"/>
    <w:rsid w:val="009003FF"/>
    <w:rsid w:val="009007A8"/>
    <w:rsid w:val="0090366E"/>
    <w:rsid w:val="00904EB8"/>
    <w:rsid w:val="00906633"/>
    <w:rsid w:val="009156BD"/>
    <w:rsid w:val="00916989"/>
    <w:rsid w:val="009175FE"/>
    <w:rsid w:val="009252EE"/>
    <w:rsid w:val="00926FB5"/>
    <w:rsid w:val="0092727E"/>
    <w:rsid w:val="009279BC"/>
    <w:rsid w:val="009319D8"/>
    <w:rsid w:val="009333A1"/>
    <w:rsid w:val="00933FDC"/>
    <w:rsid w:val="009345AD"/>
    <w:rsid w:val="00934CA2"/>
    <w:rsid w:val="009365B2"/>
    <w:rsid w:val="00941688"/>
    <w:rsid w:val="00944A58"/>
    <w:rsid w:val="00946CB6"/>
    <w:rsid w:val="00947063"/>
    <w:rsid w:val="00947EF9"/>
    <w:rsid w:val="0095171E"/>
    <w:rsid w:val="00952071"/>
    <w:rsid w:val="00953B77"/>
    <w:rsid w:val="00953D02"/>
    <w:rsid w:val="009551D2"/>
    <w:rsid w:val="00956080"/>
    <w:rsid w:val="00957BDA"/>
    <w:rsid w:val="00962D6A"/>
    <w:rsid w:val="009660FA"/>
    <w:rsid w:val="00966614"/>
    <w:rsid w:val="00967803"/>
    <w:rsid w:val="00970DA6"/>
    <w:rsid w:val="0097258B"/>
    <w:rsid w:val="009726DE"/>
    <w:rsid w:val="00972967"/>
    <w:rsid w:val="00975726"/>
    <w:rsid w:val="00980615"/>
    <w:rsid w:val="00982211"/>
    <w:rsid w:val="009824A5"/>
    <w:rsid w:val="0098262A"/>
    <w:rsid w:val="00983876"/>
    <w:rsid w:val="00983973"/>
    <w:rsid w:val="009861A4"/>
    <w:rsid w:val="00986FA1"/>
    <w:rsid w:val="00990EDA"/>
    <w:rsid w:val="00993EE8"/>
    <w:rsid w:val="0099442B"/>
    <w:rsid w:val="0099465D"/>
    <w:rsid w:val="00994E50"/>
    <w:rsid w:val="0099662E"/>
    <w:rsid w:val="00996B54"/>
    <w:rsid w:val="00997125"/>
    <w:rsid w:val="00997C1A"/>
    <w:rsid w:val="00997E2E"/>
    <w:rsid w:val="009A0C9C"/>
    <w:rsid w:val="009A3374"/>
    <w:rsid w:val="009A3E5C"/>
    <w:rsid w:val="009A7686"/>
    <w:rsid w:val="009A7F77"/>
    <w:rsid w:val="009B47B3"/>
    <w:rsid w:val="009C0ABD"/>
    <w:rsid w:val="009C0B38"/>
    <w:rsid w:val="009C2743"/>
    <w:rsid w:val="009C3B95"/>
    <w:rsid w:val="009C58EA"/>
    <w:rsid w:val="009C6A28"/>
    <w:rsid w:val="009C6FF8"/>
    <w:rsid w:val="009D092A"/>
    <w:rsid w:val="009D0F4A"/>
    <w:rsid w:val="009D31C6"/>
    <w:rsid w:val="009D3892"/>
    <w:rsid w:val="009D67B7"/>
    <w:rsid w:val="009D755D"/>
    <w:rsid w:val="009E0739"/>
    <w:rsid w:val="009E13A4"/>
    <w:rsid w:val="009E1704"/>
    <w:rsid w:val="009E1DD5"/>
    <w:rsid w:val="009E2171"/>
    <w:rsid w:val="009E3D06"/>
    <w:rsid w:val="009E4AA4"/>
    <w:rsid w:val="009E5237"/>
    <w:rsid w:val="009E6A92"/>
    <w:rsid w:val="009E7C58"/>
    <w:rsid w:val="009F016C"/>
    <w:rsid w:val="009F05B2"/>
    <w:rsid w:val="009F28F0"/>
    <w:rsid w:val="009F33FC"/>
    <w:rsid w:val="009F3690"/>
    <w:rsid w:val="009F4413"/>
    <w:rsid w:val="00A00FC6"/>
    <w:rsid w:val="00A01AE3"/>
    <w:rsid w:val="00A03B39"/>
    <w:rsid w:val="00A067FA"/>
    <w:rsid w:val="00A11461"/>
    <w:rsid w:val="00A13E1F"/>
    <w:rsid w:val="00A14B5D"/>
    <w:rsid w:val="00A15CBF"/>
    <w:rsid w:val="00A2098B"/>
    <w:rsid w:val="00A25216"/>
    <w:rsid w:val="00A25DCA"/>
    <w:rsid w:val="00A26018"/>
    <w:rsid w:val="00A36EA1"/>
    <w:rsid w:val="00A36EE9"/>
    <w:rsid w:val="00A37D63"/>
    <w:rsid w:val="00A4198D"/>
    <w:rsid w:val="00A444FB"/>
    <w:rsid w:val="00A4495C"/>
    <w:rsid w:val="00A44C18"/>
    <w:rsid w:val="00A4559D"/>
    <w:rsid w:val="00A45D9F"/>
    <w:rsid w:val="00A45F0C"/>
    <w:rsid w:val="00A50ABE"/>
    <w:rsid w:val="00A51702"/>
    <w:rsid w:val="00A5181E"/>
    <w:rsid w:val="00A52CC1"/>
    <w:rsid w:val="00A577B8"/>
    <w:rsid w:val="00A620CC"/>
    <w:rsid w:val="00A63ADE"/>
    <w:rsid w:val="00A63F16"/>
    <w:rsid w:val="00A658A9"/>
    <w:rsid w:val="00A66403"/>
    <w:rsid w:val="00A66C7E"/>
    <w:rsid w:val="00A67531"/>
    <w:rsid w:val="00A7100B"/>
    <w:rsid w:val="00A7120D"/>
    <w:rsid w:val="00A7130A"/>
    <w:rsid w:val="00A71AE7"/>
    <w:rsid w:val="00A7471C"/>
    <w:rsid w:val="00A749D9"/>
    <w:rsid w:val="00A75489"/>
    <w:rsid w:val="00A77832"/>
    <w:rsid w:val="00A806FE"/>
    <w:rsid w:val="00A81ABD"/>
    <w:rsid w:val="00A822BF"/>
    <w:rsid w:val="00A844EF"/>
    <w:rsid w:val="00A85C38"/>
    <w:rsid w:val="00A868CB"/>
    <w:rsid w:val="00A87974"/>
    <w:rsid w:val="00A91E45"/>
    <w:rsid w:val="00A94AEF"/>
    <w:rsid w:val="00A9565C"/>
    <w:rsid w:val="00A95C1C"/>
    <w:rsid w:val="00AA09DF"/>
    <w:rsid w:val="00AA141F"/>
    <w:rsid w:val="00AA1547"/>
    <w:rsid w:val="00AA1598"/>
    <w:rsid w:val="00AA2FE2"/>
    <w:rsid w:val="00AA4283"/>
    <w:rsid w:val="00AA4E6A"/>
    <w:rsid w:val="00AA575B"/>
    <w:rsid w:val="00AA7BC0"/>
    <w:rsid w:val="00AB0087"/>
    <w:rsid w:val="00AB38B5"/>
    <w:rsid w:val="00AB6870"/>
    <w:rsid w:val="00AC3499"/>
    <w:rsid w:val="00AC5241"/>
    <w:rsid w:val="00AC58A1"/>
    <w:rsid w:val="00AC6B3A"/>
    <w:rsid w:val="00AC7521"/>
    <w:rsid w:val="00AC7E6D"/>
    <w:rsid w:val="00AD17F1"/>
    <w:rsid w:val="00AD3607"/>
    <w:rsid w:val="00AD38E2"/>
    <w:rsid w:val="00AD62F6"/>
    <w:rsid w:val="00AD7CEB"/>
    <w:rsid w:val="00AE09E2"/>
    <w:rsid w:val="00AE1898"/>
    <w:rsid w:val="00AE3CB2"/>
    <w:rsid w:val="00AE6F79"/>
    <w:rsid w:val="00AF0145"/>
    <w:rsid w:val="00AF0EF3"/>
    <w:rsid w:val="00AF38F4"/>
    <w:rsid w:val="00AF4BDF"/>
    <w:rsid w:val="00AF616A"/>
    <w:rsid w:val="00B014D6"/>
    <w:rsid w:val="00B017CE"/>
    <w:rsid w:val="00B017DF"/>
    <w:rsid w:val="00B028E2"/>
    <w:rsid w:val="00B109EF"/>
    <w:rsid w:val="00B1234C"/>
    <w:rsid w:val="00B127E3"/>
    <w:rsid w:val="00B13B74"/>
    <w:rsid w:val="00B1472D"/>
    <w:rsid w:val="00B15208"/>
    <w:rsid w:val="00B162D8"/>
    <w:rsid w:val="00B17A81"/>
    <w:rsid w:val="00B17E76"/>
    <w:rsid w:val="00B2143B"/>
    <w:rsid w:val="00B22411"/>
    <w:rsid w:val="00B228A8"/>
    <w:rsid w:val="00B307CD"/>
    <w:rsid w:val="00B30AB5"/>
    <w:rsid w:val="00B3186B"/>
    <w:rsid w:val="00B32862"/>
    <w:rsid w:val="00B32F28"/>
    <w:rsid w:val="00B3381D"/>
    <w:rsid w:val="00B3382E"/>
    <w:rsid w:val="00B341C6"/>
    <w:rsid w:val="00B35434"/>
    <w:rsid w:val="00B35C7A"/>
    <w:rsid w:val="00B36053"/>
    <w:rsid w:val="00B36865"/>
    <w:rsid w:val="00B37065"/>
    <w:rsid w:val="00B42036"/>
    <w:rsid w:val="00B435D9"/>
    <w:rsid w:val="00B473D3"/>
    <w:rsid w:val="00B51A0F"/>
    <w:rsid w:val="00B52B94"/>
    <w:rsid w:val="00B52C7C"/>
    <w:rsid w:val="00B53B55"/>
    <w:rsid w:val="00B53CB9"/>
    <w:rsid w:val="00B57322"/>
    <w:rsid w:val="00B57973"/>
    <w:rsid w:val="00B6044D"/>
    <w:rsid w:val="00B61244"/>
    <w:rsid w:val="00B62EE0"/>
    <w:rsid w:val="00B63516"/>
    <w:rsid w:val="00B64B7A"/>
    <w:rsid w:val="00B64C3C"/>
    <w:rsid w:val="00B6603C"/>
    <w:rsid w:val="00B6650E"/>
    <w:rsid w:val="00B66D17"/>
    <w:rsid w:val="00B722BF"/>
    <w:rsid w:val="00B7383F"/>
    <w:rsid w:val="00B74576"/>
    <w:rsid w:val="00B75132"/>
    <w:rsid w:val="00B75368"/>
    <w:rsid w:val="00B756EB"/>
    <w:rsid w:val="00B76D62"/>
    <w:rsid w:val="00B84901"/>
    <w:rsid w:val="00B91A15"/>
    <w:rsid w:val="00B92274"/>
    <w:rsid w:val="00B946C1"/>
    <w:rsid w:val="00B96A20"/>
    <w:rsid w:val="00B97AC5"/>
    <w:rsid w:val="00BA4990"/>
    <w:rsid w:val="00BA5F93"/>
    <w:rsid w:val="00BB033B"/>
    <w:rsid w:val="00BB19EC"/>
    <w:rsid w:val="00BB7DC3"/>
    <w:rsid w:val="00BC51E6"/>
    <w:rsid w:val="00BC557B"/>
    <w:rsid w:val="00BC5704"/>
    <w:rsid w:val="00BC5BB1"/>
    <w:rsid w:val="00BC6486"/>
    <w:rsid w:val="00BC6582"/>
    <w:rsid w:val="00BD1172"/>
    <w:rsid w:val="00BD11CB"/>
    <w:rsid w:val="00BD24F6"/>
    <w:rsid w:val="00BD2F8F"/>
    <w:rsid w:val="00BD327C"/>
    <w:rsid w:val="00BD57E4"/>
    <w:rsid w:val="00BD6D72"/>
    <w:rsid w:val="00BE09E5"/>
    <w:rsid w:val="00BE1682"/>
    <w:rsid w:val="00BE22C8"/>
    <w:rsid w:val="00BE3F5D"/>
    <w:rsid w:val="00BE4635"/>
    <w:rsid w:val="00BE6B53"/>
    <w:rsid w:val="00BE7984"/>
    <w:rsid w:val="00BF1852"/>
    <w:rsid w:val="00BF1940"/>
    <w:rsid w:val="00BF5DF2"/>
    <w:rsid w:val="00BF7EB1"/>
    <w:rsid w:val="00C02081"/>
    <w:rsid w:val="00C025F8"/>
    <w:rsid w:val="00C03098"/>
    <w:rsid w:val="00C03E0E"/>
    <w:rsid w:val="00C04739"/>
    <w:rsid w:val="00C04BFF"/>
    <w:rsid w:val="00C06AFA"/>
    <w:rsid w:val="00C11CD9"/>
    <w:rsid w:val="00C13808"/>
    <w:rsid w:val="00C13F17"/>
    <w:rsid w:val="00C17032"/>
    <w:rsid w:val="00C1716C"/>
    <w:rsid w:val="00C171D8"/>
    <w:rsid w:val="00C205B9"/>
    <w:rsid w:val="00C20C78"/>
    <w:rsid w:val="00C212C0"/>
    <w:rsid w:val="00C278B6"/>
    <w:rsid w:val="00C27FE8"/>
    <w:rsid w:val="00C309F5"/>
    <w:rsid w:val="00C33E7E"/>
    <w:rsid w:val="00C34D18"/>
    <w:rsid w:val="00C355E4"/>
    <w:rsid w:val="00C40793"/>
    <w:rsid w:val="00C419A2"/>
    <w:rsid w:val="00C51656"/>
    <w:rsid w:val="00C55818"/>
    <w:rsid w:val="00C57060"/>
    <w:rsid w:val="00C57FF2"/>
    <w:rsid w:val="00C60269"/>
    <w:rsid w:val="00C60614"/>
    <w:rsid w:val="00C63213"/>
    <w:rsid w:val="00C63969"/>
    <w:rsid w:val="00C65AB2"/>
    <w:rsid w:val="00C6675A"/>
    <w:rsid w:val="00C718DD"/>
    <w:rsid w:val="00C71D47"/>
    <w:rsid w:val="00C720BB"/>
    <w:rsid w:val="00C72105"/>
    <w:rsid w:val="00C72A6C"/>
    <w:rsid w:val="00C72FA7"/>
    <w:rsid w:val="00C76BC1"/>
    <w:rsid w:val="00C83152"/>
    <w:rsid w:val="00C911FE"/>
    <w:rsid w:val="00C9145E"/>
    <w:rsid w:val="00C92443"/>
    <w:rsid w:val="00C92AB5"/>
    <w:rsid w:val="00CA326E"/>
    <w:rsid w:val="00CA4725"/>
    <w:rsid w:val="00CA552C"/>
    <w:rsid w:val="00CA55D2"/>
    <w:rsid w:val="00CB14CD"/>
    <w:rsid w:val="00CB1EA4"/>
    <w:rsid w:val="00CB3163"/>
    <w:rsid w:val="00CB433D"/>
    <w:rsid w:val="00CB4CA0"/>
    <w:rsid w:val="00CB5D88"/>
    <w:rsid w:val="00CB65C7"/>
    <w:rsid w:val="00CB79F9"/>
    <w:rsid w:val="00CC00E8"/>
    <w:rsid w:val="00CC0D17"/>
    <w:rsid w:val="00CC0DC5"/>
    <w:rsid w:val="00CC283F"/>
    <w:rsid w:val="00CC44F5"/>
    <w:rsid w:val="00CC47D9"/>
    <w:rsid w:val="00CC7339"/>
    <w:rsid w:val="00CD21EC"/>
    <w:rsid w:val="00CD2207"/>
    <w:rsid w:val="00CD390F"/>
    <w:rsid w:val="00CD4446"/>
    <w:rsid w:val="00CD4F07"/>
    <w:rsid w:val="00CE0E62"/>
    <w:rsid w:val="00CE3519"/>
    <w:rsid w:val="00CE3604"/>
    <w:rsid w:val="00CE3C7C"/>
    <w:rsid w:val="00CE4095"/>
    <w:rsid w:val="00CE6D23"/>
    <w:rsid w:val="00CE6F37"/>
    <w:rsid w:val="00CE7C33"/>
    <w:rsid w:val="00CF26D1"/>
    <w:rsid w:val="00CF660B"/>
    <w:rsid w:val="00D01FCD"/>
    <w:rsid w:val="00D025DE"/>
    <w:rsid w:val="00D02F76"/>
    <w:rsid w:val="00D04493"/>
    <w:rsid w:val="00D067E0"/>
    <w:rsid w:val="00D07ECD"/>
    <w:rsid w:val="00D12417"/>
    <w:rsid w:val="00D12A02"/>
    <w:rsid w:val="00D12B1B"/>
    <w:rsid w:val="00D13F71"/>
    <w:rsid w:val="00D149E3"/>
    <w:rsid w:val="00D16197"/>
    <w:rsid w:val="00D17517"/>
    <w:rsid w:val="00D20379"/>
    <w:rsid w:val="00D20F1F"/>
    <w:rsid w:val="00D2106C"/>
    <w:rsid w:val="00D24557"/>
    <w:rsid w:val="00D27FD9"/>
    <w:rsid w:val="00D314FA"/>
    <w:rsid w:val="00D33A91"/>
    <w:rsid w:val="00D35180"/>
    <w:rsid w:val="00D35DFF"/>
    <w:rsid w:val="00D36A0F"/>
    <w:rsid w:val="00D3729D"/>
    <w:rsid w:val="00D40F8C"/>
    <w:rsid w:val="00D43617"/>
    <w:rsid w:val="00D44663"/>
    <w:rsid w:val="00D474BB"/>
    <w:rsid w:val="00D506A2"/>
    <w:rsid w:val="00D532BE"/>
    <w:rsid w:val="00D54DC4"/>
    <w:rsid w:val="00D5690A"/>
    <w:rsid w:val="00D570D8"/>
    <w:rsid w:val="00D611C9"/>
    <w:rsid w:val="00D61D65"/>
    <w:rsid w:val="00D66EA5"/>
    <w:rsid w:val="00D70F0B"/>
    <w:rsid w:val="00D726E8"/>
    <w:rsid w:val="00D73AA8"/>
    <w:rsid w:val="00D742F3"/>
    <w:rsid w:val="00D74C98"/>
    <w:rsid w:val="00D76247"/>
    <w:rsid w:val="00D806F1"/>
    <w:rsid w:val="00D8089E"/>
    <w:rsid w:val="00D80A44"/>
    <w:rsid w:val="00D80AAB"/>
    <w:rsid w:val="00D82EAF"/>
    <w:rsid w:val="00D83B5F"/>
    <w:rsid w:val="00D84186"/>
    <w:rsid w:val="00D850C2"/>
    <w:rsid w:val="00D9147D"/>
    <w:rsid w:val="00D92246"/>
    <w:rsid w:val="00D95309"/>
    <w:rsid w:val="00D968A8"/>
    <w:rsid w:val="00DA005B"/>
    <w:rsid w:val="00DA0381"/>
    <w:rsid w:val="00DA0584"/>
    <w:rsid w:val="00DA1022"/>
    <w:rsid w:val="00DA11FA"/>
    <w:rsid w:val="00DA2715"/>
    <w:rsid w:val="00DA2886"/>
    <w:rsid w:val="00DA3793"/>
    <w:rsid w:val="00DB0F56"/>
    <w:rsid w:val="00DB1BD2"/>
    <w:rsid w:val="00DB32C7"/>
    <w:rsid w:val="00DB3913"/>
    <w:rsid w:val="00DB4593"/>
    <w:rsid w:val="00DB4BEF"/>
    <w:rsid w:val="00DB4D62"/>
    <w:rsid w:val="00DB4DB2"/>
    <w:rsid w:val="00DB5BDC"/>
    <w:rsid w:val="00DB5C77"/>
    <w:rsid w:val="00DB7543"/>
    <w:rsid w:val="00DB7B0B"/>
    <w:rsid w:val="00DC14B1"/>
    <w:rsid w:val="00DC219D"/>
    <w:rsid w:val="00DC6183"/>
    <w:rsid w:val="00DD0BE4"/>
    <w:rsid w:val="00DD133C"/>
    <w:rsid w:val="00DD24C5"/>
    <w:rsid w:val="00DD41C4"/>
    <w:rsid w:val="00DD43F7"/>
    <w:rsid w:val="00DD4570"/>
    <w:rsid w:val="00DD4FD4"/>
    <w:rsid w:val="00DD63A7"/>
    <w:rsid w:val="00DD6ACF"/>
    <w:rsid w:val="00DD7016"/>
    <w:rsid w:val="00DD7248"/>
    <w:rsid w:val="00DE0285"/>
    <w:rsid w:val="00DE15F8"/>
    <w:rsid w:val="00DE1E6E"/>
    <w:rsid w:val="00DE2CAB"/>
    <w:rsid w:val="00DE4570"/>
    <w:rsid w:val="00DE58D0"/>
    <w:rsid w:val="00DE5B5A"/>
    <w:rsid w:val="00DE5D6C"/>
    <w:rsid w:val="00DE72C3"/>
    <w:rsid w:val="00DE7BA3"/>
    <w:rsid w:val="00DF1BDF"/>
    <w:rsid w:val="00DF2361"/>
    <w:rsid w:val="00DF2BA6"/>
    <w:rsid w:val="00DF65B4"/>
    <w:rsid w:val="00E0325B"/>
    <w:rsid w:val="00E04C55"/>
    <w:rsid w:val="00E04E2B"/>
    <w:rsid w:val="00E0791A"/>
    <w:rsid w:val="00E107B9"/>
    <w:rsid w:val="00E10A07"/>
    <w:rsid w:val="00E1200C"/>
    <w:rsid w:val="00E12F94"/>
    <w:rsid w:val="00E15786"/>
    <w:rsid w:val="00E21332"/>
    <w:rsid w:val="00E21770"/>
    <w:rsid w:val="00E22C97"/>
    <w:rsid w:val="00E2651E"/>
    <w:rsid w:val="00E3280A"/>
    <w:rsid w:val="00E33496"/>
    <w:rsid w:val="00E3413E"/>
    <w:rsid w:val="00E4020A"/>
    <w:rsid w:val="00E40E95"/>
    <w:rsid w:val="00E417EF"/>
    <w:rsid w:val="00E4362F"/>
    <w:rsid w:val="00E47E91"/>
    <w:rsid w:val="00E52AFE"/>
    <w:rsid w:val="00E54BAA"/>
    <w:rsid w:val="00E54E24"/>
    <w:rsid w:val="00E5506F"/>
    <w:rsid w:val="00E55D65"/>
    <w:rsid w:val="00E5658A"/>
    <w:rsid w:val="00E576F5"/>
    <w:rsid w:val="00E60415"/>
    <w:rsid w:val="00E60527"/>
    <w:rsid w:val="00E6103C"/>
    <w:rsid w:val="00E662FB"/>
    <w:rsid w:val="00E70E4E"/>
    <w:rsid w:val="00E72F2E"/>
    <w:rsid w:val="00E74328"/>
    <w:rsid w:val="00E7462C"/>
    <w:rsid w:val="00E76C4B"/>
    <w:rsid w:val="00E81264"/>
    <w:rsid w:val="00E82C4E"/>
    <w:rsid w:val="00E83561"/>
    <w:rsid w:val="00E866AA"/>
    <w:rsid w:val="00E87A30"/>
    <w:rsid w:val="00E90100"/>
    <w:rsid w:val="00E905DC"/>
    <w:rsid w:val="00E9703B"/>
    <w:rsid w:val="00EA0D64"/>
    <w:rsid w:val="00EA0E31"/>
    <w:rsid w:val="00EA1919"/>
    <w:rsid w:val="00EA4397"/>
    <w:rsid w:val="00EB4161"/>
    <w:rsid w:val="00EB48A9"/>
    <w:rsid w:val="00EB495D"/>
    <w:rsid w:val="00EB5FEC"/>
    <w:rsid w:val="00EC3449"/>
    <w:rsid w:val="00EC373A"/>
    <w:rsid w:val="00EC40C8"/>
    <w:rsid w:val="00EC4C90"/>
    <w:rsid w:val="00EC4D12"/>
    <w:rsid w:val="00ED141B"/>
    <w:rsid w:val="00ED567C"/>
    <w:rsid w:val="00ED6B7D"/>
    <w:rsid w:val="00ED77DC"/>
    <w:rsid w:val="00EE0D00"/>
    <w:rsid w:val="00EE24FA"/>
    <w:rsid w:val="00EE4544"/>
    <w:rsid w:val="00EE4AAA"/>
    <w:rsid w:val="00EE702A"/>
    <w:rsid w:val="00EE7CF9"/>
    <w:rsid w:val="00EF03BC"/>
    <w:rsid w:val="00EF0A1D"/>
    <w:rsid w:val="00EF1399"/>
    <w:rsid w:val="00EF250F"/>
    <w:rsid w:val="00EF32C1"/>
    <w:rsid w:val="00F00ECF"/>
    <w:rsid w:val="00F034B8"/>
    <w:rsid w:val="00F03AFB"/>
    <w:rsid w:val="00F04A9B"/>
    <w:rsid w:val="00F05F4C"/>
    <w:rsid w:val="00F06C13"/>
    <w:rsid w:val="00F10653"/>
    <w:rsid w:val="00F10801"/>
    <w:rsid w:val="00F14961"/>
    <w:rsid w:val="00F2095F"/>
    <w:rsid w:val="00F2449E"/>
    <w:rsid w:val="00F24DF5"/>
    <w:rsid w:val="00F2642E"/>
    <w:rsid w:val="00F268D5"/>
    <w:rsid w:val="00F27F77"/>
    <w:rsid w:val="00F31BBD"/>
    <w:rsid w:val="00F328F7"/>
    <w:rsid w:val="00F3380E"/>
    <w:rsid w:val="00F34B25"/>
    <w:rsid w:val="00F35950"/>
    <w:rsid w:val="00F36705"/>
    <w:rsid w:val="00F368EF"/>
    <w:rsid w:val="00F37614"/>
    <w:rsid w:val="00F37D14"/>
    <w:rsid w:val="00F40B4E"/>
    <w:rsid w:val="00F43D3D"/>
    <w:rsid w:val="00F440DE"/>
    <w:rsid w:val="00F47C44"/>
    <w:rsid w:val="00F47E98"/>
    <w:rsid w:val="00F50574"/>
    <w:rsid w:val="00F50A85"/>
    <w:rsid w:val="00F529D5"/>
    <w:rsid w:val="00F55166"/>
    <w:rsid w:val="00F55365"/>
    <w:rsid w:val="00F56921"/>
    <w:rsid w:val="00F57F95"/>
    <w:rsid w:val="00F64025"/>
    <w:rsid w:val="00F64C76"/>
    <w:rsid w:val="00F71AFC"/>
    <w:rsid w:val="00F721C5"/>
    <w:rsid w:val="00F736CD"/>
    <w:rsid w:val="00F73BD3"/>
    <w:rsid w:val="00F74E29"/>
    <w:rsid w:val="00F76034"/>
    <w:rsid w:val="00F83F5F"/>
    <w:rsid w:val="00F84074"/>
    <w:rsid w:val="00F847D4"/>
    <w:rsid w:val="00F86637"/>
    <w:rsid w:val="00F91121"/>
    <w:rsid w:val="00F9120B"/>
    <w:rsid w:val="00F91255"/>
    <w:rsid w:val="00F92C4E"/>
    <w:rsid w:val="00F936D9"/>
    <w:rsid w:val="00F949AB"/>
    <w:rsid w:val="00FA088B"/>
    <w:rsid w:val="00FA095E"/>
    <w:rsid w:val="00FA1EB3"/>
    <w:rsid w:val="00FA2734"/>
    <w:rsid w:val="00FA2CAC"/>
    <w:rsid w:val="00FA30AD"/>
    <w:rsid w:val="00FA5F1D"/>
    <w:rsid w:val="00FA6C84"/>
    <w:rsid w:val="00FB15A0"/>
    <w:rsid w:val="00FB3DD1"/>
    <w:rsid w:val="00FB41A4"/>
    <w:rsid w:val="00FB50DC"/>
    <w:rsid w:val="00FB661B"/>
    <w:rsid w:val="00FB6EED"/>
    <w:rsid w:val="00FC1E04"/>
    <w:rsid w:val="00FC32CF"/>
    <w:rsid w:val="00FC344E"/>
    <w:rsid w:val="00FC61A5"/>
    <w:rsid w:val="00FC72C2"/>
    <w:rsid w:val="00FD1B83"/>
    <w:rsid w:val="00FD529E"/>
    <w:rsid w:val="00FD6C6C"/>
    <w:rsid w:val="00FE0745"/>
    <w:rsid w:val="00FE11E2"/>
    <w:rsid w:val="00FE28FA"/>
    <w:rsid w:val="00FE2F4F"/>
    <w:rsid w:val="00FE4A1B"/>
    <w:rsid w:val="00FE6196"/>
    <w:rsid w:val="00FE66AE"/>
    <w:rsid w:val="00FE756C"/>
    <w:rsid w:val="00FE7D07"/>
    <w:rsid w:val="00FF012B"/>
    <w:rsid w:val="00FF4A5E"/>
    <w:rsid w:val="00FF5499"/>
    <w:rsid w:val="00FF5F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link w:val="R1Char"/>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9"/>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customStyle="1" w:styleId="R1Char">
    <w:name w:val="R1 Char"/>
    <w:aliases w:val="1. or 1.(1) Char"/>
    <w:basedOn w:val="DefaultParagraphFont"/>
    <w:link w:val="R1"/>
    <w:rsid w:val="00AB0087"/>
    <w:rPr>
      <w:sz w:val="24"/>
      <w:szCs w:val="24"/>
    </w:rPr>
  </w:style>
</w:styles>
</file>

<file path=word/webSettings.xml><?xml version="1.0" encoding="utf-8"?>
<w:webSettings xmlns:r="http://schemas.openxmlformats.org/officeDocument/2006/relationships" xmlns:w="http://schemas.openxmlformats.org/wordprocessingml/2006/main">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ma.gov.au/WEB/STANDARD/pc=PC_41004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WEB/STANDARD/pc=PC_2708"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db8f3c6-01a1-4322-b043-a3b2a190f7a8">KNAH4PPFC442-1229-624</_dlc_DocId>
    <_dlc_DocIdUrl xmlns="6db8f3c6-01a1-4322-b043-a3b2a190f7a8">
      <Url>http://collaboration/organisation/CID/IRB/SORS/_layouts/DocIdRedir.aspx?ID=KNAH4PPFC442-1229-624</Url>
      <Description>KNAH4PPFC442-1229-624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608D-5358-4F2C-9F43-95E6094076B5}">
  <ds:schemaRefs>
    <ds:schemaRef ds:uri="http://schemas.microsoft.com/sharepoint/events"/>
  </ds:schemaRefs>
</ds:datastoreItem>
</file>

<file path=customXml/itemProps2.xml><?xml version="1.0" encoding="utf-8"?>
<ds:datastoreItem xmlns:ds="http://schemas.openxmlformats.org/officeDocument/2006/customXml" ds:itemID="{4BBCB347-A8F3-4CAF-8F8B-6ABDB4F4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DB36F-711C-4F49-82DA-29BD3B5100E5}">
  <ds:schemaRefs>
    <ds:schemaRef ds:uri="http://schemas.microsoft.com/sharepoint/v3/contenttype/forms"/>
  </ds:schemaRefs>
</ds:datastoreItem>
</file>

<file path=customXml/itemProps4.xml><?xml version="1.0" encoding="utf-8"?>
<ds:datastoreItem xmlns:ds="http://schemas.openxmlformats.org/officeDocument/2006/customXml" ds:itemID="{5FC8D959-5A0E-4B10-B01A-E40B9B694B1E}">
  <ds:schemaRefs>
    <ds:schemaRef ds:uri="http://schemas.microsoft.com/office/2006/metadata/properties"/>
    <ds:schemaRef ds:uri="6db8f3c6-01a1-4322-b043-a3b2a190f7a8"/>
  </ds:schemaRefs>
</ds:datastoreItem>
</file>

<file path=customXml/itemProps5.xml><?xml version="1.0" encoding="utf-8"?>
<ds:datastoreItem xmlns:ds="http://schemas.openxmlformats.org/officeDocument/2006/customXml" ds:itemID="{8097081C-1609-4723-9772-59A1F9D4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22354</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2010-06-25T01:30:00Z</cp:lastPrinted>
  <dcterms:created xsi:type="dcterms:W3CDTF">2013-12-01T23:40:00Z</dcterms:created>
  <dcterms:modified xsi:type="dcterms:W3CDTF">2013-12-01T23:40:00Z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b508516a-0a3e-42ff-8153-05075f76c9e0</vt:lpwstr>
  </property>
  <property fmtid="{D5CDD505-2E9C-101B-9397-08002B2CF9AE}" pid="4" name="ContentTypeId">
    <vt:lpwstr>0x010100F3B87CF1831231499AB06102660F5006</vt:lpwstr>
  </property>
</Properties>
</file>