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FD" w:rsidRDefault="00DA1022">
      <w:pPr>
        <w:jc w:val="center"/>
        <w:rPr>
          <w:rFonts w:ascii="Arial" w:hAnsi="Arial" w:cs="Arial"/>
          <w:b/>
          <w:sz w:val="20"/>
          <w:szCs w:val="20"/>
          <w:lang w:val="en-AU"/>
        </w:rPr>
      </w:pPr>
      <w:r w:rsidRPr="00EC4D12">
        <w:rPr>
          <w:rFonts w:ascii="Arial" w:hAnsi="Arial" w:cs="Arial"/>
          <w:b/>
          <w:sz w:val="20"/>
          <w:szCs w:val="20"/>
          <w:lang w:val="en-AU"/>
        </w:rPr>
        <w:t xml:space="preserve">EXPLANATORY </w:t>
      </w:r>
      <w:r w:rsidR="003541E8" w:rsidRPr="00EC4D12">
        <w:rPr>
          <w:rFonts w:ascii="Arial" w:hAnsi="Arial" w:cs="Arial"/>
          <w:b/>
          <w:sz w:val="20"/>
          <w:szCs w:val="20"/>
          <w:lang w:val="en-AU"/>
        </w:rPr>
        <w:t>STATEMENT</w:t>
      </w:r>
    </w:p>
    <w:p w:rsidR="004109FD" w:rsidRDefault="004109FD">
      <w:pPr>
        <w:jc w:val="center"/>
        <w:rPr>
          <w:rFonts w:ascii="Arial" w:hAnsi="Arial" w:cs="Arial"/>
          <w:i/>
          <w:sz w:val="20"/>
          <w:szCs w:val="20"/>
          <w:lang w:val="en-AU"/>
        </w:rPr>
      </w:pPr>
    </w:p>
    <w:p w:rsidR="004109FD" w:rsidRDefault="004109FD">
      <w:pPr>
        <w:jc w:val="center"/>
        <w:rPr>
          <w:rFonts w:ascii="Arial" w:hAnsi="Arial" w:cs="Arial"/>
          <w:i/>
          <w:sz w:val="20"/>
          <w:szCs w:val="20"/>
          <w:lang w:val="en-AU"/>
        </w:rPr>
      </w:pPr>
    </w:p>
    <w:p w:rsidR="004109FD" w:rsidRDefault="001A730C">
      <w:pPr>
        <w:jc w:val="center"/>
        <w:rPr>
          <w:rFonts w:ascii="Arial" w:hAnsi="Arial" w:cs="Arial"/>
          <w:sz w:val="20"/>
          <w:szCs w:val="20"/>
          <w:lang w:val="en-AU"/>
        </w:rPr>
      </w:pPr>
      <w:r w:rsidRPr="00EC4D12">
        <w:rPr>
          <w:rFonts w:ascii="Arial" w:hAnsi="Arial" w:cs="Arial"/>
          <w:sz w:val="20"/>
          <w:szCs w:val="20"/>
          <w:lang w:val="en-AU"/>
        </w:rPr>
        <w:t>Issued by the Australian Communications and Media Authority</w:t>
      </w:r>
    </w:p>
    <w:p w:rsidR="004109FD" w:rsidRDefault="004109FD">
      <w:pPr>
        <w:jc w:val="center"/>
        <w:rPr>
          <w:rFonts w:ascii="Arial" w:hAnsi="Arial" w:cs="Arial"/>
          <w:i/>
          <w:sz w:val="20"/>
          <w:szCs w:val="20"/>
          <w:lang w:val="en-AU"/>
        </w:rPr>
      </w:pPr>
    </w:p>
    <w:p w:rsidR="004109FD" w:rsidRDefault="00776FB8">
      <w:pPr>
        <w:jc w:val="center"/>
        <w:rPr>
          <w:rFonts w:ascii="Arial" w:hAnsi="Arial" w:cs="Arial"/>
          <w:i/>
          <w:sz w:val="20"/>
          <w:szCs w:val="20"/>
          <w:lang w:val="en-AU"/>
        </w:rPr>
      </w:pP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Radiocommunications </w:t>
      </w:r>
      <w:r w:rsidR="000D4BB5">
        <w:rPr>
          <w:rFonts w:ascii="Arial" w:hAnsi="Arial" w:cs="Arial"/>
          <w:i/>
          <w:sz w:val="20"/>
          <w:szCs w:val="20"/>
          <w:lang w:val="en-AU"/>
        </w:rPr>
        <w:t>A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 xml:space="preserve">dvisory </w:t>
      </w:r>
      <w:r w:rsidR="000D4BB5">
        <w:rPr>
          <w:rFonts w:ascii="Arial" w:hAnsi="Arial" w:cs="Arial"/>
          <w:i/>
          <w:sz w:val="20"/>
          <w:szCs w:val="20"/>
          <w:lang w:val="en-AU"/>
        </w:rPr>
        <w:t>G</w:t>
      </w:r>
      <w:r w:rsidRPr="00EC4D12">
        <w:rPr>
          <w:rFonts w:ascii="Arial" w:hAnsi="Arial" w:cs="Arial"/>
          <w:i/>
          <w:sz w:val="20"/>
          <w:szCs w:val="20"/>
          <w:lang w:val="en-AU"/>
        </w:rPr>
        <w:t>uidelines (</w:t>
      </w:r>
      <w:r w:rsidR="000D4BB5">
        <w:rPr>
          <w:rFonts w:ascii="Arial" w:hAnsi="Arial" w:cs="Arial"/>
          <w:i/>
          <w:sz w:val="20"/>
          <w:szCs w:val="20"/>
          <w:lang w:val="en-AU"/>
        </w:rPr>
        <w:t>M</w:t>
      </w: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anaging </w:t>
      </w:r>
      <w:r w:rsidR="000D4BB5">
        <w:rPr>
          <w:rFonts w:ascii="Arial" w:hAnsi="Arial" w:cs="Arial"/>
          <w:i/>
          <w:sz w:val="20"/>
          <w:szCs w:val="20"/>
          <w:lang w:val="en-AU"/>
        </w:rPr>
        <w:t>I</w:t>
      </w: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nterference </w:t>
      </w:r>
      <w:r w:rsidR="006F1564">
        <w:rPr>
          <w:rFonts w:ascii="Arial" w:hAnsi="Arial" w:cs="Arial"/>
          <w:i/>
          <w:sz w:val="20"/>
          <w:szCs w:val="20"/>
          <w:lang w:val="en-AU"/>
        </w:rPr>
        <w:t>to</w:t>
      </w: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0D4BB5">
        <w:rPr>
          <w:rFonts w:ascii="Arial" w:hAnsi="Arial" w:cs="Arial"/>
          <w:i/>
          <w:sz w:val="20"/>
          <w:szCs w:val="20"/>
          <w:lang w:val="en-AU"/>
        </w:rPr>
        <w:t>S</w:t>
      </w:r>
      <w:r w:rsidRPr="00EC4D12">
        <w:rPr>
          <w:rFonts w:ascii="Arial" w:hAnsi="Arial" w:cs="Arial"/>
          <w:i/>
          <w:sz w:val="20"/>
          <w:szCs w:val="20"/>
          <w:lang w:val="en-AU"/>
        </w:rPr>
        <w:t>pectrum</w:t>
      </w:r>
      <w:r w:rsidR="00DA2FE2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0D4BB5">
        <w:rPr>
          <w:rFonts w:ascii="Arial" w:hAnsi="Arial" w:cs="Arial"/>
          <w:i/>
          <w:sz w:val="20"/>
          <w:szCs w:val="20"/>
          <w:lang w:val="en-AU"/>
        </w:rPr>
        <w:t>L</w:t>
      </w:r>
      <w:r w:rsidR="006846A9">
        <w:rPr>
          <w:rFonts w:ascii="Arial" w:hAnsi="Arial" w:cs="Arial"/>
          <w:i/>
          <w:sz w:val="20"/>
          <w:szCs w:val="20"/>
          <w:lang w:val="en-AU"/>
        </w:rPr>
        <w:t xml:space="preserve">icensed </w:t>
      </w:r>
      <w:r w:rsidR="000D4BB5">
        <w:rPr>
          <w:rFonts w:ascii="Arial" w:hAnsi="Arial" w:cs="Arial"/>
          <w:i/>
          <w:sz w:val="20"/>
          <w:szCs w:val="20"/>
          <w:lang w:val="en-AU"/>
        </w:rPr>
        <w:t>R</w:t>
      </w:r>
      <w:r w:rsidR="006F1564">
        <w:rPr>
          <w:rFonts w:ascii="Arial" w:hAnsi="Arial" w:cs="Arial"/>
          <w:i/>
          <w:sz w:val="20"/>
          <w:szCs w:val="20"/>
          <w:lang w:val="en-AU"/>
        </w:rPr>
        <w:t>eceivers</w:t>
      </w: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 – </w:t>
      </w:r>
      <w:r w:rsidR="00152BF9">
        <w:rPr>
          <w:rFonts w:ascii="Arial" w:hAnsi="Arial" w:cs="Arial"/>
          <w:i/>
          <w:sz w:val="20"/>
          <w:szCs w:val="20"/>
          <w:lang w:val="en-AU"/>
        </w:rPr>
        <w:t>2.3 G</w:t>
      </w: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Hz </w:t>
      </w:r>
      <w:r w:rsidR="000D4BB5">
        <w:rPr>
          <w:rFonts w:ascii="Arial" w:hAnsi="Arial" w:cs="Arial"/>
          <w:i/>
          <w:sz w:val="20"/>
          <w:szCs w:val="20"/>
          <w:lang w:val="en-AU"/>
        </w:rPr>
        <w:t>B</w:t>
      </w:r>
      <w:r w:rsidRPr="00EC4D12">
        <w:rPr>
          <w:rFonts w:ascii="Arial" w:hAnsi="Arial" w:cs="Arial"/>
          <w:i/>
          <w:sz w:val="20"/>
          <w:szCs w:val="20"/>
          <w:lang w:val="en-AU"/>
        </w:rPr>
        <w:t>and)</w:t>
      </w:r>
      <w:r w:rsidR="00DA1022" w:rsidRPr="00EC4D12">
        <w:rPr>
          <w:rFonts w:ascii="Arial" w:hAnsi="Arial" w:cs="Arial"/>
          <w:i/>
          <w:sz w:val="20"/>
          <w:szCs w:val="20"/>
          <w:lang w:val="en-AU"/>
        </w:rPr>
        <w:t xml:space="preserve"> 201</w:t>
      </w:r>
      <w:r w:rsidR="00152BF9">
        <w:rPr>
          <w:rFonts w:ascii="Arial" w:hAnsi="Arial" w:cs="Arial"/>
          <w:i/>
          <w:sz w:val="20"/>
          <w:szCs w:val="20"/>
          <w:lang w:val="en-AU"/>
        </w:rPr>
        <w:t>3</w:t>
      </w:r>
    </w:p>
    <w:p w:rsidR="004109FD" w:rsidRDefault="004109FD">
      <w:pPr>
        <w:jc w:val="center"/>
        <w:rPr>
          <w:rFonts w:ascii="Arial" w:hAnsi="Arial" w:cs="Arial"/>
          <w:sz w:val="20"/>
          <w:szCs w:val="20"/>
          <w:lang w:val="en-AU"/>
        </w:rPr>
      </w:pPr>
    </w:p>
    <w:p w:rsidR="004109FD" w:rsidRDefault="001A730C">
      <w:pPr>
        <w:jc w:val="center"/>
        <w:rPr>
          <w:rFonts w:ascii="Arial" w:hAnsi="Arial" w:cs="Arial"/>
          <w:i/>
          <w:sz w:val="20"/>
          <w:szCs w:val="20"/>
          <w:lang w:val="en-AU"/>
        </w:rPr>
      </w:pPr>
      <w:bookmarkStart w:id="0" w:name="OLE_LINK1"/>
      <w:bookmarkStart w:id="1" w:name="OLE_LINK2"/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Radiocommunications Act </w:t>
      </w:r>
      <w:bookmarkEnd w:id="0"/>
      <w:bookmarkEnd w:id="1"/>
      <w:r w:rsidRPr="00EC4D12">
        <w:rPr>
          <w:rFonts w:ascii="Arial" w:hAnsi="Arial" w:cs="Arial"/>
          <w:i/>
          <w:sz w:val="20"/>
          <w:szCs w:val="20"/>
          <w:lang w:val="en-AU"/>
        </w:rPr>
        <w:t>1992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776FB8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EC4D12">
        <w:rPr>
          <w:rFonts w:ascii="Arial" w:hAnsi="Arial" w:cs="Arial"/>
          <w:b/>
          <w:sz w:val="20"/>
          <w:szCs w:val="20"/>
          <w:lang w:val="en-AU"/>
        </w:rPr>
        <w:t>Purpose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776FB8">
      <w:pPr>
        <w:jc w:val="both"/>
        <w:rPr>
          <w:rFonts w:ascii="Arial" w:hAnsi="Arial" w:cs="Arial"/>
          <w:sz w:val="20"/>
          <w:szCs w:val="20"/>
          <w:lang w:val="en-AU"/>
        </w:rPr>
      </w:pPr>
      <w:r w:rsidRPr="000D4BB5">
        <w:rPr>
          <w:rFonts w:ascii="Arial" w:hAnsi="Arial" w:cs="Arial"/>
          <w:sz w:val="20"/>
          <w:szCs w:val="20"/>
          <w:lang w:val="en-AU"/>
        </w:rPr>
        <w:t xml:space="preserve">The purpose of the 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 xml:space="preserve">Radiocommunications </w:t>
      </w:r>
      <w:r w:rsidR="000D4BB5">
        <w:rPr>
          <w:rFonts w:ascii="Arial" w:hAnsi="Arial" w:cs="Arial"/>
          <w:i/>
          <w:sz w:val="20"/>
          <w:szCs w:val="20"/>
          <w:lang w:val="en-AU"/>
        </w:rPr>
        <w:t>A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 xml:space="preserve">dvisory </w:t>
      </w:r>
      <w:r w:rsidR="000D4BB5">
        <w:rPr>
          <w:rFonts w:ascii="Arial" w:hAnsi="Arial" w:cs="Arial"/>
          <w:i/>
          <w:sz w:val="20"/>
          <w:szCs w:val="20"/>
          <w:lang w:val="en-AU"/>
        </w:rPr>
        <w:t>G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>uidelines (</w:t>
      </w:r>
      <w:r w:rsidR="000D4BB5">
        <w:rPr>
          <w:rFonts w:ascii="Arial" w:hAnsi="Arial" w:cs="Arial"/>
          <w:i/>
          <w:sz w:val="20"/>
          <w:szCs w:val="20"/>
          <w:lang w:val="en-AU"/>
        </w:rPr>
        <w:t>M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 xml:space="preserve">anaging </w:t>
      </w:r>
      <w:r w:rsidR="000D4BB5">
        <w:rPr>
          <w:rFonts w:ascii="Arial" w:hAnsi="Arial" w:cs="Arial"/>
          <w:i/>
          <w:sz w:val="20"/>
          <w:szCs w:val="20"/>
          <w:lang w:val="en-AU"/>
        </w:rPr>
        <w:t>I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 xml:space="preserve">nterference </w:t>
      </w:r>
      <w:r w:rsidR="000D4BB5">
        <w:rPr>
          <w:rFonts w:ascii="Arial" w:hAnsi="Arial" w:cs="Arial"/>
          <w:i/>
          <w:sz w:val="20"/>
          <w:szCs w:val="20"/>
          <w:lang w:val="en-AU"/>
        </w:rPr>
        <w:t>to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0D4BB5">
        <w:rPr>
          <w:rFonts w:ascii="Arial" w:hAnsi="Arial" w:cs="Arial"/>
          <w:i/>
          <w:sz w:val="20"/>
          <w:szCs w:val="20"/>
          <w:lang w:val="en-AU"/>
        </w:rPr>
        <w:t>S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>pectrum</w:t>
      </w:r>
      <w:r w:rsidR="00DA2FE2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0D4BB5">
        <w:rPr>
          <w:rFonts w:ascii="Arial" w:hAnsi="Arial" w:cs="Arial"/>
          <w:i/>
          <w:sz w:val="20"/>
          <w:szCs w:val="20"/>
          <w:lang w:val="en-AU"/>
        </w:rPr>
        <w:t>Licensed Receivers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 xml:space="preserve"> – </w:t>
      </w:r>
      <w:r w:rsidR="00152BF9">
        <w:rPr>
          <w:rFonts w:ascii="Arial" w:hAnsi="Arial" w:cs="Arial"/>
          <w:i/>
          <w:sz w:val="20"/>
          <w:szCs w:val="20"/>
          <w:lang w:val="en-AU"/>
        </w:rPr>
        <w:t>2.3 G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 xml:space="preserve">Hz </w:t>
      </w:r>
      <w:r w:rsidR="000D4BB5">
        <w:rPr>
          <w:rFonts w:ascii="Arial" w:hAnsi="Arial" w:cs="Arial"/>
          <w:i/>
          <w:sz w:val="20"/>
          <w:szCs w:val="20"/>
          <w:lang w:val="en-AU"/>
        </w:rPr>
        <w:t>B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>and) 201</w:t>
      </w:r>
      <w:r w:rsidR="00152BF9">
        <w:rPr>
          <w:rFonts w:ascii="Arial" w:hAnsi="Arial" w:cs="Arial"/>
          <w:i/>
          <w:sz w:val="20"/>
          <w:szCs w:val="20"/>
          <w:lang w:val="en-AU"/>
        </w:rPr>
        <w:t xml:space="preserve">3 </w:t>
      </w:r>
      <w:r w:rsidRPr="00EC4D12">
        <w:rPr>
          <w:rFonts w:ascii="Arial" w:hAnsi="Arial" w:cs="Arial"/>
          <w:sz w:val="20"/>
          <w:szCs w:val="20"/>
          <w:lang w:val="en-AU"/>
        </w:rPr>
        <w:t>(</w:t>
      </w:r>
      <w:r w:rsidR="00BC0788" w:rsidRPr="00BC0788">
        <w:rPr>
          <w:rFonts w:ascii="Arial" w:hAnsi="Arial" w:cs="Arial"/>
          <w:b/>
          <w:sz w:val="20"/>
          <w:szCs w:val="20"/>
          <w:lang w:val="en-AU"/>
        </w:rPr>
        <w:t>the Advisory Guidelines</w:t>
      </w:r>
      <w:r w:rsidRPr="00EC4D12">
        <w:rPr>
          <w:rFonts w:ascii="Arial" w:hAnsi="Arial" w:cs="Arial"/>
          <w:sz w:val="20"/>
          <w:szCs w:val="20"/>
          <w:lang w:val="en-AU"/>
        </w:rPr>
        <w:t xml:space="preserve">) is to </w:t>
      </w:r>
      <w:r w:rsidR="000D00A5">
        <w:rPr>
          <w:rFonts w:ascii="Arial" w:hAnsi="Arial" w:cs="Arial"/>
          <w:sz w:val="20"/>
          <w:szCs w:val="20"/>
          <w:lang w:val="en-AU"/>
        </w:rPr>
        <w:t xml:space="preserve">provide information </w:t>
      </w:r>
      <w:r w:rsidR="00063BB4">
        <w:rPr>
          <w:rFonts w:ascii="Arial" w:hAnsi="Arial" w:cs="Arial"/>
          <w:sz w:val="20"/>
          <w:szCs w:val="20"/>
          <w:lang w:val="en-AU"/>
        </w:rPr>
        <w:t>and</w:t>
      </w:r>
      <w:r w:rsidR="000D00A5">
        <w:rPr>
          <w:rFonts w:ascii="Arial" w:hAnsi="Arial" w:cs="Arial"/>
          <w:sz w:val="20"/>
          <w:szCs w:val="20"/>
          <w:lang w:val="en-AU"/>
        </w:rPr>
        <w:t xml:space="preserve"> </w:t>
      </w:r>
      <w:r w:rsidR="002E7F5F">
        <w:rPr>
          <w:rFonts w:ascii="Arial" w:hAnsi="Arial" w:cs="Arial"/>
          <w:sz w:val="20"/>
          <w:szCs w:val="20"/>
          <w:lang w:val="en-AU"/>
        </w:rPr>
        <w:t xml:space="preserve">guidance to </w:t>
      </w:r>
      <w:r w:rsidR="000D00A5">
        <w:rPr>
          <w:rFonts w:ascii="Arial" w:hAnsi="Arial" w:cs="Arial"/>
          <w:sz w:val="20"/>
          <w:szCs w:val="20"/>
          <w:lang w:val="en-AU"/>
        </w:rPr>
        <w:t xml:space="preserve">assist </w:t>
      </w:r>
      <w:r w:rsidR="002E7F5F">
        <w:rPr>
          <w:rFonts w:ascii="Arial" w:hAnsi="Arial" w:cs="Arial"/>
          <w:sz w:val="20"/>
          <w:szCs w:val="20"/>
          <w:lang w:val="en-AU"/>
        </w:rPr>
        <w:t xml:space="preserve">with </w:t>
      </w:r>
      <w:r w:rsidR="000D00A5">
        <w:rPr>
          <w:rFonts w:ascii="Arial" w:hAnsi="Arial" w:cs="Arial"/>
          <w:sz w:val="20"/>
          <w:szCs w:val="20"/>
          <w:lang w:val="en-AU"/>
        </w:rPr>
        <w:t xml:space="preserve">the </w:t>
      </w:r>
      <w:r w:rsidR="002E7F5F">
        <w:rPr>
          <w:rFonts w:ascii="Arial" w:hAnsi="Arial" w:cs="Arial"/>
          <w:sz w:val="20"/>
          <w:szCs w:val="20"/>
          <w:lang w:val="en-AU"/>
        </w:rPr>
        <w:t xml:space="preserve">management of interference to </w:t>
      </w:r>
      <w:r w:rsidR="006F1564" w:rsidRPr="006F1564">
        <w:rPr>
          <w:rFonts w:ascii="Arial" w:hAnsi="Arial" w:cs="Arial"/>
          <w:sz w:val="20"/>
          <w:szCs w:val="20"/>
          <w:lang w:val="en-AU"/>
        </w:rPr>
        <w:t xml:space="preserve">radiocommunications receivers operating under spectrum licences issued for the </w:t>
      </w:r>
      <w:r w:rsidR="00152BF9">
        <w:rPr>
          <w:rFonts w:ascii="Arial" w:hAnsi="Arial" w:cs="Arial"/>
          <w:sz w:val="20"/>
          <w:szCs w:val="20"/>
          <w:lang w:val="en-AU"/>
        </w:rPr>
        <w:t>2.3 G</w:t>
      </w:r>
      <w:r w:rsidR="006F1564" w:rsidRPr="006F1564">
        <w:rPr>
          <w:rFonts w:ascii="Arial" w:hAnsi="Arial" w:cs="Arial"/>
          <w:sz w:val="20"/>
          <w:szCs w:val="20"/>
          <w:lang w:val="en-AU"/>
        </w:rPr>
        <w:t xml:space="preserve">Hz band </w:t>
      </w:r>
      <w:r w:rsidR="002E7F5F">
        <w:rPr>
          <w:rFonts w:ascii="Arial" w:hAnsi="Arial" w:cs="Arial"/>
          <w:sz w:val="20"/>
          <w:szCs w:val="20"/>
          <w:lang w:val="en-AU"/>
        </w:rPr>
        <w:t>caused</w:t>
      </w:r>
      <w:r w:rsidR="006F1564" w:rsidRPr="006F1564">
        <w:rPr>
          <w:rFonts w:ascii="Arial" w:hAnsi="Arial" w:cs="Arial"/>
          <w:sz w:val="20"/>
          <w:szCs w:val="20"/>
          <w:lang w:val="en-AU"/>
        </w:rPr>
        <w:t xml:space="preserve"> by radiocommunications transmitters operating </w:t>
      </w:r>
      <w:r w:rsidR="00152BF9">
        <w:rPr>
          <w:rFonts w:ascii="Arial" w:hAnsi="Arial" w:cs="Arial"/>
          <w:sz w:val="20"/>
          <w:szCs w:val="20"/>
          <w:lang w:val="en-AU"/>
        </w:rPr>
        <w:t>under other licences</w:t>
      </w:r>
      <w:r w:rsidR="006F1564" w:rsidRPr="006F1564">
        <w:rPr>
          <w:rFonts w:ascii="Arial" w:hAnsi="Arial" w:cs="Arial"/>
          <w:sz w:val="20"/>
          <w:szCs w:val="20"/>
          <w:lang w:val="en-AU"/>
        </w:rPr>
        <w:t xml:space="preserve">. The </w:t>
      </w:r>
      <w:r w:rsidR="006F1564">
        <w:rPr>
          <w:rFonts w:ascii="Arial" w:hAnsi="Arial" w:cs="Arial"/>
          <w:sz w:val="20"/>
          <w:szCs w:val="20"/>
          <w:lang w:val="en-AU"/>
        </w:rPr>
        <w:t>Advisory G</w:t>
      </w:r>
      <w:r w:rsidR="006F1564" w:rsidRPr="006F1564">
        <w:rPr>
          <w:rFonts w:ascii="Arial" w:hAnsi="Arial" w:cs="Arial"/>
          <w:sz w:val="20"/>
          <w:szCs w:val="20"/>
          <w:lang w:val="en-AU"/>
        </w:rPr>
        <w:t>uideline</w:t>
      </w:r>
      <w:r w:rsidR="00DA2FE2">
        <w:rPr>
          <w:rFonts w:ascii="Arial" w:hAnsi="Arial" w:cs="Arial"/>
          <w:sz w:val="20"/>
          <w:szCs w:val="20"/>
          <w:lang w:val="en-AU"/>
        </w:rPr>
        <w:t>s</w:t>
      </w:r>
      <w:r w:rsidR="006F1564" w:rsidRPr="006F1564">
        <w:rPr>
          <w:rFonts w:ascii="Arial" w:hAnsi="Arial" w:cs="Arial"/>
          <w:sz w:val="20"/>
          <w:szCs w:val="20"/>
          <w:lang w:val="en-AU"/>
        </w:rPr>
        <w:t xml:space="preserve"> </w:t>
      </w:r>
      <w:r w:rsidR="00DA2FE2">
        <w:rPr>
          <w:rFonts w:ascii="Arial" w:hAnsi="Arial" w:cs="Arial"/>
          <w:sz w:val="20"/>
          <w:szCs w:val="20"/>
          <w:lang w:val="en-AU"/>
        </w:rPr>
        <w:t xml:space="preserve">are </w:t>
      </w:r>
      <w:r w:rsidR="006F1564">
        <w:rPr>
          <w:rFonts w:ascii="Arial" w:hAnsi="Arial" w:cs="Arial"/>
          <w:sz w:val="20"/>
          <w:szCs w:val="20"/>
          <w:lang w:val="en-AU"/>
        </w:rPr>
        <w:t xml:space="preserve">designed to be used by </w:t>
      </w:r>
      <w:r w:rsidR="00336434">
        <w:rPr>
          <w:rFonts w:ascii="Arial" w:hAnsi="Arial" w:cs="Arial"/>
          <w:sz w:val="20"/>
          <w:szCs w:val="20"/>
          <w:lang w:val="en-AU"/>
        </w:rPr>
        <w:t xml:space="preserve">the holders </w:t>
      </w:r>
      <w:r w:rsidR="006F1564">
        <w:rPr>
          <w:rFonts w:ascii="Arial" w:hAnsi="Arial" w:cs="Arial"/>
          <w:sz w:val="20"/>
          <w:szCs w:val="20"/>
          <w:lang w:val="en-AU"/>
        </w:rPr>
        <w:t xml:space="preserve">of </w:t>
      </w:r>
      <w:r w:rsidR="006F1564" w:rsidRPr="006F1564">
        <w:rPr>
          <w:rFonts w:ascii="Arial" w:hAnsi="Arial" w:cs="Arial"/>
          <w:sz w:val="20"/>
          <w:szCs w:val="20"/>
          <w:lang w:val="en-AU"/>
        </w:rPr>
        <w:t>apparatus</w:t>
      </w:r>
      <w:r w:rsidR="006F1564">
        <w:rPr>
          <w:rFonts w:ascii="Arial" w:hAnsi="Arial" w:cs="Arial"/>
          <w:sz w:val="20"/>
          <w:szCs w:val="20"/>
          <w:lang w:val="en-AU"/>
        </w:rPr>
        <w:t xml:space="preserve"> </w:t>
      </w:r>
      <w:r w:rsidR="00471F3C">
        <w:rPr>
          <w:rFonts w:ascii="Arial" w:hAnsi="Arial" w:cs="Arial"/>
          <w:sz w:val="20"/>
          <w:szCs w:val="20"/>
          <w:lang w:val="en-AU"/>
        </w:rPr>
        <w:t>and spectrum licences</w:t>
      </w:r>
      <w:r w:rsidR="006F1564" w:rsidRPr="006F1564">
        <w:rPr>
          <w:rFonts w:ascii="Arial" w:hAnsi="Arial" w:cs="Arial"/>
          <w:sz w:val="20"/>
          <w:szCs w:val="20"/>
          <w:lang w:val="en-AU"/>
        </w:rPr>
        <w:t xml:space="preserve"> in the planning of services </w:t>
      </w:r>
      <w:r w:rsidR="002E7F5F">
        <w:rPr>
          <w:rFonts w:ascii="Arial" w:hAnsi="Arial" w:cs="Arial"/>
          <w:sz w:val="20"/>
          <w:szCs w:val="20"/>
          <w:lang w:val="en-AU"/>
        </w:rPr>
        <w:t>or</w:t>
      </w:r>
      <w:r w:rsidR="002E7F5F" w:rsidRPr="006F1564">
        <w:rPr>
          <w:rFonts w:ascii="Arial" w:hAnsi="Arial" w:cs="Arial"/>
          <w:sz w:val="20"/>
          <w:szCs w:val="20"/>
          <w:lang w:val="en-AU"/>
        </w:rPr>
        <w:t xml:space="preserve"> </w:t>
      </w:r>
      <w:r w:rsidR="006F1564" w:rsidRPr="006F1564">
        <w:rPr>
          <w:rFonts w:ascii="Arial" w:hAnsi="Arial" w:cs="Arial"/>
          <w:sz w:val="20"/>
          <w:szCs w:val="20"/>
          <w:lang w:val="en-AU"/>
        </w:rPr>
        <w:t>the resolution of interference.</w:t>
      </w:r>
      <w:r w:rsidR="00D850C2" w:rsidRPr="00EC4D12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9859BF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Legislative p</w:t>
      </w:r>
      <w:r w:rsidR="00776FB8" w:rsidRPr="00EC4D12">
        <w:rPr>
          <w:rFonts w:ascii="Arial" w:hAnsi="Arial" w:cs="Arial"/>
          <w:b/>
          <w:sz w:val="20"/>
          <w:szCs w:val="20"/>
          <w:lang w:val="en-AU"/>
        </w:rPr>
        <w:t>rovisions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9C7347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 xml:space="preserve">Under section 262 of the </w:t>
      </w:r>
      <w:r w:rsidRPr="00EA312C">
        <w:rPr>
          <w:rFonts w:ascii="Arial" w:hAnsi="Arial" w:cs="Arial"/>
          <w:i/>
          <w:sz w:val="20"/>
          <w:szCs w:val="20"/>
          <w:lang w:val="en-AU"/>
        </w:rPr>
        <w:t>Radiocommunications Act 1992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(</w:t>
      </w:r>
      <w:r w:rsidR="00BC0788" w:rsidRPr="00BC0788">
        <w:rPr>
          <w:rFonts w:ascii="Arial" w:hAnsi="Arial" w:cs="Arial"/>
          <w:b/>
          <w:sz w:val="20"/>
          <w:szCs w:val="20"/>
          <w:lang w:val="en-AU"/>
        </w:rPr>
        <w:t>the Act</w:t>
      </w:r>
      <w:r w:rsidRPr="00EA312C">
        <w:rPr>
          <w:rFonts w:ascii="Arial" w:hAnsi="Arial" w:cs="Arial"/>
          <w:sz w:val="20"/>
          <w:szCs w:val="20"/>
          <w:lang w:val="en-AU"/>
        </w:rPr>
        <w:t>), the Australian Communications and Media Authority (</w:t>
      </w:r>
      <w:r w:rsidR="00BC0788" w:rsidRPr="00BC0788">
        <w:rPr>
          <w:rFonts w:ascii="Arial" w:hAnsi="Arial" w:cs="Arial"/>
          <w:b/>
          <w:sz w:val="20"/>
          <w:szCs w:val="20"/>
          <w:lang w:val="en-AU"/>
        </w:rPr>
        <w:t>the ACMA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) may make advisory guidelines about any aspect of radiocommunication or radio emissions.  Subsection 262(2) of the Act provides a non-exhaustive list of examples of the matters about which advisory guidelines may be made, one of which is ‘interference with radiocommunications’. 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C49E2" w:rsidRPr="004C49E2" w:rsidRDefault="004C49E2">
      <w:pPr>
        <w:jc w:val="both"/>
        <w:rPr>
          <w:rFonts w:ascii="Arial" w:hAnsi="Arial" w:cs="Arial"/>
          <w:sz w:val="20"/>
          <w:szCs w:val="20"/>
          <w:lang w:val="en-AU"/>
        </w:rPr>
      </w:pPr>
      <w:r w:rsidRPr="00725BCD">
        <w:rPr>
          <w:rFonts w:ascii="Arial" w:hAnsi="Arial" w:cs="Arial"/>
          <w:sz w:val="20"/>
          <w:szCs w:val="20"/>
          <w:lang w:val="en-AU"/>
        </w:rPr>
        <w:t xml:space="preserve">Pursuant to subsection 33(3) of the </w:t>
      </w:r>
      <w:r w:rsidRPr="00725BCD">
        <w:rPr>
          <w:rFonts w:ascii="Arial" w:hAnsi="Arial" w:cs="Arial"/>
          <w:i/>
          <w:sz w:val="20"/>
          <w:szCs w:val="20"/>
          <w:lang w:val="en-AU"/>
        </w:rPr>
        <w:t xml:space="preserve">Acts Interpretation Act 1901 </w:t>
      </w:r>
      <w:r w:rsidR="00725BCD" w:rsidRPr="00725BCD">
        <w:rPr>
          <w:rFonts w:ascii="Arial" w:hAnsi="Arial" w:cs="Arial"/>
          <w:sz w:val="20"/>
          <w:szCs w:val="20"/>
          <w:lang w:val="en-AU"/>
        </w:rPr>
        <w:t>and</w:t>
      </w:r>
      <w:r w:rsidRPr="00725BCD">
        <w:rPr>
          <w:rFonts w:ascii="Arial" w:hAnsi="Arial" w:cs="Arial"/>
          <w:sz w:val="20"/>
          <w:szCs w:val="20"/>
          <w:lang w:val="en-AU"/>
        </w:rPr>
        <w:t xml:space="preserve"> section 262 of the Act, </w:t>
      </w:r>
      <w:r w:rsidR="00725BCD" w:rsidRPr="00725BCD">
        <w:rPr>
          <w:rFonts w:ascii="Arial" w:hAnsi="Arial" w:cs="Arial"/>
          <w:sz w:val="20"/>
          <w:szCs w:val="20"/>
          <w:lang w:val="en-AU"/>
        </w:rPr>
        <w:t xml:space="preserve">the ACMA may </w:t>
      </w:r>
      <w:r w:rsidRPr="00725BCD">
        <w:rPr>
          <w:rFonts w:ascii="Arial" w:hAnsi="Arial" w:cs="Arial"/>
          <w:sz w:val="20"/>
          <w:szCs w:val="20"/>
          <w:lang w:val="en-AU"/>
        </w:rPr>
        <w:t xml:space="preserve">revoke a </w:t>
      </w:r>
      <w:r w:rsidR="00756BB5" w:rsidRPr="00725BCD">
        <w:rPr>
          <w:rFonts w:ascii="Arial" w:hAnsi="Arial" w:cs="Arial"/>
          <w:sz w:val="20"/>
          <w:szCs w:val="20"/>
          <w:lang w:val="en-AU"/>
        </w:rPr>
        <w:t>legislative instrument made under section 262 of the Act.</w:t>
      </w:r>
      <w:r w:rsidR="00756BB5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4C49E2" w:rsidRDefault="004C49E2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9C7347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>The Advisory Guideline</w:t>
      </w:r>
      <w:r w:rsidR="00DA2FE2">
        <w:rPr>
          <w:rFonts w:ascii="Arial" w:hAnsi="Arial" w:cs="Arial"/>
          <w:sz w:val="20"/>
          <w:szCs w:val="20"/>
          <w:lang w:val="en-AU"/>
        </w:rPr>
        <w:t>s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="00DA2FE2">
        <w:rPr>
          <w:rFonts w:ascii="Arial" w:hAnsi="Arial" w:cs="Arial"/>
          <w:sz w:val="20"/>
          <w:szCs w:val="20"/>
          <w:lang w:val="en-AU"/>
        </w:rPr>
        <w:t>are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a legislative instrument under the </w:t>
      </w:r>
      <w:r w:rsidRPr="00EA312C">
        <w:rPr>
          <w:rFonts w:ascii="Arial" w:hAnsi="Arial" w:cs="Arial"/>
          <w:i/>
          <w:sz w:val="20"/>
          <w:szCs w:val="20"/>
          <w:lang w:val="en-AU"/>
        </w:rPr>
        <w:t>Legislative Instruments Act 2003</w:t>
      </w:r>
      <w:r w:rsidR="008A2EAE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8A2EAE">
        <w:rPr>
          <w:rFonts w:ascii="Arial" w:hAnsi="Arial" w:cs="Arial"/>
          <w:sz w:val="20"/>
          <w:szCs w:val="20"/>
          <w:lang w:val="en-AU"/>
        </w:rPr>
        <w:t>(</w:t>
      </w:r>
      <w:r w:rsidR="008A2EAE">
        <w:rPr>
          <w:rFonts w:ascii="Arial" w:hAnsi="Arial" w:cs="Arial"/>
          <w:b/>
          <w:sz w:val="20"/>
          <w:szCs w:val="20"/>
          <w:lang w:val="en-AU"/>
        </w:rPr>
        <w:t>the LI Act</w:t>
      </w:r>
      <w:r w:rsidR="008A2EAE">
        <w:rPr>
          <w:rFonts w:ascii="Arial" w:hAnsi="Arial" w:cs="Arial"/>
          <w:sz w:val="20"/>
          <w:szCs w:val="20"/>
          <w:lang w:val="en-AU"/>
        </w:rPr>
        <w:t>)</w:t>
      </w:r>
      <w:r w:rsidR="001C7822" w:rsidRPr="00EA312C">
        <w:rPr>
          <w:rFonts w:ascii="Arial" w:hAnsi="Arial" w:cs="Arial"/>
          <w:sz w:val="20"/>
          <w:szCs w:val="20"/>
          <w:lang w:val="en-AU"/>
        </w:rPr>
        <w:t>.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9C7347">
      <w:pPr>
        <w:keepNext/>
        <w:jc w:val="both"/>
        <w:outlineLvl w:val="0"/>
        <w:rPr>
          <w:rFonts w:ascii="Arial" w:hAnsi="Arial" w:cs="Arial"/>
          <w:b/>
          <w:sz w:val="20"/>
          <w:szCs w:val="20"/>
          <w:lang w:val="en-AU"/>
        </w:rPr>
      </w:pPr>
      <w:r w:rsidRPr="00EA312C">
        <w:rPr>
          <w:rFonts w:ascii="Arial" w:hAnsi="Arial" w:cs="Arial"/>
          <w:b/>
          <w:sz w:val="20"/>
          <w:szCs w:val="20"/>
          <w:lang w:val="en-AU"/>
        </w:rPr>
        <w:t>Background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9C7347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 xml:space="preserve">A spectrum licence permits a licensee, subject to specified conditions, to operate radiocommunications devices within a particular spectrum space, defined by a frequency band and a geographic area. Interference occurring between adjacent spectrum licences consists of in-band interference across the geographic boundaries, and out-of-band interference across the frequency boundaries. </w:t>
      </w:r>
      <w:r w:rsidR="008E7620" w:rsidRPr="00EA312C">
        <w:rPr>
          <w:rFonts w:ascii="Arial" w:hAnsi="Arial" w:cs="Arial"/>
          <w:sz w:val="20"/>
          <w:szCs w:val="20"/>
          <w:lang w:val="en-AU"/>
        </w:rPr>
        <w:t>Interference can also occur between spectrum licensed services and services operating under apparatus and class licensing arrangements</w:t>
      </w:r>
      <w:r w:rsidR="008E7620">
        <w:rPr>
          <w:rFonts w:ascii="Arial" w:hAnsi="Arial" w:cs="Arial"/>
          <w:sz w:val="20"/>
          <w:szCs w:val="20"/>
          <w:lang w:val="en-AU"/>
        </w:rPr>
        <w:t>.</w:t>
      </w:r>
      <w:r w:rsidR="008E7620" w:rsidRPr="00EA312C">
        <w:rPr>
          <w:rFonts w:ascii="Arial" w:hAnsi="Arial" w:cs="Arial"/>
          <w:sz w:val="20"/>
          <w:szCs w:val="20"/>
          <w:lang w:val="en-AU"/>
        </w:rPr>
        <w:t xml:space="preserve">  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9C7347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>The Act provides a number of means by which the ACMA may manage interference</w:t>
      </w:r>
      <w:r w:rsidR="00DA2FE2">
        <w:rPr>
          <w:rFonts w:ascii="Arial" w:hAnsi="Arial" w:cs="Arial"/>
          <w:sz w:val="20"/>
          <w:szCs w:val="20"/>
          <w:lang w:val="en-AU"/>
        </w:rPr>
        <w:t xml:space="preserve"> that may be caused to 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a radiocommunications </w:t>
      </w:r>
      <w:r w:rsidR="00DA2FE2">
        <w:rPr>
          <w:rFonts w:ascii="Arial" w:hAnsi="Arial" w:cs="Arial"/>
          <w:sz w:val="20"/>
          <w:szCs w:val="20"/>
          <w:lang w:val="en-AU"/>
        </w:rPr>
        <w:t>receiver operating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under a spectrum licence. One of these includes the ability to make advisory guidelines under section 262 of the Act about interference. The </w:t>
      </w:r>
      <w:r w:rsidR="00152BF9" w:rsidRPr="00152BF9">
        <w:rPr>
          <w:rFonts w:ascii="Arial" w:hAnsi="Arial" w:cs="Arial"/>
          <w:bCs/>
          <w:i/>
          <w:sz w:val="20"/>
          <w:szCs w:val="20"/>
        </w:rPr>
        <w:t>Radiocommunications Advisory Guidelines (Managing Interference to Receivers - 2.3 GHz Band) 2009</w:t>
      </w:r>
      <w:r w:rsidR="00152BF9" w:rsidRPr="00152BF9">
        <w:rPr>
          <w:rFonts w:ascii="Arial" w:hAnsi="Arial" w:cs="Arial"/>
          <w:i/>
          <w:sz w:val="20"/>
          <w:szCs w:val="20"/>
        </w:rPr>
        <w:t xml:space="preserve"> </w:t>
      </w:r>
      <w:r w:rsidRPr="00EA312C">
        <w:rPr>
          <w:rFonts w:ascii="Arial" w:hAnsi="Arial" w:cs="Arial"/>
          <w:sz w:val="20"/>
          <w:szCs w:val="20"/>
        </w:rPr>
        <w:t>(</w:t>
      </w:r>
      <w:r w:rsidR="00BC0788" w:rsidRPr="00BC0788">
        <w:rPr>
          <w:rFonts w:ascii="Arial" w:hAnsi="Arial" w:cs="Arial"/>
          <w:b/>
          <w:sz w:val="20"/>
          <w:szCs w:val="20"/>
        </w:rPr>
        <w:t>the 2009 Guidelines</w:t>
      </w:r>
      <w:r w:rsidRPr="00EA312C">
        <w:rPr>
          <w:rFonts w:ascii="Arial" w:hAnsi="Arial" w:cs="Arial"/>
          <w:sz w:val="20"/>
          <w:szCs w:val="20"/>
        </w:rPr>
        <w:t>)</w:t>
      </w:r>
      <w:r w:rsidRPr="00EA312C">
        <w:rPr>
          <w:rFonts w:ascii="Arial" w:hAnsi="Arial" w:cs="Arial"/>
          <w:i/>
          <w:sz w:val="20"/>
          <w:szCs w:val="20"/>
        </w:rPr>
        <w:t xml:space="preserve"> 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made under section 262 of the Act provide guidance to assist with the protection of </w:t>
      </w:r>
      <w:r w:rsidR="00DA2FE2">
        <w:rPr>
          <w:rFonts w:ascii="Arial" w:hAnsi="Arial" w:cs="Arial"/>
          <w:sz w:val="20"/>
          <w:szCs w:val="20"/>
          <w:lang w:val="en-AU"/>
        </w:rPr>
        <w:t>spectrum licensed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radiocommunications receivers </w:t>
      </w:r>
      <w:r w:rsidR="00DA2FE2" w:rsidRPr="00EA312C">
        <w:rPr>
          <w:rFonts w:ascii="Arial" w:hAnsi="Arial" w:cs="Arial"/>
          <w:sz w:val="20"/>
          <w:szCs w:val="20"/>
          <w:lang w:val="en-AU"/>
        </w:rPr>
        <w:t xml:space="preserve">operating in the </w:t>
      </w:r>
      <w:r w:rsidR="000E36AE">
        <w:rPr>
          <w:rFonts w:ascii="Arial" w:hAnsi="Arial" w:cs="Arial"/>
          <w:sz w:val="20"/>
          <w:szCs w:val="20"/>
          <w:lang w:val="en-AU"/>
        </w:rPr>
        <w:t>2.3 GHz</w:t>
      </w:r>
      <w:r w:rsidR="00DA2FE2" w:rsidRPr="00EA312C">
        <w:rPr>
          <w:rFonts w:ascii="Arial" w:hAnsi="Arial" w:cs="Arial"/>
          <w:sz w:val="20"/>
          <w:szCs w:val="20"/>
          <w:lang w:val="en-AU"/>
        </w:rPr>
        <w:t xml:space="preserve"> band </w:t>
      </w:r>
      <w:r w:rsidRPr="00EA312C">
        <w:rPr>
          <w:rFonts w:ascii="Arial" w:hAnsi="Arial" w:cs="Arial"/>
          <w:sz w:val="20"/>
          <w:szCs w:val="20"/>
          <w:lang w:val="en-AU"/>
        </w:rPr>
        <w:t>from radiocommunications transmitters</w:t>
      </w:r>
      <w:r w:rsidR="00304947">
        <w:rPr>
          <w:rFonts w:ascii="Arial" w:hAnsi="Arial" w:cs="Arial"/>
          <w:sz w:val="20"/>
          <w:szCs w:val="20"/>
          <w:lang w:val="en-AU"/>
        </w:rPr>
        <w:t xml:space="preserve"> operated under other licences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. 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9C7347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 xml:space="preserve">Current spectrum licences in the </w:t>
      </w:r>
      <w:r w:rsidR="000E36AE">
        <w:rPr>
          <w:rFonts w:ascii="Arial" w:hAnsi="Arial" w:cs="Arial"/>
          <w:sz w:val="20"/>
          <w:szCs w:val="20"/>
          <w:lang w:val="en-AU"/>
        </w:rPr>
        <w:t>2.3 G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Hz band will expire </w:t>
      </w:r>
      <w:r w:rsidR="00152BF9">
        <w:rPr>
          <w:rFonts w:ascii="Arial" w:hAnsi="Arial" w:cs="Arial"/>
          <w:sz w:val="20"/>
          <w:szCs w:val="20"/>
          <w:lang w:val="en-AU"/>
        </w:rPr>
        <w:t>on 24 July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201</w:t>
      </w:r>
      <w:r w:rsidR="00152BF9">
        <w:rPr>
          <w:rFonts w:ascii="Arial" w:hAnsi="Arial" w:cs="Arial"/>
          <w:sz w:val="20"/>
          <w:szCs w:val="20"/>
          <w:lang w:val="en-AU"/>
        </w:rPr>
        <w:t>5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. To prepare for the re-issue and/or re-allocation of spectrum licences in the </w:t>
      </w:r>
      <w:r w:rsidR="00152BF9">
        <w:rPr>
          <w:rFonts w:ascii="Arial" w:hAnsi="Arial" w:cs="Arial"/>
          <w:sz w:val="20"/>
          <w:szCs w:val="20"/>
          <w:lang w:val="en-AU"/>
        </w:rPr>
        <w:t>2.3 GHz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band, the ACMA conducted a review of the </w:t>
      </w:r>
      <w:r w:rsidR="00152BF9">
        <w:rPr>
          <w:rFonts w:ascii="Arial" w:hAnsi="Arial" w:cs="Arial"/>
          <w:sz w:val="20"/>
          <w:szCs w:val="20"/>
          <w:lang w:val="en-AU"/>
        </w:rPr>
        <w:t>2.3 GHz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spectrum licensing technical framework. The aim of the review was to:</w:t>
      </w:r>
    </w:p>
    <w:p w:rsidR="004109FD" w:rsidRDefault="009C7347">
      <w:pPr>
        <w:numPr>
          <w:ilvl w:val="0"/>
          <w:numId w:val="25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>ensure flexibility so that a range of modern technologies can be used in the band, with a particular focus on International Mobile Telecommunications (IMT) technologies;</w:t>
      </w:r>
    </w:p>
    <w:p w:rsidR="004109FD" w:rsidRDefault="009C7347">
      <w:pPr>
        <w:numPr>
          <w:ilvl w:val="0"/>
          <w:numId w:val="25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>provide conditions that enable continued usage of existing network technologies in the band;</w:t>
      </w:r>
    </w:p>
    <w:p w:rsidR="004109FD" w:rsidRDefault="009C7347">
      <w:pPr>
        <w:numPr>
          <w:ilvl w:val="0"/>
          <w:numId w:val="25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 xml:space="preserve">provide interference management within the </w:t>
      </w:r>
      <w:r w:rsidR="00152BF9">
        <w:rPr>
          <w:rFonts w:ascii="Arial" w:hAnsi="Arial" w:cs="Arial"/>
          <w:sz w:val="20"/>
          <w:szCs w:val="20"/>
          <w:lang w:val="en-AU"/>
        </w:rPr>
        <w:t>2.3 G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Hz band, and in adjacent bands; and </w:t>
      </w:r>
    </w:p>
    <w:p w:rsidR="004109FD" w:rsidRDefault="009C7347">
      <w:pPr>
        <w:numPr>
          <w:ilvl w:val="0"/>
          <w:numId w:val="25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>address deficiencies that have come to light during the current licence period.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9C7347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lastRenderedPageBreak/>
        <w:t xml:space="preserve">The review recommended that the </w:t>
      </w:r>
      <w:r w:rsidR="00152BF9">
        <w:rPr>
          <w:rFonts w:ascii="Arial" w:hAnsi="Arial" w:cs="Arial"/>
          <w:sz w:val="20"/>
          <w:szCs w:val="20"/>
          <w:lang w:val="en-AU"/>
        </w:rPr>
        <w:t>200</w:t>
      </w:r>
      <w:r w:rsidR="00152BF9" w:rsidRPr="00EA312C">
        <w:rPr>
          <w:rFonts w:ascii="Arial" w:hAnsi="Arial" w:cs="Arial"/>
          <w:sz w:val="20"/>
          <w:szCs w:val="20"/>
          <w:lang w:val="en-AU"/>
        </w:rPr>
        <w:t xml:space="preserve">9 </w:t>
      </w:r>
      <w:r w:rsidRPr="00EA312C">
        <w:rPr>
          <w:rFonts w:ascii="Arial" w:hAnsi="Arial" w:cs="Arial"/>
          <w:sz w:val="20"/>
          <w:szCs w:val="20"/>
          <w:lang w:val="en-AU"/>
        </w:rPr>
        <w:t>Guidelines be amended to account for the modernisation of mobile communications technologies that ha</w:t>
      </w:r>
      <w:r w:rsidR="000D2159">
        <w:rPr>
          <w:rFonts w:ascii="Arial" w:hAnsi="Arial" w:cs="Arial"/>
          <w:sz w:val="20"/>
          <w:szCs w:val="20"/>
          <w:lang w:val="en-AU"/>
        </w:rPr>
        <w:t>s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occurred since the </w:t>
      </w:r>
      <w:r w:rsidR="000E36AE">
        <w:rPr>
          <w:rFonts w:ascii="Arial" w:hAnsi="Arial" w:cs="Arial"/>
          <w:sz w:val="20"/>
          <w:szCs w:val="20"/>
          <w:lang w:val="en-AU"/>
        </w:rPr>
        <w:t>2009</w:t>
      </w:r>
      <w:r w:rsidR="000E36AE"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Pr="00EA312C">
        <w:rPr>
          <w:rFonts w:ascii="Arial" w:hAnsi="Arial" w:cs="Arial"/>
          <w:sz w:val="20"/>
          <w:szCs w:val="20"/>
          <w:lang w:val="en-AU"/>
        </w:rPr>
        <w:t>Guidelines</w:t>
      </w:r>
      <w:r w:rsidR="004546A4">
        <w:rPr>
          <w:rFonts w:ascii="Arial" w:hAnsi="Arial" w:cs="Arial"/>
          <w:sz w:val="20"/>
          <w:szCs w:val="20"/>
          <w:lang w:val="en-AU"/>
        </w:rPr>
        <w:t xml:space="preserve"> were made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, as well as to allow for developments that may be expected to take place in the next spectrum licence period. 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9C7347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 xml:space="preserve">The Advisory Guidelines are one of a set of legal instruments being made by the ACMA to vary the spectrum licensing technical framework applicable to the </w:t>
      </w:r>
      <w:r w:rsidR="000E36AE">
        <w:rPr>
          <w:rFonts w:ascii="Arial" w:hAnsi="Arial" w:cs="Arial"/>
          <w:sz w:val="20"/>
          <w:szCs w:val="20"/>
          <w:lang w:val="en-AU"/>
        </w:rPr>
        <w:t>2.3 G</w:t>
      </w:r>
      <w:r w:rsidRPr="00EA312C">
        <w:rPr>
          <w:rFonts w:ascii="Arial" w:hAnsi="Arial" w:cs="Arial"/>
          <w:sz w:val="20"/>
          <w:szCs w:val="20"/>
          <w:lang w:val="en-AU"/>
        </w:rPr>
        <w:t>Hz band according to the review recommendations. The Advisory Guidelines revoke</w:t>
      </w:r>
      <w:r w:rsidR="00D41FA7">
        <w:rPr>
          <w:rFonts w:ascii="Arial" w:hAnsi="Arial" w:cs="Arial"/>
          <w:sz w:val="20"/>
          <w:szCs w:val="20"/>
          <w:lang w:val="en-AU"/>
        </w:rPr>
        <w:t>, with effect from 25 July 2015,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the </w:t>
      </w:r>
      <w:r w:rsidR="000E36AE">
        <w:rPr>
          <w:rFonts w:ascii="Arial" w:hAnsi="Arial" w:cs="Arial"/>
          <w:sz w:val="20"/>
          <w:szCs w:val="20"/>
          <w:lang w:val="en-AU"/>
        </w:rPr>
        <w:t>200</w:t>
      </w:r>
      <w:r w:rsidR="000E36AE" w:rsidRPr="00EA312C">
        <w:rPr>
          <w:rFonts w:ascii="Arial" w:hAnsi="Arial" w:cs="Arial"/>
          <w:sz w:val="20"/>
          <w:szCs w:val="20"/>
          <w:lang w:val="en-AU"/>
        </w:rPr>
        <w:t xml:space="preserve">9 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Guidelines and implement the </w:t>
      </w:r>
      <w:r w:rsidR="002E7F5F">
        <w:rPr>
          <w:rFonts w:ascii="Arial" w:hAnsi="Arial" w:cs="Arial"/>
          <w:sz w:val="20"/>
          <w:szCs w:val="20"/>
          <w:lang w:val="en-AU"/>
        </w:rPr>
        <w:t>review</w:t>
      </w:r>
      <w:r w:rsidR="002E7F5F"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recommendations.  The ACMA will also make the </w:t>
      </w:r>
      <w:r w:rsidRPr="00EA312C">
        <w:rPr>
          <w:rFonts w:ascii="Arial" w:hAnsi="Arial" w:cs="Arial"/>
          <w:i/>
          <w:sz w:val="20"/>
          <w:szCs w:val="20"/>
          <w:lang w:val="en-AU"/>
        </w:rPr>
        <w:t xml:space="preserve">Radiocommunications Advisory Guidelines (Managing Interference from Spectrum Licensed Transmitters – </w:t>
      </w:r>
      <w:r w:rsidR="000E36AE">
        <w:rPr>
          <w:rFonts w:ascii="Arial" w:hAnsi="Arial" w:cs="Arial"/>
          <w:i/>
          <w:sz w:val="20"/>
          <w:szCs w:val="20"/>
          <w:lang w:val="en-AU"/>
        </w:rPr>
        <w:t>2.3 G</w:t>
      </w:r>
      <w:r w:rsidRPr="00EA312C">
        <w:rPr>
          <w:rFonts w:ascii="Arial" w:hAnsi="Arial" w:cs="Arial"/>
          <w:i/>
          <w:sz w:val="20"/>
          <w:szCs w:val="20"/>
          <w:lang w:val="en-AU"/>
        </w:rPr>
        <w:t>Hz Band) 201</w:t>
      </w:r>
      <w:r w:rsidR="000E36AE">
        <w:rPr>
          <w:rFonts w:ascii="Arial" w:hAnsi="Arial" w:cs="Arial"/>
          <w:i/>
          <w:sz w:val="20"/>
          <w:szCs w:val="20"/>
          <w:lang w:val="en-AU"/>
        </w:rPr>
        <w:t>3</w:t>
      </w:r>
      <w:r w:rsidRPr="00EA312C">
        <w:rPr>
          <w:rFonts w:ascii="Arial" w:hAnsi="Arial" w:cs="Arial"/>
          <w:i/>
          <w:sz w:val="20"/>
          <w:szCs w:val="20"/>
          <w:lang w:val="en-AU"/>
        </w:rPr>
        <w:t xml:space="preserve">, 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and the </w:t>
      </w:r>
      <w:r w:rsidRPr="00EA312C">
        <w:rPr>
          <w:rFonts w:ascii="Arial" w:hAnsi="Arial" w:cs="Arial"/>
          <w:i/>
          <w:sz w:val="20"/>
          <w:szCs w:val="20"/>
          <w:lang w:val="en-AU"/>
        </w:rPr>
        <w:t xml:space="preserve">Radiocommunications (Unacceptable Levels of Interference – </w:t>
      </w:r>
      <w:r w:rsidR="000E36AE">
        <w:rPr>
          <w:rFonts w:ascii="Arial" w:hAnsi="Arial" w:cs="Arial"/>
          <w:i/>
          <w:sz w:val="20"/>
          <w:szCs w:val="20"/>
          <w:lang w:val="en-AU"/>
        </w:rPr>
        <w:t>2.3 G</w:t>
      </w:r>
      <w:r w:rsidRPr="00EA312C">
        <w:rPr>
          <w:rFonts w:ascii="Arial" w:hAnsi="Arial" w:cs="Arial"/>
          <w:i/>
          <w:sz w:val="20"/>
          <w:szCs w:val="20"/>
          <w:lang w:val="en-AU"/>
        </w:rPr>
        <w:t>Hz Band) Determination 201</w:t>
      </w:r>
      <w:r w:rsidR="000E36AE">
        <w:rPr>
          <w:rFonts w:ascii="Arial" w:hAnsi="Arial" w:cs="Arial"/>
          <w:i/>
          <w:sz w:val="20"/>
          <w:szCs w:val="20"/>
          <w:lang w:val="en-AU"/>
        </w:rPr>
        <w:t>3</w:t>
      </w:r>
      <w:r w:rsidRPr="00EA312C">
        <w:rPr>
          <w:rFonts w:ascii="Arial" w:hAnsi="Arial" w:cs="Arial"/>
          <w:sz w:val="20"/>
          <w:szCs w:val="20"/>
          <w:lang w:val="en-AU"/>
        </w:rPr>
        <w:t>.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B53B24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EA312C">
        <w:rPr>
          <w:rFonts w:ascii="Arial" w:hAnsi="Arial" w:cs="Arial"/>
          <w:b/>
          <w:sz w:val="20"/>
          <w:szCs w:val="20"/>
          <w:lang w:val="en-AU"/>
        </w:rPr>
        <w:t>Operation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407B92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C4D12">
        <w:rPr>
          <w:rFonts w:ascii="Arial" w:hAnsi="Arial" w:cs="Arial"/>
          <w:sz w:val="20"/>
          <w:szCs w:val="20"/>
          <w:lang w:val="en-AU"/>
        </w:rPr>
        <w:t>The Advisory Guideline</w:t>
      </w:r>
      <w:r>
        <w:rPr>
          <w:rFonts w:ascii="Arial" w:hAnsi="Arial" w:cs="Arial"/>
          <w:sz w:val="20"/>
          <w:szCs w:val="20"/>
          <w:lang w:val="en-AU"/>
        </w:rPr>
        <w:t>s</w:t>
      </w:r>
      <w:r w:rsidRPr="00EC4D12">
        <w:rPr>
          <w:rFonts w:ascii="Arial" w:hAnsi="Arial" w:cs="Arial"/>
          <w:sz w:val="20"/>
          <w:szCs w:val="20"/>
          <w:lang w:val="en-AU"/>
        </w:rPr>
        <w:t xml:space="preserve"> </w:t>
      </w:r>
      <w:r w:rsidRPr="00F06050">
        <w:rPr>
          <w:rFonts w:ascii="Arial" w:hAnsi="Arial" w:cs="Arial"/>
          <w:sz w:val="20"/>
          <w:szCs w:val="20"/>
          <w:lang w:val="en-AU"/>
        </w:rPr>
        <w:t>provide guidance on the management and settlement of interference to radiocommunications receivers operating under spectrum l</w:t>
      </w:r>
      <w:r>
        <w:rPr>
          <w:rFonts w:ascii="Arial" w:hAnsi="Arial" w:cs="Arial"/>
          <w:sz w:val="20"/>
          <w:szCs w:val="20"/>
          <w:lang w:val="en-AU"/>
        </w:rPr>
        <w:t xml:space="preserve">icences in the </w:t>
      </w:r>
      <w:r w:rsidR="000E36AE">
        <w:rPr>
          <w:rFonts w:ascii="Arial" w:hAnsi="Arial" w:cs="Arial"/>
          <w:sz w:val="20"/>
          <w:szCs w:val="20"/>
          <w:lang w:val="en-AU"/>
        </w:rPr>
        <w:t>2.3 G</w:t>
      </w:r>
      <w:r>
        <w:rPr>
          <w:rFonts w:ascii="Arial" w:hAnsi="Arial" w:cs="Arial"/>
          <w:sz w:val="20"/>
          <w:szCs w:val="20"/>
          <w:lang w:val="en-AU"/>
        </w:rPr>
        <w:t xml:space="preserve">Hz band which is </w:t>
      </w:r>
      <w:r w:rsidRPr="00F06050">
        <w:rPr>
          <w:rFonts w:ascii="Arial" w:hAnsi="Arial" w:cs="Arial"/>
          <w:sz w:val="20"/>
          <w:szCs w:val="20"/>
          <w:lang w:val="en-AU"/>
        </w:rPr>
        <w:t xml:space="preserve">caused by radiocommunications transmitters operating </w:t>
      </w:r>
      <w:r>
        <w:rPr>
          <w:rFonts w:ascii="Arial" w:hAnsi="Arial" w:cs="Arial"/>
          <w:sz w:val="20"/>
          <w:szCs w:val="20"/>
          <w:lang w:val="en-AU"/>
        </w:rPr>
        <w:t xml:space="preserve">under </w:t>
      </w:r>
      <w:r w:rsidR="000E36AE">
        <w:rPr>
          <w:rFonts w:ascii="Arial" w:hAnsi="Arial" w:cs="Arial"/>
          <w:sz w:val="20"/>
          <w:szCs w:val="20"/>
          <w:lang w:val="en-AU"/>
        </w:rPr>
        <w:t>another</w:t>
      </w:r>
      <w:r w:rsidR="002E7F5F">
        <w:rPr>
          <w:rFonts w:ascii="Arial" w:hAnsi="Arial" w:cs="Arial"/>
          <w:sz w:val="20"/>
          <w:szCs w:val="20"/>
          <w:lang w:val="en-AU"/>
        </w:rPr>
        <w:t xml:space="preserve"> licence </w:t>
      </w:r>
      <w:r>
        <w:rPr>
          <w:rFonts w:ascii="Arial" w:hAnsi="Arial" w:cs="Arial"/>
          <w:sz w:val="20"/>
          <w:szCs w:val="20"/>
          <w:lang w:val="en-AU"/>
        </w:rPr>
        <w:t xml:space="preserve">in </w:t>
      </w:r>
      <w:r w:rsidR="000E36AE">
        <w:rPr>
          <w:rFonts w:ascii="Arial" w:hAnsi="Arial" w:cs="Arial"/>
          <w:sz w:val="20"/>
          <w:szCs w:val="20"/>
          <w:lang w:val="en-AU"/>
        </w:rPr>
        <w:t xml:space="preserve">an </w:t>
      </w:r>
      <w:r>
        <w:rPr>
          <w:rFonts w:ascii="Arial" w:hAnsi="Arial" w:cs="Arial"/>
          <w:sz w:val="20"/>
          <w:szCs w:val="20"/>
          <w:lang w:val="en-AU"/>
        </w:rPr>
        <w:t>adjacent band or adjacent area</w:t>
      </w:r>
      <w:r w:rsidRPr="00F06050">
        <w:rPr>
          <w:rFonts w:ascii="Arial" w:hAnsi="Arial" w:cs="Arial"/>
          <w:sz w:val="20"/>
          <w:szCs w:val="20"/>
          <w:lang w:val="en-AU"/>
        </w:rPr>
        <w:t>.</w:t>
      </w:r>
      <w:r>
        <w:rPr>
          <w:rFonts w:ascii="Arial" w:hAnsi="Arial" w:cs="Arial"/>
          <w:sz w:val="20"/>
          <w:szCs w:val="20"/>
          <w:lang w:val="en-AU"/>
        </w:rPr>
        <w:t xml:space="preserve"> The</w:t>
      </w:r>
      <w:r w:rsidRPr="001856DC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Advisory G</w:t>
      </w:r>
      <w:r w:rsidRPr="001856DC">
        <w:rPr>
          <w:rFonts w:ascii="Arial" w:hAnsi="Arial" w:cs="Arial"/>
          <w:sz w:val="20"/>
          <w:szCs w:val="20"/>
          <w:lang w:val="en-AU"/>
        </w:rPr>
        <w:t>uideline</w:t>
      </w:r>
      <w:r>
        <w:rPr>
          <w:rFonts w:ascii="Arial" w:hAnsi="Arial" w:cs="Arial"/>
          <w:sz w:val="20"/>
          <w:szCs w:val="20"/>
          <w:lang w:val="en-AU"/>
        </w:rPr>
        <w:t>s</w:t>
      </w:r>
      <w:r w:rsidRPr="001856DC">
        <w:rPr>
          <w:rFonts w:ascii="Arial" w:hAnsi="Arial" w:cs="Arial"/>
          <w:sz w:val="20"/>
          <w:szCs w:val="20"/>
          <w:lang w:val="en-AU"/>
        </w:rPr>
        <w:t xml:space="preserve"> should be used by </w:t>
      </w:r>
      <w:r w:rsidR="00981EB4">
        <w:rPr>
          <w:rFonts w:ascii="Arial" w:hAnsi="Arial" w:cs="Arial"/>
          <w:sz w:val="20"/>
          <w:szCs w:val="20"/>
          <w:lang w:val="en-AU"/>
        </w:rPr>
        <w:t>ho</w:t>
      </w:r>
      <w:r w:rsidR="009C7347" w:rsidRPr="00EA312C">
        <w:rPr>
          <w:rFonts w:ascii="Arial" w:hAnsi="Arial" w:cs="Arial"/>
          <w:sz w:val="20"/>
          <w:szCs w:val="20"/>
          <w:lang w:val="en-AU"/>
        </w:rPr>
        <w:t>lders of spectrum</w:t>
      </w:r>
      <w:r w:rsidR="004546A4">
        <w:rPr>
          <w:rFonts w:ascii="Arial" w:hAnsi="Arial" w:cs="Arial"/>
          <w:sz w:val="20"/>
          <w:szCs w:val="20"/>
          <w:lang w:val="en-AU"/>
        </w:rPr>
        <w:t>, class</w:t>
      </w:r>
      <w:r w:rsidR="009C7347" w:rsidRPr="00EA312C">
        <w:rPr>
          <w:rFonts w:ascii="Arial" w:hAnsi="Arial" w:cs="Arial"/>
          <w:sz w:val="20"/>
          <w:szCs w:val="20"/>
          <w:lang w:val="en-AU"/>
        </w:rPr>
        <w:t xml:space="preserve"> and apparatus licen</w:t>
      </w:r>
      <w:r w:rsidR="005836CC">
        <w:rPr>
          <w:rFonts w:ascii="Arial" w:hAnsi="Arial" w:cs="Arial"/>
          <w:sz w:val="20"/>
          <w:szCs w:val="20"/>
          <w:lang w:val="en-AU"/>
        </w:rPr>
        <w:t>c</w:t>
      </w:r>
      <w:r w:rsidR="009C7347" w:rsidRPr="00EA312C">
        <w:rPr>
          <w:rFonts w:ascii="Arial" w:hAnsi="Arial" w:cs="Arial"/>
          <w:sz w:val="20"/>
          <w:szCs w:val="20"/>
          <w:lang w:val="en-AU"/>
        </w:rPr>
        <w:t>es in the planning of services or the resolution of interference. The ACMA also takes the Advisory Guidelines into account when determining whether a spectrum licensee is causing interference to a licensed radiocommunications receiver that is operating in accordance with its licence conditions.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B53B24">
      <w:pPr>
        <w:jc w:val="both"/>
        <w:outlineLvl w:val="0"/>
        <w:rPr>
          <w:rFonts w:ascii="Arial" w:hAnsi="Arial" w:cs="Arial"/>
          <w:b/>
          <w:sz w:val="20"/>
          <w:szCs w:val="20"/>
          <w:lang w:val="en-AU"/>
        </w:rPr>
      </w:pPr>
      <w:r w:rsidRPr="00EA312C">
        <w:rPr>
          <w:rFonts w:ascii="Arial" w:hAnsi="Arial" w:cs="Arial"/>
          <w:b/>
          <w:sz w:val="20"/>
          <w:szCs w:val="20"/>
          <w:lang w:val="en-AU"/>
        </w:rPr>
        <w:t>Consultation</w:t>
      </w:r>
    </w:p>
    <w:p w:rsidR="004109FD" w:rsidRDefault="004109FD">
      <w:pPr>
        <w:jc w:val="both"/>
        <w:rPr>
          <w:rFonts w:ascii="Arial" w:hAnsi="Arial" w:cs="Arial"/>
          <w:b/>
          <w:sz w:val="20"/>
          <w:szCs w:val="20"/>
          <w:lang w:val="en-AU"/>
        </w:rPr>
      </w:pPr>
    </w:p>
    <w:p w:rsidR="004109FD" w:rsidRDefault="009C7347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 xml:space="preserve">The ACMA has consulted extensively with stakeholders about the review of the spectrum licensing technical framework for the </w:t>
      </w:r>
      <w:r w:rsidR="000E36AE">
        <w:rPr>
          <w:rFonts w:ascii="Arial" w:hAnsi="Arial" w:cs="Arial"/>
          <w:sz w:val="20"/>
          <w:szCs w:val="20"/>
          <w:lang w:val="en-AU"/>
        </w:rPr>
        <w:t>2.3 G</w:t>
      </w:r>
      <w:r w:rsidRPr="00EA312C">
        <w:rPr>
          <w:rFonts w:ascii="Arial" w:hAnsi="Arial" w:cs="Arial"/>
          <w:sz w:val="20"/>
          <w:szCs w:val="20"/>
          <w:lang w:val="en-AU"/>
        </w:rPr>
        <w:t>Hz band.</w:t>
      </w:r>
      <w:r w:rsidR="004546A4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9C7347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 xml:space="preserve">In </w:t>
      </w:r>
      <w:r w:rsidR="000E36AE">
        <w:rPr>
          <w:rFonts w:ascii="Arial" w:hAnsi="Arial" w:cs="Arial"/>
          <w:sz w:val="20"/>
          <w:szCs w:val="20"/>
          <w:lang w:val="en-AU"/>
        </w:rPr>
        <w:t>October</w:t>
      </w:r>
      <w:r w:rsidR="000E36AE"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Pr="00EA312C">
        <w:rPr>
          <w:rFonts w:ascii="Arial" w:hAnsi="Arial" w:cs="Arial"/>
          <w:sz w:val="20"/>
          <w:szCs w:val="20"/>
          <w:lang w:val="en-AU"/>
        </w:rPr>
        <w:t>201</w:t>
      </w:r>
      <w:r w:rsidR="000E36AE">
        <w:rPr>
          <w:rFonts w:ascii="Arial" w:hAnsi="Arial" w:cs="Arial"/>
          <w:sz w:val="20"/>
          <w:szCs w:val="20"/>
          <w:lang w:val="en-AU"/>
        </w:rPr>
        <w:t>2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, the ACMA established </w:t>
      </w:r>
      <w:r w:rsidR="00A869A8">
        <w:rPr>
          <w:rFonts w:ascii="Arial" w:hAnsi="Arial" w:cs="Arial"/>
          <w:sz w:val="20"/>
          <w:szCs w:val="20"/>
          <w:lang w:val="en-AU"/>
        </w:rPr>
        <w:t xml:space="preserve">an </w:t>
      </w:r>
      <w:r w:rsidRPr="00EA312C">
        <w:rPr>
          <w:rFonts w:ascii="Arial" w:hAnsi="Arial" w:cs="Arial"/>
          <w:sz w:val="20"/>
          <w:szCs w:val="20"/>
          <w:lang w:val="en-AU"/>
        </w:rPr>
        <w:t>advisory body known as a Technical Liaison Group (</w:t>
      </w:r>
      <w:r w:rsidRPr="00D41FA7">
        <w:rPr>
          <w:rFonts w:ascii="Arial" w:hAnsi="Arial" w:cs="Arial"/>
          <w:b/>
          <w:sz w:val="20"/>
          <w:szCs w:val="20"/>
          <w:lang w:val="en-AU"/>
        </w:rPr>
        <w:t>TLG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) to support the review of the technical framework in the </w:t>
      </w:r>
      <w:r w:rsidR="000E36AE">
        <w:rPr>
          <w:rFonts w:ascii="Arial" w:hAnsi="Arial" w:cs="Arial"/>
          <w:sz w:val="20"/>
          <w:szCs w:val="20"/>
          <w:lang w:val="en-AU"/>
        </w:rPr>
        <w:t>2.3 G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Hz band. Incumbent and prospective licensees for the </w:t>
      </w:r>
      <w:r w:rsidR="000E36AE">
        <w:rPr>
          <w:rFonts w:ascii="Arial" w:hAnsi="Arial" w:cs="Arial"/>
          <w:sz w:val="20"/>
          <w:szCs w:val="20"/>
          <w:lang w:val="en-AU"/>
        </w:rPr>
        <w:t>2.3 G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Hz band were invited to participate in the TLG process. The </w:t>
      </w:r>
      <w:r w:rsidR="004546A4">
        <w:rPr>
          <w:rFonts w:ascii="Arial" w:hAnsi="Arial" w:cs="Arial"/>
          <w:sz w:val="20"/>
          <w:szCs w:val="20"/>
          <w:lang w:val="en-AU"/>
        </w:rPr>
        <w:t xml:space="preserve">role of the 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TLG was to consider and provide advice to the ACMA on technical aspects required for the development or review of the technical framework for the </w:t>
      </w:r>
      <w:r w:rsidR="000E36AE">
        <w:rPr>
          <w:rFonts w:ascii="Arial" w:hAnsi="Arial" w:cs="Arial"/>
          <w:sz w:val="20"/>
          <w:szCs w:val="20"/>
          <w:lang w:val="en-AU"/>
        </w:rPr>
        <w:t>2.3 GHz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band. 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9C7347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 xml:space="preserve">The ACMA developed three discussion papers which outlined the proposed approach to the spectrum licensing framework for the </w:t>
      </w:r>
      <w:r w:rsidR="000E36AE">
        <w:rPr>
          <w:rFonts w:ascii="Arial" w:hAnsi="Arial" w:cs="Arial"/>
          <w:sz w:val="20"/>
          <w:szCs w:val="20"/>
          <w:lang w:val="en-AU"/>
        </w:rPr>
        <w:t>2.3 GHz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band.  These papers were provided for comment by the ACMA to TLG members</w:t>
      </w:r>
      <w:r w:rsidR="00A869A8">
        <w:rPr>
          <w:rFonts w:ascii="Arial" w:hAnsi="Arial" w:cs="Arial"/>
          <w:sz w:val="20"/>
          <w:szCs w:val="20"/>
          <w:lang w:val="en-AU"/>
        </w:rPr>
        <w:t xml:space="preserve"> and are available on 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the ACMA website at </w:t>
      </w:r>
      <w:hyperlink r:id="rId13" w:history="1">
        <w:r w:rsidRPr="00EA312C">
          <w:rPr>
            <w:rStyle w:val="Hyperlink"/>
            <w:rFonts w:ascii="Arial" w:hAnsi="Arial" w:cs="Arial"/>
            <w:sz w:val="20"/>
            <w:szCs w:val="20"/>
            <w:lang w:val="en-AU"/>
          </w:rPr>
          <w:t>http://www.acma.gov.au</w:t>
        </w:r>
      </w:hyperlink>
      <w:r w:rsidRPr="00EA312C">
        <w:rPr>
          <w:rFonts w:ascii="Arial" w:hAnsi="Arial" w:cs="Arial"/>
          <w:sz w:val="20"/>
          <w:szCs w:val="20"/>
          <w:lang w:val="en-AU"/>
        </w:rPr>
        <w:t>.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9C7347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 xml:space="preserve">The ACMA took into account the views expressed by TLG members when preparing the draft Advisory Guidelines. The draft Advisory Guidelines were available for public comment from </w:t>
      </w:r>
      <w:r w:rsidR="000E36AE">
        <w:rPr>
          <w:rFonts w:ascii="Arial" w:hAnsi="Arial" w:cs="Arial"/>
          <w:sz w:val="20"/>
          <w:szCs w:val="20"/>
          <w:lang w:val="en-AU"/>
        </w:rPr>
        <w:t>14</w:t>
      </w:r>
      <w:r w:rsidR="000E36AE"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="000E36AE">
        <w:rPr>
          <w:rFonts w:ascii="Arial" w:hAnsi="Arial" w:cs="Arial"/>
          <w:sz w:val="20"/>
          <w:szCs w:val="20"/>
          <w:lang w:val="en-AU"/>
        </w:rPr>
        <w:t xml:space="preserve">October </w:t>
      </w:r>
      <w:r w:rsidRPr="00EA312C">
        <w:rPr>
          <w:rFonts w:ascii="Arial" w:hAnsi="Arial" w:cs="Arial"/>
          <w:sz w:val="20"/>
          <w:szCs w:val="20"/>
          <w:lang w:val="en-AU"/>
        </w:rPr>
        <w:t>201</w:t>
      </w:r>
      <w:r w:rsidR="000E36AE">
        <w:rPr>
          <w:rFonts w:ascii="Arial" w:hAnsi="Arial" w:cs="Arial"/>
          <w:sz w:val="20"/>
          <w:szCs w:val="20"/>
          <w:lang w:val="en-AU"/>
        </w:rPr>
        <w:t>3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to </w:t>
      </w:r>
      <w:r w:rsidR="000E36AE">
        <w:rPr>
          <w:rFonts w:ascii="Arial" w:hAnsi="Arial" w:cs="Arial"/>
          <w:sz w:val="20"/>
          <w:szCs w:val="20"/>
          <w:lang w:val="en-AU"/>
        </w:rPr>
        <w:t>13</w:t>
      </w:r>
      <w:r w:rsidR="000E36AE"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="000E36AE">
        <w:rPr>
          <w:rFonts w:ascii="Arial" w:hAnsi="Arial" w:cs="Arial"/>
          <w:sz w:val="20"/>
          <w:szCs w:val="20"/>
          <w:lang w:val="en-AU"/>
        </w:rPr>
        <w:t>November</w:t>
      </w:r>
      <w:r w:rsidR="000E36AE"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Pr="00EA312C">
        <w:rPr>
          <w:rFonts w:ascii="Arial" w:hAnsi="Arial" w:cs="Arial"/>
          <w:sz w:val="20"/>
          <w:szCs w:val="20"/>
          <w:lang w:val="en-AU"/>
        </w:rPr>
        <w:t>201</w:t>
      </w:r>
      <w:r w:rsidR="000E36AE">
        <w:rPr>
          <w:rFonts w:ascii="Arial" w:hAnsi="Arial" w:cs="Arial"/>
          <w:sz w:val="20"/>
          <w:szCs w:val="20"/>
          <w:lang w:val="en-AU"/>
        </w:rPr>
        <w:t>3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in order to give </w:t>
      </w:r>
      <w:r w:rsidR="00A869A8">
        <w:rPr>
          <w:rFonts w:ascii="Arial" w:hAnsi="Arial" w:cs="Arial"/>
          <w:sz w:val="20"/>
          <w:szCs w:val="20"/>
          <w:lang w:val="en-AU"/>
        </w:rPr>
        <w:t>all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interested parties a</w:t>
      </w:r>
      <w:r w:rsidR="00A869A8">
        <w:rPr>
          <w:rFonts w:ascii="Arial" w:hAnsi="Arial" w:cs="Arial"/>
          <w:sz w:val="20"/>
          <w:szCs w:val="20"/>
          <w:lang w:val="en-AU"/>
        </w:rPr>
        <w:t>n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opportunity to comment on the draft technical framework before the final </w:t>
      </w:r>
      <w:r w:rsidR="00A869A8">
        <w:rPr>
          <w:rFonts w:ascii="Arial" w:hAnsi="Arial" w:cs="Arial"/>
          <w:sz w:val="20"/>
          <w:szCs w:val="20"/>
          <w:lang w:val="en-AU"/>
        </w:rPr>
        <w:t>Advisory Guidelines</w:t>
      </w:r>
      <w:r w:rsidR="00A869A8"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were made by the ACMA.  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9C7347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 xml:space="preserve">There were </w:t>
      </w:r>
      <w:r w:rsidR="00554C6C">
        <w:rPr>
          <w:rFonts w:ascii="Arial" w:hAnsi="Arial" w:cs="Arial"/>
          <w:sz w:val="20"/>
          <w:szCs w:val="20"/>
          <w:lang w:val="en-AU"/>
        </w:rPr>
        <w:t>two</w:t>
      </w:r>
      <w:r w:rsidR="00934D14"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Pr="00EA312C">
        <w:rPr>
          <w:rFonts w:ascii="Arial" w:hAnsi="Arial" w:cs="Arial"/>
          <w:sz w:val="20"/>
          <w:szCs w:val="20"/>
          <w:lang w:val="en-AU"/>
        </w:rPr>
        <w:t>submission</w:t>
      </w:r>
      <w:r w:rsidR="00A869A8">
        <w:rPr>
          <w:rFonts w:ascii="Arial" w:hAnsi="Arial" w:cs="Arial"/>
          <w:sz w:val="20"/>
          <w:szCs w:val="20"/>
          <w:lang w:val="en-AU"/>
        </w:rPr>
        <w:t>s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received during public consultation regarding </w:t>
      </w:r>
      <w:r w:rsidR="00963C52">
        <w:rPr>
          <w:rFonts w:ascii="Arial" w:hAnsi="Arial" w:cs="Arial"/>
          <w:sz w:val="20"/>
          <w:szCs w:val="20"/>
          <w:lang w:val="en-AU"/>
        </w:rPr>
        <w:t xml:space="preserve">the revised </w:t>
      </w:r>
      <w:r w:rsidR="00AD7C61">
        <w:rPr>
          <w:rFonts w:ascii="Arial" w:hAnsi="Arial" w:cs="Arial"/>
          <w:sz w:val="20"/>
          <w:szCs w:val="20"/>
          <w:lang w:val="en-AU"/>
        </w:rPr>
        <w:t>technical</w:t>
      </w:r>
      <w:r w:rsidR="00963C52">
        <w:rPr>
          <w:rFonts w:ascii="Arial" w:hAnsi="Arial" w:cs="Arial"/>
          <w:sz w:val="20"/>
          <w:szCs w:val="20"/>
          <w:lang w:val="en-AU"/>
        </w:rPr>
        <w:t xml:space="preserve"> framework</w:t>
      </w:r>
      <w:r w:rsidR="0007071C">
        <w:rPr>
          <w:rFonts w:ascii="Arial" w:hAnsi="Arial" w:cs="Arial"/>
          <w:sz w:val="20"/>
          <w:szCs w:val="20"/>
          <w:lang w:val="en-AU"/>
        </w:rPr>
        <w:t xml:space="preserve">. </w:t>
      </w:r>
      <w:r w:rsidR="00B53B24" w:rsidRPr="00EA312C">
        <w:rPr>
          <w:rFonts w:ascii="Arial" w:hAnsi="Arial" w:cs="Arial"/>
          <w:sz w:val="20"/>
          <w:szCs w:val="20"/>
          <w:lang w:val="en-AU"/>
        </w:rPr>
        <w:t>The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se </w:t>
      </w:r>
      <w:r w:rsidR="0021629C" w:rsidRPr="00EA312C">
        <w:rPr>
          <w:rFonts w:ascii="Arial" w:hAnsi="Arial" w:cs="Arial"/>
          <w:sz w:val="20"/>
          <w:szCs w:val="20"/>
          <w:lang w:val="en-AU"/>
        </w:rPr>
        <w:t>submission</w:t>
      </w:r>
      <w:r w:rsidRPr="00EA312C">
        <w:rPr>
          <w:rFonts w:ascii="Arial" w:hAnsi="Arial" w:cs="Arial"/>
          <w:sz w:val="20"/>
          <w:szCs w:val="20"/>
          <w:lang w:val="en-AU"/>
        </w:rPr>
        <w:t>s</w:t>
      </w:r>
      <w:r w:rsidR="00B53B24"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="00935C10" w:rsidRPr="00EA312C">
        <w:rPr>
          <w:rFonts w:ascii="Arial" w:hAnsi="Arial" w:cs="Arial"/>
          <w:sz w:val="20"/>
          <w:szCs w:val="20"/>
          <w:lang w:val="en-AU"/>
        </w:rPr>
        <w:t xml:space="preserve">provided </w:t>
      </w:r>
      <w:r w:rsidR="00281C06" w:rsidRPr="00EA312C">
        <w:rPr>
          <w:rFonts w:ascii="Arial" w:hAnsi="Arial" w:cs="Arial"/>
          <w:sz w:val="20"/>
          <w:szCs w:val="20"/>
          <w:lang w:val="en-AU"/>
        </w:rPr>
        <w:t>no</w:t>
      </w:r>
      <w:r w:rsidR="0007071C">
        <w:rPr>
          <w:rFonts w:ascii="Arial" w:hAnsi="Arial" w:cs="Arial"/>
          <w:sz w:val="20"/>
          <w:szCs w:val="20"/>
          <w:lang w:val="en-AU"/>
        </w:rPr>
        <w:t xml:space="preserve"> </w:t>
      </w:r>
      <w:r w:rsidR="00935C10" w:rsidRPr="00EA312C">
        <w:rPr>
          <w:rFonts w:ascii="Arial" w:hAnsi="Arial" w:cs="Arial"/>
          <w:sz w:val="20"/>
          <w:szCs w:val="20"/>
          <w:lang w:val="en-AU"/>
        </w:rPr>
        <w:t>comment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="0021629C" w:rsidRPr="00EA312C">
        <w:rPr>
          <w:rFonts w:ascii="Arial" w:hAnsi="Arial" w:cs="Arial"/>
          <w:sz w:val="20"/>
          <w:szCs w:val="20"/>
          <w:lang w:val="en-AU"/>
        </w:rPr>
        <w:t xml:space="preserve">regarding </w:t>
      </w:r>
      <w:r w:rsidR="00B53B24" w:rsidRPr="00EA312C">
        <w:rPr>
          <w:rFonts w:ascii="Arial" w:hAnsi="Arial" w:cs="Arial"/>
          <w:sz w:val="20"/>
          <w:szCs w:val="20"/>
          <w:lang w:val="en-AU"/>
        </w:rPr>
        <w:t>th</w:t>
      </w:r>
      <w:r w:rsidR="0021629C" w:rsidRPr="00EA312C">
        <w:rPr>
          <w:rFonts w:ascii="Arial" w:hAnsi="Arial" w:cs="Arial"/>
          <w:sz w:val="20"/>
          <w:szCs w:val="20"/>
          <w:lang w:val="en-AU"/>
        </w:rPr>
        <w:t>e</w:t>
      </w:r>
      <w:r w:rsidR="004F12D6">
        <w:rPr>
          <w:rFonts w:ascii="Arial" w:hAnsi="Arial" w:cs="Arial"/>
          <w:sz w:val="20"/>
          <w:szCs w:val="20"/>
          <w:lang w:val="en-AU"/>
        </w:rPr>
        <w:t xml:space="preserve"> draft Advisory Guidelines</w:t>
      </w:r>
      <w:r w:rsidR="00B53B24" w:rsidRPr="00EA312C">
        <w:rPr>
          <w:rFonts w:ascii="Arial" w:hAnsi="Arial" w:cs="Arial"/>
          <w:sz w:val="20"/>
          <w:szCs w:val="20"/>
          <w:lang w:val="en-AU"/>
        </w:rPr>
        <w:t xml:space="preserve">.  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1B79DD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EC4D12">
        <w:rPr>
          <w:rFonts w:ascii="Arial" w:hAnsi="Arial" w:cs="Arial"/>
          <w:b/>
          <w:sz w:val="20"/>
          <w:szCs w:val="20"/>
          <w:lang w:val="en-AU"/>
        </w:rPr>
        <w:t xml:space="preserve">Regulatory </w:t>
      </w:r>
      <w:r w:rsidR="009859BF">
        <w:rPr>
          <w:rFonts w:ascii="Arial" w:hAnsi="Arial" w:cs="Arial"/>
          <w:b/>
          <w:sz w:val="20"/>
          <w:szCs w:val="20"/>
          <w:lang w:val="en-AU"/>
        </w:rPr>
        <w:t>i</w:t>
      </w:r>
      <w:r w:rsidRPr="00EC4D12">
        <w:rPr>
          <w:rFonts w:ascii="Arial" w:hAnsi="Arial" w:cs="Arial"/>
          <w:b/>
          <w:sz w:val="20"/>
          <w:szCs w:val="20"/>
          <w:lang w:val="en-AU"/>
        </w:rPr>
        <w:t xml:space="preserve">mpact 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0E36AE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</w:t>
      </w:r>
      <w:r w:rsidR="00765927" w:rsidRPr="00EC4D12">
        <w:rPr>
          <w:rFonts w:ascii="Arial" w:hAnsi="Arial" w:cs="Arial"/>
          <w:sz w:val="20"/>
          <w:szCs w:val="20"/>
          <w:lang w:val="en-AU"/>
        </w:rPr>
        <w:t>he ACMA consulted with the Office of Best Practice Regulation (</w:t>
      </w:r>
      <w:r w:rsidR="00765927" w:rsidRPr="00D41FA7">
        <w:rPr>
          <w:rFonts w:ascii="Arial" w:hAnsi="Arial" w:cs="Arial"/>
          <w:b/>
          <w:sz w:val="20"/>
          <w:szCs w:val="20"/>
          <w:lang w:val="en-AU"/>
        </w:rPr>
        <w:t>the OBPR</w:t>
      </w:r>
      <w:r w:rsidR="00765927" w:rsidRPr="00EC4D12">
        <w:rPr>
          <w:rFonts w:ascii="Arial" w:hAnsi="Arial" w:cs="Arial"/>
          <w:sz w:val="20"/>
          <w:szCs w:val="20"/>
          <w:lang w:val="en-AU"/>
        </w:rPr>
        <w:t xml:space="preserve">) on the requirement for a </w:t>
      </w:r>
      <w:r w:rsidR="009859BF">
        <w:rPr>
          <w:rFonts w:ascii="Arial" w:hAnsi="Arial" w:cs="Arial"/>
          <w:sz w:val="20"/>
          <w:szCs w:val="20"/>
          <w:lang w:val="en-AU"/>
        </w:rPr>
        <w:t>r</w:t>
      </w:r>
      <w:r w:rsidR="00765927" w:rsidRPr="00EC4D12">
        <w:rPr>
          <w:rFonts w:ascii="Arial" w:hAnsi="Arial" w:cs="Arial"/>
          <w:sz w:val="20"/>
          <w:szCs w:val="20"/>
          <w:lang w:val="en-AU"/>
        </w:rPr>
        <w:t xml:space="preserve">egulation </w:t>
      </w:r>
      <w:r w:rsidR="009859BF">
        <w:rPr>
          <w:rFonts w:ascii="Arial" w:hAnsi="Arial" w:cs="Arial"/>
          <w:sz w:val="20"/>
          <w:szCs w:val="20"/>
          <w:lang w:val="en-AU"/>
        </w:rPr>
        <w:t>i</w:t>
      </w:r>
      <w:r w:rsidR="00765927" w:rsidRPr="00EC4D12">
        <w:rPr>
          <w:rFonts w:ascii="Arial" w:hAnsi="Arial" w:cs="Arial"/>
          <w:sz w:val="20"/>
          <w:szCs w:val="20"/>
          <w:lang w:val="en-AU"/>
        </w:rPr>
        <w:t xml:space="preserve">mpact </w:t>
      </w:r>
      <w:r w:rsidR="009859BF">
        <w:rPr>
          <w:rFonts w:ascii="Arial" w:hAnsi="Arial" w:cs="Arial"/>
          <w:sz w:val="20"/>
          <w:szCs w:val="20"/>
          <w:lang w:val="en-AU"/>
        </w:rPr>
        <w:t>s</w:t>
      </w:r>
      <w:r w:rsidR="00765927" w:rsidRPr="00EC4D12">
        <w:rPr>
          <w:rFonts w:ascii="Arial" w:hAnsi="Arial" w:cs="Arial"/>
          <w:sz w:val="20"/>
          <w:szCs w:val="20"/>
          <w:lang w:val="en-AU"/>
        </w:rPr>
        <w:t>tatement (</w:t>
      </w:r>
      <w:r w:rsidR="00765927" w:rsidRPr="00D41FA7">
        <w:rPr>
          <w:rFonts w:ascii="Arial" w:hAnsi="Arial" w:cs="Arial"/>
          <w:b/>
          <w:sz w:val="20"/>
          <w:szCs w:val="20"/>
          <w:lang w:val="en-AU"/>
        </w:rPr>
        <w:t>RIS</w:t>
      </w:r>
      <w:r w:rsidR="00765927" w:rsidRPr="00EC4D12">
        <w:rPr>
          <w:rFonts w:ascii="Arial" w:hAnsi="Arial" w:cs="Arial"/>
          <w:sz w:val="20"/>
          <w:szCs w:val="20"/>
          <w:lang w:val="en-AU"/>
        </w:rPr>
        <w:t>) for this legislative instrument. The OBPR advised that th</w:t>
      </w:r>
      <w:r w:rsidR="00505924">
        <w:rPr>
          <w:rFonts w:ascii="Arial" w:hAnsi="Arial" w:cs="Arial"/>
          <w:sz w:val="20"/>
          <w:szCs w:val="20"/>
          <w:lang w:val="en-AU"/>
        </w:rPr>
        <w:t>e</w:t>
      </w:r>
      <w:r w:rsidR="00765927" w:rsidRPr="00EC4D12">
        <w:rPr>
          <w:rFonts w:ascii="Arial" w:hAnsi="Arial" w:cs="Arial"/>
          <w:sz w:val="20"/>
          <w:szCs w:val="20"/>
          <w:lang w:val="en-AU"/>
        </w:rPr>
        <w:t xml:space="preserve"> Advisory Guideline</w:t>
      </w:r>
      <w:r w:rsidR="00505924">
        <w:rPr>
          <w:rFonts w:ascii="Arial" w:hAnsi="Arial" w:cs="Arial"/>
          <w:sz w:val="20"/>
          <w:szCs w:val="20"/>
          <w:lang w:val="en-AU"/>
        </w:rPr>
        <w:t>s</w:t>
      </w:r>
      <w:r w:rsidR="00765927" w:rsidRPr="00EC4D12">
        <w:rPr>
          <w:rFonts w:ascii="Arial" w:hAnsi="Arial" w:cs="Arial"/>
          <w:sz w:val="20"/>
          <w:szCs w:val="20"/>
          <w:lang w:val="en-AU"/>
        </w:rPr>
        <w:t xml:space="preserve"> d</w:t>
      </w:r>
      <w:r w:rsidR="009A4967">
        <w:rPr>
          <w:rFonts w:ascii="Arial" w:hAnsi="Arial" w:cs="Arial"/>
          <w:sz w:val="20"/>
          <w:szCs w:val="20"/>
          <w:lang w:val="en-AU"/>
        </w:rPr>
        <w:t>o</w:t>
      </w:r>
      <w:r w:rsidR="00765927" w:rsidRPr="00EC4D12">
        <w:rPr>
          <w:rFonts w:ascii="Arial" w:hAnsi="Arial" w:cs="Arial"/>
          <w:sz w:val="20"/>
          <w:szCs w:val="20"/>
          <w:lang w:val="en-AU"/>
        </w:rPr>
        <w:t xml:space="preserve"> not warrant the preparation of a RIS</w:t>
      </w:r>
      <w:r w:rsidR="009A4967">
        <w:rPr>
          <w:rFonts w:ascii="Arial" w:hAnsi="Arial" w:cs="Arial"/>
          <w:sz w:val="20"/>
          <w:szCs w:val="20"/>
          <w:lang w:val="en-AU"/>
        </w:rPr>
        <w:t xml:space="preserve"> because the instrument is likely to have </w:t>
      </w:r>
      <w:r w:rsidR="000D2159">
        <w:rPr>
          <w:rFonts w:ascii="Arial" w:hAnsi="Arial" w:cs="Arial"/>
          <w:sz w:val="20"/>
          <w:szCs w:val="20"/>
          <w:lang w:val="en-AU"/>
        </w:rPr>
        <w:t xml:space="preserve">only </w:t>
      </w:r>
      <w:r w:rsidR="009A4967">
        <w:rPr>
          <w:rFonts w:ascii="Arial" w:hAnsi="Arial" w:cs="Arial"/>
          <w:sz w:val="20"/>
          <w:szCs w:val="20"/>
          <w:lang w:val="en-AU"/>
        </w:rPr>
        <w:t>minor and machinery impacts. The reference</w:t>
      </w:r>
      <w:r w:rsidR="00CB4B61">
        <w:rPr>
          <w:rFonts w:ascii="Arial" w:hAnsi="Arial" w:cs="Arial"/>
          <w:sz w:val="20"/>
          <w:szCs w:val="20"/>
          <w:lang w:val="en-AU"/>
        </w:rPr>
        <w:t xml:space="preserve"> number </w:t>
      </w:r>
      <w:r w:rsidR="009A4967">
        <w:rPr>
          <w:rFonts w:ascii="Arial" w:hAnsi="Arial" w:cs="Arial"/>
          <w:sz w:val="20"/>
          <w:szCs w:val="20"/>
          <w:lang w:val="en-AU"/>
        </w:rPr>
        <w:t xml:space="preserve">for </w:t>
      </w:r>
      <w:r w:rsidR="009A4967" w:rsidRPr="0021629C">
        <w:rPr>
          <w:rFonts w:ascii="Arial" w:hAnsi="Arial" w:cs="Arial"/>
          <w:sz w:val="20"/>
          <w:szCs w:val="20"/>
          <w:lang w:val="en-AU"/>
        </w:rPr>
        <w:t xml:space="preserve">the OBPR’s assessment is </w:t>
      </w:r>
      <w:r w:rsidR="00B53B24" w:rsidRPr="0021629C">
        <w:rPr>
          <w:rFonts w:ascii="Arial" w:hAnsi="Arial" w:cs="Arial"/>
          <w:sz w:val="20"/>
          <w:szCs w:val="20"/>
          <w:lang w:val="en-AU"/>
        </w:rPr>
        <w:t xml:space="preserve">OBPR, ID </w:t>
      </w:r>
      <w:r w:rsidRPr="000E36AE">
        <w:rPr>
          <w:rFonts w:ascii="Arial" w:hAnsi="Arial" w:cs="Arial"/>
          <w:sz w:val="20"/>
          <w:szCs w:val="20"/>
        </w:rPr>
        <w:t>16044</w:t>
      </w:r>
      <w:r w:rsidR="0067397E" w:rsidRPr="0021629C">
        <w:rPr>
          <w:rFonts w:ascii="Arial" w:hAnsi="Arial" w:cs="Arial"/>
          <w:sz w:val="20"/>
          <w:szCs w:val="20"/>
          <w:lang w:val="en-AU"/>
        </w:rPr>
        <w:t>.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9859BF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Documents i</w:t>
      </w:r>
      <w:r w:rsidR="00776FB8" w:rsidRPr="00EC4D12">
        <w:rPr>
          <w:rFonts w:ascii="Arial" w:hAnsi="Arial" w:cs="Arial"/>
          <w:b/>
          <w:sz w:val="20"/>
          <w:szCs w:val="20"/>
          <w:lang w:val="en-AU"/>
        </w:rPr>
        <w:t xml:space="preserve">ncorporated by </w:t>
      </w:r>
      <w:r>
        <w:rPr>
          <w:rFonts w:ascii="Arial" w:hAnsi="Arial" w:cs="Arial"/>
          <w:b/>
          <w:sz w:val="20"/>
          <w:szCs w:val="20"/>
          <w:lang w:val="en-AU"/>
        </w:rPr>
        <w:t>r</w:t>
      </w:r>
      <w:r w:rsidR="00776FB8" w:rsidRPr="00EC4D12">
        <w:rPr>
          <w:rFonts w:ascii="Arial" w:hAnsi="Arial" w:cs="Arial"/>
          <w:b/>
          <w:sz w:val="20"/>
          <w:szCs w:val="20"/>
          <w:lang w:val="en-AU"/>
        </w:rPr>
        <w:t>eference</w:t>
      </w:r>
    </w:p>
    <w:p w:rsidR="004109FD" w:rsidRDefault="004109FD">
      <w:pPr>
        <w:jc w:val="both"/>
        <w:rPr>
          <w:rFonts w:ascii="Arial" w:hAnsi="Arial" w:cs="Arial"/>
          <w:b/>
          <w:sz w:val="20"/>
          <w:szCs w:val="20"/>
          <w:lang w:val="en-AU"/>
        </w:rPr>
      </w:pPr>
    </w:p>
    <w:p w:rsidR="004109FD" w:rsidRDefault="00BC0788">
      <w:pPr>
        <w:jc w:val="both"/>
        <w:rPr>
          <w:rFonts w:ascii="Arial" w:hAnsi="Arial" w:cs="Arial"/>
          <w:sz w:val="20"/>
          <w:szCs w:val="20"/>
          <w:lang w:val="en-AU"/>
        </w:rPr>
      </w:pPr>
      <w:r w:rsidRPr="00BC0788">
        <w:rPr>
          <w:rFonts w:ascii="Arial" w:hAnsi="Arial" w:cs="Arial"/>
          <w:sz w:val="20"/>
          <w:szCs w:val="20"/>
          <w:lang w:val="en-AU"/>
        </w:rPr>
        <w:t>None.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F41820" w:rsidRPr="00F41820" w:rsidRDefault="004573C1" w:rsidP="00E756E6">
      <w:pPr>
        <w:spacing w:after="240"/>
        <w:jc w:val="both"/>
        <w:outlineLvl w:val="0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br w:type="page"/>
      </w:r>
      <w:r w:rsidR="00BC0788" w:rsidRPr="00BC0788">
        <w:rPr>
          <w:rFonts w:ascii="Arial" w:hAnsi="Arial" w:cs="Arial"/>
          <w:b/>
          <w:sz w:val="20"/>
          <w:szCs w:val="20"/>
          <w:lang w:val="en-AU"/>
        </w:rPr>
        <w:lastRenderedPageBreak/>
        <w:t>Statement of compatibility with human rights</w:t>
      </w:r>
    </w:p>
    <w:p w:rsidR="00ED3559" w:rsidRPr="00ED3559" w:rsidRDefault="00BC0788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BC0788">
        <w:rPr>
          <w:rFonts w:ascii="Arial" w:hAnsi="Arial" w:cs="Arial"/>
          <w:sz w:val="20"/>
          <w:szCs w:val="20"/>
          <w:lang w:val="en-AU"/>
        </w:rPr>
        <w:t xml:space="preserve">Subsection 9(1) of the </w:t>
      </w:r>
      <w:r w:rsidRPr="00BC0788">
        <w:rPr>
          <w:rFonts w:ascii="Arial" w:hAnsi="Arial" w:cs="Arial"/>
          <w:i/>
          <w:sz w:val="20"/>
          <w:szCs w:val="20"/>
          <w:lang w:val="en-AU"/>
        </w:rPr>
        <w:t>Human Rights (Parliamentary Scrutiny) Act 2011</w:t>
      </w:r>
      <w:r w:rsidRPr="00BC0788">
        <w:rPr>
          <w:rFonts w:ascii="Arial" w:hAnsi="Arial" w:cs="Arial"/>
          <w:sz w:val="20"/>
          <w:szCs w:val="20"/>
          <w:lang w:val="en-AU"/>
        </w:rPr>
        <w:t xml:space="preserve"> requires the rule maker in relation to a legislative instrument to which section 42 (disallowance) of the LI Act applies to cause a statement of compatibility to be prepared in respect of that legislative instrument. The </w:t>
      </w:r>
      <w:r w:rsidR="00F41820">
        <w:rPr>
          <w:rFonts w:ascii="Arial" w:hAnsi="Arial" w:cs="Arial"/>
          <w:sz w:val="20"/>
          <w:szCs w:val="20"/>
          <w:lang w:val="en-AU"/>
        </w:rPr>
        <w:t>Advisory Guidelines</w:t>
      </w:r>
      <w:r w:rsidRPr="00BC0788">
        <w:rPr>
          <w:rFonts w:ascii="Arial" w:hAnsi="Arial" w:cs="Arial"/>
          <w:sz w:val="20"/>
          <w:szCs w:val="20"/>
          <w:lang w:val="en-AU"/>
        </w:rPr>
        <w:t xml:space="preserve"> </w:t>
      </w:r>
      <w:r w:rsidR="00F41820">
        <w:rPr>
          <w:rFonts w:ascii="Arial" w:hAnsi="Arial" w:cs="Arial"/>
          <w:sz w:val="20"/>
          <w:szCs w:val="20"/>
          <w:lang w:val="en-AU"/>
        </w:rPr>
        <w:t>are</w:t>
      </w:r>
      <w:r w:rsidRPr="00BC0788">
        <w:rPr>
          <w:rFonts w:ascii="Arial" w:hAnsi="Arial" w:cs="Arial"/>
          <w:sz w:val="20"/>
          <w:szCs w:val="20"/>
          <w:lang w:val="en-AU"/>
        </w:rPr>
        <w:t xml:space="preserve"> a legislative instrument to which section 42 applies.</w:t>
      </w:r>
    </w:p>
    <w:p w:rsidR="00ED3559" w:rsidRDefault="00ED3559">
      <w:pPr>
        <w:jc w:val="both"/>
        <w:rPr>
          <w:rFonts w:ascii="Arial" w:hAnsi="Arial" w:cs="Arial"/>
          <w:sz w:val="20"/>
          <w:szCs w:val="20"/>
        </w:rPr>
      </w:pPr>
    </w:p>
    <w:p w:rsidR="00ED3559" w:rsidRPr="00ED3559" w:rsidRDefault="00BC0788">
      <w:pPr>
        <w:jc w:val="both"/>
        <w:rPr>
          <w:rFonts w:ascii="Arial" w:hAnsi="Arial" w:cs="Arial"/>
          <w:sz w:val="20"/>
          <w:szCs w:val="20"/>
        </w:rPr>
      </w:pPr>
      <w:r w:rsidRPr="00BC0788">
        <w:rPr>
          <w:rFonts w:ascii="Arial" w:hAnsi="Arial" w:cs="Arial"/>
          <w:sz w:val="20"/>
          <w:szCs w:val="20"/>
        </w:rPr>
        <w:t xml:space="preserve">The ACMA is satisfied that the </w:t>
      </w:r>
      <w:r w:rsidR="00F41820">
        <w:rPr>
          <w:rFonts w:ascii="Arial" w:hAnsi="Arial" w:cs="Arial"/>
          <w:sz w:val="20"/>
          <w:szCs w:val="20"/>
        </w:rPr>
        <w:t>Advisory Guidelines</w:t>
      </w:r>
      <w:r w:rsidRPr="00BC0788">
        <w:rPr>
          <w:rFonts w:ascii="Arial" w:hAnsi="Arial" w:cs="Arial"/>
          <w:sz w:val="20"/>
          <w:szCs w:val="20"/>
        </w:rPr>
        <w:t xml:space="preserve"> </w:t>
      </w:r>
      <w:r w:rsidR="00F41820">
        <w:rPr>
          <w:rFonts w:ascii="Arial" w:hAnsi="Arial" w:cs="Arial"/>
          <w:sz w:val="20"/>
          <w:szCs w:val="20"/>
        </w:rPr>
        <w:t>are</w:t>
      </w:r>
      <w:r w:rsidRPr="00BC0788">
        <w:rPr>
          <w:rFonts w:ascii="Arial" w:hAnsi="Arial" w:cs="Arial"/>
          <w:sz w:val="20"/>
          <w:szCs w:val="20"/>
        </w:rPr>
        <w:t xml:space="preserve"> compatible with the human rights and freedoms recognised or declared in the international instruments listed in section 3 of the </w:t>
      </w:r>
      <w:r w:rsidRPr="00BC0788">
        <w:rPr>
          <w:rFonts w:ascii="Arial" w:hAnsi="Arial" w:cs="Arial"/>
          <w:i/>
          <w:sz w:val="20"/>
          <w:szCs w:val="20"/>
        </w:rPr>
        <w:t>Human Rights (Parliamentary Scrutiny) Act 2011</w:t>
      </w:r>
      <w:r w:rsidRPr="00BC0788">
        <w:rPr>
          <w:rFonts w:ascii="Arial" w:hAnsi="Arial" w:cs="Arial"/>
          <w:sz w:val="20"/>
          <w:szCs w:val="20"/>
        </w:rPr>
        <w:t xml:space="preserve">. The </w:t>
      </w:r>
      <w:r w:rsidR="00F41820">
        <w:rPr>
          <w:rFonts w:ascii="Arial" w:hAnsi="Arial" w:cs="Arial"/>
          <w:sz w:val="20"/>
          <w:szCs w:val="20"/>
        </w:rPr>
        <w:t>Advisory Guidelines do</w:t>
      </w:r>
      <w:r w:rsidRPr="00BC0788">
        <w:rPr>
          <w:rFonts w:ascii="Arial" w:hAnsi="Arial" w:cs="Arial"/>
          <w:sz w:val="20"/>
          <w:szCs w:val="20"/>
        </w:rPr>
        <w:t xml:space="preserve"> not have any human rights implications as </w:t>
      </w:r>
      <w:r w:rsidR="00F41820">
        <w:rPr>
          <w:rFonts w:ascii="Arial" w:hAnsi="Arial" w:cs="Arial"/>
          <w:sz w:val="20"/>
          <w:szCs w:val="20"/>
        </w:rPr>
        <w:t>they do</w:t>
      </w:r>
      <w:r w:rsidRPr="00BC0788">
        <w:rPr>
          <w:rFonts w:ascii="Arial" w:hAnsi="Arial" w:cs="Arial"/>
          <w:sz w:val="20"/>
          <w:szCs w:val="20"/>
        </w:rPr>
        <w:t xml:space="preserve"> not engage any of the applicable rights or freedoms. </w:t>
      </w:r>
    </w:p>
    <w:p w:rsidR="00ED3559" w:rsidRPr="00ED3559" w:rsidRDefault="00ED3559">
      <w:pPr>
        <w:jc w:val="both"/>
        <w:rPr>
          <w:rFonts w:ascii="Arial" w:hAnsi="Arial" w:cs="Arial"/>
          <w:sz w:val="20"/>
          <w:szCs w:val="20"/>
        </w:rPr>
      </w:pPr>
    </w:p>
    <w:p w:rsidR="00ED3559" w:rsidRDefault="00BC0788">
      <w:pPr>
        <w:jc w:val="both"/>
        <w:rPr>
          <w:rFonts w:ascii="Arial" w:hAnsi="Arial" w:cs="Arial"/>
          <w:sz w:val="20"/>
          <w:szCs w:val="20"/>
        </w:rPr>
      </w:pPr>
      <w:r w:rsidRPr="00BC0788">
        <w:rPr>
          <w:rFonts w:ascii="Arial" w:hAnsi="Arial" w:cs="Arial"/>
          <w:sz w:val="20"/>
          <w:szCs w:val="20"/>
        </w:rPr>
        <w:t xml:space="preserve">The </w:t>
      </w:r>
      <w:r w:rsidR="00F41820">
        <w:rPr>
          <w:rFonts w:ascii="Arial" w:hAnsi="Arial" w:cs="Arial"/>
          <w:sz w:val="20"/>
          <w:szCs w:val="20"/>
        </w:rPr>
        <w:t>Advisory Guidelines are</w:t>
      </w:r>
      <w:r w:rsidRPr="00BC0788">
        <w:rPr>
          <w:rFonts w:ascii="Arial" w:hAnsi="Arial" w:cs="Arial"/>
          <w:sz w:val="20"/>
          <w:szCs w:val="20"/>
        </w:rPr>
        <w:t xml:space="preserve"> compatible with human rights as </w:t>
      </w:r>
      <w:r w:rsidR="00F41820">
        <w:rPr>
          <w:rFonts w:ascii="Arial" w:hAnsi="Arial" w:cs="Arial"/>
          <w:sz w:val="20"/>
          <w:szCs w:val="20"/>
        </w:rPr>
        <w:t>they do</w:t>
      </w:r>
      <w:r w:rsidRPr="00BC0788">
        <w:rPr>
          <w:rFonts w:ascii="Arial" w:hAnsi="Arial" w:cs="Arial"/>
          <w:sz w:val="20"/>
          <w:szCs w:val="20"/>
        </w:rPr>
        <w:t xml:space="preserve"> not raise any human rights issues.</w:t>
      </w:r>
    </w:p>
    <w:p w:rsidR="00ED3559" w:rsidRPr="00ED3559" w:rsidRDefault="00ED3559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776FB8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C4D12">
        <w:rPr>
          <w:rFonts w:ascii="Arial" w:hAnsi="Arial" w:cs="Arial"/>
          <w:b/>
          <w:sz w:val="20"/>
          <w:szCs w:val="20"/>
          <w:lang w:val="en-AU"/>
        </w:rPr>
        <w:t xml:space="preserve">Detailed </w:t>
      </w:r>
      <w:r w:rsidR="00084468">
        <w:rPr>
          <w:rFonts w:ascii="Arial" w:hAnsi="Arial" w:cs="Arial"/>
          <w:b/>
          <w:sz w:val="20"/>
          <w:szCs w:val="20"/>
          <w:lang w:val="en-AU"/>
        </w:rPr>
        <w:t>description of the i</w:t>
      </w:r>
      <w:r w:rsidRPr="00EC4D12">
        <w:rPr>
          <w:rFonts w:ascii="Arial" w:hAnsi="Arial" w:cs="Arial"/>
          <w:b/>
          <w:sz w:val="20"/>
          <w:szCs w:val="20"/>
          <w:lang w:val="en-AU"/>
        </w:rPr>
        <w:t>nstrument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765927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EC4D12">
        <w:rPr>
          <w:rFonts w:ascii="Arial" w:hAnsi="Arial" w:cs="Arial"/>
          <w:b/>
          <w:sz w:val="20"/>
          <w:szCs w:val="20"/>
          <w:lang w:val="en-AU"/>
        </w:rPr>
        <w:t>Section</w:t>
      </w:r>
      <w:r w:rsidR="002D0747" w:rsidRPr="00EC4D12">
        <w:rPr>
          <w:rFonts w:ascii="Arial" w:hAnsi="Arial" w:cs="Arial"/>
          <w:b/>
          <w:sz w:val="20"/>
          <w:szCs w:val="20"/>
          <w:lang w:val="en-AU"/>
        </w:rPr>
        <w:t xml:space="preserve"> 1 – Name of </w:t>
      </w:r>
      <w:r w:rsidR="00B10B4A">
        <w:rPr>
          <w:rFonts w:ascii="Arial" w:hAnsi="Arial" w:cs="Arial"/>
          <w:b/>
          <w:sz w:val="20"/>
          <w:szCs w:val="20"/>
          <w:lang w:val="en-AU"/>
        </w:rPr>
        <w:t>A</w:t>
      </w:r>
      <w:r w:rsidR="00084468">
        <w:rPr>
          <w:rFonts w:ascii="Arial" w:hAnsi="Arial" w:cs="Arial"/>
          <w:b/>
          <w:sz w:val="20"/>
          <w:szCs w:val="20"/>
          <w:lang w:val="en-AU"/>
        </w:rPr>
        <w:t xml:space="preserve">dvisory </w:t>
      </w:r>
      <w:r w:rsidR="00B10B4A">
        <w:rPr>
          <w:rFonts w:ascii="Arial" w:hAnsi="Arial" w:cs="Arial"/>
          <w:b/>
          <w:sz w:val="20"/>
          <w:szCs w:val="20"/>
          <w:lang w:val="en-AU"/>
        </w:rPr>
        <w:t>G</w:t>
      </w:r>
      <w:r w:rsidRPr="00EC4D12">
        <w:rPr>
          <w:rFonts w:ascii="Arial" w:hAnsi="Arial" w:cs="Arial"/>
          <w:b/>
          <w:sz w:val="20"/>
          <w:szCs w:val="20"/>
          <w:lang w:val="en-AU"/>
        </w:rPr>
        <w:t>uidelines</w:t>
      </w:r>
    </w:p>
    <w:p w:rsidR="004109FD" w:rsidRDefault="004109FD">
      <w:pPr>
        <w:jc w:val="both"/>
        <w:rPr>
          <w:rFonts w:ascii="Arial" w:hAnsi="Arial" w:cs="Arial"/>
          <w:b/>
          <w:sz w:val="20"/>
          <w:szCs w:val="20"/>
          <w:lang w:val="en-AU"/>
        </w:rPr>
      </w:pPr>
    </w:p>
    <w:p w:rsidR="004109FD" w:rsidRDefault="00FA330F">
      <w:pPr>
        <w:jc w:val="both"/>
        <w:rPr>
          <w:rFonts w:ascii="Arial" w:hAnsi="Arial" w:cs="Arial"/>
          <w:i/>
          <w:sz w:val="20"/>
          <w:szCs w:val="20"/>
          <w:lang w:val="en-AU"/>
        </w:rPr>
      </w:pPr>
      <w:r w:rsidRPr="00CC6BE1">
        <w:rPr>
          <w:rFonts w:ascii="Arial" w:hAnsi="Arial" w:cs="Arial"/>
          <w:sz w:val="20"/>
          <w:szCs w:val="20"/>
          <w:lang w:val="en-AU"/>
        </w:rPr>
        <w:t xml:space="preserve">This section provides that </w:t>
      </w:r>
      <w:r w:rsidR="00281C06">
        <w:rPr>
          <w:rFonts w:ascii="Arial" w:hAnsi="Arial" w:cs="Arial"/>
          <w:sz w:val="20"/>
          <w:szCs w:val="20"/>
          <w:lang w:val="en-AU"/>
        </w:rPr>
        <w:t>the name</w:t>
      </w:r>
      <w:r w:rsidRPr="00CC6BE1">
        <w:rPr>
          <w:rFonts w:ascii="Arial" w:hAnsi="Arial" w:cs="Arial"/>
          <w:sz w:val="20"/>
          <w:szCs w:val="20"/>
          <w:lang w:val="en-AU"/>
        </w:rPr>
        <w:t xml:space="preserve"> of the </w:t>
      </w:r>
      <w:r w:rsidR="00B10B4A">
        <w:rPr>
          <w:rFonts w:ascii="Arial" w:hAnsi="Arial" w:cs="Arial"/>
          <w:sz w:val="20"/>
          <w:szCs w:val="20"/>
          <w:lang w:val="en-AU"/>
        </w:rPr>
        <w:t>instrument</w:t>
      </w:r>
      <w:r w:rsidRPr="00CC6BE1">
        <w:rPr>
          <w:rFonts w:ascii="Arial" w:hAnsi="Arial" w:cs="Arial"/>
          <w:sz w:val="20"/>
          <w:szCs w:val="20"/>
          <w:lang w:val="en-AU"/>
        </w:rPr>
        <w:t xml:space="preserve"> is the </w:t>
      </w:r>
      <w:r w:rsidRPr="00CC6BE1">
        <w:rPr>
          <w:rFonts w:ascii="Arial" w:hAnsi="Arial" w:cs="Arial"/>
          <w:i/>
          <w:sz w:val="20"/>
          <w:szCs w:val="20"/>
          <w:lang w:val="en-AU"/>
        </w:rPr>
        <w:t>Radiocommunications Advisory Guidelines (Managing Interference to Spectrum</w:t>
      </w:r>
      <w:r w:rsidR="00B10B4A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Pr="00CC6BE1">
        <w:rPr>
          <w:rFonts w:ascii="Arial" w:hAnsi="Arial" w:cs="Arial"/>
          <w:i/>
          <w:sz w:val="20"/>
          <w:szCs w:val="20"/>
          <w:lang w:val="en-AU"/>
        </w:rPr>
        <w:t xml:space="preserve">Licensed Receivers – </w:t>
      </w:r>
      <w:r w:rsidR="000E36AE">
        <w:rPr>
          <w:rFonts w:ascii="Arial" w:hAnsi="Arial" w:cs="Arial"/>
          <w:i/>
          <w:sz w:val="20"/>
          <w:szCs w:val="20"/>
          <w:lang w:val="en-AU"/>
        </w:rPr>
        <w:t>2.3 GHz</w:t>
      </w:r>
      <w:r w:rsidRPr="00CC6BE1">
        <w:rPr>
          <w:rFonts w:ascii="Arial" w:hAnsi="Arial" w:cs="Arial"/>
          <w:i/>
          <w:sz w:val="20"/>
          <w:szCs w:val="20"/>
          <w:lang w:val="en-AU"/>
        </w:rPr>
        <w:t xml:space="preserve"> Band) 201</w:t>
      </w:r>
      <w:r w:rsidR="002E1AB3">
        <w:rPr>
          <w:rFonts w:ascii="Arial" w:hAnsi="Arial" w:cs="Arial"/>
          <w:i/>
          <w:sz w:val="20"/>
          <w:szCs w:val="20"/>
          <w:lang w:val="en-AU"/>
        </w:rPr>
        <w:t>3</w:t>
      </w:r>
      <w:r w:rsidRPr="00CC6BE1">
        <w:rPr>
          <w:rFonts w:ascii="Arial" w:hAnsi="Arial" w:cs="Arial"/>
          <w:i/>
          <w:sz w:val="20"/>
          <w:szCs w:val="20"/>
          <w:lang w:val="en-AU"/>
        </w:rPr>
        <w:t>.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765927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EC4D12">
        <w:rPr>
          <w:rFonts w:ascii="Arial" w:hAnsi="Arial" w:cs="Arial"/>
          <w:b/>
          <w:sz w:val="20"/>
          <w:szCs w:val="20"/>
          <w:lang w:val="en-AU"/>
        </w:rPr>
        <w:t>Section</w:t>
      </w:r>
      <w:r w:rsidR="002D0747" w:rsidRPr="00EC4D12">
        <w:rPr>
          <w:rFonts w:ascii="Arial" w:hAnsi="Arial" w:cs="Arial"/>
          <w:b/>
          <w:sz w:val="20"/>
          <w:szCs w:val="20"/>
          <w:lang w:val="en-AU"/>
        </w:rPr>
        <w:t xml:space="preserve"> 2 - Commencement </w:t>
      </w:r>
    </w:p>
    <w:p w:rsidR="004109FD" w:rsidRDefault="004109FD">
      <w:pPr>
        <w:jc w:val="both"/>
        <w:rPr>
          <w:rFonts w:ascii="Arial" w:hAnsi="Arial" w:cs="Arial"/>
          <w:b/>
          <w:sz w:val="20"/>
          <w:szCs w:val="20"/>
          <w:lang w:val="en-AU"/>
        </w:rPr>
      </w:pPr>
    </w:p>
    <w:p w:rsidR="004109FD" w:rsidRDefault="001B30AB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C4D12">
        <w:rPr>
          <w:rFonts w:ascii="Arial" w:hAnsi="Arial" w:cs="Arial"/>
          <w:sz w:val="20"/>
          <w:szCs w:val="20"/>
          <w:lang w:val="en-AU"/>
        </w:rPr>
        <w:t xml:space="preserve">This section provides </w:t>
      </w:r>
      <w:r w:rsidR="002D0747" w:rsidRPr="00EC4D12">
        <w:rPr>
          <w:rFonts w:ascii="Arial" w:hAnsi="Arial" w:cs="Arial"/>
          <w:sz w:val="20"/>
          <w:szCs w:val="20"/>
          <w:lang w:val="en-AU"/>
        </w:rPr>
        <w:t xml:space="preserve">that the </w:t>
      </w:r>
      <w:r w:rsidRPr="00EC4D12">
        <w:rPr>
          <w:rFonts w:ascii="Arial" w:hAnsi="Arial" w:cs="Arial"/>
          <w:sz w:val="20"/>
          <w:szCs w:val="20"/>
          <w:lang w:val="en-AU"/>
        </w:rPr>
        <w:t>Advisory Guideline</w:t>
      </w:r>
      <w:r w:rsidR="00B10B4A">
        <w:rPr>
          <w:rFonts w:ascii="Arial" w:hAnsi="Arial" w:cs="Arial"/>
          <w:sz w:val="20"/>
          <w:szCs w:val="20"/>
          <w:lang w:val="en-AU"/>
        </w:rPr>
        <w:t>s</w:t>
      </w:r>
      <w:r w:rsidRPr="00EC4D12">
        <w:rPr>
          <w:rFonts w:ascii="Arial" w:hAnsi="Arial" w:cs="Arial"/>
          <w:sz w:val="20"/>
          <w:szCs w:val="20"/>
          <w:lang w:val="en-AU"/>
        </w:rPr>
        <w:t xml:space="preserve"> </w:t>
      </w:r>
      <w:r w:rsidR="002036F3" w:rsidRPr="00EC4D12">
        <w:rPr>
          <w:rFonts w:ascii="Arial" w:hAnsi="Arial" w:cs="Arial"/>
          <w:sz w:val="20"/>
          <w:szCs w:val="20"/>
          <w:lang w:val="en-AU"/>
        </w:rPr>
        <w:t xml:space="preserve">commence on </w:t>
      </w:r>
      <w:r w:rsidR="002E1AB3">
        <w:rPr>
          <w:rFonts w:ascii="Arial" w:hAnsi="Arial" w:cs="Arial"/>
          <w:sz w:val="20"/>
          <w:szCs w:val="20"/>
          <w:lang w:val="en-AU"/>
        </w:rPr>
        <w:t>25 July 2015</w:t>
      </w:r>
      <w:r w:rsidR="002036F3" w:rsidRPr="00EC4D12">
        <w:rPr>
          <w:rFonts w:ascii="Arial" w:hAnsi="Arial" w:cs="Arial"/>
          <w:sz w:val="20"/>
          <w:szCs w:val="20"/>
          <w:lang w:val="en-AU"/>
        </w:rPr>
        <w:t>.</w:t>
      </w:r>
    </w:p>
    <w:p w:rsidR="004109FD" w:rsidRDefault="004109FD">
      <w:pPr>
        <w:jc w:val="both"/>
        <w:rPr>
          <w:rFonts w:ascii="Arial" w:hAnsi="Arial" w:cs="Arial"/>
          <w:b/>
          <w:sz w:val="20"/>
          <w:szCs w:val="20"/>
          <w:lang w:val="en-AU"/>
        </w:rPr>
      </w:pPr>
    </w:p>
    <w:p w:rsidR="004109FD" w:rsidRDefault="001B30AB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EC4D12">
        <w:rPr>
          <w:rFonts w:ascii="Arial" w:hAnsi="Arial" w:cs="Arial"/>
          <w:b/>
          <w:sz w:val="20"/>
          <w:szCs w:val="20"/>
          <w:lang w:val="en-AU"/>
        </w:rPr>
        <w:t>Section</w:t>
      </w:r>
      <w:r w:rsidR="006F778E" w:rsidRPr="00EC4D12">
        <w:rPr>
          <w:rFonts w:ascii="Arial" w:hAnsi="Arial" w:cs="Arial"/>
          <w:b/>
          <w:sz w:val="20"/>
          <w:szCs w:val="20"/>
          <w:lang w:val="en-AU"/>
        </w:rPr>
        <w:t xml:space="preserve"> 3 </w:t>
      </w:r>
      <w:r w:rsidRPr="00EC4D12">
        <w:rPr>
          <w:rFonts w:ascii="Arial" w:hAnsi="Arial" w:cs="Arial"/>
          <w:b/>
          <w:sz w:val="20"/>
          <w:szCs w:val="20"/>
          <w:lang w:val="en-AU"/>
        </w:rPr>
        <w:t>–</w:t>
      </w:r>
      <w:r w:rsidR="006F778E" w:rsidRPr="00EC4D12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Pr="00EC4D12">
        <w:rPr>
          <w:rFonts w:ascii="Arial" w:hAnsi="Arial" w:cs="Arial"/>
          <w:b/>
          <w:sz w:val="20"/>
          <w:szCs w:val="20"/>
          <w:lang w:val="en-AU"/>
        </w:rPr>
        <w:t>Revocation</w:t>
      </w:r>
    </w:p>
    <w:p w:rsidR="004109FD" w:rsidRDefault="004109FD">
      <w:pPr>
        <w:jc w:val="both"/>
        <w:rPr>
          <w:rFonts w:ascii="Arial" w:hAnsi="Arial" w:cs="Arial"/>
          <w:b/>
          <w:sz w:val="20"/>
          <w:szCs w:val="20"/>
          <w:lang w:val="en-AU"/>
        </w:rPr>
      </w:pPr>
    </w:p>
    <w:p w:rsidR="004109FD" w:rsidRDefault="001B30AB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C4D12">
        <w:rPr>
          <w:rFonts w:ascii="Arial" w:hAnsi="Arial" w:cs="Arial"/>
          <w:sz w:val="20"/>
          <w:szCs w:val="20"/>
          <w:lang w:val="en-AU"/>
        </w:rPr>
        <w:t xml:space="preserve">This section revokes the </w:t>
      </w: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Radiocommunications </w:t>
      </w:r>
      <w:r w:rsidR="00DF3711">
        <w:rPr>
          <w:rFonts w:ascii="Arial" w:hAnsi="Arial" w:cs="Arial"/>
          <w:i/>
          <w:sz w:val="20"/>
          <w:szCs w:val="20"/>
          <w:lang w:val="en-AU"/>
        </w:rPr>
        <w:t>A</w:t>
      </w: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dvisory </w:t>
      </w:r>
      <w:r w:rsidR="00DF3711">
        <w:rPr>
          <w:rFonts w:ascii="Arial" w:hAnsi="Arial" w:cs="Arial"/>
          <w:i/>
          <w:sz w:val="20"/>
          <w:szCs w:val="20"/>
          <w:lang w:val="en-AU"/>
        </w:rPr>
        <w:t>G</w:t>
      </w:r>
      <w:r w:rsidRPr="00EC4D12">
        <w:rPr>
          <w:rFonts w:ascii="Arial" w:hAnsi="Arial" w:cs="Arial"/>
          <w:i/>
          <w:sz w:val="20"/>
          <w:szCs w:val="20"/>
          <w:lang w:val="en-AU"/>
        </w:rPr>
        <w:t>uidelines (</w:t>
      </w:r>
      <w:r w:rsidR="00DF3711">
        <w:rPr>
          <w:rFonts w:ascii="Arial" w:hAnsi="Arial" w:cs="Arial"/>
          <w:i/>
          <w:sz w:val="20"/>
          <w:szCs w:val="20"/>
          <w:lang w:val="en-AU"/>
        </w:rPr>
        <w:t>M</w:t>
      </w:r>
      <w:r w:rsidR="00D01A58">
        <w:rPr>
          <w:rFonts w:ascii="Arial" w:hAnsi="Arial" w:cs="Arial"/>
          <w:i/>
          <w:sz w:val="20"/>
          <w:szCs w:val="20"/>
          <w:lang w:val="en-AU"/>
        </w:rPr>
        <w:t xml:space="preserve">anaging </w:t>
      </w:r>
      <w:r w:rsidR="00DF3711">
        <w:rPr>
          <w:rFonts w:ascii="Arial" w:hAnsi="Arial" w:cs="Arial"/>
          <w:i/>
          <w:sz w:val="20"/>
          <w:szCs w:val="20"/>
          <w:lang w:val="en-AU"/>
        </w:rPr>
        <w:t>I</w:t>
      </w:r>
      <w:r w:rsidR="00D01A58">
        <w:rPr>
          <w:rFonts w:ascii="Arial" w:hAnsi="Arial" w:cs="Arial"/>
          <w:i/>
          <w:sz w:val="20"/>
          <w:szCs w:val="20"/>
          <w:lang w:val="en-AU"/>
        </w:rPr>
        <w:t xml:space="preserve">nterference </w:t>
      </w:r>
      <w:r w:rsidR="00272042">
        <w:rPr>
          <w:rFonts w:ascii="Arial" w:hAnsi="Arial" w:cs="Arial"/>
          <w:i/>
          <w:sz w:val="20"/>
          <w:szCs w:val="20"/>
          <w:lang w:val="en-AU"/>
        </w:rPr>
        <w:t xml:space="preserve">to Receivers </w:t>
      </w: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– </w:t>
      </w:r>
      <w:r w:rsidR="000E36AE">
        <w:rPr>
          <w:rFonts w:ascii="Arial" w:hAnsi="Arial" w:cs="Arial"/>
          <w:i/>
          <w:sz w:val="20"/>
          <w:szCs w:val="20"/>
          <w:lang w:val="en-AU"/>
        </w:rPr>
        <w:t>2.3 GHz</w:t>
      </w: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DF3711">
        <w:rPr>
          <w:rFonts w:ascii="Arial" w:hAnsi="Arial" w:cs="Arial"/>
          <w:i/>
          <w:sz w:val="20"/>
          <w:szCs w:val="20"/>
          <w:lang w:val="en-AU"/>
        </w:rPr>
        <w:t>B</w:t>
      </w: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and) </w:t>
      </w:r>
      <w:r w:rsidR="002E1AB3">
        <w:rPr>
          <w:rFonts w:ascii="Arial" w:hAnsi="Arial" w:cs="Arial"/>
          <w:i/>
          <w:sz w:val="20"/>
          <w:szCs w:val="20"/>
          <w:lang w:val="en-AU"/>
        </w:rPr>
        <w:t>2009</w:t>
      </w:r>
      <w:r w:rsidR="00D41FA7">
        <w:rPr>
          <w:rFonts w:ascii="Arial" w:hAnsi="Arial" w:cs="Arial"/>
          <w:sz w:val="20"/>
          <w:szCs w:val="20"/>
          <w:lang w:val="en-AU"/>
        </w:rPr>
        <w:t>, with effect from 25 July 2015.</w:t>
      </w:r>
    </w:p>
    <w:p w:rsidR="004109FD" w:rsidRDefault="004109FD">
      <w:pPr>
        <w:ind w:left="570" w:hanging="570"/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1B30AB">
      <w:pPr>
        <w:keepNext/>
        <w:keepLines/>
        <w:jc w:val="both"/>
        <w:rPr>
          <w:rFonts w:ascii="Arial" w:hAnsi="Arial" w:cs="Arial"/>
          <w:b/>
          <w:i/>
          <w:sz w:val="20"/>
          <w:szCs w:val="20"/>
          <w:lang w:val="en-AU"/>
        </w:rPr>
      </w:pPr>
      <w:r w:rsidRPr="00EC4D12">
        <w:rPr>
          <w:rFonts w:ascii="Arial" w:hAnsi="Arial" w:cs="Arial"/>
          <w:b/>
          <w:sz w:val="20"/>
          <w:szCs w:val="20"/>
          <w:lang w:val="en-AU"/>
        </w:rPr>
        <w:t xml:space="preserve">Section </w:t>
      </w:r>
      <w:r w:rsidR="005908D2" w:rsidRPr="00EC4D12">
        <w:rPr>
          <w:rFonts w:ascii="Arial" w:hAnsi="Arial" w:cs="Arial"/>
          <w:b/>
          <w:sz w:val="20"/>
          <w:szCs w:val="20"/>
          <w:lang w:val="en-AU"/>
        </w:rPr>
        <w:t xml:space="preserve">4 </w:t>
      </w:r>
      <w:r w:rsidRPr="00EC4D12">
        <w:rPr>
          <w:rFonts w:ascii="Arial" w:hAnsi="Arial" w:cs="Arial"/>
          <w:b/>
          <w:sz w:val="20"/>
          <w:szCs w:val="20"/>
          <w:lang w:val="en-AU"/>
        </w:rPr>
        <w:t>–</w:t>
      </w:r>
      <w:r w:rsidR="005908D2" w:rsidRPr="00EC4D12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Pr="00EC4D12">
        <w:rPr>
          <w:rFonts w:ascii="Arial" w:hAnsi="Arial" w:cs="Arial"/>
          <w:b/>
          <w:sz w:val="20"/>
          <w:szCs w:val="20"/>
          <w:lang w:val="en-AU"/>
        </w:rPr>
        <w:t>Purpose</w:t>
      </w:r>
      <w:r w:rsidR="00B10B4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:rsidR="004109FD" w:rsidRDefault="004109FD">
      <w:pPr>
        <w:keepNext/>
        <w:keepLines/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B126AC">
      <w:pPr>
        <w:jc w:val="both"/>
        <w:rPr>
          <w:rFonts w:ascii="Arial" w:hAnsi="Arial" w:cs="Arial"/>
          <w:sz w:val="20"/>
          <w:szCs w:val="20"/>
          <w:lang w:val="en-GB"/>
        </w:rPr>
      </w:pPr>
      <w:r w:rsidRPr="00FF7AB9">
        <w:rPr>
          <w:rFonts w:ascii="Arial" w:hAnsi="Arial" w:cs="Arial"/>
          <w:sz w:val="20"/>
          <w:szCs w:val="20"/>
          <w:lang w:val="en-AU"/>
        </w:rPr>
        <w:t>This section states the purpose of th</w:t>
      </w:r>
      <w:r w:rsidR="00B10B4A">
        <w:rPr>
          <w:rFonts w:ascii="Arial" w:hAnsi="Arial" w:cs="Arial"/>
          <w:sz w:val="20"/>
          <w:szCs w:val="20"/>
          <w:lang w:val="en-AU"/>
        </w:rPr>
        <w:t>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="004F0808">
        <w:rPr>
          <w:rFonts w:ascii="Arial" w:hAnsi="Arial" w:cs="Arial"/>
          <w:sz w:val="20"/>
          <w:szCs w:val="20"/>
          <w:lang w:val="en-AU"/>
        </w:rPr>
        <w:t>A</w:t>
      </w:r>
      <w:r w:rsidR="007C2742">
        <w:rPr>
          <w:rFonts w:ascii="Arial" w:hAnsi="Arial" w:cs="Arial"/>
          <w:sz w:val="20"/>
          <w:szCs w:val="20"/>
          <w:lang w:val="en-AU"/>
        </w:rPr>
        <w:t xml:space="preserve">dvisory </w:t>
      </w:r>
      <w:r w:rsidR="004F0808">
        <w:rPr>
          <w:rFonts w:ascii="Arial" w:hAnsi="Arial" w:cs="Arial"/>
          <w:sz w:val="20"/>
          <w:szCs w:val="20"/>
          <w:lang w:val="en-AU"/>
        </w:rPr>
        <w:t>G</w:t>
      </w:r>
      <w:r w:rsidRPr="00FF7AB9">
        <w:rPr>
          <w:rFonts w:ascii="Arial" w:hAnsi="Arial" w:cs="Arial"/>
          <w:sz w:val="20"/>
          <w:szCs w:val="20"/>
          <w:lang w:val="en-AU"/>
        </w:rPr>
        <w:t>uideline</w:t>
      </w:r>
      <w:r w:rsidR="00B10B4A">
        <w:rPr>
          <w:rFonts w:ascii="Arial" w:hAnsi="Arial" w:cs="Arial"/>
          <w:sz w:val="20"/>
          <w:szCs w:val="20"/>
          <w:lang w:val="en-AU"/>
        </w:rPr>
        <w:t>s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is</w:t>
      </w:r>
      <w:r w:rsidR="00063BB4">
        <w:rPr>
          <w:rFonts w:ascii="Arial" w:hAnsi="Arial" w:cs="Arial"/>
          <w:sz w:val="20"/>
          <w:szCs w:val="20"/>
          <w:lang w:val="en-AU"/>
        </w:rPr>
        <w:t xml:space="preserve"> to assist in managing</w:t>
      </w:r>
      <w:r w:rsidR="00DF3711">
        <w:rPr>
          <w:rFonts w:ascii="Arial" w:hAnsi="Arial" w:cs="Arial"/>
          <w:sz w:val="20"/>
          <w:szCs w:val="20"/>
          <w:lang w:val="en-AU"/>
        </w:rPr>
        <w:t xml:space="preserve"> in-band and out-of-band</w:t>
      </w:r>
      <w:r w:rsidR="00063BB4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interference to </w:t>
      </w:r>
      <w:r w:rsidR="00CC6BE1">
        <w:rPr>
          <w:rFonts w:ascii="Arial" w:hAnsi="Arial" w:cs="Arial"/>
          <w:sz w:val="20"/>
          <w:szCs w:val="20"/>
          <w:lang w:val="en-AU"/>
        </w:rPr>
        <w:t>registered</w:t>
      </w:r>
      <w:r w:rsidR="00B54342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>spectrum</w:t>
      </w:r>
      <w:r w:rsidR="00B10B4A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licensed </w:t>
      </w:r>
      <w:r w:rsidR="00B10B4A"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 w:rsidRPr="00FF7AB9">
        <w:rPr>
          <w:rFonts w:ascii="Arial" w:hAnsi="Arial" w:cs="Arial"/>
          <w:sz w:val="20"/>
          <w:szCs w:val="20"/>
          <w:lang w:val="en-AU"/>
        </w:rPr>
        <w:t>receivers</w:t>
      </w:r>
      <w:r w:rsidR="00B10B4A">
        <w:rPr>
          <w:rFonts w:ascii="Arial" w:hAnsi="Arial" w:cs="Arial"/>
          <w:sz w:val="20"/>
          <w:szCs w:val="20"/>
          <w:lang w:val="en-AU"/>
        </w:rPr>
        <w:t xml:space="preserve"> operating in the </w:t>
      </w:r>
      <w:r w:rsidR="000E36AE">
        <w:rPr>
          <w:rFonts w:ascii="Arial" w:hAnsi="Arial" w:cs="Arial"/>
          <w:sz w:val="20"/>
          <w:szCs w:val="20"/>
          <w:lang w:val="en-AU"/>
        </w:rPr>
        <w:t>2.3 GHz</w:t>
      </w:r>
      <w:r w:rsidR="00B10B4A">
        <w:rPr>
          <w:rFonts w:ascii="Arial" w:hAnsi="Arial" w:cs="Arial"/>
          <w:sz w:val="20"/>
          <w:szCs w:val="20"/>
          <w:lang w:val="en-AU"/>
        </w:rPr>
        <w:t xml:space="preserve"> band</w:t>
      </w:r>
      <w:r w:rsidR="009D25B7">
        <w:rPr>
          <w:rFonts w:ascii="Arial" w:hAnsi="Arial" w:cs="Arial"/>
          <w:sz w:val="20"/>
          <w:szCs w:val="20"/>
          <w:lang w:val="en-AU"/>
        </w:rPr>
        <w:t>. The Advisory Guideline</w:t>
      </w:r>
      <w:r w:rsidR="00B10B4A">
        <w:rPr>
          <w:rFonts w:ascii="Arial" w:hAnsi="Arial" w:cs="Arial"/>
          <w:sz w:val="20"/>
          <w:szCs w:val="20"/>
          <w:lang w:val="en-AU"/>
        </w:rPr>
        <w:t>s</w:t>
      </w:r>
      <w:r w:rsidR="009D25B7">
        <w:rPr>
          <w:rFonts w:ascii="Arial" w:hAnsi="Arial" w:cs="Arial"/>
          <w:sz w:val="20"/>
          <w:szCs w:val="20"/>
          <w:lang w:val="en-AU"/>
        </w:rPr>
        <w:t xml:space="preserve"> define the circumstances </w:t>
      </w:r>
      <w:r w:rsidR="002171A9">
        <w:rPr>
          <w:rFonts w:ascii="Arial" w:hAnsi="Arial" w:cs="Arial"/>
          <w:sz w:val="20"/>
          <w:szCs w:val="20"/>
          <w:lang w:val="en-AU"/>
        </w:rPr>
        <w:t xml:space="preserve">under which </w:t>
      </w:r>
      <w:r w:rsidR="009D25B7">
        <w:rPr>
          <w:rFonts w:ascii="Arial" w:hAnsi="Arial" w:cs="Arial"/>
          <w:sz w:val="20"/>
          <w:szCs w:val="20"/>
          <w:lang w:val="en-AU"/>
        </w:rPr>
        <w:t xml:space="preserve">protection will be afforded </w:t>
      </w:r>
      <w:r w:rsidR="002171A9">
        <w:rPr>
          <w:rFonts w:ascii="Arial" w:hAnsi="Arial" w:cs="Arial"/>
          <w:sz w:val="20"/>
          <w:szCs w:val="20"/>
          <w:lang w:val="en-AU"/>
        </w:rPr>
        <w:t xml:space="preserve">to receivers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from radiocommunications </w:t>
      </w:r>
      <w:r w:rsidR="00CC6BE1">
        <w:rPr>
          <w:rFonts w:ascii="Arial" w:hAnsi="Arial" w:cs="Arial"/>
          <w:sz w:val="20"/>
          <w:szCs w:val="20"/>
          <w:lang w:val="en-AU"/>
        </w:rPr>
        <w:t>transmitters</w:t>
      </w:r>
      <w:r w:rsidR="00CC6BE1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="00B54342">
        <w:rPr>
          <w:rFonts w:ascii="Arial" w:hAnsi="Arial" w:cs="Arial"/>
          <w:sz w:val="20"/>
          <w:szCs w:val="20"/>
          <w:lang w:val="en-AU"/>
        </w:rPr>
        <w:t xml:space="preserve">operating under a class licence, </w:t>
      </w:r>
      <w:r w:rsidR="009D25B7" w:rsidRPr="009D25B7">
        <w:rPr>
          <w:rFonts w:ascii="Arial" w:hAnsi="Arial" w:cs="Arial"/>
          <w:sz w:val="20"/>
          <w:szCs w:val="20"/>
          <w:lang w:val="en-GB"/>
        </w:rPr>
        <w:t>and from fixed transmitters operating under:</w:t>
      </w:r>
    </w:p>
    <w:p w:rsidR="004109FD" w:rsidRDefault="009D25B7">
      <w:pPr>
        <w:ind w:left="567"/>
        <w:jc w:val="both"/>
        <w:rPr>
          <w:rFonts w:ascii="Arial" w:hAnsi="Arial" w:cs="Arial"/>
          <w:sz w:val="20"/>
          <w:szCs w:val="20"/>
          <w:lang w:val="en-GB"/>
        </w:rPr>
      </w:pPr>
      <w:r w:rsidRPr="009D25B7">
        <w:rPr>
          <w:rFonts w:ascii="Arial" w:hAnsi="Arial" w:cs="Arial"/>
          <w:sz w:val="20"/>
          <w:szCs w:val="20"/>
          <w:lang w:val="en-GB"/>
        </w:rPr>
        <w:t>(i)</w:t>
      </w:r>
      <w:r w:rsidRPr="009D25B7">
        <w:rPr>
          <w:rFonts w:ascii="Arial" w:hAnsi="Arial" w:cs="Arial"/>
          <w:sz w:val="20"/>
          <w:szCs w:val="20"/>
          <w:lang w:val="en-GB"/>
        </w:rPr>
        <w:tab/>
        <w:t xml:space="preserve">an apparatus licence issued on or after </w:t>
      </w:r>
      <w:r w:rsidR="002E1AB3">
        <w:rPr>
          <w:rFonts w:ascii="Arial" w:hAnsi="Arial" w:cs="Arial"/>
          <w:sz w:val="20"/>
          <w:szCs w:val="20"/>
          <w:lang w:val="en-GB"/>
        </w:rPr>
        <w:t xml:space="preserve">the date on </w:t>
      </w:r>
      <w:r w:rsidR="002E1AB3" w:rsidRPr="002E1AB3">
        <w:rPr>
          <w:rFonts w:ascii="Arial" w:hAnsi="Arial" w:cs="Arial"/>
          <w:sz w:val="20"/>
          <w:szCs w:val="20"/>
          <w:lang w:val="en-GB"/>
        </w:rPr>
        <w:t xml:space="preserve">which the </w:t>
      </w:r>
      <w:r w:rsidR="002E1AB3">
        <w:rPr>
          <w:rFonts w:ascii="Arial" w:hAnsi="Arial" w:cs="Arial"/>
          <w:sz w:val="20"/>
          <w:szCs w:val="20"/>
          <w:lang w:val="en-AU"/>
        </w:rPr>
        <w:t>Advisory G</w:t>
      </w:r>
      <w:r w:rsidR="002E1AB3" w:rsidRPr="00FF7AB9">
        <w:rPr>
          <w:rFonts w:ascii="Arial" w:hAnsi="Arial" w:cs="Arial"/>
          <w:sz w:val="20"/>
          <w:szCs w:val="20"/>
          <w:lang w:val="en-AU"/>
        </w:rPr>
        <w:t>uideline</w:t>
      </w:r>
      <w:r w:rsidR="002E1AB3">
        <w:rPr>
          <w:rFonts w:ascii="Arial" w:hAnsi="Arial" w:cs="Arial"/>
          <w:sz w:val="20"/>
          <w:szCs w:val="20"/>
          <w:lang w:val="en-AU"/>
        </w:rPr>
        <w:t>s</w:t>
      </w:r>
      <w:r w:rsidR="002E1AB3" w:rsidRPr="002E1AB3">
        <w:rPr>
          <w:rFonts w:ascii="Arial" w:hAnsi="Arial" w:cs="Arial"/>
          <w:sz w:val="20"/>
          <w:szCs w:val="20"/>
          <w:lang w:val="en-GB"/>
        </w:rPr>
        <w:t xml:space="preserve"> commence</w:t>
      </w:r>
      <w:r w:rsidRPr="009D25B7">
        <w:rPr>
          <w:rFonts w:ascii="Arial" w:hAnsi="Arial" w:cs="Arial"/>
          <w:sz w:val="20"/>
          <w:szCs w:val="20"/>
          <w:lang w:val="en-GB"/>
        </w:rPr>
        <w:t>; or</w:t>
      </w:r>
    </w:p>
    <w:p w:rsidR="004109FD" w:rsidRDefault="009D25B7">
      <w:pPr>
        <w:ind w:left="567"/>
        <w:jc w:val="both"/>
        <w:rPr>
          <w:rFonts w:ascii="Arial" w:hAnsi="Arial" w:cs="Arial"/>
          <w:sz w:val="20"/>
          <w:szCs w:val="20"/>
          <w:lang w:val="en-GB"/>
        </w:rPr>
      </w:pPr>
      <w:r w:rsidRPr="009D25B7">
        <w:rPr>
          <w:rFonts w:ascii="Arial" w:hAnsi="Arial" w:cs="Arial"/>
          <w:sz w:val="20"/>
          <w:szCs w:val="20"/>
          <w:lang w:val="en-GB"/>
        </w:rPr>
        <w:t>(ii)</w:t>
      </w:r>
      <w:r w:rsidRPr="009D25B7">
        <w:rPr>
          <w:rFonts w:ascii="Arial" w:hAnsi="Arial" w:cs="Arial"/>
          <w:sz w:val="20"/>
          <w:szCs w:val="20"/>
          <w:lang w:val="en-GB"/>
        </w:rPr>
        <w:tab/>
        <w:t xml:space="preserve">a spectrum licence where the transmitter is registered under Part 3.5 of the Act </w:t>
      </w:r>
      <w:r w:rsidR="002E1AB3" w:rsidRPr="002E1AB3">
        <w:rPr>
          <w:rFonts w:ascii="Arial" w:hAnsi="Arial" w:cs="Arial"/>
          <w:sz w:val="20"/>
          <w:szCs w:val="20"/>
          <w:lang w:val="en-AU"/>
        </w:rPr>
        <w:t>on or after date on which</w:t>
      </w:r>
      <w:r w:rsidR="002E1AB3">
        <w:rPr>
          <w:rFonts w:ascii="Arial" w:hAnsi="Arial" w:cs="Arial"/>
          <w:sz w:val="20"/>
          <w:szCs w:val="20"/>
          <w:lang w:val="en-AU"/>
        </w:rPr>
        <w:t xml:space="preserve"> the</w:t>
      </w:r>
      <w:r w:rsidR="002E1AB3" w:rsidRPr="002E1AB3">
        <w:rPr>
          <w:rFonts w:ascii="Arial" w:hAnsi="Arial" w:cs="Arial"/>
          <w:sz w:val="20"/>
          <w:szCs w:val="20"/>
          <w:lang w:val="en-AU"/>
        </w:rPr>
        <w:t xml:space="preserve"> </w:t>
      </w:r>
      <w:r w:rsidR="002E1AB3">
        <w:rPr>
          <w:rFonts w:ascii="Arial" w:hAnsi="Arial" w:cs="Arial"/>
          <w:sz w:val="20"/>
          <w:szCs w:val="20"/>
          <w:lang w:val="en-AU"/>
        </w:rPr>
        <w:t>Advisory G</w:t>
      </w:r>
      <w:r w:rsidR="002E1AB3" w:rsidRPr="00FF7AB9">
        <w:rPr>
          <w:rFonts w:ascii="Arial" w:hAnsi="Arial" w:cs="Arial"/>
          <w:sz w:val="20"/>
          <w:szCs w:val="20"/>
          <w:lang w:val="en-AU"/>
        </w:rPr>
        <w:t>uideline</w:t>
      </w:r>
      <w:r w:rsidR="002E1AB3">
        <w:rPr>
          <w:rFonts w:ascii="Arial" w:hAnsi="Arial" w:cs="Arial"/>
          <w:sz w:val="20"/>
          <w:szCs w:val="20"/>
          <w:lang w:val="en-AU"/>
        </w:rPr>
        <w:t>s</w:t>
      </w:r>
      <w:r w:rsidR="002E1AB3" w:rsidRPr="002E1AB3">
        <w:rPr>
          <w:rFonts w:ascii="Arial" w:hAnsi="Arial" w:cs="Arial"/>
          <w:sz w:val="20"/>
          <w:szCs w:val="20"/>
          <w:lang w:val="en-AU"/>
        </w:rPr>
        <w:t xml:space="preserve"> commence.</w:t>
      </w:r>
      <w:r w:rsidRPr="009D25B7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B126AC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>This section also indicates that th</w:t>
      </w:r>
      <w:r w:rsidR="000A3F47">
        <w:rPr>
          <w:rFonts w:ascii="Arial" w:hAnsi="Arial" w:cs="Arial"/>
          <w:sz w:val="20"/>
          <w:szCs w:val="20"/>
          <w:lang w:val="en-AU"/>
        </w:rPr>
        <w:t>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="000A3F47">
        <w:rPr>
          <w:rFonts w:ascii="Arial" w:hAnsi="Arial" w:cs="Arial"/>
          <w:sz w:val="20"/>
          <w:szCs w:val="20"/>
          <w:lang w:val="en-AU"/>
        </w:rPr>
        <w:t>Advisory G</w:t>
      </w:r>
      <w:r w:rsidRPr="00FF7AB9">
        <w:rPr>
          <w:rFonts w:ascii="Arial" w:hAnsi="Arial" w:cs="Arial"/>
          <w:sz w:val="20"/>
          <w:szCs w:val="20"/>
          <w:lang w:val="en-AU"/>
        </w:rPr>
        <w:t>uideline</w:t>
      </w:r>
      <w:r w:rsidR="002171A9">
        <w:rPr>
          <w:rFonts w:ascii="Arial" w:hAnsi="Arial" w:cs="Arial"/>
          <w:sz w:val="20"/>
          <w:szCs w:val="20"/>
          <w:lang w:val="en-AU"/>
        </w:rPr>
        <w:t>s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should be referred to in the planning of services in</w:t>
      </w:r>
      <w:r w:rsidR="00084468">
        <w:rPr>
          <w:rFonts w:ascii="Arial" w:hAnsi="Arial" w:cs="Arial"/>
          <w:sz w:val="20"/>
          <w:szCs w:val="20"/>
          <w:lang w:val="en-AU"/>
        </w:rPr>
        <w:t xml:space="preserve"> the </w:t>
      </w:r>
      <w:r w:rsidR="000E36AE">
        <w:rPr>
          <w:rFonts w:ascii="Arial" w:hAnsi="Arial" w:cs="Arial"/>
          <w:sz w:val="20"/>
          <w:szCs w:val="20"/>
          <w:lang w:val="en-AU"/>
        </w:rPr>
        <w:t>2.3 GHz</w:t>
      </w:r>
      <w:r w:rsidR="00281C06">
        <w:rPr>
          <w:rFonts w:ascii="Arial" w:hAnsi="Arial" w:cs="Arial"/>
          <w:sz w:val="20"/>
          <w:szCs w:val="20"/>
          <w:lang w:val="en-AU"/>
        </w:rPr>
        <w:t xml:space="preserve"> </w:t>
      </w:r>
      <w:r w:rsidR="00DF3711">
        <w:rPr>
          <w:rFonts w:ascii="Arial" w:hAnsi="Arial" w:cs="Arial"/>
          <w:sz w:val="20"/>
          <w:szCs w:val="20"/>
          <w:lang w:val="en-AU"/>
        </w:rPr>
        <w:t>band and</w:t>
      </w:r>
      <w:r w:rsidR="00281C06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the </w:t>
      </w:r>
      <w:r w:rsidR="00DF3711">
        <w:rPr>
          <w:rFonts w:ascii="Arial" w:hAnsi="Arial" w:cs="Arial"/>
          <w:sz w:val="20"/>
          <w:szCs w:val="20"/>
          <w:lang w:val="en-AU"/>
        </w:rPr>
        <w:t xml:space="preserve">resolution </w:t>
      </w:r>
      <w:r w:rsidR="00870DA8">
        <w:rPr>
          <w:rFonts w:ascii="Arial" w:hAnsi="Arial" w:cs="Arial"/>
          <w:sz w:val="20"/>
          <w:szCs w:val="20"/>
          <w:lang w:val="en-AU"/>
        </w:rPr>
        <w:t>of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any interference dispute that may arise between spectrum licensees and any licensees in adjacent licence areas and bands.</w:t>
      </w:r>
    </w:p>
    <w:p w:rsidR="004109FD" w:rsidRDefault="004109FD">
      <w:pPr>
        <w:keepNext/>
        <w:keepLines/>
        <w:jc w:val="both"/>
        <w:rPr>
          <w:rFonts w:ascii="Arial" w:hAnsi="Arial" w:cs="Arial"/>
          <w:b/>
          <w:sz w:val="20"/>
          <w:szCs w:val="20"/>
          <w:lang w:val="en-AU"/>
        </w:rPr>
      </w:pPr>
    </w:p>
    <w:p w:rsidR="004109FD" w:rsidRDefault="0090366E">
      <w:pPr>
        <w:keepNext/>
        <w:keepLines/>
        <w:jc w:val="both"/>
        <w:rPr>
          <w:rFonts w:ascii="Arial" w:hAnsi="Arial" w:cs="Arial"/>
          <w:b/>
          <w:i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Section</w:t>
      </w:r>
      <w:r w:rsidR="00957BDA" w:rsidRPr="00EC4D12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FB3DD1" w:rsidRPr="00EC4D12">
        <w:rPr>
          <w:rFonts w:ascii="Arial" w:hAnsi="Arial" w:cs="Arial"/>
          <w:b/>
          <w:sz w:val="20"/>
          <w:szCs w:val="20"/>
          <w:lang w:val="en-AU"/>
        </w:rPr>
        <w:t>5</w:t>
      </w:r>
      <w:r w:rsidR="00957BDA" w:rsidRPr="00EC4D12">
        <w:rPr>
          <w:rFonts w:ascii="Arial" w:hAnsi="Arial" w:cs="Arial"/>
          <w:b/>
          <w:sz w:val="20"/>
          <w:szCs w:val="20"/>
          <w:lang w:val="en-AU"/>
        </w:rPr>
        <w:t xml:space="preserve"> – I</w:t>
      </w:r>
      <w:r>
        <w:rPr>
          <w:rFonts w:ascii="Arial" w:hAnsi="Arial" w:cs="Arial"/>
          <w:b/>
          <w:sz w:val="20"/>
          <w:szCs w:val="20"/>
          <w:lang w:val="en-AU"/>
        </w:rPr>
        <w:t>nterpretation</w:t>
      </w:r>
    </w:p>
    <w:p w:rsidR="004109FD" w:rsidRDefault="004109FD">
      <w:pPr>
        <w:keepNext/>
        <w:keepLines/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90366E">
      <w:pPr>
        <w:keepNext/>
        <w:keepLines/>
        <w:jc w:val="both"/>
        <w:rPr>
          <w:rFonts w:ascii="Arial" w:hAnsi="Arial" w:cs="Arial"/>
          <w:sz w:val="20"/>
          <w:szCs w:val="20"/>
          <w:lang w:val="en-AU"/>
        </w:rPr>
      </w:pPr>
      <w:r w:rsidRPr="0090366E">
        <w:rPr>
          <w:rFonts w:ascii="Arial" w:hAnsi="Arial" w:cs="Arial"/>
          <w:sz w:val="20"/>
          <w:szCs w:val="20"/>
          <w:lang w:val="en-AU"/>
        </w:rPr>
        <w:t>This section provides definitions for terms used in the Advisory Guideline</w:t>
      </w:r>
      <w:r w:rsidR="002171A9">
        <w:rPr>
          <w:rFonts w:ascii="Arial" w:hAnsi="Arial" w:cs="Arial"/>
          <w:sz w:val="20"/>
          <w:szCs w:val="20"/>
          <w:lang w:val="en-AU"/>
        </w:rPr>
        <w:t>s</w:t>
      </w:r>
      <w:r w:rsidRPr="0090366E">
        <w:rPr>
          <w:rFonts w:ascii="Arial" w:hAnsi="Arial" w:cs="Arial"/>
          <w:sz w:val="20"/>
          <w:szCs w:val="20"/>
          <w:lang w:val="en-AU"/>
        </w:rPr>
        <w:t>.</w:t>
      </w:r>
      <w:r w:rsidR="000D00A5">
        <w:rPr>
          <w:rFonts w:ascii="Arial" w:hAnsi="Arial" w:cs="Arial"/>
          <w:sz w:val="20"/>
          <w:szCs w:val="20"/>
          <w:lang w:val="en-AU"/>
        </w:rPr>
        <w:t xml:space="preserve"> </w:t>
      </w:r>
      <w:r w:rsidR="00DF3711">
        <w:rPr>
          <w:rFonts w:ascii="Arial" w:hAnsi="Arial" w:cs="Arial"/>
          <w:sz w:val="20"/>
          <w:szCs w:val="20"/>
          <w:lang w:val="en-AU"/>
        </w:rPr>
        <w:t>The section also states that unless a contrary intention appears, terms</w:t>
      </w:r>
      <w:r w:rsidR="007C50ED" w:rsidRPr="007C50ED">
        <w:rPr>
          <w:rFonts w:ascii="Arial" w:hAnsi="Arial" w:cs="Arial"/>
          <w:sz w:val="20"/>
          <w:szCs w:val="20"/>
          <w:lang w:val="en-AU"/>
        </w:rPr>
        <w:t xml:space="preserve"> used in the </w:t>
      </w:r>
      <w:r w:rsidR="00DF3711">
        <w:rPr>
          <w:rFonts w:ascii="Arial" w:hAnsi="Arial" w:cs="Arial"/>
          <w:sz w:val="20"/>
          <w:szCs w:val="20"/>
          <w:lang w:val="en-AU"/>
        </w:rPr>
        <w:t>Advisory</w:t>
      </w:r>
      <w:r w:rsidR="00F90FDD">
        <w:rPr>
          <w:rFonts w:ascii="Arial" w:hAnsi="Arial" w:cs="Arial"/>
          <w:sz w:val="20"/>
          <w:szCs w:val="20"/>
          <w:lang w:val="en-AU"/>
        </w:rPr>
        <w:t xml:space="preserve"> </w:t>
      </w:r>
      <w:r w:rsidR="00DF3711">
        <w:rPr>
          <w:rFonts w:ascii="Arial" w:hAnsi="Arial" w:cs="Arial"/>
          <w:sz w:val="20"/>
          <w:szCs w:val="20"/>
          <w:lang w:val="en-AU"/>
        </w:rPr>
        <w:t>Guideline</w:t>
      </w:r>
      <w:r w:rsidR="002171A9">
        <w:rPr>
          <w:rFonts w:ascii="Arial" w:hAnsi="Arial" w:cs="Arial"/>
          <w:sz w:val="20"/>
          <w:szCs w:val="20"/>
          <w:lang w:val="en-AU"/>
        </w:rPr>
        <w:t>s</w:t>
      </w:r>
      <w:r w:rsidR="00DF3711" w:rsidRPr="007C50ED">
        <w:rPr>
          <w:rFonts w:ascii="Arial" w:hAnsi="Arial" w:cs="Arial"/>
          <w:sz w:val="20"/>
          <w:szCs w:val="20"/>
          <w:lang w:val="en-AU"/>
        </w:rPr>
        <w:t xml:space="preserve"> </w:t>
      </w:r>
      <w:r w:rsidR="00D16EF0">
        <w:rPr>
          <w:rFonts w:ascii="Arial" w:hAnsi="Arial" w:cs="Arial"/>
          <w:sz w:val="20"/>
          <w:szCs w:val="20"/>
          <w:lang w:val="en-AU"/>
        </w:rPr>
        <w:t xml:space="preserve">that are defined in the </w:t>
      </w:r>
      <w:r w:rsidR="007C50ED" w:rsidRPr="007C50ED">
        <w:rPr>
          <w:rFonts w:ascii="Arial" w:hAnsi="Arial" w:cs="Arial"/>
          <w:i/>
          <w:sz w:val="20"/>
          <w:szCs w:val="20"/>
          <w:lang w:val="en-AU"/>
        </w:rPr>
        <w:t>Radiocommunications (</w:t>
      </w:r>
      <w:r w:rsidR="00DF3711">
        <w:rPr>
          <w:rFonts w:ascii="Arial" w:hAnsi="Arial" w:cs="Arial"/>
          <w:i/>
          <w:sz w:val="20"/>
          <w:szCs w:val="20"/>
          <w:lang w:val="en-AU"/>
        </w:rPr>
        <w:t>U</w:t>
      </w:r>
      <w:r w:rsidR="007C50ED" w:rsidRPr="007C50ED">
        <w:rPr>
          <w:rFonts w:ascii="Arial" w:hAnsi="Arial" w:cs="Arial"/>
          <w:i/>
          <w:sz w:val="20"/>
          <w:szCs w:val="20"/>
          <w:lang w:val="en-AU"/>
        </w:rPr>
        <w:t xml:space="preserve">nacceptable </w:t>
      </w:r>
      <w:r w:rsidR="00DF3711">
        <w:rPr>
          <w:rFonts w:ascii="Arial" w:hAnsi="Arial" w:cs="Arial"/>
          <w:i/>
          <w:sz w:val="20"/>
          <w:szCs w:val="20"/>
          <w:lang w:val="en-AU"/>
        </w:rPr>
        <w:t>L</w:t>
      </w:r>
      <w:r w:rsidR="007C50ED" w:rsidRPr="007C50ED">
        <w:rPr>
          <w:rFonts w:ascii="Arial" w:hAnsi="Arial" w:cs="Arial"/>
          <w:i/>
          <w:sz w:val="20"/>
          <w:szCs w:val="20"/>
          <w:lang w:val="en-AU"/>
        </w:rPr>
        <w:t xml:space="preserve">evels of </w:t>
      </w:r>
      <w:r w:rsidR="00DF3711">
        <w:rPr>
          <w:rFonts w:ascii="Arial" w:hAnsi="Arial" w:cs="Arial"/>
          <w:i/>
          <w:sz w:val="20"/>
          <w:szCs w:val="20"/>
          <w:lang w:val="en-AU"/>
        </w:rPr>
        <w:t>I</w:t>
      </w:r>
      <w:r w:rsidR="007C50ED" w:rsidRPr="007C50ED">
        <w:rPr>
          <w:rFonts w:ascii="Arial" w:hAnsi="Arial" w:cs="Arial"/>
          <w:i/>
          <w:sz w:val="20"/>
          <w:szCs w:val="20"/>
          <w:lang w:val="en-AU"/>
        </w:rPr>
        <w:t xml:space="preserve">nterference – </w:t>
      </w:r>
      <w:r w:rsidR="000E36AE">
        <w:rPr>
          <w:rFonts w:ascii="Arial" w:hAnsi="Arial" w:cs="Arial"/>
          <w:i/>
          <w:sz w:val="20"/>
          <w:szCs w:val="20"/>
          <w:lang w:val="en-AU"/>
        </w:rPr>
        <w:t>2.3 GHz</w:t>
      </w:r>
      <w:r w:rsidR="007C50ED" w:rsidRPr="007C50ED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DF3711">
        <w:rPr>
          <w:rFonts w:ascii="Arial" w:hAnsi="Arial" w:cs="Arial"/>
          <w:i/>
          <w:sz w:val="20"/>
          <w:szCs w:val="20"/>
          <w:lang w:val="en-AU"/>
        </w:rPr>
        <w:t>B</w:t>
      </w:r>
      <w:r w:rsidR="00F90FDD">
        <w:rPr>
          <w:rFonts w:ascii="Arial" w:hAnsi="Arial" w:cs="Arial"/>
          <w:i/>
          <w:sz w:val="20"/>
          <w:szCs w:val="20"/>
          <w:lang w:val="en-AU"/>
        </w:rPr>
        <w:t>and</w:t>
      </w:r>
      <w:r w:rsidR="007C50ED" w:rsidRPr="007C50ED">
        <w:rPr>
          <w:rFonts w:ascii="Arial" w:hAnsi="Arial" w:cs="Arial"/>
          <w:i/>
          <w:sz w:val="20"/>
          <w:szCs w:val="20"/>
          <w:lang w:val="en-AU"/>
        </w:rPr>
        <w:t xml:space="preserve">) Determination </w:t>
      </w:r>
      <w:r w:rsidR="00BC0788" w:rsidRPr="00BC0788">
        <w:rPr>
          <w:rFonts w:ascii="Arial" w:hAnsi="Arial" w:cs="Arial"/>
          <w:sz w:val="20"/>
          <w:szCs w:val="20"/>
          <w:lang w:val="en-AU"/>
        </w:rPr>
        <w:t>2013</w:t>
      </w:r>
      <w:r w:rsidR="005B31FD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5B31FD">
        <w:rPr>
          <w:rFonts w:ascii="Arial" w:hAnsi="Arial" w:cs="Arial"/>
          <w:sz w:val="20"/>
          <w:szCs w:val="20"/>
          <w:lang w:val="en-AU"/>
        </w:rPr>
        <w:t>(</w:t>
      </w:r>
      <w:r w:rsidR="00BC0788" w:rsidRPr="00BC0788">
        <w:rPr>
          <w:rFonts w:ascii="Arial" w:hAnsi="Arial" w:cs="Arial"/>
          <w:b/>
          <w:sz w:val="20"/>
          <w:szCs w:val="20"/>
          <w:lang w:val="en-AU"/>
        </w:rPr>
        <w:t>subsection 145(4) determination</w:t>
      </w:r>
      <w:r w:rsidR="005B31FD">
        <w:rPr>
          <w:rFonts w:ascii="Arial" w:hAnsi="Arial" w:cs="Arial"/>
          <w:sz w:val="20"/>
          <w:szCs w:val="20"/>
          <w:lang w:val="en-AU"/>
        </w:rPr>
        <w:t>)</w:t>
      </w:r>
      <w:r w:rsidR="009D25B7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2171A9">
        <w:rPr>
          <w:rFonts w:ascii="Arial" w:hAnsi="Arial" w:cs="Arial"/>
          <w:sz w:val="20"/>
          <w:szCs w:val="20"/>
          <w:lang w:val="en-AU"/>
        </w:rPr>
        <w:t xml:space="preserve">or </w:t>
      </w:r>
      <w:r w:rsidR="00281C06">
        <w:rPr>
          <w:rFonts w:ascii="Arial" w:hAnsi="Arial" w:cs="Arial"/>
          <w:sz w:val="20"/>
          <w:szCs w:val="20"/>
          <w:lang w:val="en-AU"/>
        </w:rPr>
        <w:t>in the Act</w:t>
      </w:r>
      <w:r w:rsidR="002171A9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D16EF0" w:rsidRPr="007C50ED">
        <w:rPr>
          <w:rFonts w:ascii="Arial" w:hAnsi="Arial" w:cs="Arial"/>
          <w:sz w:val="20"/>
          <w:szCs w:val="20"/>
          <w:lang w:val="en-AU"/>
        </w:rPr>
        <w:t xml:space="preserve">have the same meaning as in </w:t>
      </w:r>
      <w:r w:rsidR="00D16EF0" w:rsidRPr="002171A9">
        <w:rPr>
          <w:rFonts w:ascii="Arial" w:hAnsi="Arial" w:cs="Arial"/>
          <w:sz w:val="20"/>
          <w:szCs w:val="20"/>
          <w:lang w:val="en-AU"/>
        </w:rPr>
        <w:t>the</w:t>
      </w:r>
      <w:r w:rsidR="00D16EF0">
        <w:rPr>
          <w:rFonts w:ascii="Arial" w:hAnsi="Arial" w:cs="Arial"/>
          <w:sz w:val="20"/>
          <w:szCs w:val="20"/>
          <w:lang w:val="en-AU"/>
        </w:rPr>
        <w:t xml:space="preserve"> </w:t>
      </w:r>
      <w:r w:rsidR="005B31FD">
        <w:rPr>
          <w:rFonts w:ascii="Arial" w:hAnsi="Arial" w:cs="Arial"/>
          <w:sz w:val="20"/>
          <w:szCs w:val="20"/>
          <w:lang w:val="en-AU"/>
        </w:rPr>
        <w:t xml:space="preserve">subsection 145(4) </w:t>
      </w:r>
      <w:r w:rsidR="00D16EF0">
        <w:rPr>
          <w:rFonts w:ascii="Arial" w:hAnsi="Arial" w:cs="Arial"/>
          <w:sz w:val="20"/>
          <w:szCs w:val="20"/>
          <w:lang w:val="en-AU"/>
        </w:rPr>
        <w:t>determination or</w:t>
      </w:r>
      <w:r w:rsidR="005B31FD">
        <w:rPr>
          <w:rFonts w:ascii="Arial" w:hAnsi="Arial" w:cs="Arial"/>
          <w:sz w:val="20"/>
          <w:szCs w:val="20"/>
          <w:lang w:val="en-AU"/>
        </w:rPr>
        <w:t xml:space="preserve"> the</w:t>
      </w:r>
      <w:r w:rsidR="00D16EF0">
        <w:rPr>
          <w:rFonts w:ascii="Arial" w:hAnsi="Arial" w:cs="Arial"/>
          <w:sz w:val="20"/>
          <w:szCs w:val="20"/>
          <w:lang w:val="en-AU"/>
        </w:rPr>
        <w:t xml:space="preserve"> Act, as applicable. 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90366E">
      <w:pPr>
        <w:keepNext/>
        <w:keepLines/>
        <w:ind w:left="570" w:hanging="570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90366E">
        <w:rPr>
          <w:rFonts w:ascii="Arial" w:hAnsi="Arial" w:cs="Arial"/>
          <w:b/>
          <w:sz w:val="20"/>
          <w:szCs w:val="20"/>
          <w:lang w:val="en-AU"/>
        </w:rPr>
        <w:t>Part 1 - Background</w:t>
      </w:r>
    </w:p>
    <w:p w:rsidR="004300B8" w:rsidRDefault="004300B8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281C06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This </w:t>
      </w:r>
      <w:r>
        <w:rPr>
          <w:rFonts w:ascii="Arial" w:hAnsi="Arial" w:cs="Arial"/>
          <w:sz w:val="20"/>
          <w:szCs w:val="20"/>
          <w:lang w:val="en-AU"/>
        </w:rPr>
        <w:t xml:space="preserve">Part </w:t>
      </w:r>
      <w:r w:rsidRPr="00FF7AB9">
        <w:rPr>
          <w:rFonts w:ascii="Arial" w:hAnsi="Arial" w:cs="Arial"/>
          <w:sz w:val="20"/>
          <w:szCs w:val="20"/>
          <w:lang w:val="en-AU"/>
        </w:rPr>
        <w:t>provides basic information about spectrum licences and the modes of interference occurring across frequency boundaries and geographical boundaries</w:t>
      </w:r>
      <w:r w:rsidR="00D16EF0">
        <w:rPr>
          <w:rFonts w:ascii="Arial" w:hAnsi="Arial" w:cs="Arial"/>
          <w:sz w:val="20"/>
          <w:szCs w:val="20"/>
          <w:lang w:val="en-AU"/>
        </w:rPr>
        <w:t xml:space="preserve"> of spectrum licences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.  It describes </w:t>
      </w:r>
      <w:r w:rsidR="00D16EF0">
        <w:rPr>
          <w:rFonts w:ascii="Arial" w:hAnsi="Arial" w:cs="Arial"/>
          <w:sz w:val="20"/>
          <w:szCs w:val="20"/>
          <w:lang w:val="en-AU"/>
        </w:rPr>
        <w:t xml:space="preserve">how interference is managed, and specifies the provisions of the Act relevant to interference management. </w:t>
      </w:r>
    </w:p>
    <w:p w:rsidR="004109FD" w:rsidRDefault="005B31FD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lastRenderedPageBreak/>
        <w:t>The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="00281C06">
        <w:rPr>
          <w:rFonts w:ascii="Arial" w:hAnsi="Arial" w:cs="Arial"/>
          <w:sz w:val="20"/>
          <w:szCs w:val="20"/>
          <w:lang w:val="en-AU"/>
        </w:rPr>
        <w:t>A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dvisory </w:t>
      </w:r>
      <w:r w:rsidR="00281C06">
        <w:rPr>
          <w:rFonts w:ascii="Arial" w:hAnsi="Arial" w:cs="Arial"/>
          <w:sz w:val="20"/>
          <w:szCs w:val="20"/>
          <w:lang w:val="en-AU"/>
        </w:rPr>
        <w:t>G</w:t>
      </w:r>
      <w:r w:rsidR="00281C06" w:rsidRPr="00FF7AB9">
        <w:rPr>
          <w:rFonts w:ascii="Arial" w:hAnsi="Arial" w:cs="Arial"/>
          <w:sz w:val="20"/>
          <w:szCs w:val="20"/>
          <w:lang w:val="en-AU"/>
        </w:rPr>
        <w:t>uideline</w:t>
      </w:r>
      <w:r w:rsidR="00281C06">
        <w:rPr>
          <w:rFonts w:ascii="Arial" w:hAnsi="Arial" w:cs="Arial"/>
          <w:sz w:val="20"/>
          <w:szCs w:val="20"/>
          <w:lang w:val="en-AU"/>
        </w:rPr>
        <w:t>s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 ha</w:t>
      </w:r>
      <w:r w:rsidR="00281C06">
        <w:rPr>
          <w:rFonts w:ascii="Arial" w:hAnsi="Arial" w:cs="Arial"/>
          <w:sz w:val="20"/>
          <w:szCs w:val="20"/>
          <w:lang w:val="en-AU"/>
        </w:rPr>
        <w:t>ve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 been made to provide guidance in </w:t>
      </w:r>
      <w:r w:rsidR="00281C06">
        <w:rPr>
          <w:rFonts w:ascii="Arial" w:hAnsi="Arial" w:cs="Arial"/>
          <w:sz w:val="20"/>
          <w:szCs w:val="20"/>
          <w:lang w:val="en-AU"/>
        </w:rPr>
        <w:t>the resolution of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 cases of interference occurring to spectrum</w:t>
      </w:r>
      <w:r w:rsidR="00281C06">
        <w:rPr>
          <w:rFonts w:ascii="Arial" w:hAnsi="Arial" w:cs="Arial"/>
          <w:sz w:val="20"/>
          <w:szCs w:val="20"/>
          <w:lang w:val="en-AU"/>
        </w:rPr>
        <w:t xml:space="preserve"> 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licensed </w:t>
      </w:r>
      <w:r w:rsidR="00281C06"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receivers and caused by radiocommunications </w:t>
      </w:r>
      <w:r w:rsidR="00281C06">
        <w:rPr>
          <w:rFonts w:ascii="Arial" w:hAnsi="Arial" w:cs="Arial"/>
          <w:sz w:val="20"/>
          <w:szCs w:val="20"/>
          <w:lang w:val="en-AU"/>
        </w:rPr>
        <w:t xml:space="preserve">transmitters 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operated under </w:t>
      </w:r>
      <w:r w:rsidR="00281C06">
        <w:rPr>
          <w:rFonts w:ascii="Arial" w:hAnsi="Arial" w:cs="Arial"/>
          <w:sz w:val="20"/>
          <w:szCs w:val="20"/>
          <w:lang w:val="en-AU"/>
        </w:rPr>
        <w:t>other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 licences</w:t>
      </w:r>
      <w:r w:rsidR="00281C06">
        <w:rPr>
          <w:rFonts w:ascii="Arial" w:hAnsi="Arial" w:cs="Arial"/>
          <w:sz w:val="20"/>
          <w:szCs w:val="20"/>
          <w:lang w:val="en-AU"/>
        </w:rPr>
        <w:t xml:space="preserve"> 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in the </w:t>
      </w:r>
      <w:r w:rsidR="000E36AE">
        <w:rPr>
          <w:rFonts w:ascii="Arial" w:hAnsi="Arial" w:cs="Arial"/>
          <w:sz w:val="20"/>
          <w:szCs w:val="20"/>
          <w:lang w:val="en-AU"/>
        </w:rPr>
        <w:t>2.3 GHz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 band</w:t>
      </w:r>
      <w:r w:rsidR="007C2742" w:rsidRPr="00FF7AB9">
        <w:rPr>
          <w:rFonts w:ascii="Arial" w:hAnsi="Arial" w:cs="Arial"/>
          <w:sz w:val="20"/>
          <w:szCs w:val="20"/>
          <w:lang w:val="en-AU"/>
        </w:rPr>
        <w:t>.</w:t>
      </w:r>
    </w:p>
    <w:p w:rsidR="004109FD" w:rsidRDefault="004109F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109FD" w:rsidRDefault="00D01A58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Part 2 - M</w:t>
      </w:r>
      <w:r w:rsidRPr="00D01A58">
        <w:rPr>
          <w:rFonts w:ascii="Arial" w:hAnsi="Arial" w:cs="Arial"/>
          <w:b/>
          <w:color w:val="000000"/>
          <w:sz w:val="20"/>
          <w:szCs w:val="20"/>
        </w:rPr>
        <w:t xml:space="preserve">anaging </w:t>
      </w:r>
      <w:r w:rsidR="009D25B7" w:rsidRPr="009D25B7">
        <w:rPr>
          <w:rFonts w:ascii="Arial" w:hAnsi="Arial" w:cs="Arial"/>
          <w:b/>
          <w:color w:val="000000"/>
          <w:sz w:val="20"/>
          <w:szCs w:val="20"/>
          <w:lang w:val="en-GB"/>
        </w:rPr>
        <w:t>interference from other services</w:t>
      </w:r>
    </w:p>
    <w:p w:rsidR="004109FD" w:rsidRDefault="004109F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109FD" w:rsidRDefault="00D01A58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87679">
        <w:rPr>
          <w:rFonts w:ascii="Arial" w:hAnsi="Arial" w:cs="Arial"/>
          <w:b/>
          <w:color w:val="000000"/>
          <w:sz w:val="20"/>
          <w:szCs w:val="20"/>
        </w:rPr>
        <w:t xml:space="preserve">Section 2.1 – In-band </w:t>
      </w:r>
      <w:r w:rsidR="009859BF" w:rsidRPr="00787679">
        <w:rPr>
          <w:rFonts w:ascii="Arial" w:hAnsi="Arial" w:cs="Arial"/>
          <w:b/>
          <w:color w:val="000000"/>
          <w:sz w:val="20"/>
          <w:szCs w:val="20"/>
        </w:rPr>
        <w:t>i</w:t>
      </w:r>
      <w:r w:rsidR="00CB4B61" w:rsidRPr="00787679">
        <w:rPr>
          <w:rFonts w:ascii="Arial" w:hAnsi="Arial" w:cs="Arial"/>
          <w:b/>
          <w:color w:val="000000"/>
          <w:sz w:val="20"/>
          <w:szCs w:val="20"/>
        </w:rPr>
        <w:t>nterference</w:t>
      </w:r>
    </w:p>
    <w:p w:rsidR="004109FD" w:rsidRDefault="009216F8">
      <w:pPr>
        <w:jc w:val="both"/>
        <w:rPr>
          <w:rFonts w:ascii="Arial" w:hAnsi="Arial" w:cs="Arial"/>
          <w:sz w:val="20"/>
          <w:szCs w:val="20"/>
          <w:lang w:val="en-AU"/>
        </w:rPr>
      </w:pPr>
      <w:r w:rsidRPr="00787679">
        <w:rPr>
          <w:rFonts w:ascii="Arial" w:hAnsi="Arial" w:cs="Arial"/>
          <w:sz w:val="20"/>
          <w:szCs w:val="20"/>
          <w:lang w:val="en-AU"/>
        </w:rPr>
        <w:t xml:space="preserve">This section </w:t>
      </w:r>
      <w:r w:rsidR="005B31FD">
        <w:rPr>
          <w:rFonts w:ascii="Arial" w:hAnsi="Arial" w:cs="Arial"/>
          <w:sz w:val="20"/>
          <w:szCs w:val="20"/>
          <w:lang w:val="en-AU"/>
        </w:rPr>
        <w:t>provides</w:t>
      </w:r>
      <w:r w:rsidR="005B31FD" w:rsidRPr="00787679">
        <w:rPr>
          <w:rFonts w:ascii="Arial" w:hAnsi="Arial" w:cs="Arial"/>
          <w:sz w:val="20"/>
          <w:szCs w:val="20"/>
          <w:lang w:val="en-AU"/>
        </w:rPr>
        <w:t xml:space="preserve"> </w:t>
      </w:r>
      <w:r w:rsidR="005B31FD">
        <w:rPr>
          <w:rFonts w:ascii="Arial" w:hAnsi="Arial" w:cs="Arial"/>
          <w:sz w:val="20"/>
          <w:szCs w:val="20"/>
          <w:lang w:val="en-AU"/>
        </w:rPr>
        <w:t xml:space="preserve">that </w:t>
      </w:r>
      <w:r w:rsidR="007C2742" w:rsidRPr="00787679">
        <w:rPr>
          <w:rFonts w:ascii="Arial" w:hAnsi="Arial" w:cs="Arial"/>
          <w:sz w:val="20"/>
          <w:szCs w:val="20"/>
          <w:lang w:val="en-AU"/>
        </w:rPr>
        <w:t>in-band interference to a radio</w:t>
      </w:r>
      <w:r w:rsidR="00F26F86" w:rsidRPr="00787679">
        <w:rPr>
          <w:rFonts w:ascii="Arial" w:hAnsi="Arial" w:cs="Arial"/>
          <w:sz w:val="20"/>
          <w:szCs w:val="20"/>
          <w:lang w:val="en-AU"/>
        </w:rPr>
        <w:t xml:space="preserve">communications receiver </w:t>
      </w:r>
      <w:r w:rsidR="00D65717">
        <w:rPr>
          <w:rFonts w:ascii="Arial" w:hAnsi="Arial" w:cs="Arial"/>
          <w:sz w:val="20"/>
          <w:szCs w:val="20"/>
          <w:lang w:val="en-AU"/>
        </w:rPr>
        <w:t>operating</w:t>
      </w:r>
      <w:r w:rsidR="00D65717" w:rsidRPr="00787679">
        <w:rPr>
          <w:rFonts w:ascii="Arial" w:hAnsi="Arial" w:cs="Arial"/>
          <w:sz w:val="20"/>
          <w:szCs w:val="20"/>
          <w:lang w:val="en-AU"/>
        </w:rPr>
        <w:t xml:space="preserve"> </w:t>
      </w:r>
      <w:r w:rsidR="007C2742" w:rsidRPr="00787679">
        <w:rPr>
          <w:rFonts w:ascii="Arial" w:hAnsi="Arial" w:cs="Arial"/>
          <w:sz w:val="20"/>
          <w:szCs w:val="20"/>
          <w:lang w:val="en-AU"/>
        </w:rPr>
        <w:t>under a spectrum</w:t>
      </w:r>
      <w:r w:rsidR="000D00A5" w:rsidRPr="00787679">
        <w:rPr>
          <w:rFonts w:ascii="Arial" w:hAnsi="Arial" w:cs="Arial"/>
          <w:sz w:val="20"/>
          <w:szCs w:val="20"/>
          <w:lang w:val="en-AU"/>
        </w:rPr>
        <w:t xml:space="preserve"> </w:t>
      </w:r>
      <w:r w:rsidR="00F90FDD" w:rsidRPr="00787679">
        <w:rPr>
          <w:rFonts w:ascii="Arial" w:hAnsi="Arial" w:cs="Arial"/>
          <w:sz w:val="20"/>
          <w:szCs w:val="20"/>
          <w:lang w:val="en-AU"/>
        </w:rPr>
        <w:t>licence</w:t>
      </w:r>
      <w:r w:rsidRPr="00787679">
        <w:rPr>
          <w:rFonts w:ascii="Arial" w:hAnsi="Arial" w:cs="Arial"/>
          <w:sz w:val="20"/>
          <w:szCs w:val="20"/>
          <w:lang w:val="en-AU"/>
        </w:rPr>
        <w:t xml:space="preserve"> </w:t>
      </w:r>
      <w:r w:rsidR="009D25B7">
        <w:rPr>
          <w:rFonts w:ascii="Arial" w:hAnsi="Arial" w:cs="Arial"/>
          <w:sz w:val="20"/>
          <w:szCs w:val="20"/>
          <w:lang w:val="en-AU"/>
        </w:rPr>
        <w:t>from</w:t>
      </w:r>
      <w:r w:rsidR="00FC64A9" w:rsidRPr="00787679">
        <w:rPr>
          <w:rFonts w:ascii="Arial" w:hAnsi="Arial" w:cs="Arial"/>
          <w:sz w:val="20"/>
          <w:szCs w:val="20"/>
          <w:lang w:val="en-AU"/>
        </w:rPr>
        <w:t xml:space="preserve"> a </w:t>
      </w:r>
      <w:r w:rsidR="00E2764E" w:rsidRPr="00787679">
        <w:rPr>
          <w:rFonts w:ascii="Arial" w:hAnsi="Arial" w:cs="Arial"/>
          <w:sz w:val="20"/>
          <w:szCs w:val="20"/>
          <w:lang w:val="en-AU"/>
        </w:rPr>
        <w:t xml:space="preserve">radiocommunications transmitter </w:t>
      </w:r>
      <w:r w:rsidR="00FC64A9" w:rsidRPr="00787679">
        <w:rPr>
          <w:rFonts w:ascii="Arial" w:hAnsi="Arial" w:cs="Arial"/>
          <w:sz w:val="20"/>
          <w:szCs w:val="20"/>
          <w:lang w:val="en-AU"/>
        </w:rPr>
        <w:t>operating under an adjacent spectrum</w:t>
      </w:r>
      <w:r w:rsidR="009D25B7">
        <w:rPr>
          <w:rFonts w:ascii="Arial" w:hAnsi="Arial" w:cs="Arial"/>
          <w:sz w:val="20"/>
          <w:szCs w:val="20"/>
          <w:lang w:val="en-AU"/>
        </w:rPr>
        <w:t xml:space="preserve"> </w:t>
      </w:r>
      <w:r w:rsidR="00FC64A9" w:rsidRPr="00787679">
        <w:rPr>
          <w:rFonts w:ascii="Arial" w:hAnsi="Arial" w:cs="Arial"/>
          <w:sz w:val="20"/>
          <w:szCs w:val="20"/>
          <w:lang w:val="en-AU"/>
        </w:rPr>
        <w:t xml:space="preserve">licence is managed </w:t>
      </w:r>
      <w:r w:rsidR="00D65717">
        <w:rPr>
          <w:rFonts w:ascii="Arial" w:hAnsi="Arial" w:cs="Arial"/>
          <w:sz w:val="20"/>
          <w:szCs w:val="20"/>
          <w:lang w:val="en-AU"/>
        </w:rPr>
        <w:t>through</w:t>
      </w:r>
      <w:r w:rsidR="00131856">
        <w:rPr>
          <w:rFonts w:ascii="Arial" w:hAnsi="Arial" w:cs="Arial"/>
          <w:sz w:val="20"/>
          <w:szCs w:val="20"/>
          <w:lang w:val="en-AU"/>
        </w:rPr>
        <w:t xml:space="preserve"> </w:t>
      </w:r>
      <w:r w:rsidR="00FC64A9" w:rsidRPr="009D25B7">
        <w:rPr>
          <w:rFonts w:ascii="Arial" w:hAnsi="Arial" w:cs="Arial"/>
          <w:sz w:val="20"/>
          <w:szCs w:val="20"/>
          <w:lang w:val="en-AU"/>
        </w:rPr>
        <w:t xml:space="preserve">the core conditions </w:t>
      </w:r>
      <w:r w:rsidR="00E2764E" w:rsidRPr="009D25B7">
        <w:rPr>
          <w:rFonts w:ascii="Arial" w:hAnsi="Arial" w:cs="Arial"/>
          <w:sz w:val="20"/>
          <w:szCs w:val="20"/>
          <w:lang w:val="en-AU"/>
        </w:rPr>
        <w:t xml:space="preserve">imposed </w:t>
      </w:r>
      <w:r w:rsidR="00315BFD" w:rsidRPr="009D25B7">
        <w:rPr>
          <w:rFonts w:ascii="Arial" w:hAnsi="Arial" w:cs="Arial"/>
          <w:sz w:val="20"/>
          <w:szCs w:val="20"/>
          <w:lang w:val="en-AU"/>
        </w:rPr>
        <w:t xml:space="preserve">on </w:t>
      </w:r>
      <w:r w:rsidR="005B31FD">
        <w:rPr>
          <w:rFonts w:ascii="Arial" w:hAnsi="Arial" w:cs="Arial"/>
          <w:sz w:val="20"/>
          <w:szCs w:val="20"/>
          <w:lang w:val="en-AU"/>
        </w:rPr>
        <w:t xml:space="preserve">the </w:t>
      </w:r>
      <w:r w:rsidR="00315BFD" w:rsidRPr="009D25B7">
        <w:rPr>
          <w:rFonts w:ascii="Arial" w:hAnsi="Arial" w:cs="Arial"/>
          <w:sz w:val="20"/>
          <w:szCs w:val="20"/>
          <w:lang w:val="en-AU"/>
        </w:rPr>
        <w:t>spectrum licences</w:t>
      </w:r>
      <w:r w:rsidR="00131856">
        <w:rPr>
          <w:rFonts w:ascii="Arial" w:hAnsi="Arial" w:cs="Arial"/>
          <w:sz w:val="20"/>
          <w:szCs w:val="20"/>
          <w:lang w:val="en-AU"/>
        </w:rPr>
        <w:t>,</w:t>
      </w:r>
      <w:r w:rsidR="00D65717">
        <w:rPr>
          <w:rFonts w:ascii="Arial" w:hAnsi="Arial" w:cs="Arial"/>
          <w:sz w:val="20"/>
          <w:szCs w:val="20"/>
          <w:lang w:val="en-AU"/>
        </w:rPr>
        <w:t xml:space="preserve"> </w:t>
      </w:r>
      <w:r w:rsidR="005B31FD">
        <w:rPr>
          <w:rFonts w:ascii="Arial" w:hAnsi="Arial" w:cs="Arial"/>
          <w:sz w:val="20"/>
          <w:szCs w:val="20"/>
          <w:lang w:val="en-AU"/>
        </w:rPr>
        <w:t xml:space="preserve">and using </w:t>
      </w:r>
      <w:r w:rsidR="00131856">
        <w:rPr>
          <w:rFonts w:ascii="Arial" w:hAnsi="Arial" w:cs="Arial"/>
          <w:sz w:val="20"/>
          <w:szCs w:val="20"/>
          <w:lang w:val="en-AU"/>
        </w:rPr>
        <w:t>t</w:t>
      </w:r>
      <w:r w:rsidR="00315BFD" w:rsidRPr="009D25B7">
        <w:rPr>
          <w:rFonts w:ascii="Arial" w:hAnsi="Arial" w:cs="Arial"/>
          <w:sz w:val="20"/>
          <w:szCs w:val="20"/>
          <w:lang w:val="en-AU"/>
        </w:rPr>
        <w:t xml:space="preserve">he device boundary criteria and deployment criteria prescribed in </w:t>
      </w:r>
      <w:r w:rsidR="00D65717">
        <w:rPr>
          <w:rFonts w:ascii="Arial" w:hAnsi="Arial" w:cs="Arial"/>
          <w:sz w:val="20"/>
          <w:szCs w:val="20"/>
          <w:lang w:val="en-AU"/>
        </w:rPr>
        <w:t>the</w:t>
      </w:r>
      <w:r w:rsidR="00D65717" w:rsidRPr="009D25B7">
        <w:rPr>
          <w:rFonts w:ascii="Arial" w:hAnsi="Arial" w:cs="Arial"/>
          <w:sz w:val="20"/>
          <w:szCs w:val="20"/>
          <w:lang w:val="en-AU"/>
        </w:rPr>
        <w:t xml:space="preserve"> </w:t>
      </w:r>
      <w:r w:rsidR="002E1AB3">
        <w:rPr>
          <w:rFonts w:ascii="Arial" w:hAnsi="Arial" w:cs="Arial"/>
          <w:sz w:val="20"/>
          <w:szCs w:val="20"/>
          <w:lang w:val="en-AU"/>
        </w:rPr>
        <w:t>sub</w:t>
      </w:r>
      <w:r w:rsidR="00315BFD" w:rsidRPr="009D25B7">
        <w:rPr>
          <w:rFonts w:ascii="Arial" w:hAnsi="Arial" w:cs="Arial"/>
          <w:sz w:val="20"/>
          <w:szCs w:val="20"/>
          <w:lang w:val="en-AU"/>
        </w:rPr>
        <w:t>section 145</w:t>
      </w:r>
      <w:r w:rsidR="002E1AB3">
        <w:rPr>
          <w:rFonts w:ascii="Arial" w:hAnsi="Arial" w:cs="Arial"/>
          <w:sz w:val="20"/>
          <w:szCs w:val="20"/>
          <w:lang w:val="en-AU"/>
        </w:rPr>
        <w:t>(4)</w:t>
      </w:r>
      <w:r w:rsidR="00315BFD" w:rsidRPr="009D25B7">
        <w:rPr>
          <w:rFonts w:ascii="Arial" w:hAnsi="Arial" w:cs="Arial"/>
          <w:sz w:val="20"/>
          <w:szCs w:val="20"/>
          <w:lang w:val="en-AU"/>
        </w:rPr>
        <w:t xml:space="preserve"> determination</w:t>
      </w:r>
      <w:r w:rsidR="005B31FD">
        <w:rPr>
          <w:rFonts w:ascii="Arial" w:hAnsi="Arial" w:cs="Arial"/>
          <w:sz w:val="20"/>
          <w:szCs w:val="20"/>
          <w:lang w:val="en-AU"/>
        </w:rPr>
        <w:t>.</w:t>
      </w:r>
      <w:r w:rsidR="00D65717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C40D4F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I</w:t>
      </w:r>
      <w:r w:rsidRPr="00787679">
        <w:rPr>
          <w:rFonts w:ascii="Arial" w:hAnsi="Arial" w:cs="Arial"/>
          <w:sz w:val="20"/>
          <w:szCs w:val="20"/>
          <w:lang w:val="en-AU"/>
        </w:rPr>
        <w:t xml:space="preserve">n-band interference </w:t>
      </w:r>
      <w:r>
        <w:rPr>
          <w:rFonts w:ascii="Arial" w:hAnsi="Arial" w:cs="Arial"/>
          <w:sz w:val="20"/>
          <w:szCs w:val="20"/>
          <w:lang w:val="en-AU"/>
        </w:rPr>
        <w:t>from</w:t>
      </w:r>
      <w:r w:rsidRPr="00787679">
        <w:rPr>
          <w:rFonts w:ascii="Arial" w:hAnsi="Arial" w:cs="Arial"/>
          <w:sz w:val="20"/>
          <w:szCs w:val="20"/>
          <w:lang w:val="en-AU"/>
        </w:rPr>
        <w:t xml:space="preserve"> a radiocommunications transmitter operating under a</w:t>
      </w:r>
      <w:r>
        <w:rPr>
          <w:rFonts w:ascii="Arial" w:hAnsi="Arial" w:cs="Arial"/>
          <w:sz w:val="20"/>
          <w:szCs w:val="20"/>
          <w:lang w:val="en-AU"/>
        </w:rPr>
        <w:t xml:space="preserve">n apparatus licence is managed </w:t>
      </w:r>
      <w:r w:rsidRPr="00C40D4F">
        <w:rPr>
          <w:rFonts w:ascii="Arial" w:hAnsi="Arial" w:cs="Arial"/>
          <w:sz w:val="20"/>
          <w:szCs w:val="20"/>
          <w:lang w:val="en-GB"/>
        </w:rPr>
        <w:t>as if the transmitter is operated under a spectrum licence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C40D4F">
        <w:rPr>
          <w:rFonts w:ascii="Arial" w:hAnsi="Arial" w:cs="Arial"/>
          <w:sz w:val="20"/>
          <w:szCs w:val="20"/>
          <w:lang w:val="en-AU"/>
        </w:rPr>
        <w:t xml:space="preserve"> </w:t>
      </w:r>
      <w:r w:rsidR="00986FAA" w:rsidRPr="00787679" w:rsidDel="00C40D4F">
        <w:rPr>
          <w:rFonts w:ascii="Arial" w:hAnsi="Arial" w:cs="Arial"/>
          <w:sz w:val="20"/>
          <w:szCs w:val="20"/>
          <w:lang w:val="en-AU"/>
        </w:rPr>
        <w:t xml:space="preserve">The device boundary criteria </w:t>
      </w:r>
      <w:r w:rsidR="00986FAA">
        <w:rPr>
          <w:rFonts w:ascii="Arial" w:hAnsi="Arial" w:cs="Arial"/>
          <w:sz w:val="20"/>
          <w:szCs w:val="20"/>
          <w:lang w:val="en-AU"/>
        </w:rPr>
        <w:t xml:space="preserve">applicable to spectrum licensed transmitters </w:t>
      </w:r>
      <w:r w:rsidR="00986FAA" w:rsidRPr="00787679" w:rsidDel="00C40D4F">
        <w:rPr>
          <w:rFonts w:ascii="Arial" w:hAnsi="Arial" w:cs="Arial"/>
          <w:sz w:val="20"/>
          <w:szCs w:val="20"/>
          <w:lang w:val="en-AU"/>
        </w:rPr>
        <w:t xml:space="preserve">also apply to apparatus licensed transmitters </w:t>
      </w:r>
      <w:r w:rsidR="00986FAA">
        <w:rPr>
          <w:rFonts w:ascii="Arial" w:hAnsi="Arial" w:cs="Arial"/>
          <w:sz w:val="20"/>
          <w:szCs w:val="20"/>
          <w:lang w:val="en-AU"/>
        </w:rPr>
        <w:t xml:space="preserve">which operate under licences </w:t>
      </w:r>
      <w:r w:rsidR="00986FAA" w:rsidRPr="00787679" w:rsidDel="00C40D4F">
        <w:rPr>
          <w:rFonts w:ascii="Arial" w:hAnsi="Arial" w:cs="Arial"/>
          <w:sz w:val="20"/>
          <w:szCs w:val="20"/>
          <w:lang w:val="en-AU"/>
        </w:rPr>
        <w:t xml:space="preserve">issued </w:t>
      </w:r>
      <w:r w:rsidR="002E1AB3" w:rsidRPr="002E1AB3">
        <w:rPr>
          <w:rFonts w:ascii="Arial" w:hAnsi="Arial" w:cs="Arial"/>
          <w:sz w:val="20"/>
          <w:szCs w:val="20"/>
          <w:lang w:val="en-AU"/>
        </w:rPr>
        <w:t>on or after date on which</w:t>
      </w:r>
      <w:r w:rsidR="002E1AB3">
        <w:rPr>
          <w:rFonts w:ascii="Arial" w:hAnsi="Arial" w:cs="Arial"/>
          <w:sz w:val="20"/>
          <w:szCs w:val="20"/>
          <w:lang w:val="en-AU"/>
        </w:rPr>
        <w:t xml:space="preserve"> the</w:t>
      </w:r>
      <w:r w:rsidR="002E1AB3" w:rsidRPr="002E1AB3">
        <w:rPr>
          <w:rFonts w:ascii="Arial" w:hAnsi="Arial" w:cs="Arial"/>
          <w:sz w:val="20"/>
          <w:szCs w:val="20"/>
          <w:lang w:val="en-AU"/>
        </w:rPr>
        <w:t xml:space="preserve"> </w:t>
      </w:r>
      <w:r w:rsidR="002E1AB3">
        <w:rPr>
          <w:rFonts w:ascii="Arial" w:hAnsi="Arial" w:cs="Arial"/>
          <w:sz w:val="20"/>
          <w:szCs w:val="20"/>
          <w:lang w:val="en-AU"/>
        </w:rPr>
        <w:t>Advisory G</w:t>
      </w:r>
      <w:r w:rsidR="002E1AB3" w:rsidRPr="00FF7AB9">
        <w:rPr>
          <w:rFonts w:ascii="Arial" w:hAnsi="Arial" w:cs="Arial"/>
          <w:sz w:val="20"/>
          <w:szCs w:val="20"/>
          <w:lang w:val="en-AU"/>
        </w:rPr>
        <w:t>uideline</w:t>
      </w:r>
      <w:r w:rsidR="002E1AB3">
        <w:rPr>
          <w:rFonts w:ascii="Arial" w:hAnsi="Arial" w:cs="Arial"/>
          <w:sz w:val="20"/>
          <w:szCs w:val="20"/>
          <w:lang w:val="en-AU"/>
        </w:rPr>
        <w:t>s</w:t>
      </w:r>
      <w:r w:rsidR="002E1AB3" w:rsidRPr="002E1AB3">
        <w:rPr>
          <w:rFonts w:ascii="Arial" w:hAnsi="Arial" w:cs="Arial"/>
          <w:sz w:val="20"/>
          <w:szCs w:val="20"/>
          <w:lang w:val="en-AU"/>
        </w:rPr>
        <w:t xml:space="preserve"> commence</w:t>
      </w:r>
      <w:r w:rsidR="00986FAA" w:rsidRPr="00787679" w:rsidDel="00C40D4F">
        <w:rPr>
          <w:rFonts w:ascii="Arial" w:hAnsi="Arial" w:cs="Arial"/>
          <w:sz w:val="20"/>
          <w:szCs w:val="20"/>
          <w:lang w:val="en-AU"/>
        </w:rPr>
        <w:t xml:space="preserve">.  As a result, new spectrum licences are afforded the same level of in-band protection from new apparatus licensed transmitters as they are from transmitters operated under </w:t>
      </w:r>
      <w:r w:rsidR="002E1AB3">
        <w:rPr>
          <w:rFonts w:ascii="Arial" w:hAnsi="Arial" w:cs="Arial"/>
          <w:sz w:val="20"/>
          <w:szCs w:val="20"/>
          <w:lang w:val="en-AU"/>
        </w:rPr>
        <w:t xml:space="preserve">an </w:t>
      </w:r>
      <w:r w:rsidR="00986FAA" w:rsidRPr="00787679" w:rsidDel="00C40D4F">
        <w:rPr>
          <w:rFonts w:ascii="Arial" w:hAnsi="Arial" w:cs="Arial"/>
          <w:sz w:val="20"/>
          <w:szCs w:val="20"/>
          <w:lang w:val="en-AU"/>
        </w:rPr>
        <w:t xml:space="preserve">adjacent </w:t>
      </w:r>
      <w:r w:rsidR="002E1AB3">
        <w:rPr>
          <w:rFonts w:ascii="Arial" w:hAnsi="Arial" w:cs="Arial"/>
          <w:sz w:val="20"/>
          <w:szCs w:val="20"/>
          <w:lang w:val="en-AU"/>
        </w:rPr>
        <w:t xml:space="preserve">area </w:t>
      </w:r>
      <w:r w:rsidR="00986FAA" w:rsidRPr="00787679" w:rsidDel="00C40D4F">
        <w:rPr>
          <w:rFonts w:ascii="Arial" w:hAnsi="Arial" w:cs="Arial"/>
          <w:sz w:val="20"/>
          <w:szCs w:val="20"/>
          <w:lang w:val="en-AU"/>
        </w:rPr>
        <w:t>spectrum licence.</w:t>
      </w:r>
      <w:r w:rsidR="00986FAA">
        <w:rPr>
          <w:rFonts w:ascii="Arial" w:hAnsi="Arial" w:cs="Arial"/>
          <w:sz w:val="20"/>
          <w:szCs w:val="20"/>
          <w:lang w:val="en-AU"/>
        </w:rPr>
        <w:t xml:space="preserve"> </w:t>
      </w:r>
      <w:r w:rsidR="009216F8" w:rsidRPr="00787679">
        <w:rPr>
          <w:rFonts w:ascii="Arial" w:hAnsi="Arial" w:cs="Arial"/>
          <w:sz w:val="20"/>
          <w:szCs w:val="20"/>
          <w:lang w:val="en-AU"/>
        </w:rPr>
        <w:t xml:space="preserve">It is noted that </w:t>
      </w:r>
      <w:r w:rsidR="00986FAA">
        <w:rPr>
          <w:rFonts w:ascii="Arial" w:hAnsi="Arial" w:cs="Arial"/>
          <w:sz w:val="20"/>
          <w:szCs w:val="20"/>
          <w:lang w:val="en-AU"/>
        </w:rPr>
        <w:t xml:space="preserve">the Advisory Guidelines do not cover interference caused by </w:t>
      </w:r>
      <w:r w:rsidR="009D25B7">
        <w:rPr>
          <w:rFonts w:ascii="Arial" w:hAnsi="Arial" w:cs="Arial"/>
          <w:sz w:val="20"/>
          <w:szCs w:val="20"/>
          <w:lang w:val="en-AU"/>
        </w:rPr>
        <w:t xml:space="preserve">transmitters operating under an </w:t>
      </w:r>
      <w:r w:rsidR="009216F8" w:rsidRPr="00787679">
        <w:rPr>
          <w:rFonts w:ascii="Arial" w:hAnsi="Arial" w:cs="Arial"/>
          <w:sz w:val="20"/>
          <w:szCs w:val="20"/>
          <w:lang w:val="en-AU"/>
        </w:rPr>
        <w:t>ap</w:t>
      </w:r>
      <w:r w:rsidR="00BB74A1" w:rsidRPr="00787679">
        <w:rPr>
          <w:rFonts w:ascii="Arial" w:hAnsi="Arial" w:cs="Arial"/>
          <w:sz w:val="20"/>
          <w:szCs w:val="20"/>
          <w:lang w:val="en-AU"/>
        </w:rPr>
        <w:t xml:space="preserve">paratus licence </w:t>
      </w:r>
      <w:r w:rsidR="00986FAA">
        <w:rPr>
          <w:rFonts w:ascii="Arial" w:hAnsi="Arial" w:cs="Arial"/>
          <w:sz w:val="20"/>
          <w:szCs w:val="20"/>
          <w:lang w:val="en-AU"/>
        </w:rPr>
        <w:t>that</w:t>
      </w:r>
      <w:r w:rsidR="00BB74A1" w:rsidRPr="00787679">
        <w:rPr>
          <w:rFonts w:ascii="Arial" w:hAnsi="Arial" w:cs="Arial"/>
          <w:sz w:val="20"/>
          <w:szCs w:val="20"/>
          <w:lang w:val="en-AU"/>
        </w:rPr>
        <w:t xml:space="preserve"> w</w:t>
      </w:r>
      <w:r w:rsidR="009D25B7">
        <w:rPr>
          <w:rFonts w:ascii="Arial" w:hAnsi="Arial" w:cs="Arial"/>
          <w:sz w:val="20"/>
          <w:szCs w:val="20"/>
          <w:lang w:val="en-AU"/>
        </w:rPr>
        <w:t>as</w:t>
      </w:r>
      <w:r w:rsidR="00BB74A1" w:rsidRPr="00787679">
        <w:rPr>
          <w:rFonts w:ascii="Arial" w:hAnsi="Arial" w:cs="Arial"/>
          <w:sz w:val="20"/>
          <w:szCs w:val="20"/>
          <w:lang w:val="en-AU"/>
        </w:rPr>
        <w:t xml:space="preserve"> issued </w:t>
      </w:r>
      <w:r w:rsidR="002E1AB3">
        <w:rPr>
          <w:rFonts w:ascii="Arial" w:hAnsi="Arial" w:cs="Arial"/>
          <w:sz w:val="20"/>
          <w:szCs w:val="20"/>
          <w:lang w:val="en-AU"/>
        </w:rPr>
        <w:t>before the</w:t>
      </w:r>
      <w:r w:rsidR="002E1AB3" w:rsidRPr="002E1AB3">
        <w:rPr>
          <w:rFonts w:ascii="Arial" w:hAnsi="Arial" w:cs="Arial"/>
          <w:sz w:val="20"/>
          <w:szCs w:val="20"/>
          <w:lang w:val="en-AU"/>
        </w:rPr>
        <w:t xml:space="preserve"> date on which</w:t>
      </w:r>
      <w:r w:rsidR="002E1AB3">
        <w:rPr>
          <w:rFonts w:ascii="Arial" w:hAnsi="Arial" w:cs="Arial"/>
          <w:sz w:val="20"/>
          <w:szCs w:val="20"/>
          <w:lang w:val="en-AU"/>
        </w:rPr>
        <w:t xml:space="preserve"> the</w:t>
      </w:r>
      <w:r w:rsidR="002E1AB3" w:rsidRPr="002E1AB3">
        <w:rPr>
          <w:rFonts w:ascii="Arial" w:hAnsi="Arial" w:cs="Arial"/>
          <w:sz w:val="20"/>
          <w:szCs w:val="20"/>
          <w:lang w:val="en-AU"/>
        </w:rPr>
        <w:t xml:space="preserve"> </w:t>
      </w:r>
      <w:r w:rsidR="002E1AB3">
        <w:rPr>
          <w:rFonts w:ascii="Arial" w:hAnsi="Arial" w:cs="Arial"/>
          <w:sz w:val="20"/>
          <w:szCs w:val="20"/>
          <w:lang w:val="en-AU"/>
        </w:rPr>
        <w:t>Advisory G</w:t>
      </w:r>
      <w:r w:rsidR="002E1AB3" w:rsidRPr="00FF7AB9">
        <w:rPr>
          <w:rFonts w:ascii="Arial" w:hAnsi="Arial" w:cs="Arial"/>
          <w:sz w:val="20"/>
          <w:szCs w:val="20"/>
          <w:lang w:val="en-AU"/>
        </w:rPr>
        <w:t>uideline</w:t>
      </w:r>
      <w:r w:rsidR="002E1AB3">
        <w:rPr>
          <w:rFonts w:ascii="Arial" w:hAnsi="Arial" w:cs="Arial"/>
          <w:sz w:val="20"/>
          <w:szCs w:val="20"/>
          <w:lang w:val="en-AU"/>
        </w:rPr>
        <w:t>s</w:t>
      </w:r>
      <w:r w:rsidR="002E1AB3" w:rsidRPr="002E1AB3">
        <w:rPr>
          <w:rFonts w:ascii="Arial" w:hAnsi="Arial" w:cs="Arial"/>
          <w:sz w:val="20"/>
          <w:szCs w:val="20"/>
          <w:lang w:val="en-AU"/>
        </w:rPr>
        <w:t xml:space="preserve"> commence</w:t>
      </w:r>
      <w:r w:rsidR="00BB74A1" w:rsidRPr="00787679">
        <w:rPr>
          <w:rFonts w:ascii="Arial" w:hAnsi="Arial" w:cs="Arial"/>
          <w:sz w:val="20"/>
          <w:szCs w:val="20"/>
          <w:lang w:val="en-AU"/>
        </w:rPr>
        <w:t>.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5B31FD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S</w:t>
      </w:r>
      <w:r w:rsidR="00B94910">
        <w:rPr>
          <w:rFonts w:ascii="Arial" w:hAnsi="Arial" w:cs="Arial"/>
          <w:sz w:val="20"/>
          <w:szCs w:val="20"/>
          <w:lang w:val="en-AU"/>
        </w:rPr>
        <w:t>ubs</w:t>
      </w:r>
      <w:r>
        <w:rPr>
          <w:rFonts w:ascii="Arial" w:hAnsi="Arial" w:cs="Arial"/>
          <w:sz w:val="20"/>
          <w:szCs w:val="20"/>
          <w:lang w:val="en-AU"/>
        </w:rPr>
        <w:t>ection 2.1</w:t>
      </w:r>
      <w:r w:rsidR="00B94910">
        <w:rPr>
          <w:rFonts w:ascii="Arial" w:hAnsi="Arial" w:cs="Arial"/>
          <w:sz w:val="20"/>
          <w:szCs w:val="20"/>
          <w:lang w:val="en-AU"/>
        </w:rPr>
        <w:t xml:space="preserve">(4) provides that the interference management </w:t>
      </w:r>
      <w:r w:rsidR="00934D14">
        <w:rPr>
          <w:rFonts w:ascii="Arial" w:hAnsi="Arial" w:cs="Arial"/>
          <w:sz w:val="20"/>
          <w:szCs w:val="20"/>
          <w:lang w:val="en-AU"/>
        </w:rPr>
        <w:t>framework for class licensed transmitters is</w:t>
      </w:r>
      <w:r w:rsidR="00B94910">
        <w:rPr>
          <w:rFonts w:ascii="Arial" w:hAnsi="Arial" w:cs="Arial"/>
          <w:sz w:val="20"/>
          <w:szCs w:val="20"/>
          <w:lang w:val="en-AU"/>
        </w:rPr>
        <w:t xml:space="preserve"> contained in the class licence. </w:t>
      </w:r>
      <w:r w:rsidR="00955E9C">
        <w:rPr>
          <w:rFonts w:ascii="Arial" w:hAnsi="Arial" w:cs="Arial"/>
          <w:sz w:val="20"/>
          <w:szCs w:val="20"/>
          <w:lang w:val="en-AU"/>
        </w:rPr>
        <w:t>Class licensed transmitters</w:t>
      </w:r>
      <w:r w:rsidR="00B94910">
        <w:rPr>
          <w:rFonts w:ascii="Arial" w:hAnsi="Arial" w:cs="Arial"/>
          <w:sz w:val="20"/>
          <w:szCs w:val="20"/>
          <w:lang w:val="en-AU"/>
        </w:rPr>
        <w:t xml:space="preserve"> operating in accordance with the conditions of </w:t>
      </w:r>
      <w:r w:rsidR="00955E9C">
        <w:rPr>
          <w:rFonts w:ascii="Arial" w:hAnsi="Arial" w:cs="Arial"/>
          <w:sz w:val="20"/>
          <w:szCs w:val="20"/>
          <w:lang w:val="en-AU"/>
        </w:rPr>
        <w:t>the</w:t>
      </w:r>
      <w:r w:rsidR="00B94910">
        <w:rPr>
          <w:rFonts w:ascii="Arial" w:hAnsi="Arial" w:cs="Arial"/>
          <w:sz w:val="20"/>
          <w:szCs w:val="20"/>
          <w:lang w:val="en-AU"/>
        </w:rPr>
        <w:t xml:space="preserve"> licence will not generally be considered to cause </w:t>
      </w:r>
      <w:r w:rsidR="00955E9C">
        <w:rPr>
          <w:rFonts w:ascii="Arial" w:hAnsi="Arial" w:cs="Arial"/>
          <w:sz w:val="20"/>
          <w:szCs w:val="20"/>
          <w:lang w:val="en-AU"/>
        </w:rPr>
        <w:t>interference to a spectrum licensed receiver operating in the 2.3 GHz band</w:t>
      </w:r>
      <w:r w:rsidR="00C40D4F">
        <w:rPr>
          <w:rFonts w:ascii="Arial" w:hAnsi="Arial" w:cs="Arial"/>
          <w:sz w:val="20"/>
          <w:szCs w:val="20"/>
          <w:lang w:val="en-AU"/>
        </w:rPr>
        <w:t>.</w:t>
      </w:r>
    </w:p>
    <w:p w:rsidR="004109FD" w:rsidRDefault="004109F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109FD" w:rsidRDefault="00D01A58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Section 2.2 – Out-of-band</w:t>
      </w:r>
      <w:r w:rsidR="009859B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interference</w:t>
      </w:r>
    </w:p>
    <w:p w:rsidR="004109FD" w:rsidRDefault="00370393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>This section sets out what constitutes out-of-band interference in</w:t>
      </w:r>
      <w:r w:rsidR="00A139DE">
        <w:rPr>
          <w:rFonts w:ascii="Arial" w:hAnsi="Arial" w:cs="Arial"/>
          <w:sz w:val="20"/>
          <w:szCs w:val="20"/>
          <w:lang w:val="en-AU"/>
        </w:rPr>
        <w:t xml:space="preserve"> a radiocommunications receiver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operated under a spectrum-licence.  Out-of-band interference can occur </w:t>
      </w:r>
      <w:r w:rsidR="00C40D4F">
        <w:rPr>
          <w:rFonts w:ascii="Arial" w:hAnsi="Arial" w:cs="Arial"/>
          <w:sz w:val="20"/>
          <w:szCs w:val="20"/>
          <w:lang w:val="en-AU"/>
        </w:rPr>
        <w:t xml:space="preserve">under a number of circumstances </w:t>
      </w:r>
      <w:r w:rsidR="00955E9C">
        <w:rPr>
          <w:rFonts w:ascii="Arial" w:hAnsi="Arial" w:cs="Arial"/>
          <w:sz w:val="20"/>
          <w:szCs w:val="20"/>
          <w:lang w:val="en-AU"/>
        </w:rPr>
        <w:t>and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="00955E9C">
        <w:rPr>
          <w:rFonts w:ascii="Arial" w:hAnsi="Arial" w:cs="Arial"/>
          <w:sz w:val="20"/>
          <w:szCs w:val="20"/>
          <w:lang w:val="en-AU"/>
        </w:rPr>
        <w:t>may be caused by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intermodulation products, harmonic signals, parasitic signals or other spurious signals generated </w:t>
      </w:r>
      <w:r w:rsidR="00C40D4F">
        <w:rPr>
          <w:rFonts w:ascii="Arial" w:hAnsi="Arial" w:cs="Arial"/>
          <w:sz w:val="20"/>
          <w:szCs w:val="20"/>
          <w:lang w:val="en-AU"/>
        </w:rPr>
        <w:t>internally to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the radiocommunications receiver.</w:t>
      </w:r>
      <w:r w:rsidR="00955E9C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 xml:space="preserve">Out-of-band interference </w:t>
      </w:r>
      <w:r w:rsidRPr="00FF7AB9">
        <w:rPr>
          <w:rFonts w:ascii="Arial" w:hAnsi="Arial" w:cs="Arial"/>
          <w:sz w:val="20"/>
          <w:szCs w:val="20"/>
          <w:lang w:val="en-AU"/>
        </w:rPr>
        <w:t>may also extend for significant frequency separations on either side of a spectrum licence and its severity may depend on the quality of the radiocommunications receiver.</w:t>
      </w:r>
      <w:r>
        <w:rPr>
          <w:rFonts w:ascii="Arial" w:hAnsi="Arial" w:cs="Arial"/>
          <w:sz w:val="20"/>
          <w:szCs w:val="20"/>
          <w:lang w:val="en-AU"/>
        </w:rPr>
        <w:t xml:space="preserve">  For these reasons</w:t>
      </w:r>
      <w:r w:rsidR="00A139DE">
        <w:rPr>
          <w:rFonts w:ascii="Arial" w:hAnsi="Arial" w:cs="Arial"/>
          <w:sz w:val="20"/>
          <w:szCs w:val="20"/>
          <w:lang w:val="en-AU"/>
        </w:rPr>
        <w:t>,</w:t>
      </w:r>
      <w:r>
        <w:rPr>
          <w:rFonts w:ascii="Arial" w:hAnsi="Arial" w:cs="Arial"/>
          <w:sz w:val="20"/>
          <w:szCs w:val="20"/>
          <w:lang w:val="en-AU"/>
        </w:rPr>
        <w:t xml:space="preserve"> o</w:t>
      </w:r>
      <w:r w:rsidRPr="00FF7AB9">
        <w:rPr>
          <w:rFonts w:ascii="Arial" w:hAnsi="Arial" w:cs="Arial"/>
          <w:sz w:val="20"/>
          <w:szCs w:val="20"/>
          <w:lang w:val="en-AU"/>
        </w:rPr>
        <w:t>ut-of-band interference is managed through the definition of a notional receiver performance level and a compatibility requirement for coordination with apparatus</w:t>
      </w:r>
      <w:r w:rsidR="001D41EE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>licensed services</w:t>
      </w:r>
      <w:r w:rsidR="00955E9C">
        <w:rPr>
          <w:rFonts w:ascii="Arial" w:hAnsi="Arial" w:cs="Arial"/>
          <w:sz w:val="20"/>
          <w:szCs w:val="20"/>
          <w:lang w:val="en-AU"/>
        </w:rPr>
        <w:t xml:space="preserve"> (set out in Part 4 of the Advisory Guidelines)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.  </w:t>
      </w:r>
      <w:r>
        <w:rPr>
          <w:rFonts w:ascii="Arial" w:hAnsi="Arial" w:cs="Arial"/>
          <w:sz w:val="20"/>
          <w:szCs w:val="20"/>
          <w:lang w:val="en-AU"/>
        </w:rPr>
        <w:t>The use of a performance standard for spectrum</w:t>
      </w:r>
      <w:r w:rsidR="001D41EE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 xml:space="preserve">licensed receivers ensures that the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burden of </w:t>
      </w:r>
      <w:r>
        <w:rPr>
          <w:rFonts w:ascii="Arial" w:hAnsi="Arial" w:cs="Arial"/>
          <w:sz w:val="20"/>
          <w:szCs w:val="20"/>
          <w:lang w:val="en-AU"/>
        </w:rPr>
        <w:t xml:space="preserve">mitigating </w:t>
      </w:r>
      <w:r w:rsidRPr="00FF7AB9">
        <w:rPr>
          <w:rFonts w:ascii="Arial" w:hAnsi="Arial" w:cs="Arial"/>
          <w:sz w:val="20"/>
          <w:szCs w:val="20"/>
          <w:lang w:val="en-AU"/>
        </w:rPr>
        <w:t>interference is not solely placed on the transmitter side.</w:t>
      </w:r>
    </w:p>
    <w:p w:rsidR="004109FD" w:rsidRDefault="004109F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109FD" w:rsidRDefault="00D01A58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Section </w:t>
      </w:r>
      <w:r w:rsidR="00112BE2">
        <w:rPr>
          <w:rFonts w:ascii="Arial" w:hAnsi="Arial" w:cs="Arial"/>
          <w:b/>
          <w:color w:val="000000"/>
          <w:sz w:val="20"/>
          <w:szCs w:val="20"/>
        </w:rPr>
        <w:t>2.3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Pr="00D01A58">
        <w:rPr>
          <w:rFonts w:ascii="Arial" w:hAnsi="Arial" w:cs="Arial"/>
          <w:b/>
          <w:color w:val="000000"/>
          <w:sz w:val="20"/>
          <w:szCs w:val="20"/>
        </w:rPr>
        <w:t xml:space="preserve">Recording radiocommunications receiver details in the </w:t>
      </w:r>
      <w:r w:rsidR="00A139DE">
        <w:rPr>
          <w:rFonts w:ascii="Arial" w:hAnsi="Arial" w:cs="Arial"/>
          <w:b/>
          <w:sz w:val="20"/>
          <w:szCs w:val="20"/>
          <w:lang w:val="en-AU"/>
        </w:rPr>
        <w:t>Register</w:t>
      </w:r>
    </w:p>
    <w:p w:rsidR="004109FD" w:rsidRDefault="00370393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This section </w:t>
      </w:r>
      <w:r w:rsidR="00955E9C">
        <w:rPr>
          <w:rFonts w:ascii="Arial" w:hAnsi="Arial" w:cs="Arial"/>
          <w:sz w:val="20"/>
          <w:szCs w:val="20"/>
          <w:lang w:val="en-AU"/>
        </w:rPr>
        <w:t>provides</w:t>
      </w:r>
      <w:r w:rsidR="00955E9C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that </w:t>
      </w:r>
      <w:r w:rsidR="00A139DE">
        <w:rPr>
          <w:rFonts w:ascii="Arial" w:hAnsi="Arial" w:cs="Arial"/>
          <w:sz w:val="20"/>
          <w:szCs w:val="20"/>
          <w:lang w:val="en-AU"/>
        </w:rPr>
        <w:t xml:space="preserve">in order for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a radiocommunications receiver </w:t>
      </w:r>
      <w:r w:rsidR="00E42EFF">
        <w:rPr>
          <w:rFonts w:ascii="Arial" w:hAnsi="Arial" w:cs="Arial"/>
          <w:sz w:val="20"/>
          <w:szCs w:val="20"/>
          <w:lang w:val="en-AU"/>
        </w:rPr>
        <w:t xml:space="preserve">operating under a spectrum licence </w:t>
      </w:r>
      <w:r w:rsidR="00A139DE" w:rsidRPr="00FF7AB9">
        <w:rPr>
          <w:rFonts w:ascii="Arial" w:hAnsi="Arial" w:cs="Arial"/>
          <w:sz w:val="20"/>
          <w:szCs w:val="20"/>
          <w:lang w:val="en-AU"/>
        </w:rPr>
        <w:t xml:space="preserve">to be afforded protection from </w:t>
      </w:r>
      <w:r w:rsidR="00A139DE">
        <w:rPr>
          <w:rFonts w:ascii="Arial" w:hAnsi="Arial" w:cs="Arial"/>
          <w:sz w:val="20"/>
          <w:szCs w:val="20"/>
          <w:lang w:val="en-AU"/>
        </w:rPr>
        <w:t>interference</w:t>
      </w:r>
      <w:r w:rsidR="001D41EE">
        <w:rPr>
          <w:rFonts w:ascii="Arial" w:hAnsi="Arial" w:cs="Arial"/>
          <w:sz w:val="20"/>
          <w:szCs w:val="20"/>
          <w:lang w:val="en-AU"/>
        </w:rPr>
        <w:t xml:space="preserve"> under the Advisory Guidelines</w:t>
      </w:r>
      <w:r w:rsidR="00A139DE">
        <w:rPr>
          <w:rFonts w:ascii="Arial" w:hAnsi="Arial" w:cs="Arial"/>
          <w:sz w:val="20"/>
          <w:szCs w:val="20"/>
          <w:lang w:val="en-AU"/>
        </w:rPr>
        <w:t xml:space="preserve">, details of the receiver must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be </w:t>
      </w:r>
      <w:r w:rsidR="00A139DE">
        <w:rPr>
          <w:rFonts w:ascii="Arial" w:hAnsi="Arial" w:cs="Arial"/>
          <w:sz w:val="20"/>
          <w:szCs w:val="20"/>
          <w:lang w:val="en-AU"/>
        </w:rPr>
        <w:t>recorded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in the </w:t>
      </w:r>
      <w:r w:rsidR="009859BF">
        <w:rPr>
          <w:rFonts w:ascii="Arial" w:hAnsi="Arial" w:cs="Arial"/>
          <w:sz w:val="20"/>
          <w:szCs w:val="20"/>
          <w:lang w:val="en-AU"/>
        </w:rPr>
        <w:t>r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egister of </w:t>
      </w:r>
      <w:r w:rsidR="009859BF">
        <w:rPr>
          <w:rFonts w:ascii="Arial" w:hAnsi="Arial" w:cs="Arial"/>
          <w:sz w:val="20"/>
          <w:szCs w:val="20"/>
          <w:lang w:val="en-AU"/>
        </w:rPr>
        <w:t>r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adiocommunications </w:t>
      </w:r>
      <w:r w:rsidR="009859BF">
        <w:rPr>
          <w:rFonts w:ascii="Arial" w:hAnsi="Arial" w:cs="Arial"/>
          <w:sz w:val="20"/>
          <w:szCs w:val="20"/>
          <w:lang w:val="en-AU"/>
        </w:rPr>
        <w:t>l</w:t>
      </w:r>
      <w:r w:rsidRPr="00FF7AB9">
        <w:rPr>
          <w:rFonts w:ascii="Arial" w:hAnsi="Arial" w:cs="Arial"/>
          <w:sz w:val="20"/>
          <w:szCs w:val="20"/>
          <w:lang w:val="en-AU"/>
        </w:rPr>
        <w:t>icences</w:t>
      </w:r>
      <w:r w:rsidR="009859BF">
        <w:rPr>
          <w:rFonts w:ascii="Arial" w:hAnsi="Arial" w:cs="Arial"/>
          <w:sz w:val="20"/>
          <w:szCs w:val="20"/>
          <w:lang w:val="en-AU"/>
        </w:rPr>
        <w:t xml:space="preserve"> </w:t>
      </w:r>
      <w:r w:rsidR="00E42EFF">
        <w:rPr>
          <w:rFonts w:ascii="Arial" w:hAnsi="Arial" w:cs="Arial"/>
          <w:sz w:val="20"/>
          <w:szCs w:val="20"/>
          <w:lang w:val="en-AU"/>
        </w:rPr>
        <w:t>(</w:t>
      </w:r>
      <w:r w:rsidR="00BC0788" w:rsidRPr="00BC0788">
        <w:rPr>
          <w:rFonts w:ascii="Arial" w:hAnsi="Arial" w:cs="Arial"/>
          <w:b/>
          <w:sz w:val="20"/>
          <w:szCs w:val="20"/>
          <w:lang w:val="en-AU"/>
        </w:rPr>
        <w:t>the Register</w:t>
      </w:r>
      <w:r w:rsidR="00E42EFF">
        <w:rPr>
          <w:rFonts w:ascii="Arial" w:hAnsi="Arial" w:cs="Arial"/>
          <w:sz w:val="20"/>
          <w:szCs w:val="20"/>
          <w:lang w:val="en-AU"/>
        </w:rPr>
        <w:t>)</w:t>
      </w:r>
      <w:r w:rsidR="00955E9C">
        <w:rPr>
          <w:rFonts w:ascii="Arial" w:hAnsi="Arial" w:cs="Arial"/>
          <w:sz w:val="20"/>
          <w:szCs w:val="20"/>
          <w:lang w:val="en-AU"/>
        </w:rPr>
        <w:t xml:space="preserve"> established under section 143 of the Act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.  </w:t>
      </w:r>
    </w:p>
    <w:p w:rsidR="004109FD" w:rsidRDefault="004109F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109FD" w:rsidRDefault="00D01A58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Section </w:t>
      </w:r>
      <w:r w:rsidR="00112BE2">
        <w:rPr>
          <w:rFonts w:ascii="Arial" w:hAnsi="Arial" w:cs="Arial"/>
          <w:b/>
          <w:color w:val="000000"/>
          <w:sz w:val="20"/>
          <w:szCs w:val="20"/>
        </w:rPr>
        <w:t>2</w:t>
      </w:r>
      <w:r w:rsidR="000E7520">
        <w:rPr>
          <w:rFonts w:ascii="Arial" w:hAnsi="Arial" w:cs="Arial"/>
          <w:b/>
          <w:color w:val="000000"/>
          <w:sz w:val="20"/>
          <w:szCs w:val="20"/>
        </w:rPr>
        <w:t>.</w:t>
      </w:r>
      <w:r w:rsidR="00112BE2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– Mobile</w:t>
      </w:r>
      <w:r w:rsidR="000E7520">
        <w:rPr>
          <w:rFonts w:ascii="Arial" w:hAnsi="Arial" w:cs="Arial"/>
          <w:b/>
          <w:color w:val="000000"/>
          <w:sz w:val="20"/>
          <w:szCs w:val="20"/>
        </w:rPr>
        <w:t xml:space="preserve"> and nomadic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devices</w:t>
      </w:r>
    </w:p>
    <w:p w:rsidR="004109FD" w:rsidRDefault="00370393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This section </w:t>
      </w:r>
      <w:r w:rsidR="000E7520">
        <w:rPr>
          <w:rFonts w:ascii="Arial" w:hAnsi="Arial" w:cs="Arial"/>
          <w:sz w:val="20"/>
          <w:szCs w:val="20"/>
          <w:lang w:val="en-AU"/>
        </w:rPr>
        <w:t>specifies that the compatibility requirement (specified in Part 4) does not apply to mobile or nomadic devices due to their transient nature.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112BE2">
      <w:pPr>
        <w:jc w:val="both"/>
        <w:rPr>
          <w:rFonts w:ascii="Arial" w:hAnsi="Arial" w:cs="Arial"/>
          <w:b/>
          <w:sz w:val="20"/>
          <w:szCs w:val="20"/>
        </w:rPr>
      </w:pPr>
      <w:r w:rsidRPr="00EA312C">
        <w:rPr>
          <w:rFonts w:ascii="Arial" w:hAnsi="Arial" w:cs="Arial"/>
          <w:b/>
          <w:sz w:val="20"/>
          <w:szCs w:val="20"/>
        </w:rPr>
        <w:t>Part 3</w:t>
      </w:r>
      <w:r w:rsidRPr="00EA312C">
        <w:rPr>
          <w:rFonts w:ascii="Arial" w:hAnsi="Arial" w:cs="Arial"/>
          <w:b/>
          <w:sz w:val="20"/>
          <w:szCs w:val="20"/>
        </w:rPr>
        <w:tab/>
      </w:r>
      <w:r w:rsidRPr="00EA312C">
        <w:rPr>
          <w:rFonts w:ascii="Arial" w:hAnsi="Arial" w:cs="Arial"/>
          <w:b/>
          <w:sz w:val="20"/>
          <w:szCs w:val="20"/>
        </w:rPr>
        <w:tab/>
        <w:t>Minimum level of receiver performance</w:t>
      </w:r>
    </w:p>
    <w:p w:rsidR="004109FD" w:rsidRDefault="004109F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109FD" w:rsidRDefault="00E250D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Section </w:t>
      </w:r>
      <w:r w:rsidR="00D01A58">
        <w:rPr>
          <w:rFonts w:ascii="Arial" w:hAnsi="Arial" w:cs="Arial"/>
          <w:b/>
          <w:color w:val="000000"/>
          <w:sz w:val="20"/>
          <w:szCs w:val="20"/>
        </w:rPr>
        <w:t>3.</w:t>
      </w:r>
      <w:r w:rsidR="001D41EE">
        <w:rPr>
          <w:rFonts w:ascii="Arial" w:hAnsi="Arial" w:cs="Arial"/>
          <w:b/>
          <w:color w:val="000000"/>
          <w:sz w:val="20"/>
          <w:szCs w:val="20"/>
        </w:rPr>
        <w:t>1</w:t>
      </w:r>
      <w:r w:rsidR="00D01A58">
        <w:rPr>
          <w:rFonts w:ascii="Arial" w:hAnsi="Arial" w:cs="Arial"/>
          <w:b/>
          <w:color w:val="000000"/>
          <w:sz w:val="20"/>
          <w:szCs w:val="20"/>
        </w:rPr>
        <w:t xml:space="preserve"> – Notional </w:t>
      </w:r>
      <w:r w:rsidR="009859BF">
        <w:rPr>
          <w:rFonts w:ascii="Arial" w:hAnsi="Arial" w:cs="Arial"/>
          <w:b/>
          <w:color w:val="000000"/>
          <w:sz w:val="20"/>
          <w:szCs w:val="20"/>
        </w:rPr>
        <w:t>r</w:t>
      </w:r>
      <w:r w:rsidR="00D01A58">
        <w:rPr>
          <w:rFonts w:ascii="Arial" w:hAnsi="Arial" w:cs="Arial"/>
          <w:b/>
          <w:color w:val="000000"/>
          <w:sz w:val="20"/>
          <w:szCs w:val="20"/>
        </w:rPr>
        <w:t xml:space="preserve">eceiver </w:t>
      </w:r>
      <w:r w:rsidR="009859BF">
        <w:rPr>
          <w:rFonts w:ascii="Arial" w:hAnsi="Arial" w:cs="Arial"/>
          <w:b/>
          <w:color w:val="000000"/>
          <w:sz w:val="20"/>
          <w:szCs w:val="20"/>
        </w:rPr>
        <w:t>p</w:t>
      </w:r>
      <w:r w:rsidR="00D01A58">
        <w:rPr>
          <w:rFonts w:ascii="Arial" w:hAnsi="Arial" w:cs="Arial"/>
          <w:b/>
          <w:color w:val="000000"/>
          <w:sz w:val="20"/>
          <w:szCs w:val="20"/>
        </w:rPr>
        <w:t>erformance</w:t>
      </w:r>
    </w:p>
    <w:p w:rsidR="004109FD" w:rsidRDefault="00370393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This section explains the basis for definition of the </w:t>
      </w:r>
      <w:r w:rsidR="00F831F6">
        <w:rPr>
          <w:rFonts w:ascii="Arial" w:hAnsi="Arial" w:cs="Arial"/>
          <w:sz w:val="20"/>
          <w:szCs w:val="20"/>
          <w:lang w:val="en-AU"/>
        </w:rPr>
        <w:t>n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otional </w:t>
      </w:r>
      <w:r w:rsidR="00F831F6">
        <w:rPr>
          <w:rFonts w:ascii="Arial" w:hAnsi="Arial" w:cs="Arial"/>
          <w:sz w:val="20"/>
          <w:szCs w:val="20"/>
          <w:lang w:val="en-AU"/>
        </w:rPr>
        <w:t>r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eceiver </w:t>
      </w:r>
      <w:r w:rsidR="00F831F6">
        <w:rPr>
          <w:rFonts w:ascii="Arial" w:hAnsi="Arial" w:cs="Arial"/>
          <w:sz w:val="20"/>
          <w:szCs w:val="20"/>
          <w:lang w:val="en-AU"/>
        </w:rPr>
        <w:t>p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erformance </w:t>
      </w:r>
      <w:r w:rsidR="00CB4B61">
        <w:rPr>
          <w:rFonts w:ascii="Arial" w:hAnsi="Arial" w:cs="Arial"/>
          <w:sz w:val="20"/>
          <w:szCs w:val="20"/>
          <w:lang w:val="en-AU"/>
        </w:rPr>
        <w:t>l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evel.  The degree of interference seen in a </w:t>
      </w:r>
      <w:r w:rsidR="001D41EE"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receiver is dependent on the </w:t>
      </w:r>
      <w:r w:rsidR="00E63FFA">
        <w:rPr>
          <w:rFonts w:ascii="Arial" w:hAnsi="Arial" w:cs="Arial"/>
          <w:sz w:val="20"/>
          <w:szCs w:val="20"/>
          <w:lang w:val="en-AU"/>
        </w:rPr>
        <w:t xml:space="preserve">nature of the emissions from a </w:t>
      </w:r>
      <w:r w:rsidR="001D41EE"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 w:rsidR="00E63FFA">
        <w:rPr>
          <w:rFonts w:ascii="Arial" w:hAnsi="Arial" w:cs="Arial"/>
          <w:sz w:val="20"/>
          <w:szCs w:val="20"/>
          <w:lang w:val="en-AU"/>
        </w:rPr>
        <w:t>transmitter as well as the performance</w:t>
      </w:r>
      <w:r w:rsidR="00E63FFA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>of the receiver</w:t>
      </w:r>
      <w:r w:rsidR="00E63FFA">
        <w:rPr>
          <w:rFonts w:ascii="Arial" w:hAnsi="Arial" w:cs="Arial"/>
          <w:sz w:val="20"/>
          <w:szCs w:val="20"/>
          <w:lang w:val="en-AU"/>
        </w:rPr>
        <w:t>.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="00E63FFA">
        <w:rPr>
          <w:rFonts w:ascii="Arial" w:hAnsi="Arial" w:cs="Arial"/>
          <w:sz w:val="20"/>
          <w:szCs w:val="20"/>
          <w:lang w:val="en-AU"/>
        </w:rPr>
        <w:t>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missions from transmitters should not have to be reduced below a point where the performance of a receiver is </w:t>
      </w:r>
      <w:r w:rsidR="00091A07">
        <w:rPr>
          <w:rFonts w:ascii="Arial" w:hAnsi="Arial" w:cs="Arial"/>
          <w:sz w:val="20"/>
          <w:szCs w:val="20"/>
          <w:lang w:val="en-AU"/>
        </w:rPr>
        <w:t>the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problem.  </w:t>
      </w:r>
      <w:r w:rsidR="000A59BE">
        <w:rPr>
          <w:rFonts w:ascii="Arial" w:hAnsi="Arial" w:cs="Arial"/>
          <w:sz w:val="20"/>
          <w:szCs w:val="20"/>
          <w:lang w:val="en-AU"/>
        </w:rPr>
        <w:t>A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registered </w:t>
      </w:r>
      <w:r w:rsidR="001D41EE">
        <w:rPr>
          <w:rFonts w:ascii="Arial" w:hAnsi="Arial" w:cs="Arial"/>
          <w:sz w:val="20"/>
          <w:szCs w:val="20"/>
          <w:lang w:val="en-AU"/>
        </w:rPr>
        <w:t>radiocommunications</w:t>
      </w:r>
      <w:r w:rsidR="001D41EE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receiver </w:t>
      </w:r>
      <w:r w:rsidR="000A59BE">
        <w:rPr>
          <w:rFonts w:ascii="Arial" w:hAnsi="Arial" w:cs="Arial"/>
          <w:sz w:val="20"/>
          <w:szCs w:val="20"/>
          <w:lang w:val="en-AU"/>
        </w:rPr>
        <w:t>must</w:t>
      </w:r>
      <w:r w:rsidR="000A59BE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meet the </w:t>
      </w:r>
      <w:r w:rsidR="00F831F6">
        <w:rPr>
          <w:rFonts w:ascii="Arial" w:hAnsi="Arial" w:cs="Arial"/>
          <w:sz w:val="20"/>
          <w:szCs w:val="20"/>
          <w:lang w:val="en-AU"/>
        </w:rPr>
        <w:t>n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otional </w:t>
      </w:r>
      <w:r w:rsidR="00F831F6">
        <w:rPr>
          <w:rFonts w:ascii="Arial" w:hAnsi="Arial" w:cs="Arial"/>
          <w:sz w:val="20"/>
          <w:szCs w:val="20"/>
          <w:lang w:val="en-AU"/>
        </w:rPr>
        <w:t>r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eceiver </w:t>
      </w:r>
      <w:r w:rsidR="00F831F6">
        <w:rPr>
          <w:rFonts w:ascii="Arial" w:hAnsi="Arial" w:cs="Arial"/>
          <w:sz w:val="20"/>
          <w:szCs w:val="20"/>
          <w:lang w:val="en-AU"/>
        </w:rPr>
        <w:t>p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erformance </w:t>
      </w:r>
      <w:r w:rsidR="00F831F6">
        <w:rPr>
          <w:rFonts w:ascii="Arial" w:hAnsi="Arial" w:cs="Arial"/>
          <w:sz w:val="20"/>
          <w:szCs w:val="20"/>
          <w:lang w:val="en-AU"/>
        </w:rPr>
        <w:t>l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evel </w:t>
      </w:r>
      <w:r w:rsidR="001D41EE">
        <w:rPr>
          <w:rFonts w:ascii="Arial" w:hAnsi="Arial" w:cs="Arial"/>
          <w:sz w:val="20"/>
          <w:szCs w:val="20"/>
          <w:lang w:val="en-AU"/>
        </w:rPr>
        <w:t xml:space="preserve">set out in Schedule 1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in order to obtain protection </w:t>
      </w:r>
      <w:r w:rsidR="000A59BE">
        <w:rPr>
          <w:rFonts w:ascii="Arial" w:hAnsi="Arial" w:cs="Arial"/>
          <w:sz w:val="20"/>
          <w:szCs w:val="20"/>
          <w:lang w:val="en-AU"/>
        </w:rPr>
        <w:t>under</w:t>
      </w:r>
      <w:r w:rsidR="00FF7920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>th</w:t>
      </w:r>
      <w:r w:rsidR="001D41EE">
        <w:rPr>
          <w:rFonts w:ascii="Arial" w:hAnsi="Arial" w:cs="Arial"/>
          <w:sz w:val="20"/>
          <w:szCs w:val="20"/>
          <w:lang w:val="en-AU"/>
        </w:rPr>
        <w:t>e</w:t>
      </w:r>
      <w:r w:rsidR="00F831F6">
        <w:rPr>
          <w:rFonts w:ascii="Arial" w:hAnsi="Arial" w:cs="Arial"/>
          <w:sz w:val="20"/>
          <w:szCs w:val="20"/>
          <w:lang w:val="en-AU"/>
        </w:rPr>
        <w:t xml:space="preserve"> </w:t>
      </w:r>
      <w:r w:rsidR="00FF7920">
        <w:rPr>
          <w:rFonts w:ascii="Arial" w:hAnsi="Arial" w:cs="Arial"/>
          <w:sz w:val="20"/>
          <w:szCs w:val="20"/>
          <w:lang w:val="en-AU"/>
        </w:rPr>
        <w:t>Advisory</w:t>
      </w:r>
      <w:r w:rsidR="00FF7920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="00FF7920">
        <w:rPr>
          <w:rFonts w:ascii="Arial" w:hAnsi="Arial" w:cs="Arial"/>
          <w:sz w:val="20"/>
          <w:szCs w:val="20"/>
          <w:lang w:val="en-AU"/>
        </w:rPr>
        <w:t>G</w:t>
      </w:r>
      <w:r w:rsidRPr="00FF7AB9">
        <w:rPr>
          <w:rFonts w:ascii="Arial" w:hAnsi="Arial" w:cs="Arial"/>
          <w:sz w:val="20"/>
          <w:szCs w:val="20"/>
          <w:lang w:val="en-AU"/>
        </w:rPr>
        <w:t>uideline</w:t>
      </w:r>
      <w:r w:rsidR="001D41EE">
        <w:rPr>
          <w:rFonts w:ascii="Arial" w:hAnsi="Arial" w:cs="Arial"/>
          <w:sz w:val="20"/>
          <w:szCs w:val="20"/>
          <w:lang w:val="en-AU"/>
        </w:rPr>
        <w:t>s</w:t>
      </w:r>
      <w:r w:rsidRPr="00FF7AB9">
        <w:rPr>
          <w:rFonts w:ascii="Arial" w:hAnsi="Arial" w:cs="Arial"/>
          <w:sz w:val="20"/>
          <w:szCs w:val="20"/>
          <w:lang w:val="en-AU"/>
        </w:rPr>
        <w:t>.</w:t>
      </w:r>
      <w:r w:rsidR="00091A07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7A23D2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lastRenderedPageBreak/>
        <w:t>T</w:t>
      </w:r>
      <w:r w:rsidR="00091A07">
        <w:rPr>
          <w:rFonts w:ascii="Arial" w:hAnsi="Arial" w:cs="Arial"/>
          <w:sz w:val="20"/>
          <w:szCs w:val="20"/>
          <w:lang w:val="en-AU"/>
        </w:rPr>
        <w:t>he compatibility requirement described in Part 4 of the Advisory Guidelines is based on a system that performs to this level or better. In order to gain the full benefits, a receiver should meet or exceed the notional receiver performance</w:t>
      </w:r>
      <w:r w:rsidR="000A59BE">
        <w:rPr>
          <w:rFonts w:ascii="Arial" w:hAnsi="Arial" w:cs="Arial"/>
          <w:sz w:val="20"/>
          <w:szCs w:val="20"/>
          <w:lang w:val="en-AU"/>
        </w:rPr>
        <w:t xml:space="preserve"> level and must do so if it is to be afforded protection under the Advisory Guidelines</w:t>
      </w:r>
      <w:r w:rsidR="00091A07">
        <w:rPr>
          <w:rFonts w:ascii="Arial" w:hAnsi="Arial" w:cs="Arial"/>
          <w:sz w:val="20"/>
          <w:szCs w:val="20"/>
          <w:lang w:val="en-AU"/>
        </w:rPr>
        <w:t>. Also when assessing interference, the ACMA will assume receivers perform to the levels specified</w:t>
      </w:r>
      <w:r w:rsidR="001D41EE">
        <w:rPr>
          <w:rFonts w:ascii="Arial" w:hAnsi="Arial" w:cs="Arial"/>
          <w:sz w:val="20"/>
          <w:szCs w:val="20"/>
          <w:lang w:val="en-AU"/>
        </w:rPr>
        <w:t xml:space="preserve"> in the Advisory Guidelines</w:t>
      </w:r>
      <w:r w:rsidR="00091A07">
        <w:rPr>
          <w:rFonts w:ascii="Arial" w:hAnsi="Arial" w:cs="Arial"/>
          <w:sz w:val="20"/>
          <w:szCs w:val="20"/>
          <w:lang w:val="en-AU"/>
        </w:rPr>
        <w:t xml:space="preserve">. 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D01A58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Part 4 – Compatibility </w:t>
      </w:r>
      <w:r w:rsidR="009859BF">
        <w:rPr>
          <w:rFonts w:ascii="Arial" w:hAnsi="Arial" w:cs="Arial"/>
          <w:b/>
          <w:color w:val="000000"/>
          <w:sz w:val="20"/>
          <w:szCs w:val="20"/>
        </w:rPr>
        <w:t>r</w:t>
      </w:r>
      <w:r>
        <w:rPr>
          <w:rFonts w:ascii="Arial" w:hAnsi="Arial" w:cs="Arial"/>
          <w:b/>
          <w:color w:val="000000"/>
          <w:sz w:val="20"/>
          <w:szCs w:val="20"/>
        </w:rPr>
        <w:t>equirement</w:t>
      </w:r>
    </w:p>
    <w:p w:rsidR="004109FD" w:rsidRDefault="004109F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109FD" w:rsidRDefault="00E250D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Section 4.1 – Compatibility</w:t>
      </w:r>
    </w:p>
    <w:p w:rsidR="004109FD" w:rsidRDefault="00370393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 w:rsidDel="00E36EC8">
        <w:rPr>
          <w:rFonts w:ascii="Arial" w:hAnsi="Arial" w:cs="Arial"/>
          <w:sz w:val="20"/>
          <w:szCs w:val="20"/>
          <w:lang w:val="en-AU"/>
        </w:rPr>
        <w:t xml:space="preserve">This section explains </w:t>
      </w:r>
      <w:r w:rsidR="00DF6782">
        <w:rPr>
          <w:rFonts w:ascii="Arial" w:hAnsi="Arial" w:cs="Arial"/>
          <w:sz w:val="20"/>
          <w:szCs w:val="20"/>
          <w:lang w:val="en-AU"/>
        </w:rPr>
        <w:t xml:space="preserve">what is required </w:t>
      </w:r>
      <w:r w:rsidR="005D7632">
        <w:rPr>
          <w:rFonts w:ascii="Arial" w:hAnsi="Arial" w:cs="Arial"/>
          <w:sz w:val="20"/>
          <w:szCs w:val="20"/>
          <w:lang w:val="en-AU"/>
        </w:rPr>
        <w:t xml:space="preserve">when </w:t>
      </w:r>
      <w:r w:rsidR="00DF6782">
        <w:rPr>
          <w:rFonts w:ascii="Arial" w:hAnsi="Arial" w:cs="Arial"/>
          <w:sz w:val="20"/>
          <w:szCs w:val="20"/>
          <w:lang w:val="en-AU"/>
        </w:rPr>
        <w:t>applying</w:t>
      </w:r>
      <w:r w:rsidRPr="00FF7AB9" w:rsidDel="00E36EC8">
        <w:rPr>
          <w:rFonts w:ascii="Arial" w:hAnsi="Arial" w:cs="Arial"/>
          <w:sz w:val="20"/>
          <w:szCs w:val="20"/>
          <w:lang w:val="en-AU"/>
        </w:rPr>
        <w:t xml:space="preserve"> the </w:t>
      </w:r>
      <w:r w:rsidR="00F831F6" w:rsidDel="00E36EC8">
        <w:rPr>
          <w:rFonts w:ascii="Arial" w:hAnsi="Arial" w:cs="Arial"/>
          <w:sz w:val="20"/>
          <w:szCs w:val="20"/>
          <w:lang w:val="en-AU"/>
        </w:rPr>
        <w:t>c</w:t>
      </w:r>
      <w:r w:rsidRPr="00FF7AB9" w:rsidDel="00E36EC8">
        <w:rPr>
          <w:rFonts w:ascii="Arial" w:hAnsi="Arial" w:cs="Arial"/>
          <w:sz w:val="20"/>
          <w:szCs w:val="20"/>
          <w:lang w:val="en-AU"/>
        </w:rPr>
        <w:t xml:space="preserve">ompatibility </w:t>
      </w:r>
      <w:r w:rsidR="00F831F6" w:rsidDel="00E36EC8">
        <w:rPr>
          <w:rFonts w:ascii="Arial" w:hAnsi="Arial" w:cs="Arial"/>
          <w:sz w:val="20"/>
          <w:szCs w:val="20"/>
          <w:lang w:val="en-AU"/>
        </w:rPr>
        <w:t>r</w:t>
      </w:r>
      <w:r w:rsidRPr="00FF7AB9" w:rsidDel="00E36EC8">
        <w:rPr>
          <w:rFonts w:ascii="Arial" w:hAnsi="Arial" w:cs="Arial"/>
          <w:sz w:val="20"/>
          <w:szCs w:val="20"/>
          <w:lang w:val="en-AU"/>
        </w:rPr>
        <w:t>equirement for the protection of a spectrum</w:t>
      </w:r>
      <w:r w:rsidR="005836CC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 w:rsidDel="00E36EC8">
        <w:rPr>
          <w:rFonts w:ascii="Arial" w:hAnsi="Arial" w:cs="Arial"/>
          <w:sz w:val="20"/>
          <w:szCs w:val="20"/>
          <w:lang w:val="en-AU"/>
        </w:rPr>
        <w:t xml:space="preserve">licensed </w:t>
      </w:r>
      <w:r w:rsidR="005836CC">
        <w:rPr>
          <w:rFonts w:ascii="Arial" w:hAnsi="Arial" w:cs="Arial"/>
          <w:sz w:val="20"/>
          <w:szCs w:val="20"/>
          <w:lang w:val="en-AU"/>
        </w:rPr>
        <w:t>radiocommunications</w:t>
      </w:r>
      <w:r w:rsidR="005836CC" w:rsidRPr="00FF7AB9" w:rsidDel="00E36EC8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 w:rsidDel="00E36EC8">
        <w:rPr>
          <w:rFonts w:ascii="Arial" w:hAnsi="Arial" w:cs="Arial"/>
          <w:sz w:val="20"/>
          <w:szCs w:val="20"/>
          <w:lang w:val="en-AU"/>
        </w:rPr>
        <w:t>receiver from a</w:t>
      </w:r>
      <w:r w:rsidR="00F5066A">
        <w:rPr>
          <w:rFonts w:ascii="Arial" w:hAnsi="Arial" w:cs="Arial"/>
          <w:sz w:val="20"/>
          <w:szCs w:val="20"/>
          <w:lang w:val="en-AU"/>
        </w:rPr>
        <w:t xml:space="preserve"> </w:t>
      </w:r>
      <w:r w:rsidR="005836CC"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 w:rsidR="00091A07">
        <w:rPr>
          <w:rFonts w:ascii="Arial" w:hAnsi="Arial" w:cs="Arial"/>
          <w:sz w:val="20"/>
          <w:szCs w:val="20"/>
          <w:lang w:val="en-AU"/>
        </w:rPr>
        <w:t xml:space="preserve">transmitter </w:t>
      </w:r>
      <w:r w:rsidR="00F5066A">
        <w:rPr>
          <w:rFonts w:ascii="Arial" w:hAnsi="Arial" w:cs="Arial"/>
          <w:sz w:val="20"/>
          <w:szCs w:val="20"/>
          <w:lang w:val="en-AU"/>
        </w:rPr>
        <w:t xml:space="preserve">operating under </w:t>
      </w:r>
      <w:r w:rsidR="005D7632">
        <w:rPr>
          <w:rFonts w:ascii="Arial" w:hAnsi="Arial" w:cs="Arial"/>
          <w:sz w:val="20"/>
          <w:szCs w:val="20"/>
          <w:lang w:val="en-AU"/>
        </w:rPr>
        <w:t>other</w:t>
      </w:r>
      <w:r w:rsidR="00F5066A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 w:rsidDel="00E36EC8">
        <w:rPr>
          <w:rFonts w:ascii="Arial" w:hAnsi="Arial" w:cs="Arial"/>
          <w:sz w:val="20"/>
          <w:szCs w:val="20"/>
          <w:lang w:val="en-AU"/>
        </w:rPr>
        <w:t>licen</w:t>
      </w:r>
      <w:r w:rsidR="00C219E8">
        <w:rPr>
          <w:rFonts w:ascii="Arial" w:hAnsi="Arial" w:cs="Arial"/>
          <w:sz w:val="20"/>
          <w:szCs w:val="20"/>
          <w:lang w:val="en-AU"/>
        </w:rPr>
        <w:t>c</w:t>
      </w:r>
      <w:r w:rsidRPr="00FF7AB9" w:rsidDel="00E36EC8">
        <w:rPr>
          <w:rFonts w:ascii="Arial" w:hAnsi="Arial" w:cs="Arial"/>
          <w:sz w:val="20"/>
          <w:szCs w:val="20"/>
          <w:lang w:val="en-AU"/>
        </w:rPr>
        <w:t>e</w:t>
      </w:r>
      <w:r w:rsidR="005D7632">
        <w:rPr>
          <w:rFonts w:ascii="Arial" w:hAnsi="Arial" w:cs="Arial"/>
          <w:sz w:val="20"/>
          <w:szCs w:val="20"/>
          <w:lang w:val="en-AU"/>
        </w:rPr>
        <w:t>s</w:t>
      </w:r>
      <w:r w:rsidRPr="00FF7AB9" w:rsidDel="00E36EC8">
        <w:rPr>
          <w:rFonts w:ascii="Arial" w:hAnsi="Arial" w:cs="Arial"/>
          <w:sz w:val="20"/>
          <w:szCs w:val="20"/>
          <w:lang w:val="en-AU"/>
        </w:rPr>
        <w:t xml:space="preserve">.  </w:t>
      </w:r>
    </w:p>
    <w:p w:rsidR="004109FD" w:rsidRDefault="00F5066A">
      <w:pPr>
        <w:pStyle w:val="ListParagraph"/>
        <w:jc w:val="both"/>
        <w:rPr>
          <w:rFonts w:ascii="Arial" w:hAnsi="Arial" w:cs="Arial"/>
          <w:sz w:val="20"/>
          <w:szCs w:val="20"/>
          <w:lang w:val="en-GB"/>
        </w:rPr>
      </w:pPr>
      <w:r w:rsidRPr="00F5066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4109FD" w:rsidRDefault="008A2813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compatibility requirement for transmitters operating under </w:t>
      </w:r>
      <w:r w:rsidR="005836CC">
        <w:rPr>
          <w:rFonts w:ascii="Arial" w:hAnsi="Arial" w:cs="Arial"/>
          <w:sz w:val="20"/>
          <w:szCs w:val="20"/>
          <w:lang w:val="en-AU"/>
        </w:rPr>
        <w:t xml:space="preserve">an apparatus or spectrum licence </w:t>
      </w:r>
      <w:r>
        <w:rPr>
          <w:rFonts w:ascii="Arial" w:hAnsi="Arial" w:cs="Arial"/>
          <w:sz w:val="20"/>
          <w:szCs w:val="20"/>
          <w:lang w:val="en-AU"/>
        </w:rPr>
        <w:t>affords p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rotection </w:t>
      </w:r>
      <w:r>
        <w:rPr>
          <w:rFonts w:ascii="Arial" w:hAnsi="Arial" w:cs="Arial"/>
          <w:sz w:val="20"/>
          <w:szCs w:val="20"/>
          <w:lang w:val="en-AU"/>
        </w:rPr>
        <w:t xml:space="preserve">to receivers operated under a spectrum licence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on </w:t>
      </w:r>
      <w:r>
        <w:rPr>
          <w:rFonts w:ascii="Arial" w:hAnsi="Arial" w:cs="Arial"/>
          <w:sz w:val="20"/>
          <w:szCs w:val="20"/>
          <w:lang w:val="en-AU"/>
        </w:rPr>
        <w:t xml:space="preserve">a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first-in-time </w:t>
      </w:r>
      <w:r>
        <w:rPr>
          <w:rFonts w:ascii="Arial" w:hAnsi="Arial" w:cs="Arial"/>
          <w:sz w:val="20"/>
          <w:szCs w:val="20"/>
          <w:lang w:val="en-AU"/>
        </w:rPr>
        <w:t xml:space="preserve">basis. This means </w:t>
      </w:r>
      <w:r w:rsidR="004F12D6">
        <w:rPr>
          <w:rFonts w:ascii="Arial" w:hAnsi="Arial" w:cs="Arial"/>
          <w:sz w:val="20"/>
          <w:szCs w:val="20"/>
          <w:lang w:val="en-AU"/>
        </w:rPr>
        <w:t xml:space="preserve">that </w:t>
      </w:r>
      <w:r>
        <w:rPr>
          <w:rFonts w:ascii="Arial" w:hAnsi="Arial" w:cs="Arial"/>
          <w:sz w:val="20"/>
          <w:szCs w:val="20"/>
          <w:lang w:val="en-AU"/>
        </w:rPr>
        <w:t>in order to be afforded protection</w:t>
      </w:r>
      <w:r w:rsidR="004F12D6">
        <w:rPr>
          <w:rFonts w:ascii="Arial" w:hAnsi="Arial" w:cs="Arial"/>
          <w:sz w:val="20"/>
          <w:szCs w:val="20"/>
          <w:lang w:val="en-AU"/>
        </w:rPr>
        <w:t>,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the </w:t>
      </w:r>
      <w:r w:rsidR="005D7632">
        <w:rPr>
          <w:rFonts w:ascii="Arial" w:hAnsi="Arial" w:cs="Arial"/>
          <w:sz w:val="20"/>
          <w:szCs w:val="20"/>
          <w:lang w:val="en-AU"/>
        </w:rPr>
        <w:t>radiocommunications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receiver </w:t>
      </w:r>
      <w:r w:rsidR="005D7632">
        <w:rPr>
          <w:rFonts w:ascii="Arial" w:hAnsi="Arial" w:cs="Arial"/>
          <w:sz w:val="20"/>
          <w:szCs w:val="20"/>
          <w:lang w:val="en-AU"/>
        </w:rPr>
        <w:t>must have</w:t>
      </w:r>
      <w:r w:rsidR="005D7632" w:rsidRPr="005D7632">
        <w:rPr>
          <w:rFonts w:ascii="Arial" w:hAnsi="Arial" w:cs="Arial"/>
          <w:sz w:val="20"/>
          <w:szCs w:val="20"/>
          <w:lang w:val="en-AU"/>
        </w:rPr>
        <w:t xml:space="preserve"> its details included in the Register before the date that the radiocommunications transmitter with which compatibility is sought has its details recorded in the Register</w:t>
      </w:r>
      <w:r w:rsidR="005836CC">
        <w:rPr>
          <w:rFonts w:ascii="Arial" w:hAnsi="Arial" w:cs="Arial"/>
          <w:sz w:val="20"/>
          <w:szCs w:val="20"/>
          <w:lang w:val="en-AU"/>
        </w:rPr>
        <w:t xml:space="preserve">. </w:t>
      </w:r>
    </w:p>
    <w:p w:rsidR="004109FD" w:rsidRDefault="004109F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109FD" w:rsidRDefault="007645CC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Subsection 4.1(2) provides that a radiocommunications transmitter operating under a class licence must comply </w:t>
      </w:r>
      <w:r w:rsidRPr="00F5066A">
        <w:rPr>
          <w:rFonts w:ascii="Arial" w:hAnsi="Arial" w:cs="Arial"/>
          <w:sz w:val="20"/>
          <w:szCs w:val="20"/>
          <w:lang w:val="en-AU"/>
        </w:rPr>
        <w:t>with the conditions of the class licence.</w:t>
      </w:r>
      <w:r>
        <w:rPr>
          <w:rFonts w:ascii="Arial" w:hAnsi="Arial" w:cs="Arial"/>
          <w:sz w:val="20"/>
          <w:szCs w:val="20"/>
          <w:lang w:val="en-AU"/>
        </w:rPr>
        <w:t xml:space="preserve"> If the conditions of the class licence are met then the transmitter is deemed to meet the compatibility requirement.</w:t>
      </w:r>
    </w:p>
    <w:p w:rsidR="004109FD" w:rsidRDefault="004109F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109FD" w:rsidRDefault="00E250D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Schedule 1 – Notional </w:t>
      </w:r>
      <w:r w:rsidR="00144202">
        <w:rPr>
          <w:rFonts w:ascii="Arial" w:hAnsi="Arial" w:cs="Arial"/>
          <w:b/>
          <w:color w:val="000000"/>
          <w:sz w:val="20"/>
          <w:szCs w:val="20"/>
        </w:rPr>
        <w:t>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eceiver </w:t>
      </w:r>
      <w:r w:rsidR="00144202">
        <w:rPr>
          <w:rFonts w:ascii="Arial" w:hAnsi="Arial" w:cs="Arial"/>
          <w:b/>
          <w:color w:val="000000"/>
          <w:sz w:val="20"/>
          <w:szCs w:val="20"/>
        </w:rPr>
        <w:t>p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erformance </w:t>
      </w:r>
      <w:r w:rsidR="00144202">
        <w:rPr>
          <w:rFonts w:ascii="Arial" w:hAnsi="Arial" w:cs="Arial"/>
          <w:b/>
          <w:color w:val="000000"/>
          <w:sz w:val="20"/>
          <w:szCs w:val="20"/>
        </w:rPr>
        <w:t>l</w:t>
      </w:r>
      <w:r>
        <w:rPr>
          <w:rFonts w:ascii="Arial" w:hAnsi="Arial" w:cs="Arial"/>
          <w:b/>
          <w:color w:val="000000"/>
          <w:sz w:val="20"/>
          <w:szCs w:val="20"/>
        </w:rPr>
        <w:t>evel</w:t>
      </w:r>
    </w:p>
    <w:p w:rsidR="004300B8" w:rsidRDefault="004300B8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370393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This </w:t>
      </w:r>
      <w:r w:rsidR="000D2159">
        <w:rPr>
          <w:rFonts w:ascii="Arial" w:hAnsi="Arial" w:cs="Arial"/>
          <w:sz w:val="20"/>
          <w:szCs w:val="20"/>
          <w:lang w:val="en-AU"/>
        </w:rPr>
        <w:t>S</w:t>
      </w:r>
      <w:r w:rsidR="00F831F6">
        <w:rPr>
          <w:rFonts w:ascii="Arial" w:hAnsi="Arial" w:cs="Arial"/>
          <w:sz w:val="20"/>
          <w:szCs w:val="20"/>
          <w:lang w:val="en-AU"/>
        </w:rPr>
        <w:t>chedule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defines the </w:t>
      </w:r>
      <w:r w:rsidR="00F831F6">
        <w:rPr>
          <w:rFonts w:ascii="Arial" w:hAnsi="Arial" w:cs="Arial"/>
          <w:sz w:val="20"/>
          <w:szCs w:val="20"/>
          <w:lang w:val="en-AU"/>
        </w:rPr>
        <w:t>n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otional </w:t>
      </w:r>
      <w:r w:rsidR="00F831F6">
        <w:rPr>
          <w:rFonts w:ascii="Arial" w:hAnsi="Arial" w:cs="Arial"/>
          <w:sz w:val="20"/>
          <w:szCs w:val="20"/>
          <w:lang w:val="en-AU"/>
        </w:rPr>
        <w:t>r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eceiver </w:t>
      </w:r>
      <w:r w:rsidR="00F831F6">
        <w:rPr>
          <w:rFonts w:ascii="Arial" w:hAnsi="Arial" w:cs="Arial"/>
          <w:sz w:val="20"/>
          <w:szCs w:val="20"/>
          <w:lang w:val="en-AU"/>
        </w:rPr>
        <w:t>p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erformance </w:t>
      </w:r>
      <w:r w:rsidR="00F831F6">
        <w:rPr>
          <w:rFonts w:ascii="Arial" w:hAnsi="Arial" w:cs="Arial"/>
          <w:sz w:val="20"/>
          <w:szCs w:val="20"/>
          <w:lang w:val="en-AU"/>
        </w:rPr>
        <w:t>l</w:t>
      </w:r>
      <w:r w:rsidRPr="00FF7AB9">
        <w:rPr>
          <w:rFonts w:ascii="Arial" w:hAnsi="Arial" w:cs="Arial"/>
          <w:sz w:val="20"/>
          <w:szCs w:val="20"/>
          <w:lang w:val="en-AU"/>
        </w:rPr>
        <w:t>evel for spectrum</w:t>
      </w:r>
      <w:r w:rsidR="005836CC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licensed radiocommunications receivers.  Such receivers </w:t>
      </w:r>
      <w:r w:rsidR="00C51491">
        <w:rPr>
          <w:rFonts w:ascii="Arial" w:hAnsi="Arial" w:cs="Arial"/>
          <w:sz w:val="20"/>
          <w:szCs w:val="20"/>
          <w:lang w:val="en-AU"/>
        </w:rPr>
        <w:t>should</w:t>
      </w:r>
      <w:r w:rsidR="00C51491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>meet</w:t>
      </w:r>
      <w:r w:rsidR="00F5066A">
        <w:rPr>
          <w:rFonts w:ascii="Arial" w:hAnsi="Arial" w:cs="Arial"/>
          <w:sz w:val="20"/>
          <w:szCs w:val="20"/>
          <w:lang w:val="en-AU"/>
        </w:rPr>
        <w:t xml:space="preserve"> or exceed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this performance level in order to </w:t>
      </w:r>
      <w:r w:rsidR="00C51491">
        <w:rPr>
          <w:rFonts w:ascii="Arial" w:hAnsi="Arial" w:cs="Arial"/>
          <w:sz w:val="20"/>
          <w:szCs w:val="20"/>
          <w:lang w:val="en-AU"/>
        </w:rPr>
        <w:t>minimise interference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from </w:t>
      </w:r>
      <w:r w:rsidR="00720E89">
        <w:rPr>
          <w:rFonts w:ascii="Arial" w:hAnsi="Arial" w:cs="Arial"/>
          <w:sz w:val="20"/>
          <w:szCs w:val="20"/>
          <w:lang w:val="en-AU"/>
        </w:rPr>
        <w:t xml:space="preserve">spectrum licensed and </w:t>
      </w:r>
      <w:r w:rsidRPr="00FF7AB9">
        <w:rPr>
          <w:rFonts w:ascii="Arial" w:hAnsi="Arial" w:cs="Arial"/>
          <w:sz w:val="20"/>
          <w:szCs w:val="20"/>
          <w:lang w:val="en-AU"/>
        </w:rPr>
        <w:t>apparatus</w:t>
      </w:r>
      <w:r w:rsidR="005836CC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licensed transmitters.  The </w:t>
      </w:r>
      <w:r w:rsidR="00F831F6">
        <w:rPr>
          <w:rFonts w:ascii="Arial" w:hAnsi="Arial" w:cs="Arial"/>
          <w:sz w:val="20"/>
          <w:szCs w:val="20"/>
          <w:lang w:val="en-AU"/>
        </w:rPr>
        <w:t>n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otional </w:t>
      </w:r>
      <w:r w:rsidR="00F831F6">
        <w:rPr>
          <w:rFonts w:ascii="Arial" w:hAnsi="Arial" w:cs="Arial"/>
          <w:sz w:val="20"/>
          <w:szCs w:val="20"/>
          <w:lang w:val="en-AU"/>
        </w:rPr>
        <w:t>r</w:t>
      </w:r>
      <w:r w:rsidRPr="00FF7AB9">
        <w:rPr>
          <w:rFonts w:ascii="Arial" w:hAnsi="Arial" w:cs="Arial"/>
          <w:sz w:val="20"/>
          <w:szCs w:val="20"/>
          <w:lang w:val="en-AU"/>
        </w:rPr>
        <w:t>eceiver performance level consists of requirements for the following:</w:t>
      </w:r>
    </w:p>
    <w:p w:rsidR="004109FD" w:rsidRDefault="00370393">
      <w:pPr>
        <w:numPr>
          <w:ilvl w:val="0"/>
          <w:numId w:val="23"/>
        </w:numPr>
        <w:ind w:left="567"/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Adjacent channel selectivity performance </w:t>
      </w:r>
      <w:r w:rsidR="005836CC">
        <w:rPr>
          <w:rFonts w:ascii="Arial" w:hAnsi="Arial" w:cs="Arial"/>
          <w:sz w:val="20"/>
          <w:szCs w:val="20"/>
          <w:lang w:val="en-AU"/>
        </w:rPr>
        <w:t>which is</w:t>
      </w:r>
      <w:r w:rsidR="005836CC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the measure of the ability of a </w:t>
      </w:r>
      <w:r w:rsidR="005836CC" w:rsidRPr="00FF7AB9"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 w:rsidRPr="00FF7AB9">
        <w:rPr>
          <w:rFonts w:ascii="Arial" w:hAnsi="Arial" w:cs="Arial"/>
          <w:sz w:val="20"/>
          <w:szCs w:val="20"/>
          <w:lang w:val="en-AU"/>
        </w:rPr>
        <w:t>receiver to receive a wanted signal without exceeding a specified degradation in output quality due to the presence of an unwanted adjacent channel signal.</w:t>
      </w:r>
    </w:p>
    <w:p w:rsidR="004109FD" w:rsidRDefault="005D7632">
      <w:pPr>
        <w:numPr>
          <w:ilvl w:val="0"/>
          <w:numId w:val="23"/>
        </w:numPr>
        <w:ind w:left="56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Receiver i</w:t>
      </w:r>
      <w:r w:rsidR="00370393" w:rsidRPr="00FF7AB9">
        <w:rPr>
          <w:rFonts w:ascii="Arial" w:hAnsi="Arial" w:cs="Arial"/>
          <w:sz w:val="20"/>
          <w:szCs w:val="20"/>
          <w:lang w:val="en-AU"/>
        </w:rPr>
        <w:t xml:space="preserve">ntermodulation response rejection performance, </w:t>
      </w:r>
      <w:r w:rsidR="005836CC">
        <w:rPr>
          <w:rFonts w:ascii="Arial" w:hAnsi="Arial" w:cs="Arial"/>
          <w:sz w:val="20"/>
          <w:szCs w:val="20"/>
          <w:lang w:val="en-AU"/>
        </w:rPr>
        <w:t xml:space="preserve">which is </w:t>
      </w:r>
      <w:r w:rsidR="00370393" w:rsidRPr="00FF7AB9">
        <w:rPr>
          <w:rFonts w:ascii="Arial" w:hAnsi="Arial" w:cs="Arial"/>
          <w:sz w:val="20"/>
          <w:szCs w:val="20"/>
          <w:lang w:val="en-AU"/>
        </w:rPr>
        <w:t>defined as the measure of the ability of a radiocommunications receiver to receive a wanted signal in the presence of two or more unwanted signal</w:t>
      </w:r>
      <w:r w:rsidR="000D2159">
        <w:rPr>
          <w:rFonts w:ascii="Arial" w:hAnsi="Arial" w:cs="Arial"/>
          <w:sz w:val="20"/>
          <w:szCs w:val="20"/>
          <w:lang w:val="en-AU"/>
        </w:rPr>
        <w:t>s</w:t>
      </w:r>
      <w:r w:rsidR="00370393" w:rsidRPr="00FF7AB9">
        <w:rPr>
          <w:rFonts w:ascii="Arial" w:hAnsi="Arial" w:cs="Arial"/>
          <w:sz w:val="20"/>
          <w:szCs w:val="20"/>
          <w:lang w:val="en-AU"/>
        </w:rPr>
        <w:t xml:space="preserve"> with a specific amplitude and frequency relationship to the wanted signal frequency.</w:t>
      </w:r>
    </w:p>
    <w:p w:rsidR="004109FD" w:rsidRDefault="00370393">
      <w:pPr>
        <w:numPr>
          <w:ilvl w:val="0"/>
          <w:numId w:val="23"/>
        </w:numPr>
        <w:ind w:left="567"/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Receiver blocking performance, </w:t>
      </w:r>
      <w:r w:rsidR="005836CC">
        <w:rPr>
          <w:rFonts w:ascii="Arial" w:hAnsi="Arial" w:cs="Arial"/>
          <w:sz w:val="20"/>
          <w:szCs w:val="20"/>
          <w:lang w:val="en-AU"/>
        </w:rPr>
        <w:t xml:space="preserve">which is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the measure of the ability of a radiocommunications receiver to receive a wanted signal in the presence of a high level unwanted interferer on frequencies other than those of the adjacent channels.  </w:t>
      </w: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370393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The </w:t>
      </w:r>
      <w:r w:rsidR="00144202">
        <w:rPr>
          <w:rFonts w:ascii="Arial" w:hAnsi="Arial" w:cs="Arial"/>
          <w:sz w:val="20"/>
          <w:szCs w:val="20"/>
          <w:lang w:val="en-AU"/>
        </w:rPr>
        <w:t>n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otional </w:t>
      </w:r>
      <w:r w:rsidR="00144202">
        <w:rPr>
          <w:rFonts w:ascii="Arial" w:hAnsi="Arial" w:cs="Arial"/>
          <w:sz w:val="20"/>
          <w:szCs w:val="20"/>
          <w:lang w:val="en-AU"/>
        </w:rPr>
        <w:t>r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eceiver performance level assumes: </w:t>
      </w:r>
    </w:p>
    <w:p w:rsidR="004109FD" w:rsidRDefault="00370393">
      <w:pPr>
        <w:numPr>
          <w:ilvl w:val="0"/>
          <w:numId w:val="24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A standard receiver </w:t>
      </w:r>
      <w:r w:rsidR="008A2813">
        <w:rPr>
          <w:rFonts w:ascii="Arial" w:hAnsi="Arial" w:cs="Arial"/>
          <w:sz w:val="20"/>
          <w:szCs w:val="20"/>
          <w:lang w:val="en-AU"/>
        </w:rPr>
        <w:t>performance</w:t>
      </w:r>
      <w:r w:rsidR="008A2813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>for modern mobile communications devices.</w:t>
      </w:r>
    </w:p>
    <w:p w:rsidR="004109FD" w:rsidRDefault="00F50B22">
      <w:pPr>
        <w:numPr>
          <w:ilvl w:val="0"/>
          <w:numId w:val="24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 use of registered details on antenna gain and feeder losses</w:t>
      </w:r>
      <w:r w:rsidR="00A13ACB">
        <w:rPr>
          <w:rFonts w:ascii="Arial" w:hAnsi="Arial" w:cs="Arial"/>
          <w:sz w:val="20"/>
          <w:szCs w:val="20"/>
          <w:lang w:val="en-AU"/>
        </w:rPr>
        <w:t xml:space="preserve"> in performing interference analysis</w:t>
      </w:r>
      <w:r>
        <w:rPr>
          <w:rFonts w:ascii="Arial" w:hAnsi="Arial" w:cs="Arial"/>
          <w:sz w:val="20"/>
          <w:szCs w:val="20"/>
          <w:lang w:val="en-AU"/>
        </w:rPr>
        <w:t xml:space="preserve">. </w:t>
      </w:r>
      <w:r w:rsidR="00370393" w:rsidRPr="00FF7AB9">
        <w:rPr>
          <w:rFonts w:ascii="Arial" w:hAnsi="Arial" w:cs="Arial"/>
          <w:sz w:val="20"/>
          <w:szCs w:val="20"/>
          <w:lang w:val="en-AU"/>
        </w:rPr>
        <w:t>A representative combination of antenna gain and feeder/branching losses</w:t>
      </w:r>
      <w:r>
        <w:rPr>
          <w:rFonts w:ascii="Arial" w:hAnsi="Arial" w:cs="Arial"/>
          <w:sz w:val="20"/>
          <w:szCs w:val="20"/>
          <w:lang w:val="en-AU"/>
        </w:rPr>
        <w:t xml:space="preserve"> is provided in the event </w:t>
      </w:r>
      <w:r w:rsidR="007A23D2">
        <w:rPr>
          <w:rFonts w:ascii="Arial" w:hAnsi="Arial" w:cs="Arial"/>
          <w:sz w:val="20"/>
          <w:szCs w:val="20"/>
          <w:lang w:val="en-AU"/>
        </w:rPr>
        <w:t xml:space="preserve">these details are not contained in the </w:t>
      </w:r>
      <w:r w:rsidR="00AB3890">
        <w:rPr>
          <w:rFonts w:ascii="Arial" w:hAnsi="Arial" w:cs="Arial"/>
          <w:sz w:val="20"/>
          <w:szCs w:val="20"/>
          <w:lang w:val="en-AU"/>
        </w:rPr>
        <w:t>register</w:t>
      </w:r>
      <w:r w:rsidR="00370393" w:rsidRPr="00FF7AB9">
        <w:rPr>
          <w:rFonts w:ascii="Arial" w:hAnsi="Arial" w:cs="Arial"/>
          <w:sz w:val="20"/>
          <w:szCs w:val="20"/>
          <w:lang w:val="en-AU"/>
        </w:rPr>
        <w:t>.</w:t>
      </w:r>
    </w:p>
    <w:p w:rsidR="004109FD" w:rsidRDefault="004109F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109FD" w:rsidRDefault="00E250D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Schedule 2 – Compatibility </w:t>
      </w:r>
      <w:r w:rsidR="00144202">
        <w:rPr>
          <w:rFonts w:ascii="Arial" w:hAnsi="Arial" w:cs="Arial"/>
          <w:b/>
          <w:color w:val="000000"/>
          <w:sz w:val="20"/>
          <w:szCs w:val="20"/>
        </w:rPr>
        <w:t>r</w:t>
      </w:r>
      <w:r>
        <w:rPr>
          <w:rFonts w:ascii="Arial" w:hAnsi="Arial" w:cs="Arial"/>
          <w:b/>
          <w:color w:val="000000"/>
          <w:sz w:val="20"/>
          <w:szCs w:val="20"/>
        </w:rPr>
        <w:t>equirement</w:t>
      </w:r>
    </w:p>
    <w:p w:rsidR="004300B8" w:rsidRDefault="004300B8">
      <w:pPr>
        <w:jc w:val="both"/>
        <w:rPr>
          <w:rFonts w:ascii="Arial" w:hAnsi="Arial" w:cs="Arial"/>
          <w:sz w:val="20"/>
          <w:szCs w:val="20"/>
          <w:lang w:val="en-AU"/>
        </w:rPr>
      </w:pPr>
    </w:p>
    <w:p w:rsidR="004109FD" w:rsidRDefault="00370393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This </w:t>
      </w:r>
      <w:r w:rsidR="000D2159">
        <w:rPr>
          <w:rFonts w:ascii="Arial" w:hAnsi="Arial" w:cs="Arial"/>
          <w:sz w:val="20"/>
          <w:szCs w:val="20"/>
          <w:lang w:val="en-AU"/>
        </w:rPr>
        <w:t>S</w:t>
      </w:r>
      <w:r w:rsidR="00F831F6">
        <w:rPr>
          <w:rFonts w:ascii="Arial" w:hAnsi="Arial" w:cs="Arial"/>
          <w:sz w:val="20"/>
          <w:szCs w:val="20"/>
          <w:lang w:val="en-AU"/>
        </w:rPr>
        <w:t>chedule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defines the </w:t>
      </w:r>
      <w:r w:rsidR="00F831F6">
        <w:rPr>
          <w:rFonts w:ascii="Arial" w:hAnsi="Arial" w:cs="Arial"/>
          <w:sz w:val="20"/>
          <w:szCs w:val="20"/>
          <w:lang w:val="en-AU"/>
        </w:rPr>
        <w:t>c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ompatibility </w:t>
      </w:r>
      <w:r w:rsidR="00F831F6">
        <w:rPr>
          <w:rFonts w:ascii="Arial" w:hAnsi="Arial" w:cs="Arial"/>
          <w:sz w:val="20"/>
          <w:szCs w:val="20"/>
          <w:lang w:val="en-AU"/>
        </w:rPr>
        <w:t>r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equirement for managing interference from </w:t>
      </w:r>
      <w:r w:rsidR="00787679"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transmitters </w:t>
      </w:r>
      <w:r w:rsidR="00787679">
        <w:rPr>
          <w:rFonts w:ascii="Arial" w:hAnsi="Arial" w:cs="Arial"/>
          <w:sz w:val="20"/>
          <w:szCs w:val="20"/>
          <w:lang w:val="en-AU"/>
        </w:rPr>
        <w:t>operating under an apparatus or spectrum licence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. </w:t>
      </w:r>
      <w:r w:rsidR="00AB3890">
        <w:rPr>
          <w:rFonts w:ascii="Arial" w:hAnsi="Arial" w:cs="Arial"/>
          <w:sz w:val="20"/>
          <w:szCs w:val="20"/>
          <w:lang w:val="en-AU"/>
        </w:rPr>
        <w:t xml:space="preserve">The compatibility requirement for a fixed receiver operating under a spectrum licence is a minimum wanted signal level of -95.5dBm per 5 MHz for more than 95% of time in any 1 hour period. </w:t>
      </w:r>
    </w:p>
    <w:p w:rsidR="004109FD" w:rsidRDefault="004109F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109FD" w:rsidRDefault="004109FD">
      <w:pPr>
        <w:jc w:val="both"/>
        <w:rPr>
          <w:rFonts w:ascii="Arial" w:hAnsi="Arial" w:cs="Arial"/>
          <w:sz w:val="20"/>
          <w:szCs w:val="20"/>
          <w:lang w:val="en-AU"/>
        </w:rPr>
      </w:pPr>
    </w:p>
    <w:sectPr w:rsidR="004109FD" w:rsidSect="000907DE">
      <w:headerReference w:type="even" r:id="rId14"/>
      <w:headerReference w:type="default" r:id="rId15"/>
      <w:footerReference w:type="defaul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BCD" w:rsidRDefault="00725BCD">
      <w:r>
        <w:separator/>
      </w:r>
    </w:p>
  </w:endnote>
  <w:endnote w:type="continuationSeparator" w:id="0">
    <w:p w:rsidR="00725BCD" w:rsidRDefault="00725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CD" w:rsidRDefault="008A48D2">
    <w:pPr>
      <w:pStyle w:val="Footer"/>
      <w:jc w:val="center"/>
    </w:pPr>
    <w:fldSimple w:instr=" PAGE   \* MERGEFORMAT ">
      <w:r w:rsidR="003B642A">
        <w:rPr>
          <w:noProof/>
        </w:rPr>
        <w:t>4</w:t>
      </w:r>
    </w:fldSimple>
  </w:p>
  <w:p w:rsidR="00725BCD" w:rsidRDefault="00725BCD" w:rsidP="00362134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CD" w:rsidRDefault="00725BCD" w:rsidP="00B32F2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BCD" w:rsidRDefault="00725BCD">
      <w:r>
        <w:separator/>
      </w:r>
    </w:p>
  </w:footnote>
  <w:footnote w:type="continuationSeparator" w:id="0">
    <w:p w:rsidR="00725BCD" w:rsidRDefault="00725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CD" w:rsidRDefault="008A48D2" w:rsidP="00A844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5B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5BCD" w:rsidRDefault="00725B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CD" w:rsidRDefault="00725BCD" w:rsidP="00362134">
    <w:pPr>
      <w:pStyle w:val="Header"/>
      <w:jc w:val="center"/>
      <w:rPr>
        <w:b/>
        <w:sz w:val="32"/>
        <w:szCs w:val="32"/>
        <w:lang w:val="en-AU"/>
      </w:rPr>
    </w:pPr>
  </w:p>
  <w:p w:rsidR="00725BCD" w:rsidRDefault="00725BCD" w:rsidP="00E72F2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B85848"/>
    <w:lvl w:ilvl="0">
      <w:numFmt w:val="bullet"/>
      <w:lvlText w:val="*"/>
      <w:lvlJc w:val="left"/>
    </w:lvl>
  </w:abstractNum>
  <w:abstractNum w:abstractNumId="1">
    <w:nsid w:val="01485B19"/>
    <w:multiLevelType w:val="hybridMultilevel"/>
    <w:tmpl w:val="30E65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D6789"/>
    <w:multiLevelType w:val="hybridMultilevel"/>
    <w:tmpl w:val="8B5A9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65676"/>
    <w:multiLevelType w:val="hybridMultilevel"/>
    <w:tmpl w:val="60BA2F6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94416"/>
    <w:multiLevelType w:val="hybridMultilevel"/>
    <w:tmpl w:val="A7222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C2FCA"/>
    <w:multiLevelType w:val="hybridMultilevel"/>
    <w:tmpl w:val="D0D4EE14"/>
    <w:lvl w:ilvl="0" w:tplc="EA229830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E43E5"/>
    <w:multiLevelType w:val="hybridMultilevel"/>
    <w:tmpl w:val="1B8C26CA"/>
    <w:lvl w:ilvl="0" w:tplc="36E0A874">
      <w:start w:val="2"/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333B0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40709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11B0C"/>
    <w:multiLevelType w:val="hybridMultilevel"/>
    <w:tmpl w:val="C30C4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A7BBC"/>
    <w:multiLevelType w:val="hybridMultilevel"/>
    <w:tmpl w:val="41083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76651"/>
    <w:multiLevelType w:val="hybridMultilevel"/>
    <w:tmpl w:val="0D2CB68C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45099"/>
    <w:multiLevelType w:val="hybridMultilevel"/>
    <w:tmpl w:val="8E2CB28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56963CE"/>
    <w:multiLevelType w:val="hybridMultilevel"/>
    <w:tmpl w:val="C470AEA8"/>
    <w:lvl w:ilvl="0" w:tplc="015EAC18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303B1455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E00E1"/>
    <w:multiLevelType w:val="hybridMultilevel"/>
    <w:tmpl w:val="AE603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04A19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A1F7F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44504"/>
    <w:multiLevelType w:val="hybridMultilevel"/>
    <w:tmpl w:val="CD5001B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A0A30"/>
    <w:multiLevelType w:val="hybridMultilevel"/>
    <w:tmpl w:val="13249442"/>
    <w:lvl w:ilvl="0" w:tplc="CCD47F66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B7A66"/>
    <w:multiLevelType w:val="hybridMultilevel"/>
    <w:tmpl w:val="BDD29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B373C8"/>
    <w:multiLevelType w:val="hybridMultilevel"/>
    <w:tmpl w:val="464C5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6699B"/>
    <w:multiLevelType w:val="hybridMultilevel"/>
    <w:tmpl w:val="EE8C2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A359D"/>
    <w:multiLevelType w:val="hybridMultilevel"/>
    <w:tmpl w:val="12DE2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02317"/>
    <w:multiLevelType w:val="hybridMultilevel"/>
    <w:tmpl w:val="91CA8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DD4708"/>
    <w:multiLevelType w:val="hybridMultilevel"/>
    <w:tmpl w:val="7818C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92ECA"/>
    <w:multiLevelType w:val="hybridMultilevel"/>
    <w:tmpl w:val="D46826E8"/>
    <w:lvl w:ilvl="0" w:tplc="375E905E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0582E89"/>
    <w:multiLevelType w:val="hybridMultilevel"/>
    <w:tmpl w:val="D4A0960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6E60B8"/>
    <w:multiLevelType w:val="hybridMultilevel"/>
    <w:tmpl w:val="92E86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201B9F"/>
    <w:multiLevelType w:val="hybridMultilevel"/>
    <w:tmpl w:val="B396FFF2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4"/>
  </w:num>
  <w:num w:numId="4">
    <w:abstractNumId w:val="2"/>
  </w:num>
  <w:num w:numId="5">
    <w:abstractNumId w:val="21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7">
    <w:abstractNumId w:val="25"/>
  </w:num>
  <w:num w:numId="8">
    <w:abstractNumId w:val="16"/>
  </w:num>
  <w:num w:numId="9">
    <w:abstractNumId w:val="17"/>
  </w:num>
  <w:num w:numId="10">
    <w:abstractNumId w:val="7"/>
  </w:num>
  <w:num w:numId="11">
    <w:abstractNumId w:val="14"/>
  </w:num>
  <w:num w:numId="12">
    <w:abstractNumId w:val="29"/>
  </w:num>
  <w:num w:numId="13">
    <w:abstractNumId w:val="19"/>
  </w:num>
  <w:num w:numId="14">
    <w:abstractNumId w:val="3"/>
  </w:num>
  <w:num w:numId="15">
    <w:abstractNumId w:val="8"/>
  </w:num>
  <w:num w:numId="16">
    <w:abstractNumId w:val="27"/>
  </w:num>
  <w:num w:numId="17">
    <w:abstractNumId w:val="6"/>
  </w:num>
  <w:num w:numId="18">
    <w:abstractNumId w:val="11"/>
  </w:num>
  <w:num w:numId="19">
    <w:abstractNumId w:val="18"/>
  </w:num>
  <w:num w:numId="20">
    <w:abstractNumId w:val="5"/>
  </w:num>
  <w:num w:numId="21">
    <w:abstractNumId w:val="1"/>
  </w:num>
  <w:num w:numId="22">
    <w:abstractNumId w:val="9"/>
  </w:num>
  <w:num w:numId="23">
    <w:abstractNumId w:val="15"/>
  </w:num>
  <w:num w:numId="24">
    <w:abstractNumId w:val="4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2"/>
  </w:num>
  <w:num w:numId="28">
    <w:abstractNumId w:val="13"/>
  </w:num>
  <w:num w:numId="29">
    <w:abstractNumId w:val="12"/>
  </w:num>
  <w:num w:numId="30">
    <w:abstractNumId w:val="2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removePersonalInformation/>
  <w:removeDateAndTime/>
  <w:proofState w:spelling="clean" w:grammar="clean"/>
  <w:stylePaneFormatFilter w:val="3F01"/>
  <w:defaultTabStop w:val="567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022"/>
    <w:rsid w:val="0000300B"/>
    <w:rsid w:val="0000334E"/>
    <w:rsid w:val="00005643"/>
    <w:rsid w:val="00007C8D"/>
    <w:rsid w:val="00011F32"/>
    <w:rsid w:val="00016BA2"/>
    <w:rsid w:val="00023C08"/>
    <w:rsid w:val="00025D13"/>
    <w:rsid w:val="0003025D"/>
    <w:rsid w:val="00032B32"/>
    <w:rsid w:val="00036086"/>
    <w:rsid w:val="00040B05"/>
    <w:rsid w:val="0004274A"/>
    <w:rsid w:val="00042D4C"/>
    <w:rsid w:val="00045264"/>
    <w:rsid w:val="000460F8"/>
    <w:rsid w:val="00050A2C"/>
    <w:rsid w:val="00051A91"/>
    <w:rsid w:val="00051F7A"/>
    <w:rsid w:val="00052DB6"/>
    <w:rsid w:val="0005491A"/>
    <w:rsid w:val="000609D9"/>
    <w:rsid w:val="00061A05"/>
    <w:rsid w:val="00063BB4"/>
    <w:rsid w:val="00065340"/>
    <w:rsid w:val="0007071C"/>
    <w:rsid w:val="00070A52"/>
    <w:rsid w:val="00072306"/>
    <w:rsid w:val="00072549"/>
    <w:rsid w:val="000727E2"/>
    <w:rsid w:val="00073B86"/>
    <w:rsid w:val="00074CB2"/>
    <w:rsid w:val="00084468"/>
    <w:rsid w:val="00084D8E"/>
    <w:rsid w:val="000907DE"/>
    <w:rsid w:val="00091A07"/>
    <w:rsid w:val="00095E28"/>
    <w:rsid w:val="00096FB8"/>
    <w:rsid w:val="000A0E4B"/>
    <w:rsid w:val="000A2AE5"/>
    <w:rsid w:val="000A3641"/>
    <w:rsid w:val="000A3F47"/>
    <w:rsid w:val="000A4D28"/>
    <w:rsid w:val="000A5293"/>
    <w:rsid w:val="000A59BE"/>
    <w:rsid w:val="000A6A9B"/>
    <w:rsid w:val="000A7A3F"/>
    <w:rsid w:val="000B1051"/>
    <w:rsid w:val="000B193B"/>
    <w:rsid w:val="000B2131"/>
    <w:rsid w:val="000B3A34"/>
    <w:rsid w:val="000B3F4F"/>
    <w:rsid w:val="000C14FE"/>
    <w:rsid w:val="000C2BDB"/>
    <w:rsid w:val="000C2DC3"/>
    <w:rsid w:val="000C3067"/>
    <w:rsid w:val="000C7244"/>
    <w:rsid w:val="000D00A5"/>
    <w:rsid w:val="000D02FC"/>
    <w:rsid w:val="000D1326"/>
    <w:rsid w:val="000D2159"/>
    <w:rsid w:val="000D432B"/>
    <w:rsid w:val="000D4BB5"/>
    <w:rsid w:val="000D4FF8"/>
    <w:rsid w:val="000D68D5"/>
    <w:rsid w:val="000D797B"/>
    <w:rsid w:val="000E312C"/>
    <w:rsid w:val="000E36AE"/>
    <w:rsid w:val="000E3954"/>
    <w:rsid w:val="000E44D2"/>
    <w:rsid w:val="000E7520"/>
    <w:rsid w:val="000E7688"/>
    <w:rsid w:val="000E7BC7"/>
    <w:rsid w:val="000F145B"/>
    <w:rsid w:val="000F1F80"/>
    <w:rsid w:val="000F3B8E"/>
    <w:rsid w:val="000F3FFA"/>
    <w:rsid w:val="000F66BE"/>
    <w:rsid w:val="000F6A00"/>
    <w:rsid w:val="000F7B2C"/>
    <w:rsid w:val="000F7DDD"/>
    <w:rsid w:val="001002A8"/>
    <w:rsid w:val="001019FD"/>
    <w:rsid w:val="001037A5"/>
    <w:rsid w:val="001040ED"/>
    <w:rsid w:val="00105943"/>
    <w:rsid w:val="00107C9C"/>
    <w:rsid w:val="00110856"/>
    <w:rsid w:val="00111D3B"/>
    <w:rsid w:val="001127B6"/>
    <w:rsid w:val="00112BE2"/>
    <w:rsid w:val="001130BC"/>
    <w:rsid w:val="00113FC2"/>
    <w:rsid w:val="0011424C"/>
    <w:rsid w:val="00122FA0"/>
    <w:rsid w:val="0012342D"/>
    <w:rsid w:val="001240A3"/>
    <w:rsid w:val="001244AE"/>
    <w:rsid w:val="00124A67"/>
    <w:rsid w:val="00125A68"/>
    <w:rsid w:val="001264EA"/>
    <w:rsid w:val="00130229"/>
    <w:rsid w:val="00131856"/>
    <w:rsid w:val="0013459A"/>
    <w:rsid w:val="00134A4B"/>
    <w:rsid w:val="001358C8"/>
    <w:rsid w:val="00137EBF"/>
    <w:rsid w:val="00144202"/>
    <w:rsid w:val="00147015"/>
    <w:rsid w:val="00147E05"/>
    <w:rsid w:val="00150898"/>
    <w:rsid w:val="00151660"/>
    <w:rsid w:val="001522E5"/>
    <w:rsid w:val="00152BF9"/>
    <w:rsid w:val="00153F0C"/>
    <w:rsid w:val="00157201"/>
    <w:rsid w:val="001611E0"/>
    <w:rsid w:val="001617F2"/>
    <w:rsid w:val="00161DE7"/>
    <w:rsid w:val="001631C5"/>
    <w:rsid w:val="00165E54"/>
    <w:rsid w:val="00170D27"/>
    <w:rsid w:val="00171504"/>
    <w:rsid w:val="001716D9"/>
    <w:rsid w:val="00175C89"/>
    <w:rsid w:val="00175F46"/>
    <w:rsid w:val="001767FA"/>
    <w:rsid w:val="00176E4D"/>
    <w:rsid w:val="00177AFD"/>
    <w:rsid w:val="001802A8"/>
    <w:rsid w:val="001802C0"/>
    <w:rsid w:val="0018129A"/>
    <w:rsid w:val="00181E1C"/>
    <w:rsid w:val="001847A6"/>
    <w:rsid w:val="00185301"/>
    <w:rsid w:val="001856DC"/>
    <w:rsid w:val="001901D9"/>
    <w:rsid w:val="00191769"/>
    <w:rsid w:val="00193000"/>
    <w:rsid w:val="001939F0"/>
    <w:rsid w:val="00193CCB"/>
    <w:rsid w:val="00193EB6"/>
    <w:rsid w:val="00195CA3"/>
    <w:rsid w:val="00195F6C"/>
    <w:rsid w:val="001A0B8E"/>
    <w:rsid w:val="001A0C51"/>
    <w:rsid w:val="001A2609"/>
    <w:rsid w:val="001A5D71"/>
    <w:rsid w:val="001A730C"/>
    <w:rsid w:val="001B1F63"/>
    <w:rsid w:val="001B30AB"/>
    <w:rsid w:val="001B466C"/>
    <w:rsid w:val="001B58E7"/>
    <w:rsid w:val="001B5A54"/>
    <w:rsid w:val="001B700D"/>
    <w:rsid w:val="001B79DD"/>
    <w:rsid w:val="001C06FE"/>
    <w:rsid w:val="001C2D26"/>
    <w:rsid w:val="001C7822"/>
    <w:rsid w:val="001D0811"/>
    <w:rsid w:val="001D3D7B"/>
    <w:rsid w:val="001D41EE"/>
    <w:rsid w:val="001E11A4"/>
    <w:rsid w:val="001E2827"/>
    <w:rsid w:val="001E4C38"/>
    <w:rsid w:val="001E504A"/>
    <w:rsid w:val="001E5EF2"/>
    <w:rsid w:val="001F0D48"/>
    <w:rsid w:val="001F1B3D"/>
    <w:rsid w:val="001F375E"/>
    <w:rsid w:val="001F645C"/>
    <w:rsid w:val="001F6F5B"/>
    <w:rsid w:val="002036F3"/>
    <w:rsid w:val="00203DB1"/>
    <w:rsid w:val="002041C8"/>
    <w:rsid w:val="002104D9"/>
    <w:rsid w:val="002108C7"/>
    <w:rsid w:val="00212BDC"/>
    <w:rsid w:val="002137F6"/>
    <w:rsid w:val="00214F91"/>
    <w:rsid w:val="0021591E"/>
    <w:rsid w:val="0021629C"/>
    <w:rsid w:val="002170B0"/>
    <w:rsid w:val="002171A9"/>
    <w:rsid w:val="00221320"/>
    <w:rsid w:val="00221DD3"/>
    <w:rsid w:val="00224650"/>
    <w:rsid w:val="00224F56"/>
    <w:rsid w:val="00225E40"/>
    <w:rsid w:val="00232983"/>
    <w:rsid w:val="00234EF2"/>
    <w:rsid w:val="00236BB5"/>
    <w:rsid w:val="00237298"/>
    <w:rsid w:val="002378FB"/>
    <w:rsid w:val="002406D2"/>
    <w:rsid w:val="002419E7"/>
    <w:rsid w:val="00242911"/>
    <w:rsid w:val="00242A7B"/>
    <w:rsid w:val="00245D33"/>
    <w:rsid w:val="00246998"/>
    <w:rsid w:val="002520E1"/>
    <w:rsid w:val="002546FC"/>
    <w:rsid w:val="00257897"/>
    <w:rsid w:val="00260D08"/>
    <w:rsid w:val="00262777"/>
    <w:rsid w:val="002631B5"/>
    <w:rsid w:val="0026726C"/>
    <w:rsid w:val="00272042"/>
    <w:rsid w:val="00272394"/>
    <w:rsid w:val="00272903"/>
    <w:rsid w:val="00275CCC"/>
    <w:rsid w:val="00276EAE"/>
    <w:rsid w:val="00277A54"/>
    <w:rsid w:val="00277B95"/>
    <w:rsid w:val="002806E5"/>
    <w:rsid w:val="002815AE"/>
    <w:rsid w:val="00281C06"/>
    <w:rsid w:val="00281E6D"/>
    <w:rsid w:val="002840DE"/>
    <w:rsid w:val="0029141C"/>
    <w:rsid w:val="00293E33"/>
    <w:rsid w:val="00293EA0"/>
    <w:rsid w:val="0029459F"/>
    <w:rsid w:val="00294E1F"/>
    <w:rsid w:val="00296E82"/>
    <w:rsid w:val="002A1427"/>
    <w:rsid w:val="002A23F8"/>
    <w:rsid w:val="002A4EDD"/>
    <w:rsid w:val="002A60CE"/>
    <w:rsid w:val="002A6D08"/>
    <w:rsid w:val="002B2544"/>
    <w:rsid w:val="002B33EF"/>
    <w:rsid w:val="002B3894"/>
    <w:rsid w:val="002B4583"/>
    <w:rsid w:val="002B5972"/>
    <w:rsid w:val="002B79CE"/>
    <w:rsid w:val="002B7A07"/>
    <w:rsid w:val="002C0058"/>
    <w:rsid w:val="002C0956"/>
    <w:rsid w:val="002C1EB2"/>
    <w:rsid w:val="002C247B"/>
    <w:rsid w:val="002C2653"/>
    <w:rsid w:val="002C5DFB"/>
    <w:rsid w:val="002D0747"/>
    <w:rsid w:val="002D6B3F"/>
    <w:rsid w:val="002E0C0E"/>
    <w:rsid w:val="002E1AB3"/>
    <w:rsid w:val="002E1DCA"/>
    <w:rsid w:val="002E1E61"/>
    <w:rsid w:val="002E37B6"/>
    <w:rsid w:val="002E3A96"/>
    <w:rsid w:val="002E4BAD"/>
    <w:rsid w:val="002E77CA"/>
    <w:rsid w:val="002E7F5F"/>
    <w:rsid w:val="002F0A41"/>
    <w:rsid w:val="002F0B29"/>
    <w:rsid w:val="002F283D"/>
    <w:rsid w:val="002F482C"/>
    <w:rsid w:val="002F4D69"/>
    <w:rsid w:val="002F5478"/>
    <w:rsid w:val="002F63FE"/>
    <w:rsid w:val="002F7391"/>
    <w:rsid w:val="00301425"/>
    <w:rsid w:val="003017BE"/>
    <w:rsid w:val="0030187D"/>
    <w:rsid w:val="00301E9E"/>
    <w:rsid w:val="00303130"/>
    <w:rsid w:val="00304947"/>
    <w:rsid w:val="003057AE"/>
    <w:rsid w:val="00305928"/>
    <w:rsid w:val="00311E45"/>
    <w:rsid w:val="0031334B"/>
    <w:rsid w:val="003142A5"/>
    <w:rsid w:val="003144F6"/>
    <w:rsid w:val="00314563"/>
    <w:rsid w:val="003148D4"/>
    <w:rsid w:val="00315BFD"/>
    <w:rsid w:val="00322075"/>
    <w:rsid w:val="00326BE5"/>
    <w:rsid w:val="0032742D"/>
    <w:rsid w:val="003274A8"/>
    <w:rsid w:val="00327D8A"/>
    <w:rsid w:val="0033118F"/>
    <w:rsid w:val="0033639D"/>
    <w:rsid w:val="00336434"/>
    <w:rsid w:val="00337EE5"/>
    <w:rsid w:val="00340EA6"/>
    <w:rsid w:val="00340F08"/>
    <w:rsid w:val="00342B33"/>
    <w:rsid w:val="00343425"/>
    <w:rsid w:val="00343921"/>
    <w:rsid w:val="0034407A"/>
    <w:rsid w:val="00344282"/>
    <w:rsid w:val="0034610D"/>
    <w:rsid w:val="0034741A"/>
    <w:rsid w:val="00351C52"/>
    <w:rsid w:val="003541E8"/>
    <w:rsid w:val="00354A22"/>
    <w:rsid w:val="00357E8B"/>
    <w:rsid w:val="00362134"/>
    <w:rsid w:val="003634DD"/>
    <w:rsid w:val="00363579"/>
    <w:rsid w:val="00363C72"/>
    <w:rsid w:val="00367786"/>
    <w:rsid w:val="00370393"/>
    <w:rsid w:val="00370DB5"/>
    <w:rsid w:val="0037141B"/>
    <w:rsid w:val="0037224D"/>
    <w:rsid w:val="00374AF5"/>
    <w:rsid w:val="00376093"/>
    <w:rsid w:val="0038035D"/>
    <w:rsid w:val="00382D1E"/>
    <w:rsid w:val="0038369F"/>
    <w:rsid w:val="00383D7C"/>
    <w:rsid w:val="003879DF"/>
    <w:rsid w:val="00390D0A"/>
    <w:rsid w:val="003955FC"/>
    <w:rsid w:val="00397C1B"/>
    <w:rsid w:val="003A0F7D"/>
    <w:rsid w:val="003A346C"/>
    <w:rsid w:val="003A6B26"/>
    <w:rsid w:val="003B0803"/>
    <w:rsid w:val="003B0A1E"/>
    <w:rsid w:val="003B0E76"/>
    <w:rsid w:val="003B125F"/>
    <w:rsid w:val="003B1670"/>
    <w:rsid w:val="003B1A98"/>
    <w:rsid w:val="003B324C"/>
    <w:rsid w:val="003B3402"/>
    <w:rsid w:val="003B3D41"/>
    <w:rsid w:val="003B61D0"/>
    <w:rsid w:val="003B642A"/>
    <w:rsid w:val="003B767A"/>
    <w:rsid w:val="003C0792"/>
    <w:rsid w:val="003C23DE"/>
    <w:rsid w:val="003C24D0"/>
    <w:rsid w:val="003D1955"/>
    <w:rsid w:val="003D3E11"/>
    <w:rsid w:val="003D4EA5"/>
    <w:rsid w:val="003D5948"/>
    <w:rsid w:val="003D629D"/>
    <w:rsid w:val="003D7D4A"/>
    <w:rsid w:val="003E0537"/>
    <w:rsid w:val="003E1E77"/>
    <w:rsid w:val="003E225E"/>
    <w:rsid w:val="003E22FC"/>
    <w:rsid w:val="003E24EC"/>
    <w:rsid w:val="003F2116"/>
    <w:rsid w:val="003F2693"/>
    <w:rsid w:val="003F68EA"/>
    <w:rsid w:val="003F6C2D"/>
    <w:rsid w:val="0040129F"/>
    <w:rsid w:val="00402C1C"/>
    <w:rsid w:val="00402CED"/>
    <w:rsid w:val="00403F51"/>
    <w:rsid w:val="00404E95"/>
    <w:rsid w:val="00406A3E"/>
    <w:rsid w:val="00407B92"/>
    <w:rsid w:val="004109FD"/>
    <w:rsid w:val="00411188"/>
    <w:rsid w:val="00415928"/>
    <w:rsid w:val="004261DB"/>
    <w:rsid w:val="004273B8"/>
    <w:rsid w:val="00427D2E"/>
    <w:rsid w:val="004300B8"/>
    <w:rsid w:val="0043191F"/>
    <w:rsid w:val="00437CBA"/>
    <w:rsid w:val="004437B3"/>
    <w:rsid w:val="004471CE"/>
    <w:rsid w:val="00450357"/>
    <w:rsid w:val="00452BEB"/>
    <w:rsid w:val="00453A54"/>
    <w:rsid w:val="00454284"/>
    <w:rsid w:val="004546A4"/>
    <w:rsid w:val="004551BE"/>
    <w:rsid w:val="00455C79"/>
    <w:rsid w:val="00456404"/>
    <w:rsid w:val="0045700F"/>
    <w:rsid w:val="004573C1"/>
    <w:rsid w:val="00464707"/>
    <w:rsid w:val="0046505B"/>
    <w:rsid w:val="00466743"/>
    <w:rsid w:val="00467644"/>
    <w:rsid w:val="00471F3C"/>
    <w:rsid w:val="00476F8B"/>
    <w:rsid w:val="0048134B"/>
    <w:rsid w:val="00481707"/>
    <w:rsid w:val="004829D0"/>
    <w:rsid w:val="00483852"/>
    <w:rsid w:val="00484221"/>
    <w:rsid w:val="00485136"/>
    <w:rsid w:val="0048765D"/>
    <w:rsid w:val="00491998"/>
    <w:rsid w:val="00491FE4"/>
    <w:rsid w:val="00493C8E"/>
    <w:rsid w:val="004A054B"/>
    <w:rsid w:val="004A0D98"/>
    <w:rsid w:val="004A19A3"/>
    <w:rsid w:val="004A2487"/>
    <w:rsid w:val="004A3F8C"/>
    <w:rsid w:val="004A59D9"/>
    <w:rsid w:val="004A69DF"/>
    <w:rsid w:val="004A789E"/>
    <w:rsid w:val="004B0659"/>
    <w:rsid w:val="004B2D77"/>
    <w:rsid w:val="004C24D3"/>
    <w:rsid w:val="004C2506"/>
    <w:rsid w:val="004C27D3"/>
    <w:rsid w:val="004C3CE8"/>
    <w:rsid w:val="004C3FD6"/>
    <w:rsid w:val="004C49E2"/>
    <w:rsid w:val="004C61EA"/>
    <w:rsid w:val="004D2DA3"/>
    <w:rsid w:val="004D52E9"/>
    <w:rsid w:val="004E0192"/>
    <w:rsid w:val="004E025A"/>
    <w:rsid w:val="004E094F"/>
    <w:rsid w:val="004E35A3"/>
    <w:rsid w:val="004E6C7A"/>
    <w:rsid w:val="004E6E14"/>
    <w:rsid w:val="004F0808"/>
    <w:rsid w:val="004F12D6"/>
    <w:rsid w:val="004F2FDE"/>
    <w:rsid w:val="004F3FEF"/>
    <w:rsid w:val="004F4155"/>
    <w:rsid w:val="004F4BF8"/>
    <w:rsid w:val="004F5088"/>
    <w:rsid w:val="004F5BAE"/>
    <w:rsid w:val="004F641F"/>
    <w:rsid w:val="004F6459"/>
    <w:rsid w:val="004F6A6B"/>
    <w:rsid w:val="004F72F7"/>
    <w:rsid w:val="00500782"/>
    <w:rsid w:val="00503BDE"/>
    <w:rsid w:val="00503F64"/>
    <w:rsid w:val="00505924"/>
    <w:rsid w:val="00505C16"/>
    <w:rsid w:val="00505DBA"/>
    <w:rsid w:val="00506943"/>
    <w:rsid w:val="00507010"/>
    <w:rsid w:val="00511097"/>
    <w:rsid w:val="00511181"/>
    <w:rsid w:val="00513CDE"/>
    <w:rsid w:val="00514C44"/>
    <w:rsid w:val="00514F0E"/>
    <w:rsid w:val="0052206D"/>
    <w:rsid w:val="0052263F"/>
    <w:rsid w:val="00522C7C"/>
    <w:rsid w:val="00522DC5"/>
    <w:rsid w:val="00522E3D"/>
    <w:rsid w:val="0052325C"/>
    <w:rsid w:val="00524A35"/>
    <w:rsid w:val="00524A47"/>
    <w:rsid w:val="00525AF3"/>
    <w:rsid w:val="00526B39"/>
    <w:rsid w:val="00531B55"/>
    <w:rsid w:val="0053278B"/>
    <w:rsid w:val="0054025E"/>
    <w:rsid w:val="00540F63"/>
    <w:rsid w:val="00540F75"/>
    <w:rsid w:val="0054110B"/>
    <w:rsid w:val="0054415C"/>
    <w:rsid w:val="0054416C"/>
    <w:rsid w:val="00544701"/>
    <w:rsid w:val="00551EE5"/>
    <w:rsid w:val="00554C6C"/>
    <w:rsid w:val="00557A8F"/>
    <w:rsid w:val="005614D6"/>
    <w:rsid w:val="00562BBE"/>
    <w:rsid w:val="00562DAE"/>
    <w:rsid w:val="00564E0D"/>
    <w:rsid w:val="00570FC1"/>
    <w:rsid w:val="005721C5"/>
    <w:rsid w:val="00573732"/>
    <w:rsid w:val="0057385A"/>
    <w:rsid w:val="00574A19"/>
    <w:rsid w:val="00574E59"/>
    <w:rsid w:val="00576466"/>
    <w:rsid w:val="00576D51"/>
    <w:rsid w:val="0057710E"/>
    <w:rsid w:val="00580AC1"/>
    <w:rsid w:val="00581992"/>
    <w:rsid w:val="005836CC"/>
    <w:rsid w:val="005842A4"/>
    <w:rsid w:val="005845F3"/>
    <w:rsid w:val="005855E7"/>
    <w:rsid w:val="005861E6"/>
    <w:rsid w:val="005908D2"/>
    <w:rsid w:val="00591C99"/>
    <w:rsid w:val="00592092"/>
    <w:rsid w:val="00593959"/>
    <w:rsid w:val="005939A7"/>
    <w:rsid w:val="00593AB5"/>
    <w:rsid w:val="005958C1"/>
    <w:rsid w:val="00595E64"/>
    <w:rsid w:val="00597470"/>
    <w:rsid w:val="005A1292"/>
    <w:rsid w:val="005A1FF2"/>
    <w:rsid w:val="005A599B"/>
    <w:rsid w:val="005A64F7"/>
    <w:rsid w:val="005B31FD"/>
    <w:rsid w:val="005C201C"/>
    <w:rsid w:val="005C3AB7"/>
    <w:rsid w:val="005C51F7"/>
    <w:rsid w:val="005D1812"/>
    <w:rsid w:val="005D206A"/>
    <w:rsid w:val="005D456F"/>
    <w:rsid w:val="005D48CA"/>
    <w:rsid w:val="005D5A16"/>
    <w:rsid w:val="005D7632"/>
    <w:rsid w:val="005E0661"/>
    <w:rsid w:val="005E09F7"/>
    <w:rsid w:val="005E306B"/>
    <w:rsid w:val="005E4329"/>
    <w:rsid w:val="005E6B15"/>
    <w:rsid w:val="005F0138"/>
    <w:rsid w:val="005F23D4"/>
    <w:rsid w:val="005F3083"/>
    <w:rsid w:val="005F4643"/>
    <w:rsid w:val="005F5D29"/>
    <w:rsid w:val="005F68AC"/>
    <w:rsid w:val="005F7F10"/>
    <w:rsid w:val="006009AE"/>
    <w:rsid w:val="00601D0E"/>
    <w:rsid w:val="006046F8"/>
    <w:rsid w:val="00604ECF"/>
    <w:rsid w:val="00605EEE"/>
    <w:rsid w:val="006065D3"/>
    <w:rsid w:val="00606889"/>
    <w:rsid w:val="00607B24"/>
    <w:rsid w:val="006103E3"/>
    <w:rsid w:val="0061493C"/>
    <w:rsid w:val="00615237"/>
    <w:rsid w:val="00617543"/>
    <w:rsid w:val="00621713"/>
    <w:rsid w:val="00624047"/>
    <w:rsid w:val="00626085"/>
    <w:rsid w:val="00626DE6"/>
    <w:rsid w:val="00627040"/>
    <w:rsid w:val="00627621"/>
    <w:rsid w:val="006300DE"/>
    <w:rsid w:val="0063048A"/>
    <w:rsid w:val="00631A55"/>
    <w:rsid w:val="00635547"/>
    <w:rsid w:val="0063614D"/>
    <w:rsid w:val="00640477"/>
    <w:rsid w:val="0064391C"/>
    <w:rsid w:val="006445AD"/>
    <w:rsid w:val="0064732F"/>
    <w:rsid w:val="00647418"/>
    <w:rsid w:val="00650D31"/>
    <w:rsid w:val="0065257F"/>
    <w:rsid w:val="00652F81"/>
    <w:rsid w:val="006534C6"/>
    <w:rsid w:val="006623F2"/>
    <w:rsid w:val="00662DD9"/>
    <w:rsid w:val="006636A6"/>
    <w:rsid w:val="00664DC3"/>
    <w:rsid w:val="00665C05"/>
    <w:rsid w:val="0066629F"/>
    <w:rsid w:val="00667ADE"/>
    <w:rsid w:val="0067397E"/>
    <w:rsid w:val="00675410"/>
    <w:rsid w:val="00681ADC"/>
    <w:rsid w:val="006846A9"/>
    <w:rsid w:val="00687704"/>
    <w:rsid w:val="006A1904"/>
    <w:rsid w:val="006A32AA"/>
    <w:rsid w:val="006A44C1"/>
    <w:rsid w:val="006A4999"/>
    <w:rsid w:val="006A5F06"/>
    <w:rsid w:val="006A727F"/>
    <w:rsid w:val="006B28C4"/>
    <w:rsid w:val="006B2F38"/>
    <w:rsid w:val="006C60D1"/>
    <w:rsid w:val="006C7D95"/>
    <w:rsid w:val="006D0B5D"/>
    <w:rsid w:val="006D5E01"/>
    <w:rsid w:val="006D71DB"/>
    <w:rsid w:val="006D749A"/>
    <w:rsid w:val="006E00EA"/>
    <w:rsid w:val="006E0975"/>
    <w:rsid w:val="006E0AC6"/>
    <w:rsid w:val="006E1935"/>
    <w:rsid w:val="006E39EC"/>
    <w:rsid w:val="006E5F02"/>
    <w:rsid w:val="006E7459"/>
    <w:rsid w:val="006F011A"/>
    <w:rsid w:val="006F1564"/>
    <w:rsid w:val="006F4C8C"/>
    <w:rsid w:val="006F4D67"/>
    <w:rsid w:val="006F6F0D"/>
    <w:rsid w:val="006F778E"/>
    <w:rsid w:val="006F7A60"/>
    <w:rsid w:val="00700626"/>
    <w:rsid w:val="007022CD"/>
    <w:rsid w:val="007045F7"/>
    <w:rsid w:val="007055F7"/>
    <w:rsid w:val="00707DCF"/>
    <w:rsid w:val="00707FEF"/>
    <w:rsid w:val="00713A6E"/>
    <w:rsid w:val="00717714"/>
    <w:rsid w:val="00720E89"/>
    <w:rsid w:val="00725AA7"/>
    <w:rsid w:val="00725BCD"/>
    <w:rsid w:val="007273F0"/>
    <w:rsid w:val="00732357"/>
    <w:rsid w:val="00735B89"/>
    <w:rsid w:val="007424D8"/>
    <w:rsid w:val="00742EA5"/>
    <w:rsid w:val="00742F88"/>
    <w:rsid w:val="00744673"/>
    <w:rsid w:val="00744FCB"/>
    <w:rsid w:val="00745491"/>
    <w:rsid w:val="00745527"/>
    <w:rsid w:val="007460C3"/>
    <w:rsid w:val="00746205"/>
    <w:rsid w:val="007506D8"/>
    <w:rsid w:val="00750DB6"/>
    <w:rsid w:val="00755E64"/>
    <w:rsid w:val="00756BB5"/>
    <w:rsid w:val="00756BEE"/>
    <w:rsid w:val="00757531"/>
    <w:rsid w:val="00760F83"/>
    <w:rsid w:val="00761C8D"/>
    <w:rsid w:val="00764418"/>
    <w:rsid w:val="007645CC"/>
    <w:rsid w:val="00765927"/>
    <w:rsid w:val="007745AD"/>
    <w:rsid w:val="00774617"/>
    <w:rsid w:val="0077543C"/>
    <w:rsid w:val="00776FB8"/>
    <w:rsid w:val="007800DD"/>
    <w:rsid w:val="00780E42"/>
    <w:rsid w:val="00783639"/>
    <w:rsid w:val="00784997"/>
    <w:rsid w:val="00787679"/>
    <w:rsid w:val="0079221C"/>
    <w:rsid w:val="00795990"/>
    <w:rsid w:val="00796B12"/>
    <w:rsid w:val="007A0937"/>
    <w:rsid w:val="007A23D2"/>
    <w:rsid w:val="007A3C29"/>
    <w:rsid w:val="007A5674"/>
    <w:rsid w:val="007A6995"/>
    <w:rsid w:val="007A72F5"/>
    <w:rsid w:val="007B4CDE"/>
    <w:rsid w:val="007C03C6"/>
    <w:rsid w:val="007C08A7"/>
    <w:rsid w:val="007C213F"/>
    <w:rsid w:val="007C2742"/>
    <w:rsid w:val="007C4108"/>
    <w:rsid w:val="007C50ED"/>
    <w:rsid w:val="007C75DA"/>
    <w:rsid w:val="007C7864"/>
    <w:rsid w:val="007C79D1"/>
    <w:rsid w:val="007D0224"/>
    <w:rsid w:val="007E2540"/>
    <w:rsid w:val="007E42E6"/>
    <w:rsid w:val="007E4820"/>
    <w:rsid w:val="007F0969"/>
    <w:rsid w:val="007F0F50"/>
    <w:rsid w:val="007F11DC"/>
    <w:rsid w:val="007F504F"/>
    <w:rsid w:val="007F6C6C"/>
    <w:rsid w:val="00800903"/>
    <w:rsid w:val="0080190D"/>
    <w:rsid w:val="00803443"/>
    <w:rsid w:val="00810038"/>
    <w:rsid w:val="00811EA3"/>
    <w:rsid w:val="0081505B"/>
    <w:rsid w:val="008160F0"/>
    <w:rsid w:val="008207A6"/>
    <w:rsid w:val="00821D09"/>
    <w:rsid w:val="0082440D"/>
    <w:rsid w:val="00825324"/>
    <w:rsid w:val="00833ACD"/>
    <w:rsid w:val="00834D8C"/>
    <w:rsid w:val="00840056"/>
    <w:rsid w:val="008424C7"/>
    <w:rsid w:val="008427C5"/>
    <w:rsid w:val="0084448C"/>
    <w:rsid w:val="00846186"/>
    <w:rsid w:val="00852E1F"/>
    <w:rsid w:val="00854A74"/>
    <w:rsid w:val="00854E1C"/>
    <w:rsid w:val="00855664"/>
    <w:rsid w:val="008565A7"/>
    <w:rsid w:val="008579AF"/>
    <w:rsid w:val="00860498"/>
    <w:rsid w:val="0086194A"/>
    <w:rsid w:val="00861FE4"/>
    <w:rsid w:val="0086440B"/>
    <w:rsid w:val="0086502F"/>
    <w:rsid w:val="008664BE"/>
    <w:rsid w:val="0087052C"/>
    <w:rsid w:val="00870DA8"/>
    <w:rsid w:val="008735CD"/>
    <w:rsid w:val="00875E54"/>
    <w:rsid w:val="00875F47"/>
    <w:rsid w:val="00876233"/>
    <w:rsid w:val="008767B2"/>
    <w:rsid w:val="00887248"/>
    <w:rsid w:val="008872C6"/>
    <w:rsid w:val="00887CC1"/>
    <w:rsid w:val="00890895"/>
    <w:rsid w:val="00892E16"/>
    <w:rsid w:val="00893253"/>
    <w:rsid w:val="008965FB"/>
    <w:rsid w:val="00897680"/>
    <w:rsid w:val="008A0FB0"/>
    <w:rsid w:val="008A16B3"/>
    <w:rsid w:val="008A1D78"/>
    <w:rsid w:val="008A2813"/>
    <w:rsid w:val="008A2EAE"/>
    <w:rsid w:val="008A40F0"/>
    <w:rsid w:val="008A48D2"/>
    <w:rsid w:val="008A7A77"/>
    <w:rsid w:val="008B006E"/>
    <w:rsid w:val="008B608B"/>
    <w:rsid w:val="008B68A6"/>
    <w:rsid w:val="008C39BD"/>
    <w:rsid w:val="008D0BFC"/>
    <w:rsid w:val="008D1340"/>
    <w:rsid w:val="008D20E8"/>
    <w:rsid w:val="008D70C8"/>
    <w:rsid w:val="008D7AC0"/>
    <w:rsid w:val="008E3968"/>
    <w:rsid w:val="008E49A5"/>
    <w:rsid w:val="008E658A"/>
    <w:rsid w:val="008E7620"/>
    <w:rsid w:val="008F0A2F"/>
    <w:rsid w:val="008F0AA0"/>
    <w:rsid w:val="008F1A30"/>
    <w:rsid w:val="008F265A"/>
    <w:rsid w:val="008F268F"/>
    <w:rsid w:val="008F3515"/>
    <w:rsid w:val="008F3CE5"/>
    <w:rsid w:val="009003FF"/>
    <w:rsid w:val="009007A8"/>
    <w:rsid w:val="0090366E"/>
    <w:rsid w:val="00904EB8"/>
    <w:rsid w:val="009156BD"/>
    <w:rsid w:val="00916D7D"/>
    <w:rsid w:val="009175FE"/>
    <w:rsid w:val="009178F5"/>
    <w:rsid w:val="009216F8"/>
    <w:rsid w:val="009252EE"/>
    <w:rsid w:val="00926FB5"/>
    <w:rsid w:val="0092727E"/>
    <w:rsid w:val="009279BC"/>
    <w:rsid w:val="009319D8"/>
    <w:rsid w:val="009333A1"/>
    <w:rsid w:val="00933FDC"/>
    <w:rsid w:val="009345AD"/>
    <w:rsid w:val="00934AC5"/>
    <w:rsid w:val="00934D14"/>
    <w:rsid w:val="00935C10"/>
    <w:rsid w:val="0093648C"/>
    <w:rsid w:val="009365B2"/>
    <w:rsid w:val="00944A58"/>
    <w:rsid w:val="009457DE"/>
    <w:rsid w:val="00946CB6"/>
    <w:rsid w:val="00947063"/>
    <w:rsid w:val="00947EF9"/>
    <w:rsid w:val="00952071"/>
    <w:rsid w:val="009551D2"/>
    <w:rsid w:val="00955E9C"/>
    <w:rsid w:val="00956080"/>
    <w:rsid w:val="0095731A"/>
    <w:rsid w:val="00957BDA"/>
    <w:rsid w:val="00962D6A"/>
    <w:rsid w:val="00963C52"/>
    <w:rsid w:val="009660FA"/>
    <w:rsid w:val="00966614"/>
    <w:rsid w:val="00967803"/>
    <w:rsid w:val="00970DA6"/>
    <w:rsid w:val="009726C9"/>
    <w:rsid w:val="009726DE"/>
    <w:rsid w:val="00975726"/>
    <w:rsid w:val="00980615"/>
    <w:rsid w:val="00981EB4"/>
    <w:rsid w:val="00982211"/>
    <w:rsid w:val="009824A5"/>
    <w:rsid w:val="0098262A"/>
    <w:rsid w:val="00983973"/>
    <w:rsid w:val="009859BF"/>
    <w:rsid w:val="009861A4"/>
    <w:rsid w:val="00986FA1"/>
    <w:rsid w:val="00986FAA"/>
    <w:rsid w:val="00987A1A"/>
    <w:rsid w:val="00990EDA"/>
    <w:rsid w:val="0099442B"/>
    <w:rsid w:val="0099465D"/>
    <w:rsid w:val="0099662E"/>
    <w:rsid w:val="00997E2E"/>
    <w:rsid w:val="009A0C9C"/>
    <w:rsid w:val="009A3374"/>
    <w:rsid w:val="009A3E5C"/>
    <w:rsid w:val="009A4967"/>
    <w:rsid w:val="009A7686"/>
    <w:rsid w:val="009A776B"/>
    <w:rsid w:val="009A7F77"/>
    <w:rsid w:val="009B47B3"/>
    <w:rsid w:val="009B5C59"/>
    <w:rsid w:val="009C0ABD"/>
    <w:rsid w:val="009C0B38"/>
    <w:rsid w:val="009C3B95"/>
    <w:rsid w:val="009C6A28"/>
    <w:rsid w:val="009C6FF8"/>
    <w:rsid w:val="009C7347"/>
    <w:rsid w:val="009D092A"/>
    <w:rsid w:val="009D25B7"/>
    <w:rsid w:val="009D31C6"/>
    <w:rsid w:val="009D3892"/>
    <w:rsid w:val="009D67B7"/>
    <w:rsid w:val="009E0739"/>
    <w:rsid w:val="009E1DD5"/>
    <w:rsid w:val="009E2171"/>
    <w:rsid w:val="009E5237"/>
    <w:rsid w:val="009E6A92"/>
    <w:rsid w:val="009E7C58"/>
    <w:rsid w:val="009F016C"/>
    <w:rsid w:val="009F28F0"/>
    <w:rsid w:val="009F33FC"/>
    <w:rsid w:val="009F3690"/>
    <w:rsid w:val="009F4413"/>
    <w:rsid w:val="00A00FC6"/>
    <w:rsid w:val="00A03B39"/>
    <w:rsid w:val="00A067FA"/>
    <w:rsid w:val="00A10361"/>
    <w:rsid w:val="00A11461"/>
    <w:rsid w:val="00A11F92"/>
    <w:rsid w:val="00A129C2"/>
    <w:rsid w:val="00A139DE"/>
    <w:rsid w:val="00A13ACB"/>
    <w:rsid w:val="00A13E1F"/>
    <w:rsid w:val="00A14B5D"/>
    <w:rsid w:val="00A16E47"/>
    <w:rsid w:val="00A2098B"/>
    <w:rsid w:val="00A25216"/>
    <w:rsid w:val="00A25DCA"/>
    <w:rsid w:val="00A36EA1"/>
    <w:rsid w:val="00A37D63"/>
    <w:rsid w:val="00A4198D"/>
    <w:rsid w:val="00A444FB"/>
    <w:rsid w:val="00A4495C"/>
    <w:rsid w:val="00A45F0C"/>
    <w:rsid w:val="00A47D57"/>
    <w:rsid w:val="00A508D7"/>
    <w:rsid w:val="00A50ABE"/>
    <w:rsid w:val="00A5181E"/>
    <w:rsid w:val="00A52CC1"/>
    <w:rsid w:val="00A577B8"/>
    <w:rsid w:val="00A620CC"/>
    <w:rsid w:val="00A658A9"/>
    <w:rsid w:val="00A66403"/>
    <w:rsid w:val="00A6721C"/>
    <w:rsid w:val="00A67531"/>
    <w:rsid w:val="00A7100B"/>
    <w:rsid w:val="00A7120D"/>
    <w:rsid w:val="00A71AE7"/>
    <w:rsid w:val="00A749D9"/>
    <w:rsid w:val="00A80301"/>
    <w:rsid w:val="00A806FE"/>
    <w:rsid w:val="00A81ABD"/>
    <w:rsid w:val="00A844EF"/>
    <w:rsid w:val="00A868CB"/>
    <w:rsid w:val="00A869A8"/>
    <w:rsid w:val="00A87974"/>
    <w:rsid w:val="00A91E45"/>
    <w:rsid w:val="00A94AEF"/>
    <w:rsid w:val="00A9565C"/>
    <w:rsid w:val="00A9794D"/>
    <w:rsid w:val="00AA09DF"/>
    <w:rsid w:val="00AA141F"/>
    <w:rsid w:val="00AA2FE2"/>
    <w:rsid w:val="00AA3188"/>
    <w:rsid w:val="00AA4283"/>
    <w:rsid w:val="00AA4E6A"/>
    <w:rsid w:val="00AA4FD0"/>
    <w:rsid w:val="00AA575B"/>
    <w:rsid w:val="00AA7BC0"/>
    <w:rsid w:val="00AB3890"/>
    <w:rsid w:val="00AB45DE"/>
    <w:rsid w:val="00AB6870"/>
    <w:rsid w:val="00AC5241"/>
    <w:rsid w:val="00AC58A1"/>
    <w:rsid w:val="00AC6B3A"/>
    <w:rsid w:val="00AD17F1"/>
    <w:rsid w:val="00AD38E2"/>
    <w:rsid w:val="00AD62F6"/>
    <w:rsid w:val="00AD7C61"/>
    <w:rsid w:val="00AD7CEB"/>
    <w:rsid w:val="00AE09E2"/>
    <w:rsid w:val="00AE1898"/>
    <w:rsid w:val="00AE3CB2"/>
    <w:rsid w:val="00AE4B10"/>
    <w:rsid w:val="00AE6F79"/>
    <w:rsid w:val="00AE7951"/>
    <w:rsid w:val="00AF0EF3"/>
    <w:rsid w:val="00AF38F4"/>
    <w:rsid w:val="00AF616A"/>
    <w:rsid w:val="00B014D6"/>
    <w:rsid w:val="00B017CE"/>
    <w:rsid w:val="00B028E2"/>
    <w:rsid w:val="00B07BA5"/>
    <w:rsid w:val="00B109EF"/>
    <w:rsid w:val="00B10B4A"/>
    <w:rsid w:val="00B1234C"/>
    <w:rsid w:val="00B126AC"/>
    <w:rsid w:val="00B127E3"/>
    <w:rsid w:val="00B13B74"/>
    <w:rsid w:val="00B1472D"/>
    <w:rsid w:val="00B15208"/>
    <w:rsid w:val="00B160C7"/>
    <w:rsid w:val="00B162D8"/>
    <w:rsid w:val="00B17A81"/>
    <w:rsid w:val="00B17E76"/>
    <w:rsid w:val="00B22411"/>
    <w:rsid w:val="00B30AB5"/>
    <w:rsid w:val="00B32862"/>
    <w:rsid w:val="00B32F28"/>
    <w:rsid w:val="00B3381D"/>
    <w:rsid w:val="00B341C6"/>
    <w:rsid w:val="00B35434"/>
    <w:rsid w:val="00B35C7A"/>
    <w:rsid w:val="00B36053"/>
    <w:rsid w:val="00B36865"/>
    <w:rsid w:val="00B368F1"/>
    <w:rsid w:val="00B37065"/>
    <w:rsid w:val="00B37372"/>
    <w:rsid w:val="00B400E1"/>
    <w:rsid w:val="00B40709"/>
    <w:rsid w:val="00B41ED8"/>
    <w:rsid w:val="00B42036"/>
    <w:rsid w:val="00B435D9"/>
    <w:rsid w:val="00B45ADD"/>
    <w:rsid w:val="00B473D3"/>
    <w:rsid w:val="00B51A0F"/>
    <w:rsid w:val="00B52B94"/>
    <w:rsid w:val="00B53B24"/>
    <w:rsid w:val="00B53CB9"/>
    <w:rsid w:val="00B54342"/>
    <w:rsid w:val="00B6044D"/>
    <w:rsid w:val="00B61244"/>
    <w:rsid w:val="00B62EE0"/>
    <w:rsid w:val="00B63516"/>
    <w:rsid w:val="00B64C3C"/>
    <w:rsid w:val="00B6650E"/>
    <w:rsid w:val="00B66D17"/>
    <w:rsid w:val="00B722BF"/>
    <w:rsid w:val="00B7383F"/>
    <w:rsid w:val="00B749E4"/>
    <w:rsid w:val="00B75132"/>
    <w:rsid w:val="00B756EB"/>
    <w:rsid w:val="00B76D62"/>
    <w:rsid w:val="00B81E65"/>
    <w:rsid w:val="00B84901"/>
    <w:rsid w:val="00B91A15"/>
    <w:rsid w:val="00B92274"/>
    <w:rsid w:val="00B946C1"/>
    <w:rsid w:val="00B94910"/>
    <w:rsid w:val="00B97AC5"/>
    <w:rsid w:val="00BA4990"/>
    <w:rsid w:val="00BA5F93"/>
    <w:rsid w:val="00BB19EC"/>
    <w:rsid w:val="00BB3078"/>
    <w:rsid w:val="00BB74A1"/>
    <w:rsid w:val="00BB77D0"/>
    <w:rsid w:val="00BC0788"/>
    <w:rsid w:val="00BC51E6"/>
    <w:rsid w:val="00BC557B"/>
    <w:rsid w:val="00BC5704"/>
    <w:rsid w:val="00BC5BB1"/>
    <w:rsid w:val="00BC6486"/>
    <w:rsid w:val="00BD1172"/>
    <w:rsid w:val="00BD11CB"/>
    <w:rsid w:val="00BD1D09"/>
    <w:rsid w:val="00BD1E0C"/>
    <w:rsid w:val="00BD24F6"/>
    <w:rsid w:val="00BD2F8F"/>
    <w:rsid w:val="00BD327C"/>
    <w:rsid w:val="00BD4A1A"/>
    <w:rsid w:val="00BD5718"/>
    <w:rsid w:val="00BD5858"/>
    <w:rsid w:val="00BD7469"/>
    <w:rsid w:val="00BE09E5"/>
    <w:rsid w:val="00BE1682"/>
    <w:rsid w:val="00BE22C8"/>
    <w:rsid w:val="00BE4635"/>
    <w:rsid w:val="00BE6B53"/>
    <w:rsid w:val="00BF1852"/>
    <w:rsid w:val="00BF5DF2"/>
    <w:rsid w:val="00BF7EB1"/>
    <w:rsid w:val="00C01C1D"/>
    <w:rsid w:val="00C02081"/>
    <w:rsid w:val="00C03098"/>
    <w:rsid w:val="00C03E0E"/>
    <w:rsid w:val="00C04739"/>
    <w:rsid w:val="00C04BFF"/>
    <w:rsid w:val="00C06AFA"/>
    <w:rsid w:val="00C13808"/>
    <w:rsid w:val="00C17032"/>
    <w:rsid w:val="00C1716C"/>
    <w:rsid w:val="00C171D8"/>
    <w:rsid w:val="00C20C78"/>
    <w:rsid w:val="00C212C0"/>
    <w:rsid w:val="00C219E8"/>
    <w:rsid w:val="00C229E7"/>
    <w:rsid w:val="00C27FE8"/>
    <w:rsid w:val="00C309F5"/>
    <w:rsid w:val="00C33E7E"/>
    <w:rsid w:val="00C355E4"/>
    <w:rsid w:val="00C40793"/>
    <w:rsid w:val="00C40D4F"/>
    <w:rsid w:val="00C419A2"/>
    <w:rsid w:val="00C44FBC"/>
    <w:rsid w:val="00C51491"/>
    <w:rsid w:val="00C51656"/>
    <w:rsid w:val="00C52FD1"/>
    <w:rsid w:val="00C55818"/>
    <w:rsid w:val="00C57060"/>
    <w:rsid w:val="00C57FF2"/>
    <w:rsid w:val="00C60269"/>
    <w:rsid w:val="00C63213"/>
    <w:rsid w:val="00C63969"/>
    <w:rsid w:val="00C65AB2"/>
    <w:rsid w:val="00C718DD"/>
    <w:rsid w:val="00C72A6C"/>
    <w:rsid w:val="00C72FA7"/>
    <w:rsid w:val="00C76BC1"/>
    <w:rsid w:val="00C911FE"/>
    <w:rsid w:val="00C92443"/>
    <w:rsid w:val="00C960D9"/>
    <w:rsid w:val="00C972FE"/>
    <w:rsid w:val="00CA326E"/>
    <w:rsid w:val="00CA4725"/>
    <w:rsid w:val="00CA552C"/>
    <w:rsid w:val="00CB14CD"/>
    <w:rsid w:val="00CB1EA4"/>
    <w:rsid w:val="00CB3163"/>
    <w:rsid w:val="00CB433D"/>
    <w:rsid w:val="00CB4B61"/>
    <w:rsid w:val="00CB4CA0"/>
    <w:rsid w:val="00CB5D88"/>
    <w:rsid w:val="00CB79F9"/>
    <w:rsid w:val="00CC00E8"/>
    <w:rsid w:val="00CC0D17"/>
    <w:rsid w:val="00CC283F"/>
    <w:rsid w:val="00CC47D9"/>
    <w:rsid w:val="00CC6BE1"/>
    <w:rsid w:val="00CC7339"/>
    <w:rsid w:val="00CD2207"/>
    <w:rsid w:val="00CD441A"/>
    <w:rsid w:val="00CD4446"/>
    <w:rsid w:val="00CE0E62"/>
    <w:rsid w:val="00CE12E8"/>
    <w:rsid w:val="00CE1D15"/>
    <w:rsid w:val="00CE3604"/>
    <w:rsid w:val="00CE3C7C"/>
    <w:rsid w:val="00CE4095"/>
    <w:rsid w:val="00CE6D23"/>
    <w:rsid w:val="00CE6F37"/>
    <w:rsid w:val="00CE7C33"/>
    <w:rsid w:val="00CF26D1"/>
    <w:rsid w:val="00CF660B"/>
    <w:rsid w:val="00D00163"/>
    <w:rsid w:val="00D01A58"/>
    <w:rsid w:val="00D01FCD"/>
    <w:rsid w:val="00D025DE"/>
    <w:rsid w:val="00D02F76"/>
    <w:rsid w:val="00D067E0"/>
    <w:rsid w:val="00D07ECD"/>
    <w:rsid w:val="00D12417"/>
    <w:rsid w:val="00D12A02"/>
    <w:rsid w:val="00D12B1B"/>
    <w:rsid w:val="00D13F71"/>
    <w:rsid w:val="00D16197"/>
    <w:rsid w:val="00D16EF0"/>
    <w:rsid w:val="00D17517"/>
    <w:rsid w:val="00D20F1F"/>
    <w:rsid w:val="00D20F3B"/>
    <w:rsid w:val="00D2106C"/>
    <w:rsid w:val="00D22CE4"/>
    <w:rsid w:val="00D24557"/>
    <w:rsid w:val="00D314FA"/>
    <w:rsid w:val="00D33A91"/>
    <w:rsid w:val="00D35180"/>
    <w:rsid w:val="00D35DFF"/>
    <w:rsid w:val="00D36A0F"/>
    <w:rsid w:val="00D3729D"/>
    <w:rsid w:val="00D40F8C"/>
    <w:rsid w:val="00D41FA7"/>
    <w:rsid w:val="00D43617"/>
    <w:rsid w:val="00D441A5"/>
    <w:rsid w:val="00D44663"/>
    <w:rsid w:val="00D45C19"/>
    <w:rsid w:val="00D474BB"/>
    <w:rsid w:val="00D532BE"/>
    <w:rsid w:val="00D570D8"/>
    <w:rsid w:val="00D60913"/>
    <w:rsid w:val="00D61D65"/>
    <w:rsid w:val="00D65717"/>
    <w:rsid w:val="00D66EA5"/>
    <w:rsid w:val="00D76247"/>
    <w:rsid w:val="00D77E3E"/>
    <w:rsid w:val="00D806F1"/>
    <w:rsid w:val="00D8089E"/>
    <w:rsid w:val="00D80A44"/>
    <w:rsid w:val="00D80AAB"/>
    <w:rsid w:val="00D813B5"/>
    <w:rsid w:val="00D82EAF"/>
    <w:rsid w:val="00D84186"/>
    <w:rsid w:val="00D850C2"/>
    <w:rsid w:val="00D95309"/>
    <w:rsid w:val="00DA005B"/>
    <w:rsid w:val="00DA0381"/>
    <w:rsid w:val="00DA1022"/>
    <w:rsid w:val="00DA11FA"/>
    <w:rsid w:val="00DA2715"/>
    <w:rsid w:val="00DA2886"/>
    <w:rsid w:val="00DA2FE2"/>
    <w:rsid w:val="00DB0F56"/>
    <w:rsid w:val="00DB1BD2"/>
    <w:rsid w:val="00DB3913"/>
    <w:rsid w:val="00DB4BEF"/>
    <w:rsid w:val="00DB4D62"/>
    <w:rsid w:val="00DB4DB2"/>
    <w:rsid w:val="00DB5C77"/>
    <w:rsid w:val="00DB7543"/>
    <w:rsid w:val="00DC14A5"/>
    <w:rsid w:val="00DC14B1"/>
    <w:rsid w:val="00DC14D4"/>
    <w:rsid w:val="00DC219D"/>
    <w:rsid w:val="00DC6183"/>
    <w:rsid w:val="00DD0BE4"/>
    <w:rsid w:val="00DD1C7E"/>
    <w:rsid w:val="00DD2B38"/>
    <w:rsid w:val="00DD41C4"/>
    <w:rsid w:val="00DD4FD4"/>
    <w:rsid w:val="00DD6ACF"/>
    <w:rsid w:val="00DD7248"/>
    <w:rsid w:val="00DE0285"/>
    <w:rsid w:val="00DE15F8"/>
    <w:rsid w:val="00DE1E6E"/>
    <w:rsid w:val="00DE2CAB"/>
    <w:rsid w:val="00DE4570"/>
    <w:rsid w:val="00DE58D0"/>
    <w:rsid w:val="00DE5B5A"/>
    <w:rsid w:val="00DE5D6C"/>
    <w:rsid w:val="00DE72C3"/>
    <w:rsid w:val="00DE7BA3"/>
    <w:rsid w:val="00DF1BDF"/>
    <w:rsid w:val="00DF2BA6"/>
    <w:rsid w:val="00DF3711"/>
    <w:rsid w:val="00DF3738"/>
    <w:rsid w:val="00DF6782"/>
    <w:rsid w:val="00E04C55"/>
    <w:rsid w:val="00E04E2B"/>
    <w:rsid w:val="00E0736D"/>
    <w:rsid w:val="00E0791A"/>
    <w:rsid w:val="00E10A07"/>
    <w:rsid w:val="00E1200C"/>
    <w:rsid w:val="00E12F94"/>
    <w:rsid w:val="00E14D88"/>
    <w:rsid w:val="00E15786"/>
    <w:rsid w:val="00E21332"/>
    <w:rsid w:val="00E21770"/>
    <w:rsid w:val="00E22C97"/>
    <w:rsid w:val="00E250D1"/>
    <w:rsid w:val="00E2764E"/>
    <w:rsid w:val="00E3280A"/>
    <w:rsid w:val="00E3413E"/>
    <w:rsid w:val="00E36EC8"/>
    <w:rsid w:val="00E4020A"/>
    <w:rsid w:val="00E40E95"/>
    <w:rsid w:val="00E41AC9"/>
    <w:rsid w:val="00E42EFF"/>
    <w:rsid w:val="00E4362F"/>
    <w:rsid w:val="00E47E91"/>
    <w:rsid w:val="00E52AFE"/>
    <w:rsid w:val="00E54BAA"/>
    <w:rsid w:val="00E54E24"/>
    <w:rsid w:val="00E5658A"/>
    <w:rsid w:val="00E576F5"/>
    <w:rsid w:val="00E60415"/>
    <w:rsid w:val="00E60527"/>
    <w:rsid w:val="00E6103C"/>
    <w:rsid w:val="00E63FFA"/>
    <w:rsid w:val="00E662FB"/>
    <w:rsid w:val="00E70E4E"/>
    <w:rsid w:val="00E72F2E"/>
    <w:rsid w:val="00E756E6"/>
    <w:rsid w:val="00E81264"/>
    <w:rsid w:val="00E82C4E"/>
    <w:rsid w:val="00E83561"/>
    <w:rsid w:val="00E866AA"/>
    <w:rsid w:val="00E87933"/>
    <w:rsid w:val="00E87A30"/>
    <w:rsid w:val="00E90100"/>
    <w:rsid w:val="00E905DC"/>
    <w:rsid w:val="00E91A05"/>
    <w:rsid w:val="00E9703B"/>
    <w:rsid w:val="00EA0D64"/>
    <w:rsid w:val="00EA0E31"/>
    <w:rsid w:val="00EA1919"/>
    <w:rsid w:val="00EA312C"/>
    <w:rsid w:val="00EA4397"/>
    <w:rsid w:val="00EB48A9"/>
    <w:rsid w:val="00EB5FEC"/>
    <w:rsid w:val="00EC373A"/>
    <w:rsid w:val="00EC3F4B"/>
    <w:rsid w:val="00EC40C8"/>
    <w:rsid w:val="00EC4C90"/>
    <w:rsid w:val="00EC4D12"/>
    <w:rsid w:val="00ED0E9E"/>
    <w:rsid w:val="00ED1445"/>
    <w:rsid w:val="00ED3559"/>
    <w:rsid w:val="00ED567C"/>
    <w:rsid w:val="00ED6B7D"/>
    <w:rsid w:val="00ED77DC"/>
    <w:rsid w:val="00EE0527"/>
    <w:rsid w:val="00EE24FA"/>
    <w:rsid w:val="00EE4AAA"/>
    <w:rsid w:val="00EE7CF9"/>
    <w:rsid w:val="00EF03BC"/>
    <w:rsid w:val="00EF0A1D"/>
    <w:rsid w:val="00EF1399"/>
    <w:rsid w:val="00EF250F"/>
    <w:rsid w:val="00EF32C1"/>
    <w:rsid w:val="00F03AFB"/>
    <w:rsid w:val="00F04A9B"/>
    <w:rsid w:val="00F05F4C"/>
    <w:rsid w:val="00F06050"/>
    <w:rsid w:val="00F06C13"/>
    <w:rsid w:val="00F10653"/>
    <w:rsid w:val="00F10801"/>
    <w:rsid w:val="00F14961"/>
    <w:rsid w:val="00F2449E"/>
    <w:rsid w:val="00F24DF5"/>
    <w:rsid w:val="00F2642E"/>
    <w:rsid w:val="00F26F86"/>
    <w:rsid w:val="00F27F77"/>
    <w:rsid w:val="00F31BBD"/>
    <w:rsid w:val="00F328F7"/>
    <w:rsid w:val="00F3380E"/>
    <w:rsid w:val="00F35950"/>
    <w:rsid w:val="00F368EF"/>
    <w:rsid w:val="00F37D14"/>
    <w:rsid w:val="00F40B4E"/>
    <w:rsid w:val="00F41820"/>
    <w:rsid w:val="00F4301F"/>
    <w:rsid w:val="00F440DE"/>
    <w:rsid w:val="00F46B38"/>
    <w:rsid w:val="00F47C44"/>
    <w:rsid w:val="00F47E98"/>
    <w:rsid w:val="00F5066A"/>
    <w:rsid w:val="00F50A85"/>
    <w:rsid w:val="00F50B22"/>
    <w:rsid w:val="00F55166"/>
    <w:rsid w:val="00F55365"/>
    <w:rsid w:val="00F57F95"/>
    <w:rsid w:val="00F64025"/>
    <w:rsid w:val="00F64C76"/>
    <w:rsid w:val="00F71AFC"/>
    <w:rsid w:val="00F736CD"/>
    <w:rsid w:val="00F73971"/>
    <w:rsid w:val="00F73BD3"/>
    <w:rsid w:val="00F74E29"/>
    <w:rsid w:val="00F76034"/>
    <w:rsid w:val="00F831F6"/>
    <w:rsid w:val="00F83F5F"/>
    <w:rsid w:val="00F84074"/>
    <w:rsid w:val="00F847D4"/>
    <w:rsid w:val="00F86637"/>
    <w:rsid w:val="00F90FDD"/>
    <w:rsid w:val="00F91121"/>
    <w:rsid w:val="00F9120B"/>
    <w:rsid w:val="00F91255"/>
    <w:rsid w:val="00F92C4E"/>
    <w:rsid w:val="00F936D9"/>
    <w:rsid w:val="00F93F58"/>
    <w:rsid w:val="00FA088B"/>
    <w:rsid w:val="00FA095E"/>
    <w:rsid w:val="00FA1EB3"/>
    <w:rsid w:val="00FA2250"/>
    <w:rsid w:val="00FA2CAC"/>
    <w:rsid w:val="00FA30AD"/>
    <w:rsid w:val="00FA330F"/>
    <w:rsid w:val="00FA5F1D"/>
    <w:rsid w:val="00FB208A"/>
    <w:rsid w:val="00FB3DD1"/>
    <w:rsid w:val="00FB50DC"/>
    <w:rsid w:val="00FB661B"/>
    <w:rsid w:val="00FB6EED"/>
    <w:rsid w:val="00FC1E04"/>
    <w:rsid w:val="00FC32CF"/>
    <w:rsid w:val="00FC344E"/>
    <w:rsid w:val="00FC64A9"/>
    <w:rsid w:val="00FC72C2"/>
    <w:rsid w:val="00FE0745"/>
    <w:rsid w:val="00FE11E2"/>
    <w:rsid w:val="00FE28FA"/>
    <w:rsid w:val="00FE2F4F"/>
    <w:rsid w:val="00FE4A1B"/>
    <w:rsid w:val="00FE6196"/>
    <w:rsid w:val="00FE756C"/>
    <w:rsid w:val="00FE7D07"/>
    <w:rsid w:val="00FF012B"/>
    <w:rsid w:val="00FF3F96"/>
    <w:rsid w:val="00FF4A5E"/>
    <w:rsid w:val="00FF5FB4"/>
    <w:rsid w:val="00FF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2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21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621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07DE"/>
  </w:style>
  <w:style w:type="paragraph" w:styleId="FootnoteText">
    <w:name w:val="footnote text"/>
    <w:basedOn w:val="Normal"/>
    <w:link w:val="FootnoteTextChar"/>
    <w:semiHidden/>
    <w:rsid w:val="00D33A9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33A91"/>
    <w:rPr>
      <w:vertAlign w:val="superscript"/>
    </w:rPr>
  </w:style>
  <w:style w:type="paragraph" w:styleId="BalloonText">
    <w:name w:val="Balloon Text"/>
    <w:basedOn w:val="Normal"/>
    <w:semiHidden/>
    <w:rsid w:val="00107C9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rsid w:val="00153F0C"/>
    <w:pPr>
      <w:autoSpaceDE w:val="0"/>
      <w:autoSpaceDN w:val="0"/>
      <w:adjustRightInd w:val="0"/>
      <w:spacing w:line="221" w:lineRule="atLeast"/>
    </w:pPr>
    <w:rPr>
      <w:rFonts w:ascii="Myriad Pro Light" w:hAnsi="Myriad Pro Light"/>
    </w:rPr>
  </w:style>
  <w:style w:type="character" w:styleId="CommentReference">
    <w:name w:val="annotation reference"/>
    <w:basedOn w:val="DefaultParagraphFont"/>
    <w:semiHidden/>
    <w:rsid w:val="00E72F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72F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2F2E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C0792"/>
    <w:rPr>
      <w:sz w:val="24"/>
      <w:szCs w:val="24"/>
      <w:lang w:val="en-US" w:eastAsia="en-US" w:bidi="ar-SA"/>
    </w:rPr>
  </w:style>
  <w:style w:type="paragraph" w:customStyle="1" w:styleId="ACMAHeading3">
    <w:name w:val="ACMA Heading 3"/>
    <w:next w:val="Normal"/>
    <w:rsid w:val="001B79DD"/>
    <w:pPr>
      <w:keepNext/>
      <w:suppressAutoHyphens/>
      <w:spacing w:before="240"/>
      <w:outlineLvl w:val="3"/>
    </w:pPr>
    <w:rPr>
      <w:rFonts w:ascii="Arial" w:hAnsi="Arial"/>
      <w:b/>
      <w:sz w:val="24"/>
      <w:lang w:val="en-US" w:eastAsia="en-US"/>
    </w:rPr>
  </w:style>
  <w:style w:type="paragraph" w:customStyle="1" w:styleId="RGPara">
    <w:name w:val="RGPara"/>
    <w:aliases w:val="Readers Guide Para"/>
    <w:basedOn w:val="Normal"/>
    <w:rsid w:val="001B79DD"/>
    <w:pPr>
      <w:spacing w:before="120" w:line="260" w:lineRule="exact"/>
      <w:jc w:val="both"/>
    </w:pPr>
    <w:rPr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1B79DD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val="en-AU" w:eastAsia="en-AU"/>
    </w:rPr>
  </w:style>
  <w:style w:type="paragraph" w:styleId="ListParagraph">
    <w:name w:val="List Paragraph"/>
    <w:basedOn w:val="Normal"/>
    <w:uiPriority w:val="34"/>
    <w:qFormat/>
    <w:rsid w:val="00DF1BDF"/>
    <w:pPr>
      <w:ind w:left="720"/>
    </w:pPr>
  </w:style>
  <w:style w:type="character" w:styleId="Hyperlink">
    <w:name w:val="Hyperlink"/>
    <w:basedOn w:val="DefaultParagraphFont"/>
    <w:uiPriority w:val="99"/>
    <w:unhideWhenUsed/>
    <w:rsid w:val="002E1E61"/>
    <w:rPr>
      <w:color w:val="0000FF"/>
      <w:u w:val="single"/>
    </w:rPr>
  </w:style>
  <w:style w:type="paragraph" w:customStyle="1" w:styleId="ACMABodyText">
    <w:name w:val="ACMA Body Text"/>
    <w:link w:val="ACMABodyTextChar1"/>
    <w:rsid w:val="00DA005B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C5241"/>
    <w:rPr>
      <w:color w:val="800080"/>
      <w:u w:val="single"/>
    </w:rPr>
  </w:style>
  <w:style w:type="character" w:customStyle="1" w:styleId="ACMABodyTextChar1">
    <w:name w:val="ACMA Body Text Char1"/>
    <w:basedOn w:val="DefaultParagraphFont"/>
    <w:link w:val="ACMABodyText"/>
    <w:rsid w:val="00AA141F"/>
    <w:rPr>
      <w:snapToGrid w:val="0"/>
      <w:sz w:val="24"/>
      <w:lang w:val="en-AU"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0D00A5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53B24"/>
    <w:rPr>
      <w:lang w:val="en-US" w:eastAsia="en-US"/>
    </w:rPr>
  </w:style>
  <w:style w:type="character" w:customStyle="1" w:styleId="HelpTextChar">
    <w:name w:val="Help Text Char"/>
    <w:basedOn w:val="DefaultParagraphFont"/>
    <w:link w:val="HelpText"/>
    <w:locked/>
    <w:rsid w:val="00B53B24"/>
    <w:rPr>
      <w:rFonts w:ascii="Arial" w:hAnsi="Arial" w:cs="Arial"/>
      <w:vanish/>
      <w:color w:val="008000"/>
      <w:sz w:val="18"/>
    </w:rPr>
  </w:style>
  <w:style w:type="paragraph" w:customStyle="1" w:styleId="HelpText">
    <w:name w:val="Help Text"/>
    <w:basedOn w:val="Normal"/>
    <w:link w:val="HelpTextChar"/>
    <w:rsid w:val="00B53B24"/>
    <w:pPr>
      <w:overflowPunct w:val="0"/>
      <w:autoSpaceDE w:val="0"/>
      <w:autoSpaceDN w:val="0"/>
      <w:adjustRightInd w:val="0"/>
      <w:spacing w:before="120" w:after="120"/>
    </w:pPr>
    <w:rPr>
      <w:rFonts w:ascii="Arial" w:hAnsi="Arial" w:cs="Arial"/>
      <w:vanish/>
      <w:color w:val="008000"/>
      <w:sz w:val="18"/>
      <w:szCs w:val="20"/>
      <w:lang w:val="en-AU" w:eastAsia="en-AU"/>
    </w:rPr>
  </w:style>
  <w:style w:type="paragraph" w:styleId="Revision">
    <w:name w:val="Revision"/>
    <w:hidden/>
    <w:uiPriority w:val="99"/>
    <w:semiHidden/>
    <w:rsid w:val="00C229E7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12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0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3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296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8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34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acma.gov.au/WEB/STANDARD/pc=PC_41004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87CF1831231499AB06102660F5006" ma:contentTypeVersion="0" ma:contentTypeDescription="Create a new document." ma:contentTypeScope="" ma:versionID="7c9fac8a034485a9a283bf1d2873c2a3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525E-C64A-4200-8F00-6F9C87B21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7F360-C91F-4968-B67D-FA267A8967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634A9F-497F-4C80-B07B-E41D203ACB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A934A5-8B57-45F1-8563-580B84A88B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1B70E7-D7A2-4B27-8BB3-E9F4526CE102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D9BB6C9D-314D-42B1-BCCF-E0A2ED45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2567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17720</CharactersWithSpaces>
  <SharedDoc>false</SharedDoc>
  <HLinks>
    <vt:vector size="12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7864390</vt:i4>
      </vt:variant>
      <vt:variant>
        <vt:i4>0</vt:i4>
      </vt:variant>
      <vt:variant>
        <vt:i4>0</vt:i4>
      </vt:variant>
      <vt:variant>
        <vt:i4>5</vt:i4>
      </vt:variant>
      <vt:variant>
        <vt:lpwstr>http://www.acma.gov.au/WEB/STANDARD/pc=PC_410046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cp:lastPrinted>2010-06-25T00:30:00Z</cp:lastPrinted>
  <dcterms:created xsi:type="dcterms:W3CDTF">2013-12-01T23:45:00Z</dcterms:created>
  <dcterms:modified xsi:type="dcterms:W3CDTF">2013-12-01T23:45:00Z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_dlc_DocIdItemGuid">
    <vt:lpwstr>d4e3c9c3-3b31-4287-85ee-d8d83e19fd9d</vt:lpwstr>
  </property>
  <property fmtid="{D5CDD505-2E9C-101B-9397-08002B2CF9AE}" pid="4" name="ContentTypeId">
    <vt:lpwstr>0x010100F3B87CF1831231499AB06102660F5006</vt:lpwstr>
  </property>
  <property fmtid="{D5CDD505-2E9C-101B-9397-08002B2CF9AE}" pid="5" name="_dlc_DocId">
    <vt:lpwstr>KNAH4PPFC442-1229-623</vt:lpwstr>
  </property>
  <property fmtid="{D5CDD505-2E9C-101B-9397-08002B2CF9AE}" pid="6" name="_dlc_DocIdUrl">
    <vt:lpwstr>http://collaboration/organisation/CID/IRB/SORS/_layouts/DocIdRedir.aspx?ID=KNAH4PPFC442-1229-623, KNAH4PPFC442-1229-623</vt:lpwstr>
  </property>
  <property fmtid="{D5CDD505-2E9C-101B-9397-08002B2CF9AE}" pid="7" name="_NewReviewCycle">
    <vt:lpwstr/>
  </property>
</Properties>
</file>