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03" w:rsidRPr="007F2CC1" w:rsidRDefault="00933058" w:rsidP="003A2603">
      <w:pPr>
        <w:rPr>
          <w:color w:val="000000"/>
        </w:rPr>
      </w:pPr>
      <w:bookmarkStart w:id="0" w:name="_Toc168113228"/>
      <w:r w:rsidRPr="007F2CC1">
        <w:rPr>
          <w:noProof/>
          <w:color w:val="000000"/>
        </w:rPr>
        <w:drawing>
          <wp:inline distT="0" distB="0" distL="0" distR="0" wp14:anchorId="127034FD" wp14:editId="75AD8E7F">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A2603" w:rsidRPr="007F2CC1" w:rsidRDefault="003A2603" w:rsidP="003A2603">
      <w:pPr>
        <w:pStyle w:val="Title"/>
        <w:rPr>
          <w:color w:val="000000"/>
        </w:rPr>
      </w:pPr>
      <w:r w:rsidRPr="007F2CC1">
        <w:rPr>
          <w:color w:val="000000"/>
        </w:rPr>
        <w:t xml:space="preserve">Financial Sector (Collection of Data) (reporting standard) determination No. </w:t>
      </w:r>
      <w:r w:rsidR="00D83C15" w:rsidRPr="007F2CC1">
        <w:rPr>
          <w:color w:val="000000"/>
        </w:rPr>
        <w:t>10</w:t>
      </w:r>
      <w:r w:rsidR="005A3D37" w:rsidRPr="007F2CC1">
        <w:rPr>
          <w:color w:val="000000"/>
        </w:rPr>
        <w:t>4</w:t>
      </w:r>
      <w:r w:rsidR="00CF5F3B" w:rsidRPr="007F2CC1">
        <w:rPr>
          <w:color w:val="000000"/>
        </w:rPr>
        <w:t xml:space="preserve"> of 20</w:t>
      </w:r>
      <w:r w:rsidR="00D83C15" w:rsidRPr="007F2CC1">
        <w:rPr>
          <w:color w:val="000000"/>
        </w:rPr>
        <w:t>13</w:t>
      </w:r>
      <w:r w:rsidRPr="007F2CC1">
        <w:rPr>
          <w:color w:val="000000"/>
        </w:rPr>
        <w:t xml:space="preserve"> </w:t>
      </w:r>
    </w:p>
    <w:p w:rsidR="003A2603" w:rsidRPr="007F2CC1" w:rsidRDefault="003A2603" w:rsidP="003A2603">
      <w:pPr>
        <w:pStyle w:val="Title"/>
        <w:rPr>
          <w:color w:val="000000"/>
          <w:sz w:val="28"/>
          <w:szCs w:val="28"/>
        </w:rPr>
      </w:pPr>
      <w:r w:rsidRPr="007F2CC1">
        <w:rPr>
          <w:color w:val="000000"/>
          <w:sz w:val="28"/>
          <w:szCs w:val="28"/>
        </w:rPr>
        <w:t xml:space="preserve">Reporting Standard </w:t>
      </w:r>
      <w:r w:rsidR="006B218E" w:rsidRPr="007F2CC1">
        <w:rPr>
          <w:color w:val="000000"/>
          <w:sz w:val="28"/>
          <w:szCs w:val="28"/>
        </w:rPr>
        <w:t>G</w:t>
      </w:r>
      <w:r w:rsidRPr="007F2CC1">
        <w:rPr>
          <w:color w:val="000000"/>
          <w:sz w:val="28"/>
          <w:szCs w:val="28"/>
        </w:rPr>
        <w:t xml:space="preserve">RS </w:t>
      </w:r>
      <w:r w:rsidR="006B218E" w:rsidRPr="007F2CC1">
        <w:rPr>
          <w:color w:val="000000"/>
          <w:sz w:val="28"/>
          <w:szCs w:val="28"/>
        </w:rPr>
        <w:t>460</w:t>
      </w:r>
      <w:r w:rsidRPr="007F2CC1">
        <w:rPr>
          <w:color w:val="000000"/>
          <w:sz w:val="28"/>
          <w:szCs w:val="28"/>
        </w:rPr>
        <w:t>.</w:t>
      </w:r>
      <w:r w:rsidR="0012092B" w:rsidRPr="007F2CC1">
        <w:rPr>
          <w:color w:val="000000"/>
          <w:sz w:val="28"/>
          <w:szCs w:val="28"/>
        </w:rPr>
        <w:t>1</w:t>
      </w:r>
      <w:r w:rsidR="005A3D37" w:rsidRPr="007F2CC1">
        <w:rPr>
          <w:color w:val="000000"/>
          <w:sz w:val="28"/>
          <w:szCs w:val="28"/>
        </w:rPr>
        <w:t>_G</w:t>
      </w:r>
      <w:r w:rsidRPr="007F2CC1">
        <w:rPr>
          <w:color w:val="000000"/>
          <w:sz w:val="28"/>
          <w:szCs w:val="28"/>
        </w:rPr>
        <w:t xml:space="preserve"> </w:t>
      </w:r>
      <w:r w:rsidR="0012092B" w:rsidRPr="007F2CC1">
        <w:rPr>
          <w:color w:val="000000"/>
          <w:sz w:val="28"/>
          <w:szCs w:val="28"/>
        </w:rPr>
        <w:t>Exposure Analysis</w:t>
      </w:r>
      <w:r w:rsidR="006B218E" w:rsidRPr="007F2CC1">
        <w:rPr>
          <w:color w:val="000000"/>
          <w:sz w:val="28"/>
          <w:szCs w:val="28"/>
        </w:rPr>
        <w:t xml:space="preserve"> by</w:t>
      </w:r>
      <w:r w:rsidR="0012092B" w:rsidRPr="007F2CC1">
        <w:rPr>
          <w:color w:val="000000"/>
          <w:sz w:val="28"/>
          <w:szCs w:val="28"/>
        </w:rPr>
        <w:t xml:space="preserve"> Reinsurance</w:t>
      </w:r>
      <w:r w:rsidR="006B218E" w:rsidRPr="007F2CC1">
        <w:rPr>
          <w:color w:val="000000"/>
          <w:sz w:val="28"/>
          <w:szCs w:val="28"/>
        </w:rPr>
        <w:t xml:space="preserve"> Counterparty</w:t>
      </w:r>
      <w:r w:rsidR="005A3D37" w:rsidRPr="007F2CC1">
        <w:rPr>
          <w:color w:val="000000"/>
          <w:sz w:val="28"/>
          <w:szCs w:val="28"/>
        </w:rPr>
        <w:t xml:space="preserve"> (Level 2 Insurance Group)</w:t>
      </w:r>
    </w:p>
    <w:p w:rsidR="003A2603" w:rsidRPr="007F2CC1" w:rsidRDefault="003A2603" w:rsidP="003A2603">
      <w:pPr>
        <w:pStyle w:val="ActTitle"/>
        <w:rPr>
          <w:color w:val="000000"/>
        </w:rPr>
      </w:pPr>
      <w:r w:rsidRPr="007F2CC1">
        <w:rPr>
          <w:color w:val="000000"/>
        </w:rPr>
        <w:t>Financial Sector (Collection of Data) Act 2001</w:t>
      </w:r>
    </w:p>
    <w:p w:rsidR="003A2603" w:rsidRPr="007F2CC1" w:rsidRDefault="003A2603" w:rsidP="003A2603">
      <w:pPr>
        <w:pStyle w:val="IntroTo"/>
        <w:rPr>
          <w:color w:val="000000"/>
        </w:rPr>
      </w:pPr>
    </w:p>
    <w:p w:rsidR="003A2603" w:rsidRPr="007F2CC1" w:rsidRDefault="003A2603" w:rsidP="003A2603">
      <w:pPr>
        <w:pStyle w:val="IntroTo"/>
        <w:ind w:left="0" w:firstLine="0"/>
        <w:jc w:val="both"/>
        <w:rPr>
          <w:color w:val="000000"/>
          <w:szCs w:val="24"/>
        </w:rPr>
      </w:pPr>
      <w:r w:rsidRPr="007F2CC1">
        <w:rPr>
          <w:szCs w:val="24"/>
        </w:rPr>
        <w:t xml:space="preserve">I, </w:t>
      </w:r>
      <w:r w:rsidR="00970E95" w:rsidRPr="007F2CC1">
        <w:rPr>
          <w:szCs w:val="24"/>
        </w:rPr>
        <w:t>Charles Littrell</w:t>
      </w:r>
      <w:r w:rsidRPr="007F2CC1">
        <w:rPr>
          <w:szCs w:val="24"/>
        </w:rPr>
        <w:t xml:space="preserve">, delegate of APRA, </w:t>
      </w:r>
      <w:r w:rsidRPr="007F2CC1">
        <w:rPr>
          <w:color w:val="000000"/>
          <w:szCs w:val="24"/>
        </w:rPr>
        <w:t xml:space="preserve">under paragraph 13(1)(a) of the </w:t>
      </w:r>
      <w:r w:rsidRPr="007F2CC1">
        <w:rPr>
          <w:i/>
          <w:color w:val="000000"/>
          <w:szCs w:val="24"/>
        </w:rPr>
        <w:t>Financial Sector (Collection of Data) Act 2001</w:t>
      </w:r>
      <w:r w:rsidRPr="007F2CC1">
        <w:rPr>
          <w:color w:val="000000"/>
          <w:szCs w:val="24"/>
        </w:rPr>
        <w:t xml:space="preserve"> (the Act) DETERMINE </w:t>
      </w:r>
      <w:r w:rsidRPr="007F2CC1">
        <w:rPr>
          <w:i/>
          <w:color w:val="000000"/>
          <w:szCs w:val="24"/>
        </w:rPr>
        <w:t xml:space="preserve">Reporting Standard </w:t>
      </w:r>
      <w:r w:rsidR="006B218E" w:rsidRPr="007F2CC1">
        <w:rPr>
          <w:i/>
          <w:color w:val="000000"/>
          <w:szCs w:val="24"/>
        </w:rPr>
        <w:t>G</w:t>
      </w:r>
      <w:r w:rsidRPr="007F2CC1">
        <w:rPr>
          <w:i/>
          <w:color w:val="000000"/>
          <w:szCs w:val="24"/>
        </w:rPr>
        <w:t xml:space="preserve">RS </w:t>
      </w:r>
      <w:r w:rsidR="006B218E" w:rsidRPr="007F2CC1">
        <w:rPr>
          <w:i/>
          <w:color w:val="000000"/>
          <w:szCs w:val="24"/>
        </w:rPr>
        <w:t>460</w:t>
      </w:r>
      <w:r w:rsidRPr="007F2CC1">
        <w:rPr>
          <w:i/>
          <w:color w:val="000000"/>
          <w:szCs w:val="24"/>
        </w:rPr>
        <w:t>.</w:t>
      </w:r>
      <w:r w:rsidR="005769EE" w:rsidRPr="007F2CC1">
        <w:rPr>
          <w:i/>
          <w:color w:val="000000"/>
          <w:szCs w:val="24"/>
        </w:rPr>
        <w:t>1</w:t>
      </w:r>
      <w:r w:rsidR="005A3D37" w:rsidRPr="007F2CC1">
        <w:rPr>
          <w:i/>
          <w:color w:val="000000"/>
          <w:szCs w:val="24"/>
        </w:rPr>
        <w:t>_G</w:t>
      </w:r>
      <w:r w:rsidRPr="007F2CC1">
        <w:rPr>
          <w:i/>
          <w:color w:val="000000"/>
          <w:szCs w:val="24"/>
        </w:rPr>
        <w:t xml:space="preserve"> </w:t>
      </w:r>
      <w:r w:rsidR="005D30AC" w:rsidRPr="007F2CC1">
        <w:rPr>
          <w:i/>
          <w:color w:val="000000"/>
          <w:szCs w:val="24"/>
        </w:rPr>
        <w:t>Exposure Analysis</w:t>
      </w:r>
      <w:r w:rsidRPr="007F2CC1">
        <w:rPr>
          <w:i/>
          <w:color w:val="000000"/>
          <w:szCs w:val="24"/>
        </w:rPr>
        <w:t xml:space="preserve"> </w:t>
      </w:r>
      <w:r w:rsidR="006B218E" w:rsidRPr="007F2CC1">
        <w:rPr>
          <w:i/>
          <w:color w:val="000000"/>
          <w:szCs w:val="24"/>
        </w:rPr>
        <w:t>by Reinsuranc</w:t>
      </w:r>
      <w:r w:rsidRPr="007F2CC1">
        <w:rPr>
          <w:i/>
          <w:color w:val="000000"/>
          <w:szCs w:val="24"/>
        </w:rPr>
        <w:t>e</w:t>
      </w:r>
      <w:r w:rsidR="005D30AC" w:rsidRPr="007F2CC1">
        <w:rPr>
          <w:i/>
          <w:color w:val="000000"/>
          <w:szCs w:val="24"/>
        </w:rPr>
        <w:t xml:space="preserve"> Counterparty</w:t>
      </w:r>
      <w:r w:rsidR="005A3D37" w:rsidRPr="007F2CC1">
        <w:rPr>
          <w:i/>
          <w:color w:val="000000"/>
          <w:szCs w:val="24"/>
        </w:rPr>
        <w:t xml:space="preserve"> (Level 2 Insurance Group)</w:t>
      </w:r>
      <w:r w:rsidRPr="007F2CC1">
        <w:rPr>
          <w:color w:val="000000"/>
          <w:szCs w:val="24"/>
        </w:rPr>
        <w:t xml:space="preserve">, in the form set out in the Schedule, which applies to the financial sector entities to the extent provided in paragraph 3 of the reporting standard. </w:t>
      </w:r>
    </w:p>
    <w:p w:rsidR="003A2603" w:rsidRPr="007F2CC1" w:rsidRDefault="003A2603" w:rsidP="003A2603">
      <w:pPr>
        <w:pStyle w:val="IntroTo"/>
        <w:ind w:left="709" w:hanging="709"/>
        <w:jc w:val="both"/>
        <w:rPr>
          <w:color w:val="000000"/>
          <w:szCs w:val="24"/>
        </w:rPr>
      </w:pPr>
    </w:p>
    <w:p w:rsidR="003A2603" w:rsidRPr="007F2CC1" w:rsidRDefault="003A2603" w:rsidP="003A2603">
      <w:pPr>
        <w:jc w:val="both"/>
      </w:pPr>
      <w:r w:rsidRPr="007F2CC1">
        <w:t xml:space="preserve">Under section 15 of the Act, I DECLARE that the reporting standard shall begin to apply to those financial sector entities on </w:t>
      </w:r>
      <w:r w:rsidR="00970E95" w:rsidRPr="007F2CC1">
        <w:t xml:space="preserve">31 December </w:t>
      </w:r>
      <w:r w:rsidRPr="007F2CC1">
        <w:t xml:space="preserve">2013. </w:t>
      </w:r>
    </w:p>
    <w:p w:rsidR="003A2603" w:rsidRPr="007F2CC1" w:rsidRDefault="003A2603" w:rsidP="003A2603">
      <w:pPr>
        <w:jc w:val="both"/>
      </w:pPr>
    </w:p>
    <w:p w:rsidR="007A3061" w:rsidRPr="007F2CC1" w:rsidRDefault="007A3061" w:rsidP="007A3061">
      <w:pPr>
        <w:jc w:val="both"/>
      </w:pPr>
      <w:r w:rsidRPr="007F2CC1">
        <w:t>This instrument commences on</w:t>
      </w:r>
      <w:r w:rsidR="003C05D4" w:rsidRPr="007F2CC1">
        <w:t xml:space="preserve"> </w:t>
      </w:r>
      <w:r w:rsidR="00970E95" w:rsidRPr="007F2CC1">
        <w:t>31 December 2013</w:t>
      </w:r>
      <w:r w:rsidRPr="007F2CC1">
        <w:t>.</w:t>
      </w:r>
    </w:p>
    <w:p w:rsidR="007A3061" w:rsidRPr="007F2CC1" w:rsidRDefault="007A3061" w:rsidP="007A3061">
      <w:pPr>
        <w:jc w:val="both"/>
      </w:pPr>
    </w:p>
    <w:p w:rsidR="007A3061" w:rsidRPr="007F2CC1" w:rsidRDefault="007A3061" w:rsidP="007A3061">
      <w:pPr>
        <w:jc w:val="both"/>
      </w:pPr>
      <w:r w:rsidRPr="007F2CC1">
        <w:t xml:space="preserve">Dated: </w:t>
      </w:r>
      <w:r w:rsidR="00C332DE">
        <w:t>13</w:t>
      </w:r>
      <w:r w:rsidR="006B218E" w:rsidRPr="007F2CC1">
        <w:t xml:space="preserve"> December</w:t>
      </w:r>
      <w:r w:rsidRPr="007F2CC1">
        <w:t xml:space="preserve"> 2013</w:t>
      </w:r>
    </w:p>
    <w:p w:rsidR="003A2603" w:rsidRPr="007F2CC1" w:rsidRDefault="003A2603" w:rsidP="003A2603">
      <w:pPr>
        <w:jc w:val="both"/>
        <w:rPr>
          <w:i/>
        </w:rPr>
      </w:pPr>
    </w:p>
    <w:p w:rsidR="003A2603" w:rsidRPr="007F2CC1" w:rsidRDefault="006B1843" w:rsidP="003A2603">
      <w:pPr>
        <w:jc w:val="both"/>
      </w:pPr>
      <w:r>
        <w:t>[Signed]</w:t>
      </w:r>
      <w:bookmarkStart w:id="1" w:name="_GoBack"/>
      <w:bookmarkEnd w:id="1"/>
    </w:p>
    <w:p w:rsidR="003A2603" w:rsidRPr="007F2CC1" w:rsidRDefault="003A2603" w:rsidP="003A2603">
      <w:pPr>
        <w:jc w:val="both"/>
        <w:rPr>
          <w:color w:val="000000"/>
        </w:rPr>
      </w:pPr>
    </w:p>
    <w:p w:rsidR="003A2603" w:rsidRPr="007F2CC1" w:rsidRDefault="003A2603" w:rsidP="003A2603">
      <w:pPr>
        <w:jc w:val="both"/>
      </w:pPr>
    </w:p>
    <w:p w:rsidR="003A2603" w:rsidRPr="007F2CC1" w:rsidRDefault="00970E95" w:rsidP="003A2603">
      <w:pPr>
        <w:jc w:val="both"/>
      </w:pPr>
      <w:r w:rsidRPr="007F2CC1">
        <w:t>Charles Littrell</w:t>
      </w:r>
    </w:p>
    <w:p w:rsidR="003A2603" w:rsidRPr="007F2CC1" w:rsidRDefault="003C05D4" w:rsidP="003A2603">
      <w:pPr>
        <w:jc w:val="both"/>
      </w:pPr>
      <w:r w:rsidRPr="007F2CC1">
        <w:t>Executive General Manager</w:t>
      </w:r>
    </w:p>
    <w:p w:rsidR="003C05D4" w:rsidRPr="007F2CC1" w:rsidRDefault="00350927" w:rsidP="003A2603">
      <w:pPr>
        <w:jc w:val="both"/>
      </w:pPr>
      <w:r w:rsidRPr="007F2CC1">
        <w:t>Policy, Statistics</w:t>
      </w:r>
      <w:r w:rsidR="003C05D4" w:rsidRPr="007F2CC1">
        <w:t xml:space="preserve"> </w:t>
      </w:r>
      <w:r w:rsidR="00970E95" w:rsidRPr="007F2CC1">
        <w:t>and International</w:t>
      </w:r>
    </w:p>
    <w:p w:rsidR="003A2603" w:rsidRPr="007F2CC1" w:rsidRDefault="003A2603" w:rsidP="003A2603">
      <w:pPr>
        <w:jc w:val="both"/>
        <w:rPr>
          <w:color w:val="000000"/>
        </w:rPr>
      </w:pPr>
    </w:p>
    <w:p w:rsidR="003A2603" w:rsidRPr="007F2CC1" w:rsidRDefault="003A2603" w:rsidP="003A2603">
      <w:pPr>
        <w:pStyle w:val="IH"/>
        <w:ind w:left="0" w:firstLine="0"/>
        <w:rPr>
          <w:rFonts w:ascii="Times New Roman" w:hAnsi="Times New Roman"/>
          <w:color w:val="000000"/>
        </w:rPr>
      </w:pPr>
      <w:r w:rsidRPr="007F2CC1">
        <w:rPr>
          <w:rFonts w:ascii="Times New Roman" w:hAnsi="Times New Roman"/>
          <w:color w:val="000000"/>
        </w:rPr>
        <w:t>Interpretation</w:t>
      </w:r>
    </w:p>
    <w:p w:rsidR="003A2603" w:rsidRPr="007F2CC1" w:rsidRDefault="003A2603" w:rsidP="00350927">
      <w:pPr>
        <w:pStyle w:val="IP"/>
        <w:rPr>
          <w:color w:val="000000"/>
        </w:rPr>
      </w:pPr>
      <w:r w:rsidRPr="007F2CC1">
        <w:rPr>
          <w:color w:val="000000"/>
        </w:rPr>
        <w:t>In this Determination:</w:t>
      </w:r>
    </w:p>
    <w:p w:rsidR="003A2603" w:rsidRPr="007F2CC1" w:rsidRDefault="003A2603" w:rsidP="00350927">
      <w:pPr>
        <w:pStyle w:val="IntroTo"/>
        <w:spacing w:before="120"/>
        <w:ind w:left="0" w:firstLine="0"/>
        <w:jc w:val="both"/>
        <w:rPr>
          <w:color w:val="000000"/>
          <w:szCs w:val="24"/>
        </w:rPr>
      </w:pPr>
      <w:r w:rsidRPr="007F2CC1">
        <w:rPr>
          <w:b/>
          <w:i/>
          <w:color w:val="000000"/>
          <w:szCs w:val="24"/>
        </w:rPr>
        <w:t>APRA</w:t>
      </w:r>
      <w:r w:rsidRPr="007F2CC1">
        <w:rPr>
          <w:color w:val="000000"/>
          <w:szCs w:val="24"/>
        </w:rPr>
        <w:t xml:space="preserve"> means the Australian Prudential Regulation Authority.</w:t>
      </w:r>
    </w:p>
    <w:p w:rsidR="00CF5F3B" w:rsidRPr="007F2CC1" w:rsidRDefault="00CF5F3B" w:rsidP="00350927">
      <w:pPr>
        <w:pStyle w:val="IntroTo"/>
        <w:spacing w:before="120"/>
        <w:ind w:left="0" w:firstLine="0"/>
        <w:jc w:val="both"/>
        <w:rPr>
          <w:i/>
          <w:color w:val="000000"/>
          <w:szCs w:val="24"/>
        </w:rPr>
      </w:pPr>
      <w:r w:rsidRPr="007F2CC1">
        <w:rPr>
          <w:b/>
          <w:i/>
        </w:rPr>
        <w:t xml:space="preserve">financial sector entity </w:t>
      </w:r>
      <w:r w:rsidRPr="007F2CC1">
        <w:t>has the meaning given in section 5 of the Act.</w:t>
      </w:r>
    </w:p>
    <w:p w:rsidR="003A2603" w:rsidRPr="007F2CC1" w:rsidRDefault="003A2603" w:rsidP="003A2603">
      <w:pPr>
        <w:pStyle w:val="AS"/>
        <w:ind w:left="0" w:firstLine="0"/>
        <w:rPr>
          <w:rStyle w:val="CharSchText"/>
          <w:color w:val="000000"/>
        </w:rPr>
      </w:pPr>
      <w:r w:rsidRPr="007F2CC1">
        <w:rPr>
          <w:rStyle w:val="CharSchNo"/>
          <w:color w:val="000000"/>
        </w:rPr>
        <w:lastRenderedPageBreak/>
        <w:t xml:space="preserve">Schedule </w:t>
      </w:r>
    </w:p>
    <w:p w:rsidR="003A2603" w:rsidRPr="007F2CC1" w:rsidRDefault="003A2603" w:rsidP="003A2603">
      <w:pPr>
        <w:pStyle w:val="ASref"/>
        <w:rPr>
          <w:color w:val="000000"/>
        </w:rPr>
      </w:pPr>
    </w:p>
    <w:p w:rsidR="000A5F23" w:rsidRDefault="003A2603" w:rsidP="00CF5F3B">
      <w:pPr>
        <w:spacing w:before="120" w:after="240"/>
        <w:jc w:val="both"/>
        <w:rPr>
          <w:bCs/>
        </w:rPr>
      </w:pPr>
      <w:r w:rsidRPr="007F2CC1">
        <w:rPr>
          <w:i/>
          <w:color w:val="000000"/>
        </w:rPr>
        <w:t xml:space="preserve">Reporting Standard </w:t>
      </w:r>
      <w:r w:rsidR="006B218E" w:rsidRPr="007F2CC1">
        <w:rPr>
          <w:i/>
          <w:color w:val="000000"/>
        </w:rPr>
        <w:t>G</w:t>
      </w:r>
      <w:r w:rsidRPr="007F2CC1">
        <w:rPr>
          <w:i/>
          <w:color w:val="000000"/>
        </w:rPr>
        <w:t xml:space="preserve">RS </w:t>
      </w:r>
      <w:r w:rsidR="006B218E" w:rsidRPr="007F2CC1">
        <w:rPr>
          <w:i/>
          <w:color w:val="000000"/>
        </w:rPr>
        <w:t>460</w:t>
      </w:r>
      <w:r w:rsidRPr="007F2CC1">
        <w:rPr>
          <w:i/>
          <w:color w:val="000000"/>
        </w:rPr>
        <w:t>.</w:t>
      </w:r>
      <w:r w:rsidR="005D30AC" w:rsidRPr="007F2CC1">
        <w:rPr>
          <w:i/>
          <w:color w:val="000000"/>
        </w:rPr>
        <w:t>1</w:t>
      </w:r>
      <w:r w:rsidR="005A3D37" w:rsidRPr="007F2CC1">
        <w:rPr>
          <w:i/>
          <w:color w:val="000000"/>
        </w:rPr>
        <w:t>_G</w:t>
      </w:r>
      <w:r w:rsidR="006B218E" w:rsidRPr="007F2CC1">
        <w:rPr>
          <w:i/>
          <w:color w:val="000000"/>
        </w:rPr>
        <w:t xml:space="preserve"> </w:t>
      </w:r>
      <w:r w:rsidR="00491D2D" w:rsidRPr="007F2CC1">
        <w:rPr>
          <w:i/>
          <w:color w:val="000000"/>
        </w:rPr>
        <w:t>Exposure Analysis by</w:t>
      </w:r>
      <w:r w:rsidR="006B218E" w:rsidRPr="007F2CC1">
        <w:rPr>
          <w:i/>
          <w:color w:val="000000"/>
        </w:rPr>
        <w:t xml:space="preserve"> </w:t>
      </w:r>
      <w:r w:rsidR="00491D2D" w:rsidRPr="007F2CC1">
        <w:rPr>
          <w:i/>
          <w:color w:val="000000"/>
        </w:rPr>
        <w:t xml:space="preserve">Reinsurance </w:t>
      </w:r>
      <w:r w:rsidR="006B218E" w:rsidRPr="007F2CC1">
        <w:rPr>
          <w:i/>
          <w:color w:val="000000"/>
        </w:rPr>
        <w:t>Count</w:t>
      </w:r>
      <w:r w:rsidRPr="007F2CC1">
        <w:rPr>
          <w:i/>
          <w:color w:val="000000"/>
        </w:rPr>
        <w:t>e</w:t>
      </w:r>
      <w:r w:rsidR="006B218E" w:rsidRPr="007F2CC1">
        <w:rPr>
          <w:i/>
          <w:color w:val="000000"/>
        </w:rPr>
        <w:t>rparty</w:t>
      </w:r>
      <w:r w:rsidR="005A3D37" w:rsidRPr="007F2CC1">
        <w:rPr>
          <w:i/>
          <w:color w:val="000000"/>
        </w:rPr>
        <w:t xml:space="preserve"> (Level 2 Insurance Group)</w:t>
      </w:r>
      <w:r w:rsidRPr="007F2CC1">
        <w:rPr>
          <w:bCs/>
          <w:i/>
          <w:color w:val="000000"/>
        </w:rPr>
        <w:t xml:space="preserve"> </w:t>
      </w:r>
      <w:r w:rsidRPr="007F2CC1">
        <w:rPr>
          <w:bCs/>
        </w:rPr>
        <w:t xml:space="preserve">comprises the </w:t>
      </w:r>
      <w:r w:rsidR="007F2CC1">
        <w:rPr>
          <w:bCs/>
        </w:rPr>
        <w:t>12</w:t>
      </w:r>
      <w:r w:rsidRPr="007F2CC1">
        <w:rPr>
          <w:bCs/>
        </w:rPr>
        <w:t xml:space="preserve"> pages commencing on the following page</w:t>
      </w:r>
      <w:r w:rsidR="0070337A" w:rsidRPr="007F2CC1">
        <w:rPr>
          <w:bCs/>
        </w:rPr>
        <w:t>.</w:t>
      </w:r>
      <w:bookmarkEnd w:id="0"/>
    </w:p>
    <w:p w:rsidR="00E32301" w:rsidRDefault="00E32301" w:rsidP="00CF5F3B">
      <w:pPr>
        <w:spacing w:before="120" w:after="240"/>
        <w:jc w:val="both"/>
        <w:rPr>
          <w:bCs/>
        </w:rPr>
        <w:sectPr w:rsidR="00E32301" w:rsidSect="00E63AB5">
          <w:headerReference w:type="default" r:id="rId10"/>
          <w:pgSz w:w="11906" w:h="16838"/>
          <w:pgMar w:top="1440" w:right="1800" w:bottom="1440" w:left="1800" w:header="708" w:footer="708" w:gutter="0"/>
          <w:pgNumType w:start="1"/>
          <w:cols w:space="708"/>
          <w:docGrid w:linePitch="360"/>
        </w:sectPr>
      </w:pPr>
    </w:p>
    <w:p w:rsidR="00E32301" w:rsidRPr="00706CFC" w:rsidRDefault="00E32301" w:rsidP="00E32301">
      <w:pPr>
        <w:rPr>
          <w:rFonts w:eastAsia="Times"/>
          <w:szCs w:val="20"/>
        </w:rPr>
      </w:pPr>
      <w:r>
        <w:rPr>
          <w:rFonts w:eastAsia="Times"/>
          <w:noProof/>
          <w:szCs w:val="20"/>
        </w:rPr>
        <w:lastRenderedPageBreak/>
        <w:drawing>
          <wp:inline distT="0" distB="0" distL="0" distR="0" wp14:anchorId="0E613706" wp14:editId="4288A152">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32301" w:rsidRPr="00706CFC" w:rsidRDefault="00E32301" w:rsidP="00E32301">
      <w:pPr>
        <w:rPr>
          <w:rFonts w:eastAsia="Times"/>
          <w:szCs w:val="20"/>
        </w:rPr>
      </w:pPr>
    </w:p>
    <w:p w:rsidR="00E32301" w:rsidRPr="00706CFC" w:rsidRDefault="00E32301" w:rsidP="00E32301">
      <w:pPr>
        <w:spacing w:before="120" w:after="360"/>
        <w:rPr>
          <w:rFonts w:ascii="Arial" w:hAnsi="Arial" w:cs="Arial"/>
          <w:b/>
          <w:sz w:val="40"/>
          <w:szCs w:val="40"/>
        </w:rPr>
      </w:pPr>
      <w:r w:rsidRPr="00706CFC">
        <w:rPr>
          <w:rFonts w:ascii="Arial" w:hAnsi="Arial" w:cs="Arial"/>
          <w:b/>
          <w:sz w:val="40"/>
          <w:szCs w:val="40"/>
        </w:rPr>
        <w:t xml:space="preserve">Reporting Standard </w:t>
      </w:r>
      <w:r>
        <w:rPr>
          <w:rFonts w:ascii="Arial" w:hAnsi="Arial" w:cs="Arial"/>
          <w:b/>
          <w:sz w:val="40"/>
          <w:szCs w:val="40"/>
        </w:rPr>
        <w:t>GRS</w:t>
      </w:r>
      <w:r w:rsidRPr="00706CFC">
        <w:rPr>
          <w:rFonts w:ascii="Arial" w:hAnsi="Arial" w:cs="Arial"/>
          <w:b/>
          <w:sz w:val="40"/>
          <w:szCs w:val="40"/>
        </w:rPr>
        <w:t xml:space="preserve"> </w:t>
      </w:r>
      <w:r>
        <w:rPr>
          <w:rFonts w:ascii="Arial" w:hAnsi="Arial" w:cs="Arial"/>
          <w:b/>
          <w:sz w:val="40"/>
          <w:szCs w:val="40"/>
        </w:rPr>
        <w:t>460.1_G</w:t>
      </w:r>
    </w:p>
    <w:p w:rsidR="00E32301" w:rsidRPr="00706CFC" w:rsidRDefault="00E32301" w:rsidP="00E32301">
      <w:pPr>
        <w:spacing w:before="120" w:after="360"/>
        <w:rPr>
          <w:rFonts w:ascii="Arial" w:hAnsi="Arial" w:cs="Arial"/>
          <w:b/>
          <w:sz w:val="40"/>
          <w:szCs w:val="40"/>
        </w:rPr>
      </w:pPr>
      <w:r>
        <w:rPr>
          <w:rFonts w:ascii="Arial" w:hAnsi="Arial" w:cs="Arial"/>
          <w:b/>
          <w:sz w:val="40"/>
          <w:szCs w:val="40"/>
        </w:rPr>
        <w:t>Exposure Analysis by Reinsurance Counterparty (Level 2 Insurance Group)</w:t>
      </w:r>
    </w:p>
    <w:p w:rsidR="00E32301" w:rsidRPr="00706CFC" w:rsidRDefault="00E32301" w:rsidP="00E32301">
      <w:pPr>
        <w:pBdr>
          <w:top w:val="single" w:sz="4" w:space="1" w:color="auto"/>
          <w:left w:val="single" w:sz="4" w:space="4" w:color="auto"/>
          <w:bottom w:val="single" w:sz="4" w:space="1" w:color="auto"/>
          <w:right w:val="single" w:sz="4" w:space="4" w:color="auto"/>
        </w:pBdr>
        <w:shd w:val="clear" w:color="auto" w:fill="D9D9D9"/>
        <w:spacing w:before="120" w:after="360"/>
        <w:jc w:val="both"/>
        <w:rPr>
          <w:rFonts w:ascii="Arial" w:eastAsia="Times" w:hAnsi="Arial" w:cs="Arial"/>
          <w:b/>
          <w:sz w:val="32"/>
          <w:szCs w:val="32"/>
        </w:rPr>
      </w:pPr>
      <w:r w:rsidRPr="00706CFC">
        <w:rPr>
          <w:rFonts w:ascii="Arial" w:eastAsia="Times" w:hAnsi="Arial" w:cs="Arial"/>
          <w:b/>
          <w:sz w:val="32"/>
          <w:szCs w:val="32"/>
        </w:rPr>
        <w:t>Objective of this Reporting Standard</w:t>
      </w:r>
    </w:p>
    <w:p w:rsidR="00E32301" w:rsidRPr="00706CFC" w:rsidRDefault="00E32301" w:rsidP="00E32301">
      <w:pPr>
        <w:pBdr>
          <w:top w:val="single" w:sz="4" w:space="1" w:color="auto"/>
          <w:left w:val="single" w:sz="4" w:space="4" w:color="auto"/>
          <w:bottom w:val="single" w:sz="4" w:space="1" w:color="auto"/>
          <w:right w:val="single" w:sz="4" w:space="4" w:color="auto"/>
        </w:pBdr>
        <w:shd w:val="clear" w:color="auto" w:fill="D9D9D9"/>
        <w:spacing w:after="240"/>
        <w:jc w:val="both"/>
        <w:rPr>
          <w:rFonts w:eastAsia="Times"/>
        </w:rPr>
      </w:pPr>
      <w:r w:rsidRPr="00706CFC">
        <w:rPr>
          <w:rFonts w:eastAsia="Times"/>
        </w:rPr>
        <w:t xml:space="preserve">This Reporting Standard sets out the requirements for the provision of information to APRA relating to </w:t>
      </w:r>
      <w:r>
        <w:rPr>
          <w:rFonts w:eastAsia="Times"/>
        </w:rPr>
        <w:t>a Level 2 insurance group’s exposures to reinsurance counterparties</w:t>
      </w:r>
      <w:r w:rsidRPr="00706CFC">
        <w:rPr>
          <w:rFonts w:eastAsia="Times"/>
        </w:rPr>
        <w:t xml:space="preserve">. </w:t>
      </w:r>
    </w:p>
    <w:p w:rsidR="00E32301" w:rsidRPr="00706CFC" w:rsidRDefault="00E32301" w:rsidP="00E32301">
      <w:pPr>
        <w:pBdr>
          <w:top w:val="single" w:sz="4" w:space="1" w:color="auto"/>
          <w:left w:val="single" w:sz="4" w:space="4" w:color="auto"/>
          <w:bottom w:val="single" w:sz="4" w:space="1" w:color="auto"/>
          <w:right w:val="single" w:sz="4" w:space="4" w:color="auto"/>
        </w:pBdr>
        <w:shd w:val="clear" w:color="auto" w:fill="D9D9D9"/>
        <w:spacing w:after="120"/>
        <w:jc w:val="both"/>
        <w:rPr>
          <w:rFonts w:eastAsia="Times"/>
        </w:rPr>
      </w:pPr>
      <w:r w:rsidRPr="00706CFC">
        <w:rPr>
          <w:rFonts w:eastAsia="Times"/>
        </w:rPr>
        <w:t xml:space="preserve">It includes </w:t>
      </w:r>
      <w:r w:rsidRPr="00706CFC">
        <w:rPr>
          <w:rFonts w:eastAsia="Times"/>
          <w:i/>
        </w:rPr>
        <w:t>Form</w:t>
      </w:r>
      <w:r>
        <w:rPr>
          <w:rFonts w:eastAsia="Times"/>
          <w:i/>
        </w:rPr>
        <w:t xml:space="preserve"> GRF 460.1_G Exposure </w:t>
      </w:r>
      <w:r w:rsidRPr="004E65DB">
        <w:rPr>
          <w:rFonts w:eastAsia="Times"/>
          <w:i/>
        </w:rPr>
        <w:t>Analysis</w:t>
      </w:r>
      <w:r>
        <w:rPr>
          <w:rFonts w:eastAsia="Times"/>
        </w:rPr>
        <w:t xml:space="preserve"> </w:t>
      </w:r>
      <w:r w:rsidRPr="00F81918">
        <w:rPr>
          <w:rFonts w:eastAsia="Times"/>
          <w:i/>
        </w:rPr>
        <w:t>by Reinsurance Counterparty</w:t>
      </w:r>
      <w:r>
        <w:rPr>
          <w:rFonts w:eastAsia="Times"/>
          <w:i/>
        </w:rPr>
        <w:t xml:space="preserve"> (G)</w:t>
      </w:r>
      <w:r>
        <w:rPr>
          <w:rFonts w:eastAsia="Times"/>
        </w:rPr>
        <w:t xml:space="preserve"> </w:t>
      </w:r>
      <w:r w:rsidRPr="00706CFC">
        <w:rPr>
          <w:rFonts w:eastAsia="Times"/>
        </w:rPr>
        <w:t>and associated specific instructions</w:t>
      </w:r>
      <w:r>
        <w:rPr>
          <w:rFonts w:eastAsia="Times"/>
        </w:rPr>
        <w:t xml:space="preserve"> and must be read in conjunction with the general instruction guide</w:t>
      </w:r>
      <w:r w:rsidRPr="00706CFC">
        <w:rPr>
          <w:rFonts w:eastAsia="Times"/>
        </w:rPr>
        <w:t>.</w:t>
      </w:r>
    </w:p>
    <w:p w:rsidR="00E32301" w:rsidRPr="00706CFC" w:rsidRDefault="00E32301" w:rsidP="00E32301">
      <w:pPr>
        <w:keepNext/>
        <w:keepLines/>
        <w:spacing w:before="120" w:after="240"/>
        <w:outlineLvl w:val="2"/>
        <w:rPr>
          <w:rFonts w:ascii="Arial" w:hAnsi="Arial"/>
          <w:b/>
          <w:bCs/>
          <w:lang w:val="x-none"/>
        </w:rPr>
      </w:pPr>
      <w:bookmarkStart w:id="2" w:name="_Toc256519850"/>
      <w:r w:rsidRPr="00706CFC">
        <w:rPr>
          <w:rFonts w:ascii="Arial" w:hAnsi="Arial"/>
          <w:b/>
          <w:bCs/>
          <w:lang w:val="x-none"/>
        </w:rPr>
        <w:t>Authority</w:t>
      </w:r>
      <w:bookmarkEnd w:id="2"/>
    </w:p>
    <w:p w:rsidR="00E32301" w:rsidRPr="00706CFC" w:rsidRDefault="00E32301" w:rsidP="00E32301">
      <w:pPr>
        <w:numPr>
          <w:ilvl w:val="0"/>
          <w:numId w:val="28"/>
        </w:numPr>
        <w:spacing w:before="240" w:after="240"/>
        <w:jc w:val="both"/>
        <w:rPr>
          <w:iCs/>
          <w:lang w:val="x-none"/>
        </w:rPr>
      </w:pPr>
      <w:bookmarkStart w:id="3" w:name="_Ref42506849"/>
      <w:r w:rsidRPr="00706CFC">
        <w:rPr>
          <w:iCs/>
          <w:lang w:val="x-none"/>
        </w:rPr>
        <w:t xml:space="preserve">This Reporting Standard is made under section 13 of the </w:t>
      </w:r>
      <w:r w:rsidRPr="00706CFC">
        <w:rPr>
          <w:i/>
          <w:iCs/>
          <w:lang w:val="x-none"/>
        </w:rPr>
        <w:t>Financial Sector (Collection of Data) Act 2001</w:t>
      </w:r>
      <w:r w:rsidRPr="00706CFC">
        <w:rPr>
          <w:iCs/>
          <w:lang w:val="x-none"/>
        </w:rPr>
        <w:t>.</w:t>
      </w:r>
      <w:bookmarkEnd w:id="3"/>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t>Purpose</w:t>
      </w:r>
    </w:p>
    <w:p w:rsidR="00E32301" w:rsidRPr="00706CFC" w:rsidRDefault="00E32301" w:rsidP="00E32301">
      <w:pPr>
        <w:numPr>
          <w:ilvl w:val="0"/>
          <w:numId w:val="28"/>
        </w:numPr>
        <w:spacing w:before="240" w:after="240"/>
        <w:jc w:val="both"/>
        <w:rPr>
          <w:iCs/>
          <w:lang w:val="x-none"/>
        </w:rPr>
      </w:pPr>
      <w:r>
        <w:rPr>
          <w:iCs/>
          <w:lang w:val="x-none"/>
        </w:rPr>
        <w:t>Information collected in</w:t>
      </w:r>
      <w:r>
        <w:rPr>
          <w:iCs/>
        </w:rPr>
        <w:t xml:space="preserve"> </w:t>
      </w:r>
      <w:r w:rsidRPr="00706CFC">
        <w:rPr>
          <w:i/>
          <w:iCs/>
          <w:lang w:val="x-none"/>
        </w:rPr>
        <w:t xml:space="preserve">Form </w:t>
      </w:r>
      <w:r>
        <w:rPr>
          <w:i/>
          <w:iCs/>
        </w:rPr>
        <w:t>G</w:t>
      </w:r>
      <w:r w:rsidRPr="00706CFC">
        <w:rPr>
          <w:i/>
          <w:iCs/>
          <w:lang w:val="x-none"/>
        </w:rPr>
        <w:t xml:space="preserve">RF </w:t>
      </w:r>
      <w:r>
        <w:rPr>
          <w:i/>
          <w:iCs/>
        </w:rPr>
        <w:t>460.1_G Exposure Analysis by Reinsurance Counterparty (G)</w:t>
      </w:r>
      <w:r w:rsidRPr="00706CFC">
        <w:rPr>
          <w:i/>
          <w:iCs/>
        </w:rPr>
        <w:t xml:space="preserve"> </w:t>
      </w:r>
      <w:r>
        <w:rPr>
          <w:iCs/>
          <w:lang w:val="x-none"/>
        </w:rPr>
        <w:t>(</w:t>
      </w:r>
      <w:r>
        <w:rPr>
          <w:iCs/>
        </w:rPr>
        <w:t xml:space="preserve">GRF 460.1_G) </w:t>
      </w:r>
      <w:r w:rsidRPr="00706CFC">
        <w:rPr>
          <w:iCs/>
          <w:lang w:val="x-none"/>
        </w:rPr>
        <w:t>is used by APRA for the purpose</w:t>
      </w:r>
      <w:r w:rsidRPr="00706CFC">
        <w:rPr>
          <w:iCs/>
        </w:rPr>
        <w:t>s</w:t>
      </w:r>
      <w:r w:rsidRPr="00706CFC">
        <w:rPr>
          <w:iCs/>
          <w:lang w:val="x-none"/>
        </w:rPr>
        <w:t xml:space="preserve"> of </w:t>
      </w:r>
      <w:r w:rsidRPr="00706CFC">
        <w:rPr>
          <w:iCs/>
        </w:rPr>
        <w:t>prudential supervision</w:t>
      </w:r>
      <w:r w:rsidRPr="00706CFC">
        <w:rPr>
          <w:iCs/>
          <w:lang w:val="x-none"/>
        </w:rPr>
        <w:t>.</w:t>
      </w:r>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t>Application and commencement</w:t>
      </w:r>
    </w:p>
    <w:p w:rsidR="00E32301" w:rsidRDefault="00E32301" w:rsidP="00E32301">
      <w:pPr>
        <w:numPr>
          <w:ilvl w:val="0"/>
          <w:numId w:val="28"/>
        </w:numPr>
        <w:spacing w:before="240" w:after="240"/>
        <w:jc w:val="both"/>
        <w:rPr>
          <w:iCs/>
        </w:rPr>
      </w:pPr>
      <w:bookmarkStart w:id="4" w:name="_Toc256519851"/>
      <w:r w:rsidRPr="002D33C0">
        <w:rPr>
          <w:iCs/>
        </w:rPr>
        <w:t>This Reporting Standard</w:t>
      </w:r>
      <w:r>
        <w:rPr>
          <w:iCs/>
        </w:rPr>
        <w:t xml:space="preserve"> applies to the parent entity of a Level 2 insurance group as defined in </w:t>
      </w:r>
      <w:r w:rsidRPr="00664BFC">
        <w:rPr>
          <w:i/>
          <w:iCs/>
        </w:rPr>
        <w:t>Prudential Standard GPS 001 Definitions</w:t>
      </w:r>
      <w:r>
        <w:rPr>
          <w:iCs/>
        </w:rPr>
        <w:t xml:space="preserve"> (GPS 001)</w:t>
      </w:r>
      <w:r w:rsidRPr="002D33C0">
        <w:rPr>
          <w:iCs/>
        </w:rPr>
        <w:t xml:space="preserve">. </w:t>
      </w:r>
    </w:p>
    <w:p w:rsidR="00E32301" w:rsidRDefault="00E32301" w:rsidP="00E32301">
      <w:pPr>
        <w:numPr>
          <w:ilvl w:val="0"/>
          <w:numId w:val="28"/>
        </w:numPr>
        <w:spacing w:before="240" w:after="240"/>
        <w:jc w:val="both"/>
        <w:rPr>
          <w:iCs/>
        </w:rPr>
      </w:pPr>
      <w:r w:rsidRPr="002D33C0">
        <w:rPr>
          <w:iCs/>
        </w:rPr>
        <w:t>This Reporting Standard applies for reporting</w:t>
      </w:r>
      <w:r>
        <w:rPr>
          <w:iCs/>
        </w:rPr>
        <w:t xml:space="preserve"> </w:t>
      </w:r>
      <w:r w:rsidRPr="002D33C0">
        <w:rPr>
          <w:iCs/>
        </w:rPr>
        <w:t xml:space="preserve">periods ending on or after </w:t>
      </w:r>
      <w:r>
        <w:rPr>
          <w:iCs/>
        </w:rPr>
        <w:t>31 December</w:t>
      </w:r>
      <w:r w:rsidRPr="002D33C0">
        <w:rPr>
          <w:iCs/>
        </w:rPr>
        <w:t xml:space="preserve"> 2013.</w:t>
      </w:r>
      <w:r>
        <w:rPr>
          <w:iCs/>
        </w:rPr>
        <w:t xml:space="preserve"> </w:t>
      </w:r>
    </w:p>
    <w:p w:rsidR="00E32301" w:rsidRPr="002D33C0" w:rsidRDefault="00E32301" w:rsidP="00E32301">
      <w:pPr>
        <w:numPr>
          <w:ilvl w:val="0"/>
          <w:numId w:val="28"/>
        </w:numPr>
        <w:spacing w:before="240" w:after="240"/>
        <w:jc w:val="both"/>
        <w:rPr>
          <w:iCs/>
        </w:rPr>
      </w:pPr>
      <w:r>
        <w:rPr>
          <w:iCs/>
        </w:rPr>
        <w:t>The parent entity of a Level 2 insurance group is required to ensure that each requirement in this Reporting Standard is complied with.</w:t>
      </w:r>
    </w:p>
    <w:p w:rsidR="00E32301" w:rsidRPr="00706CFC" w:rsidRDefault="00E32301" w:rsidP="00E32301">
      <w:pPr>
        <w:keepNext/>
        <w:keepLines/>
        <w:spacing w:before="120" w:after="240"/>
        <w:outlineLvl w:val="2"/>
        <w:rPr>
          <w:rFonts w:ascii="Arial" w:hAnsi="Arial"/>
          <w:b/>
          <w:bCs/>
          <w:lang w:val="x-none"/>
        </w:rPr>
      </w:pPr>
      <w:r w:rsidRPr="00706CFC">
        <w:rPr>
          <w:rFonts w:ascii="Arial" w:hAnsi="Arial"/>
          <w:b/>
          <w:bCs/>
          <w:lang w:val="x-none"/>
        </w:rPr>
        <w:t>Information required</w:t>
      </w:r>
    </w:p>
    <w:p w:rsidR="00E32301" w:rsidRPr="00706CFC" w:rsidRDefault="00E32301" w:rsidP="00E32301">
      <w:pPr>
        <w:numPr>
          <w:ilvl w:val="0"/>
          <w:numId w:val="28"/>
        </w:numPr>
        <w:spacing w:before="240" w:after="240"/>
        <w:jc w:val="both"/>
        <w:rPr>
          <w:iCs/>
          <w:lang w:val="x-none"/>
        </w:rPr>
      </w:pPr>
      <w:r>
        <w:rPr>
          <w:iCs/>
        </w:rPr>
        <w:t>The parent entity of a Level 2 insurance group</w:t>
      </w:r>
      <w:r w:rsidRPr="00706CFC">
        <w:rPr>
          <w:iCs/>
          <w:lang w:val="x-none"/>
        </w:rPr>
        <w:t xml:space="preserve"> must provide APRA with the information required by </w:t>
      </w:r>
      <w:r>
        <w:rPr>
          <w:iCs/>
        </w:rPr>
        <w:t>GRF 460.1_G</w:t>
      </w:r>
      <w:r w:rsidRPr="00706CFC">
        <w:rPr>
          <w:iCs/>
          <w:lang w:val="x-none"/>
        </w:rPr>
        <w:t xml:space="preserve"> </w:t>
      </w:r>
      <w:r w:rsidRPr="00706CFC">
        <w:rPr>
          <w:iCs/>
        </w:rPr>
        <w:t xml:space="preserve">in respect </w:t>
      </w:r>
      <w:r>
        <w:rPr>
          <w:iCs/>
        </w:rPr>
        <w:t>of the Level 2 insurance group for</w:t>
      </w:r>
      <w:r w:rsidRPr="00706CFC">
        <w:rPr>
          <w:iCs/>
        </w:rPr>
        <w:t xml:space="preserve"> </w:t>
      </w:r>
      <w:r w:rsidRPr="00706CFC">
        <w:rPr>
          <w:iCs/>
          <w:lang w:val="x-none"/>
        </w:rPr>
        <w:t>each reporting period.</w:t>
      </w:r>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lastRenderedPageBreak/>
        <w:t>Forms and method of submission</w:t>
      </w:r>
    </w:p>
    <w:p w:rsidR="00E32301" w:rsidRPr="00706CFC" w:rsidRDefault="00E32301" w:rsidP="00E32301">
      <w:pPr>
        <w:numPr>
          <w:ilvl w:val="0"/>
          <w:numId w:val="28"/>
        </w:numPr>
        <w:spacing w:before="240" w:after="240"/>
        <w:jc w:val="both"/>
        <w:rPr>
          <w:iCs/>
          <w:lang w:val="x-none"/>
        </w:rPr>
      </w:pPr>
      <w:r w:rsidRPr="00706CFC">
        <w:rPr>
          <w:iCs/>
          <w:lang w:val="x-none"/>
        </w:rPr>
        <w:t>The information required by this Reporting Standard must be given to APRA in electronic format using the ‘Direct to APRA’ application or, where ‘Direct to APRA’ is not available, by a method notified by APRA prior to submission.</w:t>
      </w:r>
    </w:p>
    <w:p w:rsidR="00E32301" w:rsidRPr="00706CFC" w:rsidRDefault="00E32301" w:rsidP="00E32301">
      <w:pPr>
        <w:spacing w:after="240"/>
        <w:ind w:left="567"/>
        <w:jc w:val="both"/>
        <w:rPr>
          <w:iCs/>
          <w:sz w:val="20"/>
          <w:szCs w:val="20"/>
          <w:lang w:val="x-none"/>
        </w:rPr>
      </w:pPr>
      <w:r w:rsidRPr="00706CFC">
        <w:rPr>
          <w:i/>
          <w:iCs/>
          <w:sz w:val="20"/>
          <w:szCs w:val="20"/>
          <w:lang w:val="x-none"/>
        </w:rPr>
        <w:t>Note</w:t>
      </w:r>
      <w:r w:rsidRPr="00706CFC">
        <w:rPr>
          <w:iCs/>
          <w:sz w:val="20"/>
          <w:szCs w:val="20"/>
          <w:lang w:val="x-none"/>
        </w:rPr>
        <w:t xml:space="preserve">: the ‘Direct to APRA’ application software </w:t>
      </w:r>
      <w:r w:rsidRPr="009924B4">
        <w:rPr>
          <w:iCs/>
          <w:sz w:val="20"/>
          <w:szCs w:val="20"/>
          <w:lang w:val="x-none"/>
        </w:rPr>
        <w:t xml:space="preserve">(also known as ‘D2A’) </w:t>
      </w:r>
      <w:r w:rsidRPr="00706CFC">
        <w:rPr>
          <w:iCs/>
          <w:sz w:val="20"/>
          <w:szCs w:val="20"/>
          <w:lang w:val="x-none"/>
        </w:rPr>
        <w:t>may be obtained from APRA.</w:t>
      </w:r>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t>Reporting periods and due dates</w:t>
      </w:r>
    </w:p>
    <w:p w:rsidR="00E32301" w:rsidRPr="00F81918" w:rsidRDefault="00E32301" w:rsidP="00E32301">
      <w:pPr>
        <w:numPr>
          <w:ilvl w:val="0"/>
          <w:numId w:val="28"/>
        </w:numPr>
        <w:spacing w:before="240" w:after="240"/>
        <w:jc w:val="both"/>
        <w:rPr>
          <w:iCs/>
          <w:lang w:val="x-none"/>
        </w:rPr>
      </w:pPr>
      <w:bookmarkStart w:id="5" w:name="_Ref352163767"/>
      <w:bookmarkStart w:id="6" w:name="_Ref349587044"/>
      <w:r w:rsidRPr="00706CFC">
        <w:rPr>
          <w:iCs/>
          <w:lang w:val="x-none"/>
        </w:rPr>
        <w:t xml:space="preserve">Subject to paragraph </w:t>
      </w:r>
      <w:r>
        <w:rPr>
          <w:iCs/>
        </w:rPr>
        <w:fldChar w:fldCharType="begin"/>
      </w:r>
      <w:r>
        <w:rPr>
          <w:iCs/>
          <w:lang w:val="x-none"/>
        </w:rPr>
        <w:instrText xml:space="preserve"> REF _Ref349587267 \r \h </w:instrText>
      </w:r>
      <w:r>
        <w:rPr>
          <w:iCs/>
        </w:rPr>
      </w:r>
      <w:r>
        <w:rPr>
          <w:iCs/>
        </w:rPr>
        <w:fldChar w:fldCharType="separate"/>
      </w:r>
      <w:r w:rsidR="006B1843">
        <w:rPr>
          <w:iCs/>
          <w:lang w:val="x-none"/>
        </w:rPr>
        <w:t>9</w:t>
      </w:r>
      <w:r>
        <w:rPr>
          <w:iCs/>
        </w:rPr>
        <w:fldChar w:fldCharType="end"/>
      </w:r>
      <w:r w:rsidRPr="00706CFC">
        <w:rPr>
          <w:iCs/>
          <w:lang w:val="x-none"/>
        </w:rPr>
        <w:t xml:space="preserve">, </w:t>
      </w:r>
      <w:r>
        <w:rPr>
          <w:iCs/>
        </w:rPr>
        <w:t>the parent entity of a Level 2 insurance group</w:t>
      </w:r>
      <w:r w:rsidRPr="00706CFC">
        <w:rPr>
          <w:iCs/>
          <w:lang w:val="x-none"/>
        </w:rPr>
        <w:t xml:space="preserve"> must provide the information required by this Reporting Standard in respect of</w:t>
      </w:r>
      <w:r w:rsidRPr="00706CFC">
        <w:rPr>
          <w:iCs/>
        </w:rPr>
        <w:t xml:space="preserve"> </w:t>
      </w:r>
      <w:r w:rsidRPr="00706CFC">
        <w:rPr>
          <w:iCs/>
          <w:lang w:val="x-none"/>
        </w:rPr>
        <w:t xml:space="preserve">each </w:t>
      </w:r>
      <w:r>
        <w:rPr>
          <w:iCs/>
        </w:rPr>
        <w:t>financial year of the Level 2 insurance group</w:t>
      </w:r>
      <w:r w:rsidRPr="00706CFC">
        <w:rPr>
          <w:iCs/>
        </w:rPr>
        <w:t>.</w:t>
      </w:r>
      <w:bookmarkEnd w:id="5"/>
    </w:p>
    <w:p w:rsidR="00E32301" w:rsidRPr="00706CFC" w:rsidRDefault="00E32301" w:rsidP="00E32301">
      <w:pPr>
        <w:numPr>
          <w:ilvl w:val="0"/>
          <w:numId w:val="28"/>
        </w:numPr>
        <w:spacing w:before="240" w:after="240"/>
        <w:jc w:val="both"/>
        <w:rPr>
          <w:iCs/>
          <w:lang w:val="x-none"/>
        </w:rPr>
      </w:pPr>
      <w:bookmarkStart w:id="7" w:name="_Ref349587267"/>
      <w:bookmarkEnd w:id="6"/>
      <w:r w:rsidRPr="00706CFC">
        <w:rPr>
          <w:iCs/>
          <w:lang w:val="x-none"/>
        </w:rPr>
        <w:t>If, having regard to the pa</w:t>
      </w:r>
      <w:r>
        <w:rPr>
          <w:iCs/>
          <w:lang w:val="x-none"/>
        </w:rPr>
        <w:t xml:space="preserve">rticular circumstances of </w:t>
      </w:r>
      <w:r>
        <w:rPr>
          <w:iCs/>
        </w:rPr>
        <w:t>a Level 2 insurance group</w:t>
      </w:r>
      <w:r w:rsidRPr="00706CFC">
        <w:rPr>
          <w:iCs/>
        </w:rPr>
        <w:t xml:space="preserve">, </w:t>
      </w:r>
      <w:r w:rsidRPr="00706CFC">
        <w:rPr>
          <w:iCs/>
          <w:lang w:val="x-none"/>
        </w:rPr>
        <w:t xml:space="preserve">APRA considers it necessary or desirable to obtain information more or less frequently than as provided by paragraph </w:t>
      </w:r>
      <w:r>
        <w:rPr>
          <w:iCs/>
        </w:rPr>
        <w:fldChar w:fldCharType="begin"/>
      </w:r>
      <w:r>
        <w:rPr>
          <w:iCs/>
          <w:lang w:val="x-none"/>
        </w:rPr>
        <w:instrText xml:space="preserve"> REF _Ref352163767 \r \h </w:instrText>
      </w:r>
      <w:r>
        <w:rPr>
          <w:iCs/>
        </w:rPr>
      </w:r>
      <w:r>
        <w:rPr>
          <w:iCs/>
        </w:rPr>
        <w:fldChar w:fldCharType="separate"/>
      </w:r>
      <w:r w:rsidR="006B1843">
        <w:rPr>
          <w:iCs/>
          <w:lang w:val="x-none"/>
        </w:rPr>
        <w:t>8</w:t>
      </w:r>
      <w:r>
        <w:rPr>
          <w:iCs/>
        </w:rPr>
        <w:fldChar w:fldCharType="end"/>
      </w:r>
      <w:r w:rsidRPr="00706CFC">
        <w:rPr>
          <w:iCs/>
          <w:lang w:val="x-none"/>
        </w:rPr>
        <w:t>, APRA may change the reporting periods</w:t>
      </w:r>
      <w:r>
        <w:rPr>
          <w:iCs/>
        </w:rPr>
        <w:t>, or specify reporting periods,</w:t>
      </w:r>
      <w:r w:rsidRPr="00706CFC">
        <w:rPr>
          <w:iCs/>
          <w:lang w:val="x-none"/>
        </w:rPr>
        <w:t xml:space="preserve"> for the particular </w:t>
      </w:r>
      <w:r>
        <w:rPr>
          <w:iCs/>
        </w:rPr>
        <w:t>Level 2 insurance group</w:t>
      </w:r>
      <w:r w:rsidRPr="00706CFC">
        <w:rPr>
          <w:iCs/>
          <w:lang w:val="x-none"/>
        </w:rPr>
        <w:t>.</w:t>
      </w:r>
      <w:bookmarkEnd w:id="7"/>
    </w:p>
    <w:p w:rsidR="00E32301" w:rsidRPr="00706CFC" w:rsidRDefault="00E32301" w:rsidP="00E32301">
      <w:pPr>
        <w:numPr>
          <w:ilvl w:val="0"/>
          <w:numId w:val="28"/>
        </w:numPr>
        <w:spacing w:before="240" w:after="240"/>
        <w:jc w:val="both"/>
        <w:rPr>
          <w:iCs/>
          <w:lang w:val="x-none"/>
        </w:rPr>
      </w:pPr>
      <w:bookmarkStart w:id="8" w:name="_Ref350688839"/>
      <w:r w:rsidRPr="00706CFC">
        <w:rPr>
          <w:iCs/>
          <w:lang w:val="x-none"/>
        </w:rPr>
        <w:t>The information required by this Reporting Standard must be provided to APRA:</w:t>
      </w:r>
    </w:p>
    <w:p w:rsidR="00E32301" w:rsidRPr="00706CFC" w:rsidRDefault="00E32301" w:rsidP="00E32301">
      <w:pPr>
        <w:numPr>
          <w:ilvl w:val="1"/>
          <w:numId w:val="28"/>
        </w:numPr>
        <w:spacing w:before="240" w:after="240"/>
        <w:jc w:val="both"/>
        <w:rPr>
          <w:iCs/>
          <w:lang w:val="x-none"/>
        </w:rPr>
      </w:pPr>
      <w:r>
        <w:rPr>
          <w:iCs/>
        </w:rPr>
        <w:t xml:space="preserve">within the time stated in </w:t>
      </w:r>
      <w:r>
        <w:rPr>
          <w:i/>
          <w:iCs/>
        </w:rPr>
        <w:t>Reporting Standard GRS 001 Reporting Requirements</w:t>
      </w:r>
      <w:r>
        <w:rPr>
          <w:iCs/>
        </w:rPr>
        <w:t xml:space="preserve"> (GRS 001)</w:t>
      </w:r>
      <w:r w:rsidRPr="00706CFC">
        <w:rPr>
          <w:iCs/>
        </w:rPr>
        <w:t>;</w:t>
      </w:r>
      <w:r>
        <w:rPr>
          <w:iCs/>
        </w:rPr>
        <w:t xml:space="preserve"> or</w:t>
      </w:r>
      <w:r w:rsidRPr="00706CFC">
        <w:rPr>
          <w:iCs/>
        </w:rPr>
        <w:t xml:space="preserve"> </w:t>
      </w:r>
    </w:p>
    <w:p w:rsidR="00E32301" w:rsidRPr="00706CFC" w:rsidRDefault="00E32301" w:rsidP="00E32301">
      <w:pPr>
        <w:numPr>
          <w:ilvl w:val="1"/>
          <w:numId w:val="28"/>
        </w:numPr>
        <w:spacing w:before="240" w:after="240"/>
        <w:jc w:val="both"/>
        <w:rPr>
          <w:iCs/>
          <w:lang w:val="x-none"/>
        </w:rPr>
      </w:pPr>
      <w:r>
        <w:rPr>
          <w:iCs/>
        </w:rPr>
        <w:t xml:space="preserve">in the case of information provided in accordance with paragraph </w:t>
      </w:r>
      <w:r>
        <w:rPr>
          <w:iCs/>
        </w:rPr>
        <w:fldChar w:fldCharType="begin"/>
      </w:r>
      <w:r>
        <w:rPr>
          <w:iCs/>
        </w:rPr>
        <w:instrText xml:space="preserve"> REF _Ref349587267 \r \h </w:instrText>
      </w:r>
      <w:r>
        <w:rPr>
          <w:iCs/>
        </w:rPr>
      </w:r>
      <w:r>
        <w:rPr>
          <w:iCs/>
        </w:rPr>
        <w:fldChar w:fldCharType="separate"/>
      </w:r>
      <w:r w:rsidR="006B1843">
        <w:rPr>
          <w:iCs/>
        </w:rPr>
        <w:t>9</w:t>
      </w:r>
      <w:r>
        <w:rPr>
          <w:iCs/>
        </w:rPr>
        <w:fldChar w:fldCharType="end"/>
      </w:r>
      <w:r>
        <w:rPr>
          <w:iCs/>
        </w:rPr>
        <w:t>, within the time specified by APRA.</w:t>
      </w:r>
    </w:p>
    <w:p w:rsidR="00E32301" w:rsidRPr="00DB5A8B" w:rsidRDefault="00E32301" w:rsidP="00E32301">
      <w:pPr>
        <w:numPr>
          <w:ilvl w:val="0"/>
          <w:numId w:val="28"/>
        </w:numPr>
        <w:spacing w:before="240" w:after="240"/>
        <w:jc w:val="both"/>
        <w:rPr>
          <w:iCs/>
          <w:lang w:val="x-none"/>
        </w:rPr>
      </w:pPr>
      <w:bookmarkStart w:id="9" w:name="_Ref350688848"/>
      <w:bookmarkEnd w:id="8"/>
      <w:r w:rsidRPr="00DB5A8B">
        <w:rPr>
          <w:iCs/>
          <w:lang w:val="x-none"/>
        </w:rPr>
        <w:t xml:space="preserve">APRA may grant </w:t>
      </w:r>
      <w:r>
        <w:rPr>
          <w:iCs/>
        </w:rPr>
        <w:t>the</w:t>
      </w:r>
      <w:r w:rsidRPr="00DB5A8B">
        <w:rPr>
          <w:iCs/>
          <w:lang w:val="x-none"/>
        </w:rPr>
        <w:t xml:space="preserve"> </w:t>
      </w:r>
      <w:r w:rsidRPr="00DB5A8B">
        <w:rPr>
          <w:iCs/>
        </w:rPr>
        <w:t>parent entity of a Level 2 insurance group</w:t>
      </w:r>
      <w:r w:rsidRPr="00DB5A8B">
        <w:rPr>
          <w:iCs/>
          <w:lang w:val="x-none"/>
        </w:rPr>
        <w:t xml:space="preserve"> an extension of a due date, in which case the new due date for the provision of the information will be the date on the notice of extension.</w:t>
      </w:r>
      <w:bookmarkEnd w:id="9"/>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t>Quality control</w:t>
      </w:r>
    </w:p>
    <w:p w:rsidR="00E32301" w:rsidRPr="004E65DB" w:rsidRDefault="00E32301" w:rsidP="00E32301">
      <w:pPr>
        <w:numPr>
          <w:ilvl w:val="0"/>
          <w:numId w:val="28"/>
        </w:numPr>
        <w:spacing w:before="240" w:after="240"/>
        <w:jc w:val="both"/>
        <w:rPr>
          <w:iCs/>
          <w:lang w:val="x-none"/>
        </w:rPr>
      </w:pPr>
      <w:r w:rsidRPr="00835A55">
        <w:rPr>
          <w:iCs/>
          <w:lang w:val="x-none"/>
        </w:rPr>
        <w:t xml:space="preserve">All information provided by </w:t>
      </w:r>
      <w:r>
        <w:rPr>
          <w:iCs/>
        </w:rPr>
        <w:t>the parent entity of a Level 2 insurance group</w:t>
      </w:r>
      <w:r w:rsidRPr="00835A55">
        <w:rPr>
          <w:iCs/>
          <w:lang w:val="x-none"/>
        </w:rPr>
        <w:t xml:space="preserve"> under this Reporting Standard must be subject to systems, processes and controls developed by the </w:t>
      </w:r>
      <w:r>
        <w:rPr>
          <w:iCs/>
        </w:rPr>
        <w:t>Level 2 insurance group</w:t>
      </w:r>
      <w:r w:rsidRPr="00835A55">
        <w:rPr>
          <w:iCs/>
          <w:lang w:val="x-none"/>
        </w:rPr>
        <w:t xml:space="preserve"> for the internal review and authorisation of that information. It is the responsibility of the Board and senior management of the </w:t>
      </w:r>
      <w:r>
        <w:rPr>
          <w:iCs/>
        </w:rPr>
        <w:t>parent entity of the Level 2 insurance group</w:t>
      </w:r>
      <w:r w:rsidRPr="00835A55">
        <w:rPr>
          <w:iCs/>
          <w:lang w:val="x-none"/>
        </w:rPr>
        <w:t xml:space="preserve"> to ensure that an appropriate set of policies and procedures for the authorisation of information submitted to APRA is in place.</w:t>
      </w:r>
    </w:p>
    <w:p w:rsidR="00E32301" w:rsidRPr="00AD3773" w:rsidRDefault="00E32301" w:rsidP="00E32301">
      <w:pPr>
        <w:numPr>
          <w:ilvl w:val="0"/>
          <w:numId w:val="28"/>
        </w:numPr>
        <w:spacing w:before="240" w:after="240"/>
        <w:jc w:val="both"/>
        <w:rPr>
          <w:iCs/>
          <w:lang w:val="x-none"/>
        </w:rPr>
      </w:pPr>
      <w:r>
        <w:rPr>
          <w:iCs/>
        </w:rPr>
        <w:t xml:space="preserve">Under </w:t>
      </w:r>
      <w:r>
        <w:rPr>
          <w:i/>
          <w:iCs/>
        </w:rPr>
        <w:t>Prudential Standard GPS 310 Audit and Related Matters</w:t>
      </w:r>
      <w:r>
        <w:rPr>
          <w:iCs/>
        </w:rPr>
        <w:t xml:space="preserve"> (GPS 310), the Group Auditor of a Level 2 insurance group is not ordinarily required to provide a limited assurance review in relation to information provided by the parent entity of the Level 2 insurance group under this Reporting Standard.</w:t>
      </w:r>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t>Authorisation</w:t>
      </w:r>
    </w:p>
    <w:p w:rsidR="00E32301" w:rsidRPr="00706CFC" w:rsidRDefault="00E32301" w:rsidP="00E32301">
      <w:pPr>
        <w:numPr>
          <w:ilvl w:val="0"/>
          <w:numId w:val="28"/>
        </w:numPr>
        <w:spacing w:before="240" w:after="240"/>
        <w:jc w:val="both"/>
        <w:rPr>
          <w:iCs/>
          <w:lang w:val="x-none"/>
        </w:rPr>
      </w:pPr>
      <w:r w:rsidRPr="00706CFC">
        <w:rPr>
          <w:iCs/>
          <w:lang w:val="x-none"/>
        </w:rPr>
        <w:t>When a</w:t>
      </w:r>
      <w:r w:rsidRPr="00706CFC">
        <w:rPr>
          <w:iCs/>
        </w:rPr>
        <w:t xml:space="preserve">n </w:t>
      </w:r>
      <w:r w:rsidRPr="00706CFC">
        <w:rPr>
          <w:iCs/>
          <w:lang w:val="x-none"/>
        </w:rPr>
        <w:t xml:space="preserve">officer or agent of </w:t>
      </w:r>
      <w:r>
        <w:rPr>
          <w:iCs/>
        </w:rPr>
        <w:t>the parent entity of a Level 2 insurance group</w:t>
      </w:r>
      <w:r w:rsidRPr="00706CFC">
        <w:rPr>
          <w:iCs/>
          <w:lang w:val="x-none"/>
        </w:rPr>
        <w:t xml:space="preserve"> provides the information required by this Reporting Standard using the ‘Direct to APRA’ software, it will be necessary for the officer or agent to digitally sign the relevant information using a digital certificate acceptable to APRA.</w:t>
      </w:r>
      <w:r>
        <w:rPr>
          <w:iCs/>
        </w:rPr>
        <w:t xml:space="preserve"> </w:t>
      </w:r>
    </w:p>
    <w:p w:rsidR="00E32301" w:rsidRPr="00706CFC" w:rsidRDefault="00E32301" w:rsidP="00E32301">
      <w:pPr>
        <w:numPr>
          <w:ilvl w:val="0"/>
          <w:numId w:val="28"/>
        </w:numPr>
        <w:spacing w:before="240" w:after="240"/>
        <w:jc w:val="both"/>
        <w:rPr>
          <w:iCs/>
          <w:lang w:val="x-none"/>
        </w:rPr>
      </w:pPr>
      <w:r w:rsidRPr="00706CFC">
        <w:rPr>
          <w:iCs/>
          <w:lang w:val="x-none"/>
        </w:rPr>
        <w:lastRenderedPageBreak/>
        <w:t xml:space="preserve">If the information required by this Reporting Standard </w:t>
      </w:r>
      <w:r w:rsidRPr="00706CFC">
        <w:rPr>
          <w:iCs/>
        </w:rPr>
        <w:t xml:space="preserve">is provided by </w:t>
      </w:r>
      <w:r w:rsidRPr="00706CFC">
        <w:rPr>
          <w:iCs/>
          <w:lang w:val="x-none"/>
        </w:rPr>
        <w:t xml:space="preserve">an agent who submits using the ‘Direct to APRA’ software on the </w:t>
      </w:r>
      <w:r>
        <w:rPr>
          <w:iCs/>
        </w:rPr>
        <w:t>parent entity</w:t>
      </w:r>
      <w:r w:rsidRPr="00706CFC">
        <w:rPr>
          <w:iCs/>
          <w:lang w:val="x-none"/>
        </w:rPr>
        <w:t xml:space="preserve">’s behalf, the </w:t>
      </w:r>
      <w:r>
        <w:rPr>
          <w:iCs/>
        </w:rPr>
        <w:t>parent entity of the Level 2 insurance group</w:t>
      </w:r>
      <w:r w:rsidRPr="00706CFC">
        <w:rPr>
          <w:iCs/>
          <w:lang w:val="x-none"/>
        </w:rPr>
        <w:t xml:space="preserve"> must:</w:t>
      </w:r>
    </w:p>
    <w:p w:rsidR="00E32301" w:rsidRPr="00706CFC" w:rsidRDefault="00E32301" w:rsidP="00E32301">
      <w:pPr>
        <w:numPr>
          <w:ilvl w:val="1"/>
          <w:numId w:val="28"/>
        </w:numPr>
        <w:spacing w:before="240" w:after="240"/>
        <w:jc w:val="both"/>
        <w:rPr>
          <w:iCs/>
          <w:lang w:val="x-none"/>
        </w:rPr>
      </w:pPr>
      <w:r w:rsidRPr="00706CFC">
        <w:rPr>
          <w:iCs/>
          <w:lang w:val="x-none"/>
        </w:rPr>
        <w:t>obtain from the agent a copy of the completed form with the information provided to APRA; and</w:t>
      </w:r>
    </w:p>
    <w:p w:rsidR="00E32301" w:rsidRPr="00706CFC" w:rsidRDefault="00E32301" w:rsidP="00E32301">
      <w:pPr>
        <w:numPr>
          <w:ilvl w:val="1"/>
          <w:numId w:val="28"/>
        </w:numPr>
        <w:spacing w:before="240" w:after="240"/>
        <w:jc w:val="both"/>
        <w:rPr>
          <w:iCs/>
          <w:lang w:val="x-none"/>
        </w:rPr>
      </w:pPr>
      <w:r w:rsidRPr="00706CFC">
        <w:rPr>
          <w:iCs/>
          <w:lang w:val="x-none"/>
        </w:rPr>
        <w:t>retain the completed copy.</w:t>
      </w:r>
    </w:p>
    <w:p w:rsidR="00E32301" w:rsidRPr="00706CFC" w:rsidRDefault="00E32301" w:rsidP="00E32301">
      <w:pPr>
        <w:numPr>
          <w:ilvl w:val="0"/>
          <w:numId w:val="28"/>
        </w:numPr>
        <w:spacing w:before="240" w:after="240"/>
        <w:jc w:val="both"/>
        <w:rPr>
          <w:iCs/>
          <w:lang w:val="x-none"/>
        </w:rPr>
      </w:pPr>
      <w:r w:rsidRPr="00706CFC">
        <w:rPr>
          <w:iCs/>
          <w:lang w:val="x-none"/>
        </w:rPr>
        <w:t>A</w:t>
      </w:r>
      <w:r w:rsidRPr="00706CFC">
        <w:rPr>
          <w:iCs/>
        </w:rPr>
        <w:t xml:space="preserve">n </w:t>
      </w:r>
      <w:r w:rsidRPr="00706CFC">
        <w:rPr>
          <w:iCs/>
          <w:lang w:val="x-none"/>
        </w:rPr>
        <w:t xml:space="preserve">officer or agent of </w:t>
      </w:r>
      <w:r>
        <w:rPr>
          <w:iCs/>
        </w:rPr>
        <w:t>the parent entity of a Level 2 insurance group</w:t>
      </w:r>
      <w:r w:rsidRPr="00706CFC">
        <w:rPr>
          <w:iCs/>
          <w:lang w:val="x-none"/>
        </w:rPr>
        <w:t xml:space="preserve"> who submits the information under this Reporting Standard for, </w:t>
      </w:r>
      <w:r>
        <w:rPr>
          <w:iCs/>
        </w:rPr>
        <w:t xml:space="preserve">or </w:t>
      </w:r>
      <w:r w:rsidRPr="00706CFC">
        <w:rPr>
          <w:iCs/>
          <w:lang w:val="x-none"/>
        </w:rPr>
        <w:t xml:space="preserve">on behalf of, the </w:t>
      </w:r>
      <w:r>
        <w:rPr>
          <w:iCs/>
        </w:rPr>
        <w:t>parent entity of the Level 2 insurance group</w:t>
      </w:r>
      <w:r w:rsidRPr="00706CFC">
        <w:rPr>
          <w:iCs/>
          <w:lang w:val="x-none"/>
        </w:rPr>
        <w:t xml:space="preserve"> must be authorised by either:</w:t>
      </w:r>
    </w:p>
    <w:p w:rsidR="00E32301" w:rsidRPr="00706CFC" w:rsidRDefault="00E32301" w:rsidP="00E32301">
      <w:pPr>
        <w:numPr>
          <w:ilvl w:val="1"/>
          <w:numId w:val="28"/>
        </w:numPr>
        <w:spacing w:before="240" w:after="240"/>
        <w:jc w:val="both"/>
        <w:rPr>
          <w:iCs/>
          <w:lang w:val="x-none"/>
        </w:rPr>
      </w:pPr>
      <w:r w:rsidRPr="00706CFC">
        <w:rPr>
          <w:iCs/>
          <w:lang w:val="x-none"/>
        </w:rPr>
        <w:t xml:space="preserve">the </w:t>
      </w:r>
      <w:r>
        <w:rPr>
          <w:iCs/>
        </w:rPr>
        <w:t>Principal</w:t>
      </w:r>
      <w:r w:rsidRPr="00706CFC">
        <w:rPr>
          <w:iCs/>
        </w:rPr>
        <w:t xml:space="preserve"> </w:t>
      </w:r>
      <w:r w:rsidRPr="00706CFC">
        <w:rPr>
          <w:iCs/>
          <w:lang w:val="x-none"/>
        </w:rPr>
        <w:t xml:space="preserve">Executive Officer of the </w:t>
      </w:r>
      <w:r>
        <w:rPr>
          <w:iCs/>
        </w:rPr>
        <w:t>parent entity of the Level 2 insurance group</w:t>
      </w:r>
      <w:r w:rsidRPr="00706CFC">
        <w:rPr>
          <w:iCs/>
          <w:lang w:val="x-none"/>
        </w:rPr>
        <w:t>; or</w:t>
      </w:r>
    </w:p>
    <w:p w:rsidR="00E32301" w:rsidRPr="00706CFC" w:rsidRDefault="00E32301" w:rsidP="00E32301">
      <w:pPr>
        <w:numPr>
          <w:ilvl w:val="1"/>
          <w:numId w:val="28"/>
        </w:numPr>
        <w:spacing w:before="240" w:after="240"/>
        <w:jc w:val="both"/>
        <w:rPr>
          <w:iCs/>
          <w:lang w:val="x-none"/>
        </w:rPr>
      </w:pPr>
      <w:r w:rsidRPr="00706CFC">
        <w:rPr>
          <w:iCs/>
          <w:lang w:val="x-none"/>
        </w:rPr>
        <w:t xml:space="preserve">the Chief Financial Officer of the </w:t>
      </w:r>
      <w:r>
        <w:rPr>
          <w:iCs/>
        </w:rPr>
        <w:t>parent entity of the Level 2 insurance group</w:t>
      </w:r>
      <w:r w:rsidRPr="00706CFC">
        <w:rPr>
          <w:iCs/>
          <w:lang w:val="x-none"/>
        </w:rPr>
        <w:t xml:space="preserve">. </w:t>
      </w:r>
    </w:p>
    <w:p w:rsidR="00E32301" w:rsidRPr="00706CFC" w:rsidRDefault="00E32301" w:rsidP="00E32301">
      <w:pPr>
        <w:keepNext/>
        <w:keepLines/>
        <w:spacing w:before="120" w:after="240"/>
        <w:outlineLvl w:val="2"/>
        <w:rPr>
          <w:rFonts w:ascii="Arial" w:hAnsi="Arial"/>
          <w:b/>
          <w:bCs/>
          <w:color w:val="000000"/>
          <w:lang w:val="x-none"/>
        </w:rPr>
      </w:pPr>
      <w:r w:rsidRPr="00706CFC">
        <w:rPr>
          <w:rFonts w:ascii="Arial" w:hAnsi="Arial"/>
          <w:b/>
          <w:bCs/>
          <w:color w:val="000000"/>
          <w:lang w:val="x-none"/>
        </w:rPr>
        <w:t>Variations</w:t>
      </w:r>
    </w:p>
    <w:p w:rsidR="00E32301" w:rsidRPr="00706CFC" w:rsidRDefault="00E32301" w:rsidP="00E32301">
      <w:pPr>
        <w:numPr>
          <w:ilvl w:val="0"/>
          <w:numId w:val="28"/>
        </w:numPr>
        <w:spacing w:before="240" w:after="240"/>
        <w:jc w:val="both"/>
        <w:rPr>
          <w:iCs/>
          <w:lang w:val="x-none"/>
        </w:rPr>
      </w:pPr>
      <w:r w:rsidRPr="00706CFC">
        <w:rPr>
          <w:iCs/>
          <w:lang w:val="x-none"/>
        </w:rPr>
        <w:t xml:space="preserve">APRA may vary the reporting requirements of </w:t>
      </w:r>
      <w:r>
        <w:rPr>
          <w:iCs/>
        </w:rPr>
        <w:t xml:space="preserve">GRF 460.1_G </w:t>
      </w:r>
      <w:r w:rsidRPr="00706CFC">
        <w:rPr>
          <w:iCs/>
          <w:lang w:val="x-none"/>
        </w:rPr>
        <w:t xml:space="preserve">in relation to </w:t>
      </w:r>
      <w:r>
        <w:rPr>
          <w:iCs/>
        </w:rPr>
        <w:t>a</w:t>
      </w:r>
      <w:r w:rsidRPr="00706CFC">
        <w:rPr>
          <w:iCs/>
          <w:lang w:val="x-none"/>
        </w:rPr>
        <w:t xml:space="preserve"> </w:t>
      </w:r>
      <w:r>
        <w:rPr>
          <w:iCs/>
        </w:rPr>
        <w:t>Level 2 insurance group</w:t>
      </w:r>
      <w:r w:rsidRPr="00706CFC">
        <w:rPr>
          <w:iCs/>
          <w:lang w:val="x-none"/>
        </w:rPr>
        <w:t>.</w:t>
      </w:r>
    </w:p>
    <w:p w:rsidR="00E32301" w:rsidRPr="00706CFC" w:rsidRDefault="00E32301" w:rsidP="00E32301">
      <w:pPr>
        <w:keepNext/>
        <w:keepLines/>
        <w:spacing w:before="120" w:after="240"/>
        <w:outlineLvl w:val="2"/>
        <w:rPr>
          <w:rFonts w:ascii="Arial" w:hAnsi="Arial"/>
          <w:b/>
          <w:bCs/>
          <w:color w:val="000000"/>
          <w:lang w:val="x-none"/>
        </w:rPr>
      </w:pPr>
      <w:r w:rsidRPr="00814963">
        <w:rPr>
          <w:rFonts w:ascii="Arial" w:hAnsi="Arial"/>
          <w:b/>
          <w:bCs/>
          <w:color w:val="000000"/>
          <w:lang w:val="x-none"/>
        </w:rPr>
        <w:t>Interpretation</w:t>
      </w:r>
    </w:p>
    <w:p w:rsidR="00E32301" w:rsidRPr="00706CFC" w:rsidRDefault="00E32301" w:rsidP="00E32301">
      <w:pPr>
        <w:numPr>
          <w:ilvl w:val="0"/>
          <w:numId w:val="28"/>
        </w:numPr>
        <w:spacing w:before="240" w:after="240"/>
        <w:jc w:val="both"/>
        <w:rPr>
          <w:iCs/>
          <w:lang w:val="x-none"/>
        </w:rPr>
      </w:pPr>
      <w:r w:rsidRPr="00706CFC">
        <w:rPr>
          <w:iCs/>
          <w:lang w:val="x-none"/>
        </w:rPr>
        <w:t>In this Reporting Standard:</w:t>
      </w:r>
    </w:p>
    <w:p w:rsidR="00E32301" w:rsidRDefault="00E32301" w:rsidP="00E32301">
      <w:pPr>
        <w:numPr>
          <w:ilvl w:val="0"/>
          <w:numId w:val="29"/>
        </w:numPr>
        <w:spacing w:after="240"/>
        <w:ind w:left="1134" w:hanging="567"/>
        <w:jc w:val="both"/>
        <w:rPr>
          <w:iCs/>
        </w:rPr>
      </w:pPr>
      <w:r w:rsidRPr="00306B27">
        <w:rPr>
          <w:iCs/>
        </w:rPr>
        <w:t xml:space="preserve">unless the contrary intention appears, words and expressions have the meanings given to them in </w:t>
      </w:r>
      <w:r>
        <w:rPr>
          <w:iCs/>
        </w:rPr>
        <w:t>GPS 001; and</w:t>
      </w:r>
    </w:p>
    <w:bookmarkEnd w:id="4"/>
    <w:p w:rsidR="00E32301" w:rsidRPr="007B00A6" w:rsidRDefault="00E32301" w:rsidP="00E32301">
      <w:pPr>
        <w:numPr>
          <w:ilvl w:val="0"/>
          <w:numId w:val="29"/>
        </w:numPr>
        <w:spacing w:after="200"/>
        <w:ind w:left="1134" w:hanging="567"/>
        <w:jc w:val="both"/>
        <w:rPr>
          <w:iCs/>
        </w:rPr>
      </w:pPr>
      <w:r>
        <w:rPr>
          <w:b/>
          <w:i/>
        </w:rPr>
        <w:t>APRA</w:t>
      </w:r>
      <w:r>
        <w:t xml:space="preserve"> means the Australian Prudential Regulation Authority established under the </w:t>
      </w:r>
      <w:r>
        <w:rPr>
          <w:i/>
        </w:rPr>
        <w:t>Australian Prudential Regulation Authority Act 1998</w:t>
      </w:r>
      <w:r>
        <w:t>;</w:t>
      </w:r>
    </w:p>
    <w:p w:rsidR="00E32301" w:rsidRPr="003A50DE" w:rsidRDefault="00E32301" w:rsidP="00E32301">
      <w:pPr>
        <w:spacing w:after="200"/>
        <w:ind w:left="1134"/>
        <w:jc w:val="both"/>
      </w:pPr>
      <w:r w:rsidRPr="003A50DE">
        <w:rPr>
          <w:b/>
          <w:i/>
        </w:rPr>
        <w:t>Chief Financial Officer</w:t>
      </w:r>
      <w:r w:rsidRPr="003A50DE">
        <w:t xml:space="preserve"> means the chief financial officer of the </w:t>
      </w:r>
      <w:r>
        <w:t>parent entity of the Level 2 insurance group</w:t>
      </w:r>
      <w:r w:rsidRPr="003A50DE">
        <w:t>,</w:t>
      </w:r>
      <w:r>
        <w:t xml:space="preserve"> </w:t>
      </w:r>
      <w:r w:rsidRPr="003A50DE">
        <w:t>by whatever name called;</w:t>
      </w:r>
    </w:p>
    <w:p w:rsidR="00E32301" w:rsidRPr="003A50DE" w:rsidRDefault="00E32301" w:rsidP="00E32301">
      <w:pPr>
        <w:spacing w:after="200"/>
        <w:ind w:left="1134"/>
        <w:jc w:val="both"/>
      </w:pPr>
      <w:r w:rsidRPr="003A50DE">
        <w:rPr>
          <w:b/>
          <w:i/>
        </w:rPr>
        <w:t>financial year</w:t>
      </w:r>
      <w:r w:rsidRPr="003A50DE">
        <w:t xml:space="preserve"> means the financial year (within the meaning in the</w:t>
      </w:r>
      <w:r>
        <w:t xml:space="preserve"> </w:t>
      </w:r>
      <w:r w:rsidRPr="004E65DB">
        <w:rPr>
          <w:i/>
        </w:rPr>
        <w:t>Corporations Act 2001</w:t>
      </w:r>
      <w:r>
        <w:t>) of the parent entity of the Level 2 insurance group</w:t>
      </w:r>
      <w:r w:rsidRPr="003A50DE">
        <w:t>;</w:t>
      </w:r>
    </w:p>
    <w:p w:rsidR="00E32301" w:rsidRDefault="00E32301" w:rsidP="00E32301">
      <w:pPr>
        <w:spacing w:after="200"/>
        <w:ind w:left="1134"/>
        <w:jc w:val="both"/>
      </w:pPr>
      <w:r w:rsidRPr="003A50DE">
        <w:rPr>
          <w:b/>
          <w:i/>
        </w:rPr>
        <w:t>general instruction guide</w:t>
      </w:r>
      <w:r w:rsidRPr="003A50DE">
        <w:t xml:space="preserve"> refers to the general instruction guide set out in</w:t>
      </w:r>
      <w:r>
        <w:t xml:space="preserve"> </w:t>
      </w:r>
      <w:r w:rsidRPr="003A50DE">
        <w:t>Attachment A of GRS 001;</w:t>
      </w:r>
    </w:p>
    <w:p w:rsidR="00E32301" w:rsidRPr="003A50DE" w:rsidRDefault="00E32301" w:rsidP="00E32301">
      <w:pPr>
        <w:spacing w:after="200"/>
        <w:ind w:left="1134"/>
        <w:jc w:val="both"/>
      </w:pPr>
      <w:r w:rsidRPr="00CB3340">
        <w:rPr>
          <w:b/>
          <w:i/>
        </w:rPr>
        <w:t>Group Auditor</w:t>
      </w:r>
      <w:r>
        <w:t xml:space="preserve"> has the meaning given in </w:t>
      </w:r>
      <w:r w:rsidRPr="00C442D2">
        <w:t>GPS 310</w:t>
      </w:r>
      <w:r>
        <w:t>;</w:t>
      </w:r>
    </w:p>
    <w:p w:rsidR="00E32301" w:rsidRPr="003A50DE" w:rsidRDefault="00E32301" w:rsidP="00E32301">
      <w:pPr>
        <w:spacing w:after="200"/>
        <w:ind w:left="1134"/>
        <w:jc w:val="both"/>
      </w:pPr>
      <w:r w:rsidRPr="003A50DE">
        <w:rPr>
          <w:b/>
          <w:i/>
        </w:rPr>
        <w:t>Principal Executive Officer</w:t>
      </w:r>
      <w:r w:rsidRPr="003A50DE">
        <w:t xml:space="preserve"> means the principal executive officer of the</w:t>
      </w:r>
      <w:r>
        <w:t xml:space="preserve"> parent entity of the Level 2 insurance group</w:t>
      </w:r>
      <w:r w:rsidRPr="003A50DE">
        <w:t>, by whate</w:t>
      </w:r>
      <w:r>
        <w:t xml:space="preserve">ver name called, and whether or </w:t>
      </w:r>
      <w:r w:rsidRPr="003A50DE">
        <w:t>not he or she is a</w:t>
      </w:r>
      <w:r>
        <w:t xml:space="preserve"> </w:t>
      </w:r>
      <w:r w:rsidRPr="003A50DE">
        <w:t xml:space="preserve">member of the governing board of the </w:t>
      </w:r>
      <w:r>
        <w:t>parent entity of the Level 2 insurance group</w:t>
      </w:r>
      <w:r w:rsidRPr="003A50DE">
        <w:t>; and</w:t>
      </w:r>
    </w:p>
    <w:p w:rsidR="00E32301" w:rsidRDefault="00E32301" w:rsidP="00E32301">
      <w:pPr>
        <w:ind w:left="1134"/>
        <w:jc w:val="both"/>
      </w:pPr>
      <w:r w:rsidRPr="003A50DE">
        <w:rPr>
          <w:b/>
          <w:i/>
        </w:rPr>
        <w:t>reporting period</w:t>
      </w:r>
      <w:r w:rsidRPr="003A50DE">
        <w:t xml:space="preserve"> means a period mentioned in paragraph </w:t>
      </w:r>
      <w:r>
        <w:fldChar w:fldCharType="begin"/>
      </w:r>
      <w:r>
        <w:instrText xml:space="preserve"> REF _Ref352163767 \r \h </w:instrText>
      </w:r>
      <w:r>
        <w:fldChar w:fldCharType="separate"/>
      </w:r>
      <w:r w:rsidR="006B1843">
        <w:t>8</w:t>
      </w:r>
      <w:r>
        <w:fldChar w:fldCharType="end"/>
      </w:r>
      <w:r>
        <w:t xml:space="preserve"> </w:t>
      </w:r>
      <w:r w:rsidRPr="003A50DE">
        <w:t xml:space="preserve">or, if applicable, paragraph </w:t>
      </w:r>
      <w:r>
        <w:fldChar w:fldCharType="begin"/>
      </w:r>
      <w:r>
        <w:instrText xml:space="preserve"> REF _Ref349587267 \r \h </w:instrText>
      </w:r>
      <w:r>
        <w:fldChar w:fldCharType="separate"/>
      </w:r>
      <w:r w:rsidR="006B1843">
        <w:t>9</w:t>
      </w:r>
      <w:r>
        <w:fldChar w:fldCharType="end"/>
      </w:r>
      <w:r w:rsidRPr="003A50DE">
        <w:t>.</w:t>
      </w:r>
    </w:p>
    <w:p w:rsidR="00E32301" w:rsidRPr="007149F8" w:rsidRDefault="00E32301" w:rsidP="00E32301">
      <w:pPr>
        <w:numPr>
          <w:ilvl w:val="0"/>
          <w:numId w:val="28"/>
        </w:numPr>
        <w:spacing w:before="240" w:after="240"/>
        <w:jc w:val="both"/>
        <w:rPr>
          <w:iCs/>
          <w:lang w:val="x-none"/>
        </w:rPr>
      </w:pPr>
      <w:r w:rsidRPr="00461D59">
        <w:rPr>
          <w:iCs/>
          <w:lang w:val="x-none"/>
        </w:rPr>
        <w:t>Where this Reporting Standard provides for APRA to exercise a power or discretion, this power or discretion is to be exercised in writing.</w:t>
      </w:r>
    </w:p>
    <w:p w:rsidR="00E32301" w:rsidRDefault="00E32301" w:rsidP="00E32301">
      <w:pPr>
        <w:numPr>
          <w:ilvl w:val="0"/>
          <w:numId w:val="28"/>
        </w:numPr>
        <w:spacing w:before="240" w:after="240"/>
        <w:jc w:val="both"/>
        <w:rPr>
          <w:iCs/>
          <w:lang w:val="x-none"/>
        </w:rPr>
        <w:sectPr w:rsidR="00E32301" w:rsidSect="00E32301">
          <w:headerReference w:type="default" r:id="rId11"/>
          <w:footerReference w:type="default" r:id="rId12"/>
          <w:headerReference w:type="first" r:id="rId13"/>
          <w:footerReference w:type="first" r:id="rId14"/>
          <w:pgSz w:w="11906" w:h="16838" w:code="9"/>
          <w:pgMar w:top="1440" w:right="1440" w:bottom="1276" w:left="1440" w:header="567" w:footer="567" w:gutter="0"/>
          <w:pgNumType w:start="1"/>
          <w:cols w:space="708"/>
          <w:docGrid w:linePitch="360"/>
        </w:sectPr>
      </w:pPr>
    </w:p>
    <w:tbl>
      <w:tblPr>
        <w:tblW w:w="13892" w:type="dxa"/>
        <w:tblInd w:w="108" w:type="dxa"/>
        <w:tblLook w:val="0400" w:firstRow="0" w:lastRow="0" w:firstColumn="0" w:lastColumn="0" w:noHBand="0" w:noVBand="1"/>
      </w:tblPr>
      <w:tblGrid>
        <w:gridCol w:w="13892"/>
      </w:tblGrid>
      <w:tr w:rsidR="00E32301" w:rsidRPr="00F95859" w:rsidTr="000D0D76">
        <w:trPr>
          <w:trHeight w:val="300"/>
        </w:trPr>
        <w:tc>
          <w:tcPr>
            <w:tcW w:w="8806" w:type="dxa"/>
            <w:shd w:val="clear" w:color="auto" w:fill="auto"/>
            <w:noWrap/>
            <w:vAlign w:val="bottom"/>
            <w:hideMark/>
          </w:tcPr>
          <w:p w:rsidR="00E32301" w:rsidRPr="00F95859" w:rsidRDefault="00E32301" w:rsidP="000D0D76">
            <w:pPr>
              <w:jc w:val="center"/>
              <w:rPr>
                <w:rFonts w:ascii="Arial" w:hAnsi="Arial" w:cs="Arial"/>
                <w:sz w:val="16"/>
                <w:szCs w:val="16"/>
              </w:rPr>
            </w:pPr>
            <w:r w:rsidRPr="000F2438">
              <w:rPr>
                <w:rFonts w:ascii="Arial" w:hAnsi="Arial" w:cs="Arial"/>
                <w:b/>
                <w:bCs/>
                <w:sz w:val="32"/>
                <w:szCs w:val="32"/>
              </w:rPr>
              <w:lastRenderedPageBreak/>
              <w:t>GRF_460_</w:t>
            </w:r>
            <w:r>
              <w:rPr>
                <w:rFonts w:ascii="Arial" w:hAnsi="Arial" w:cs="Arial"/>
                <w:b/>
                <w:bCs/>
                <w:sz w:val="32"/>
                <w:szCs w:val="32"/>
              </w:rPr>
              <w:t>1_G</w:t>
            </w:r>
            <w:r w:rsidRPr="000F2438">
              <w:rPr>
                <w:rFonts w:ascii="Arial" w:hAnsi="Arial" w:cs="Arial"/>
                <w:b/>
                <w:bCs/>
                <w:sz w:val="32"/>
                <w:szCs w:val="32"/>
              </w:rPr>
              <w:t xml:space="preserve">: </w:t>
            </w:r>
            <w:r w:rsidRPr="00D64F94">
              <w:rPr>
                <w:rFonts w:ascii="Arial" w:hAnsi="Arial" w:cs="Arial"/>
                <w:b/>
                <w:bCs/>
                <w:sz w:val="32"/>
                <w:szCs w:val="32"/>
              </w:rPr>
              <w:t>Exposure analysis by Reinsurance</w:t>
            </w:r>
            <w:r>
              <w:rPr>
                <w:rFonts w:ascii="Arial" w:hAnsi="Arial" w:cs="Arial"/>
                <w:b/>
                <w:bCs/>
                <w:sz w:val="32"/>
                <w:szCs w:val="32"/>
              </w:rPr>
              <w:t xml:space="preserve"> </w:t>
            </w:r>
            <w:r w:rsidRPr="000F2438">
              <w:rPr>
                <w:rFonts w:ascii="Arial" w:hAnsi="Arial" w:cs="Arial"/>
                <w:b/>
                <w:bCs/>
                <w:sz w:val="32"/>
                <w:szCs w:val="32"/>
              </w:rPr>
              <w:t>Counterparty</w:t>
            </w:r>
            <w:r w:rsidR="00F257FD">
              <w:rPr>
                <w:rFonts w:ascii="Arial" w:hAnsi="Arial" w:cs="Arial"/>
                <w:b/>
                <w:bCs/>
                <w:sz w:val="32"/>
                <w:szCs w:val="32"/>
              </w:rPr>
              <w:t xml:space="preserve"> (G)</w:t>
            </w:r>
          </w:p>
        </w:tc>
      </w:tr>
    </w:tbl>
    <w:p w:rsidR="00E32301" w:rsidRDefault="00E32301" w:rsidP="00E32301"/>
    <w:tbl>
      <w:tblPr>
        <w:tblW w:w="13892" w:type="dxa"/>
        <w:tblInd w:w="108" w:type="dxa"/>
        <w:tblLayout w:type="fixed"/>
        <w:tblLook w:val="04A0" w:firstRow="1" w:lastRow="0" w:firstColumn="1" w:lastColumn="0" w:noHBand="0" w:noVBand="1"/>
      </w:tblPr>
      <w:tblGrid>
        <w:gridCol w:w="5144"/>
        <w:gridCol w:w="3971"/>
        <w:gridCol w:w="4777"/>
      </w:tblGrid>
      <w:tr w:rsidR="00E32301" w:rsidTr="000D0D76">
        <w:trPr>
          <w:trHeight w:val="317"/>
        </w:trPr>
        <w:tc>
          <w:tcPr>
            <w:tcW w:w="3260" w:type="dxa"/>
            <w:tcBorders>
              <w:top w:val="nil"/>
              <w:left w:val="nil"/>
              <w:bottom w:val="single" w:sz="4" w:space="0" w:color="auto"/>
              <w:right w:val="nil"/>
            </w:tcBorders>
            <w:vAlign w:val="bottom"/>
            <w:hideMark/>
          </w:tcPr>
          <w:p w:rsidR="00E32301" w:rsidRPr="00F41BBD" w:rsidRDefault="00E32301" w:rsidP="000D0D76">
            <w:pPr>
              <w:rPr>
                <w:rFonts w:ascii="Arial" w:hAnsi="Arial" w:cs="Arial"/>
                <w:b/>
                <w:bCs/>
              </w:rPr>
            </w:pPr>
            <w:r w:rsidRPr="00F41BBD">
              <w:rPr>
                <w:rFonts w:ascii="Arial" w:hAnsi="Arial" w:cs="Arial"/>
                <w:b/>
                <w:bCs/>
              </w:rPr>
              <w:t>Australian Business Number</w:t>
            </w:r>
          </w:p>
        </w:tc>
        <w:tc>
          <w:tcPr>
            <w:tcW w:w="2517" w:type="dxa"/>
            <w:tcBorders>
              <w:top w:val="nil"/>
              <w:left w:val="nil"/>
              <w:bottom w:val="single" w:sz="4" w:space="0" w:color="auto"/>
              <w:right w:val="nil"/>
            </w:tcBorders>
            <w:vAlign w:val="bottom"/>
            <w:hideMark/>
          </w:tcPr>
          <w:p w:rsidR="00E32301" w:rsidRPr="00F41BBD" w:rsidRDefault="00E32301" w:rsidP="000D0D76">
            <w:pPr>
              <w:rPr>
                <w:rFonts w:ascii="Arial" w:hAnsi="Arial" w:cs="Arial"/>
                <w:b/>
                <w:bCs/>
              </w:rPr>
            </w:pPr>
            <w:r w:rsidRPr="00F41BBD">
              <w:rPr>
                <w:rFonts w:ascii="Arial" w:hAnsi="Arial" w:cs="Arial"/>
                <w:b/>
                <w:bCs/>
              </w:rPr>
              <w:t xml:space="preserve">Institution </w:t>
            </w:r>
            <w:r>
              <w:rPr>
                <w:rFonts w:ascii="Arial" w:hAnsi="Arial" w:cs="Arial"/>
                <w:b/>
                <w:bCs/>
              </w:rPr>
              <w:t>N</w:t>
            </w:r>
            <w:r w:rsidRPr="00F41BBD">
              <w:rPr>
                <w:rFonts w:ascii="Arial" w:hAnsi="Arial" w:cs="Arial"/>
                <w:b/>
                <w:bCs/>
              </w:rPr>
              <w:t>ame</w:t>
            </w:r>
          </w:p>
        </w:tc>
        <w:tc>
          <w:tcPr>
            <w:tcW w:w="3028" w:type="dxa"/>
            <w:vAlign w:val="bottom"/>
            <w:hideMark/>
          </w:tcPr>
          <w:p w:rsidR="00E32301" w:rsidRPr="00F41BBD" w:rsidRDefault="00E32301" w:rsidP="000D0D76">
            <w:pPr>
              <w:rPr>
                <w:rFonts w:ascii="Calibri" w:hAnsi="Calibri"/>
              </w:rPr>
            </w:pPr>
          </w:p>
        </w:tc>
      </w:tr>
      <w:tr w:rsidR="00E32301" w:rsidRPr="000F61B9" w:rsidTr="000D0D76">
        <w:trPr>
          <w:trHeight w:val="317"/>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E32301" w:rsidRPr="000F61B9" w:rsidRDefault="00E32301" w:rsidP="000D0D76">
            <w:pP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noWrap/>
            <w:vAlign w:val="bottom"/>
            <w:hideMark/>
          </w:tcPr>
          <w:p w:rsidR="00E32301" w:rsidRPr="000F61B9" w:rsidRDefault="00E32301" w:rsidP="000D0D76">
            <w:pPr>
              <w:rPr>
                <w:rFonts w:ascii="Arial" w:hAnsi="Arial" w:cs="Arial"/>
              </w:rPr>
            </w:pPr>
          </w:p>
        </w:tc>
        <w:tc>
          <w:tcPr>
            <w:tcW w:w="3028" w:type="dxa"/>
            <w:tcBorders>
              <w:top w:val="nil"/>
              <w:left w:val="single" w:sz="4" w:space="0" w:color="auto"/>
              <w:bottom w:val="nil"/>
              <w:right w:val="nil"/>
            </w:tcBorders>
            <w:vAlign w:val="bottom"/>
          </w:tcPr>
          <w:p w:rsidR="00E32301" w:rsidRPr="000F61B9" w:rsidRDefault="00E32301" w:rsidP="000D0D76">
            <w:pPr>
              <w:rPr>
                <w:rFonts w:ascii="Arial" w:hAnsi="Arial" w:cs="Arial"/>
                <w:b/>
              </w:rPr>
            </w:pPr>
          </w:p>
        </w:tc>
      </w:tr>
      <w:tr w:rsidR="00E32301" w:rsidTr="000D0D76">
        <w:trPr>
          <w:trHeight w:val="317"/>
        </w:trPr>
        <w:tc>
          <w:tcPr>
            <w:tcW w:w="3260" w:type="dxa"/>
            <w:tcBorders>
              <w:top w:val="single" w:sz="4" w:space="0" w:color="auto"/>
              <w:left w:val="nil"/>
              <w:bottom w:val="single" w:sz="4" w:space="0" w:color="auto"/>
              <w:right w:val="nil"/>
            </w:tcBorders>
            <w:noWrap/>
            <w:vAlign w:val="bottom"/>
            <w:hideMark/>
          </w:tcPr>
          <w:p w:rsidR="00E32301" w:rsidRPr="00F41BBD" w:rsidRDefault="00E32301" w:rsidP="000D0D76">
            <w:pPr>
              <w:rPr>
                <w:rFonts w:ascii="Arial" w:hAnsi="Arial" w:cs="Arial"/>
                <w:b/>
              </w:rPr>
            </w:pPr>
            <w:r>
              <w:rPr>
                <w:rFonts w:ascii="Arial" w:hAnsi="Arial" w:cs="Arial"/>
                <w:b/>
              </w:rPr>
              <w:t>Reporting P</w:t>
            </w:r>
            <w:r w:rsidRPr="00F41BBD">
              <w:rPr>
                <w:rFonts w:ascii="Arial" w:hAnsi="Arial" w:cs="Arial"/>
                <w:b/>
              </w:rPr>
              <w:t>eriod</w:t>
            </w:r>
          </w:p>
        </w:tc>
        <w:tc>
          <w:tcPr>
            <w:tcW w:w="2517" w:type="dxa"/>
            <w:tcBorders>
              <w:top w:val="single" w:sz="4" w:space="0" w:color="auto"/>
              <w:left w:val="nil"/>
              <w:bottom w:val="single" w:sz="4" w:space="0" w:color="auto"/>
              <w:right w:val="nil"/>
            </w:tcBorders>
            <w:noWrap/>
            <w:vAlign w:val="bottom"/>
            <w:hideMark/>
          </w:tcPr>
          <w:p w:rsidR="00E32301" w:rsidRPr="00F41BBD" w:rsidRDefault="00E32301" w:rsidP="000D0D76">
            <w:pPr>
              <w:rPr>
                <w:rFonts w:ascii="Arial" w:hAnsi="Arial" w:cs="Arial"/>
                <w:b/>
              </w:rPr>
            </w:pPr>
            <w:r w:rsidRPr="00F41BBD">
              <w:rPr>
                <w:rFonts w:ascii="Arial" w:hAnsi="Arial" w:cs="Arial"/>
                <w:b/>
              </w:rPr>
              <w:t xml:space="preserve">Scale Factor </w:t>
            </w:r>
          </w:p>
        </w:tc>
        <w:tc>
          <w:tcPr>
            <w:tcW w:w="3028" w:type="dxa"/>
            <w:tcBorders>
              <w:top w:val="nil"/>
              <w:left w:val="nil"/>
              <w:bottom w:val="single" w:sz="4" w:space="0" w:color="auto"/>
              <w:right w:val="nil"/>
            </w:tcBorders>
            <w:vAlign w:val="bottom"/>
            <w:hideMark/>
          </w:tcPr>
          <w:p w:rsidR="00E32301" w:rsidRPr="00F41BBD" w:rsidRDefault="00E32301" w:rsidP="000D0D76">
            <w:pPr>
              <w:rPr>
                <w:rFonts w:ascii="Arial" w:hAnsi="Arial" w:cs="Arial"/>
                <w:b/>
              </w:rPr>
            </w:pPr>
            <w:r w:rsidRPr="00F41BBD">
              <w:rPr>
                <w:rFonts w:ascii="Arial" w:hAnsi="Arial" w:cs="Arial"/>
                <w:b/>
              </w:rPr>
              <w:t>Reporting Consolidation</w:t>
            </w:r>
          </w:p>
        </w:tc>
      </w:tr>
      <w:tr w:rsidR="00E32301" w:rsidRPr="000F61B9" w:rsidTr="000D0D76">
        <w:trPr>
          <w:trHeight w:val="317"/>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E32301" w:rsidRPr="000F61B9" w:rsidRDefault="00E32301" w:rsidP="000D0D76">
            <w:pPr>
              <w:rPr>
                <w:rFonts w:ascii="Arial" w:hAnsi="Arial" w:cs="Arial"/>
              </w:rPr>
            </w:pPr>
            <w:r>
              <w:rPr>
                <w:rFonts w:ascii="Arial" w:hAnsi="Arial" w:cs="Arial"/>
              </w:rPr>
              <w:t>Annual</w:t>
            </w:r>
          </w:p>
        </w:tc>
        <w:tc>
          <w:tcPr>
            <w:tcW w:w="2517" w:type="dxa"/>
            <w:tcBorders>
              <w:top w:val="single" w:sz="4" w:space="0" w:color="auto"/>
              <w:left w:val="single" w:sz="4" w:space="0" w:color="auto"/>
              <w:bottom w:val="single" w:sz="4" w:space="0" w:color="auto"/>
              <w:right w:val="single" w:sz="4" w:space="0" w:color="auto"/>
            </w:tcBorders>
            <w:noWrap/>
            <w:vAlign w:val="bottom"/>
            <w:hideMark/>
          </w:tcPr>
          <w:p w:rsidR="00E32301" w:rsidRPr="000F61B9" w:rsidRDefault="00E32301" w:rsidP="000D0D76">
            <w:pPr>
              <w:rPr>
                <w:rFonts w:ascii="Arial" w:hAnsi="Arial" w:cs="Arial"/>
              </w:rPr>
            </w:pPr>
            <w:r w:rsidRPr="000F2438">
              <w:rPr>
                <w:rFonts w:ascii="Arial" w:hAnsi="Arial" w:cs="Arial"/>
              </w:rPr>
              <w:t>Thousan</w:t>
            </w:r>
            <w:r>
              <w:rPr>
                <w:rFonts w:ascii="Arial" w:hAnsi="Arial" w:cs="Arial"/>
              </w:rPr>
              <w:t>ds of dollars no decimal place</w:t>
            </w:r>
          </w:p>
        </w:tc>
        <w:tc>
          <w:tcPr>
            <w:tcW w:w="3028" w:type="dxa"/>
            <w:tcBorders>
              <w:top w:val="single" w:sz="4" w:space="0" w:color="auto"/>
              <w:left w:val="single" w:sz="4" w:space="0" w:color="auto"/>
              <w:bottom w:val="single" w:sz="4" w:space="0" w:color="auto"/>
              <w:right w:val="single" w:sz="4" w:space="0" w:color="auto"/>
            </w:tcBorders>
            <w:vAlign w:val="bottom"/>
          </w:tcPr>
          <w:p w:rsidR="00E32301" w:rsidRPr="000F61B9" w:rsidRDefault="00E32301" w:rsidP="000D0D76">
            <w:pPr>
              <w:rPr>
                <w:rFonts w:ascii="Arial" w:hAnsi="Arial" w:cs="Arial"/>
              </w:rPr>
            </w:pPr>
            <w:r>
              <w:rPr>
                <w:rFonts w:ascii="Arial" w:hAnsi="Arial" w:cs="Arial"/>
              </w:rPr>
              <w:t>Level 1 / Level 2</w:t>
            </w:r>
          </w:p>
        </w:tc>
      </w:tr>
    </w:tbl>
    <w:p w:rsidR="00E32301" w:rsidRDefault="00E32301" w:rsidP="00E32301"/>
    <w:tbl>
      <w:tblPr>
        <w:tblW w:w="13892" w:type="dxa"/>
        <w:tblInd w:w="93" w:type="dxa"/>
        <w:tblLayout w:type="fixed"/>
        <w:tblLook w:val="04A0" w:firstRow="1" w:lastRow="0" w:firstColumn="1" w:lastColumn="0" w:noHBand="0" w:noVBand="1"/>
      </w:tblPr>
      <w:tblGrid>
        <w:gridCol w:w="13892"/>
      </w:tblGrid>
      <w:tr w:rsidR="00E32301" w:rsidRPr="00957DF2" w:rsidTr="000D0D76">
        <w:trPr>
          <w:trHeight w:val="317"/>
        </w:trPr>
        <w:tc>
          <w:tcPr>
            <w:tcW w:w="13892" w:type="dxa"/>
            <w:shd w:val="clear" w:color="auto" w:fill="auto"/>
            <w:noWrap/>
            <w:vAlign w:val="bottom"/>
          </w:tcPr>
          <w:p w:rsidR="00E32301" w:rsidRPr="00F4564B" w:rsidRDefault="00E32301" w:rsidP="000D0D76">
            <w:pPr>
              <w:rPr>
                <w:rFonts w:ascii="Arial" w:hAnsi="Arial" w:cs="Arial"/>
                <w:b/>
                <w:color w:val="000000"/>
              </w:rPr>
            </w:pPr>
            <w:r w:rsidRPr="00F4564B">
              <w:rPr>
                <w:rFonts w:ascii="Arial" w:hAnsi="Arial" w:cs="Arial"/>
                <w:b/>
                <w:color w:val="000000"/>
              </w:rPr>
              <w:t>Impact on capital base and prescribed capital amount</w:t>
            </w:r>
          </w:p>
        </w:tc>
      </w:tr>
    </w:tbl>
    <w:p w:rsidR="00E32301" w:rsidRPr="00F4564B" w:rsidRDefault="00E32301" w:rsidP="00E32301">
      <w:pPr>
        <w:rPr>
          <w:rFonts w:ascii="Arial" w:hAnsi="Arial" w:cs="Arial"/>
        </w:rPr>
      </w:pPr>
    </w:p>
    <w:tbl>
      <w:tblPr>
        <w:tblW w:w="14190" w:type="dxa"/>
        <w:tblInd w:w="93" w:type="dxa"/>
        <w:tblLayout w:type="fixed"/>
        <w:tblLook w:val="04A0" w:firstRow="1" w:lastRow="0" w:firstColumn="1" w:lastColumn="0" w:noHBand="0" w:noVBand="1"/>
      </w:tblPr>
      <w:tblGrid>
        <w:gridCol w:w="1149"/>
        <w:gridCol w:w="993"/>
        <w:gridCol w:w="1134"/>
        <w:gridCol w:w="1134"/>
        <w:gridCol w:w="1134"/>
        <w:gridCol w:w="850"/>
        <w:gridCol w:w="992"/>
        <w:gridCol w:w="993"/>
        <w:gridCol w:w="1275"/>
        <w:gridCol w:w="1134"/>
        <w:gridCol w:w="1276"/>
        <w:gridCol w:w="1134"/>
        <w:gridCol w:w="992"/>
      </w:tblGrid>
      <w:tr w:rsidR="00E32301" w:rsidRPr="00957DF2" w:rsidTr="000D0D76">
        <w:trPr>
          <w:trHeight w:val="317"/>
        </w:trPr>
        <w:tc>
          <w:tcPr>
            <w:tcW w:w="1149" w:type="dxa"/>
            <w:tcBorders>
              <w:top w:val="single" w:sz="4" w:space="0" w:color="auto"/>
              <w:left w:val="single" w:sz="4" w:space="0" w:color="auto"/>
              <w:bottom w:val="nil"/>
              <w:right w:val="single" w:sz="4" w:space="0" w:color="auto"/>
            </w:tcBorders>
            <w:shd w:val="clear" w:color="auto" w:fill="auto"/>
            <w:vAlign w:val="bottom"/>
            <w:hideMark/>
          </w:tcPr>
          <w:p w:rsidR="00E32301" w:rsidRPr="00196C2B" w:rsidRDefault="00E32301" w:rsidP="000D0D76">
            <w:pPr>
              <w:ind w:left="49"/>
              <w:contextualSpacing/>
              <w:jc w:val="center"/>
              <w:rPr>
                <w:rFonts w:ascii="Arial" w:hAnsi="Arial" w:cs="Arial"/>
                <w:b/>
                <w:bCs/>
                <w:color w:val="000000"/>
                <w:sz w:val="14"/>
                <w:szCs w:val="20"/>
              </w:rPr>
            </w:pPr>
            <w:r w:rsidRPr="00196C2B">
              <w:rPr>
                <w:rFonts w:ascii="Arial" w:hAnsi="Arial" w:cs="Arial"/>
                <w:b/>
                <w:bCs/>
                <w:color w:val="000000"/>
                <w:sz w:val="14"/>
                <w:szCs w:val="20"/>
              </w:rPr>
              <w:t>Name of counterparty (reinsurer)</w:t>
            </w:r>
          </w:p>
        </w:tc>
        <w:tc>
          <w:tcPr>
            <w:tcW w:w="993" w:type="dxa"/>
            <w:tcBorders>
              <w:top w:val="single" w:sz="4" w:space="0" w:color="auto"/>
              <w:left w:val="nil"/>
              <w:bottom w:val="nil"/>
              <w:right w:val="single" w:sz="4" w:space="0" w:color="auto"/>
            </w:tcBorders>
            <w:shd w:val="clear" w:color="auto" w:fill="auto"/>
            <w:vAlign w:val="bottom"/>
            <w:hideMark/>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Reinsurer identifier</w:t>
            </w:r>
          </w:p>
        </w:tc>
        <w:tc>
          <w:tcPr>
            <w:tcW w:w="1134" w:type="dxa"/>
            <w:tcBorders>
              <w:top w:val="single" w:sz="4" w:space="0" w:color="auto"/>
              <w:left w:val="nil"/>
              <w:bottom w:val="nil"/>
              <w:right w:val="single" w:sz="4" w:space="0" w:color="auto"/>
            </w:tcBorders>
            <w:shd w:val="clear" w:color="auto" w:fill="auto"/>
            <w:vAlign w:val="bottom"/>
            <w:hideMark/>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Counterparty group name</w:t>
            </w:r>
          </w:p>
        </w:tc>
        <w:tc>
          <w:tcPr>
            <w:tcW w:w="1134" w:type="dxa"/>
            <w:tcBorders>
              <w:top w:val="single" w:sz="4" w:space="0" w:color="auto"/>
              <w:left w:val="nil"/>
              <w:bottom w:val="nil"/>
              <w:right w:val="single" w:sz="4" w:space="0" w:color="000000"/>
            </w:tcBorders>
            <w:shd w:val="clear" w:color="auto" w:fill="auto"/>
            <w:vAlign w:val="bottom"/>
            <w:hideMark/>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APRA counterparty grade</w:t>
            </w:r>
          </w:p>
        </w:tc>
        <w:tc>
          <w:tcPr>
            <w:tcW w:w="1134"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Counterparty domicile</w:t>
            </w:r>
          </w:p>
        </w:tc>
        <w:tc>
          <w:tcPr>
            <w:tcW w:w="850" w:type="dxa"/>
            <w:tcBorders>
              <w:top w:val="single" w:sz="4" w:space="0" w:color="auto"/>
              <w:left w:val="nil"/>
              <w:bottom w:val="nil"/>
              <w:right w:val="single" w:sz="4" w:space="0" w:color="auto"/>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Group domicile</w:t>
            </w:r>
          </w:p>
        </w:tc>
        <w:tc>
          <w:tcPr>
            <w:tcW w:w="992" w:type="dxa"/>
            <w:tcBorders>
              <w:top w:val="single" w:sz="4" w:space="0" w:color="auto"/>
              <w:left w:val="single" w:sz="4" w:space="0" w:color="auto"/>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capital base</w:t>
            </w:r>
          </w:p>
        </w:tc>
        <w:tc>
          <w:tcPr>
            <w:tcW w:w="993"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Insurance Risk Charge</w:t>
            </w:r>
          </w:p>
        </w:tc>
        <w:tc>
          <w:tcPr>
            <w:tcW w:w="1275"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Insurance Concentration Risk Charge</w:t>
            </w:r>
          </w:p>
        </w:tc>
        <w:tc>
          <w:tcPr>
            <w:tcW w:w="1134"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Asset Risk Charge (after aggregation formula)</w:t>
            </w:r>
          </w:p>
        </w:tc>
        <w:tc>
          <w:tcPr>
            <w:tcW w:w="1276"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Asset Concentration Risk Charge</w:t>
            </w:r>
          </w:p>
        </w:tc>
        <w:tc>
          <w:tcPr>
            <w:tcW w:w="1134"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Operational Risk Charge</w:t>
            </w:r>
          </w:p>
        </w:tc>
        <w:tc>
          <w:tcPr>
            <w:tcW w:w="992" w:type="dxa"/>
            <w:tcBorders>
              <w:top w:val="single" w:sz="4" w:space="0" w:color="auto"/>
              <w:left w:val="nil"/>
              <w:bottom w:val="nil"/>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Total impact on prescribed capital amount</w:t>
            </w:r>
          </w:p>
        </w:tc>
      </w:tr>
      <w:tr w:rsidR="00E32301" w:rsidRPr="00957DF2" w:rsidTr="000D0D76">
        <w:trPr>
          <w:trHeight w:val="317"/>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E32301" w:rsidRPr="00196C2B" w:rsidRDefault="00E32301" w:rsidP="000D0D76">
            <w:pPr>
              <w:jc w:val="center"/>
              <w:rPr>
                <w:rFonts w:ascii="Arial" w:hAnsi="Arial" w:cs="Arial"/>
                <w:b/>
                <w:bCs/>
                <w:sz w:val="14"/>
                <w:szCs w:val="20"/>
              </w:rPr>
            </w:pPr>
            <w:r w:rsidRPr="00196C2B">
              <w:rPr>
                <w:rFonts w:ascii="Arial" w:hAnsi="Arial" w:cs="Arial"/>
                <w:b/>
                <w:bCs/>
                <w:sz w:val="14"/>
                <w:szCs w:val="20"/>
              </w:rPr>
              <w:t>(1)</w:t>
            </w:r>
          </w:p>
        </w:tc>
        <w:tc>
          <w:tcPr>
            <w:tcW w:w="993" w:type="dxa"/>
            <w:tcBorders>
              <w:top w:val="nil"/>
              <w:left w:val="nil"/>
              <w:bottom w:val="single" w:sz="4" w:space="0" w:color="auto"/>
              <w:right w:val="single" w:sz="4" w:space="0" w:color="auto"/>
            </w:tcBorders>
            <w:shd w:val="clear" w:color="auto" w:fill="auto"/>
            <w:vAlign w:val="bottom"/>
            <w:hideMark/>
          </w:tcPr>
          <w:p w:rsidR="00E32301" w:rsidRPr="00196C2B" w:rsidRDefault="00E32301" w:rsidP="000D0D76">
            <w:pPr>
              <w:jc w:val="center"/>
              <w:rPr>
                <w:rFonts w:ascii="Arial" w:hAnsi="Arial" w:cs="Arial"/>
                <w:b/>
                <w:bCs/>
                <w:sz w:val="14"/>
                <w:szCs w:val="20"/>
              </w:rPr>
            </w:pPr>
            <w:r w:rsidRPr="00196C2B">
              <w:rPr>
                <w:rFonts w:ascii="Arial" w:hAnsi="Arial" w:cs="Arial"/>
                <w:b/>
                <w:bCs/>
                <w:sz w:val="14"/>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E32301" w:rsidRPr="00196C2B" w:rsidRDefault="00E32301" w:rsidP="000D0D76">
            <w:pPr>
              <w:jc w:val="center"/>
              <w:rPr>
                <w:rFonts w:ascii="Arial" w:hAnsi="Arial" w:cs="Arial"/>
                <w:b/>
                <w:bCs/>
                <w:sz w:val="14"/>
                <w:szCs w:val="20"/>
              </w:rPr>
            </w:pPr>
            <w:r w:rsidRPr="00196C2B">
              <w:rPr>
                <w:rFonts w:ascii="Arial" w:hAnsi="Arial" w:cs="Arial"/>
                <w:b/>
                <w:bCs/>
                <w:sz w:val="14"/>
                <w:szCs w:val="20"/>
              </w:rPr>
              <w:t>(3)</w:t>
            </w:r>
          </w:p>
        </w:tc>
        <w:tc>
          <w:tcPr>
            <w:tcW w:w="1134" w:type="dxa"/>
            <w:tcBorders>
              <w:top w:val="nil"/>
              <w:left w:val="nil"/>
              <w:bottom w:val="single" w:sz="4" w:space="0" w:color="auto"/>
              <w:right w:val="single" w:sz="4" w:space="0" w:color="000000"/>
            </w:tcBorders>
            <w:shd w:val="clear" w:color="auto" w:fill="auto"/>
            <w:vAlign w:val="bottom"/>
            <w:hideMark/>
          </w:tcPr>
          <w:p w:rsidR="00E32301" w:rsidRPr="00196C2B" w:rsidRDefault="00E32301" w:rsidP="000D0D76">
            <w:pPr>
              <w:jc w:val="center"/>
              <w:rPr>
                <w:rFonts w:ascii="Arial" w:hAnsi="Arial" w:cs="Arial"/>
                <w:b/>
                <w:bCs/>
                <w:sz w:val="14"/>
                <w:szCs w:val="20"/>
              </w:rPr>
            </w:pPr>
            <w:r w:rsidRPr="00196C2B">
              <w:rPr>
                <w:rFonts w:ascii="Arial" w:hAnsi="Arial" w:cs="Arial"/>
                <w:b/>
                <w:bCs/>
                <w:sz w:val="14"/>
                <w:szCs w:val="20"/>
              </w:rPr>
              <w:t>(4)</w:t>
            </w:r>
          </w:p>
        </w:tc>
        <w:tc>
          <w:tcPr>
            <w:tcW w:w="1134"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sz w:val="14"/>
                <w:szCs w:val="20"/>
              </w:rPr>
            </w:pPr>
            <w:r w:rsidRPr="00196C2B">
              <w:rPr>
                <w:rFonts w:ascii="Arial" w:hAnsi="Arial" w:cs="Arial"/>
                <w:b/>
                <w:bCs/>
                <w:sz w:val="14"/>
                <w:szCs w:val="20"/>
              </w:rPr>
              <w:t>(5)</w:t>
            </w:r>
          </w:p>
        </w:tc>
        <w:tc>
          <w:tcPr>
            <w:tcW w:w="850" w:type="dxa"/>
            <w:tcBorders>
              <w:top w:val="nil"/>
              <w:left w:val="nil"/>
              <w:bottom w:val="single" w:sz="4" w:space="0" w:color="auto"/>
              <w:right w:val="single" w:sz="4" w:space="0" w:color="auto"/>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(6)</w:t>
            </w:r>
          </w:p>
        </w:tc>
        <w:tc>
          <w:tcPr>
            <w:tcW w:w="992" w:type="dxa"/>
            <w:tcBorders>
              <w:top w:val="nil"/>
              <w:left w:val="single" w:sz="4" w:space="0" w:color="auto"/>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(7)</w:t>
            </w:r>
          </w:p>
        </w:tc>
        <w:tc>
          <w:tcPr>
            <w:tcW w:w="993"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(8)</w:t>
            </w:r>
          </w:p>
        </w:tc>
        <w:tc>
          <w:tcPr>
            <w:tcW w:w="1275"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(9)</w:t>
            </w:r>
          </w:p>
        </w:tc>
        <w:tc>
          <w:tcPr>
            <w:tcW w:w="1134"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(10)</w:t>
            </w:r>
          </w:p>
        </w:tc>
        <w:tc>
          <w:tcPr>
            <w:tcW w:w="1276"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(11)</w:t>
            </w:r>
          </w:p>
        </w:tc>
        <w:tc>
          <w:tcPr>
            <w:tcW w:w="1134"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(12)</w:t>
            </w:r>
          </w:p>
        </w:tc>
        <w:tc>
          <w:tcPr>
            <w:tcW w:w="992" w:type="dxa"/>
            <w:tcBorders>
              <w:top w:val="nil"/>
              <w:left w:val="nil"/>
              <w:bottom w:val="single" w:sz="4" w:space="0" w:color="auto"/>
              <w:right w:val="single" w:sz="4" w:space="0" w:color="000000"/>
            </w:tcBorders>
            <w:vAlign w:val="bottom"/>
          </w:tcPr>
          <w:p w:rsidR="00E32301" w:rsidRPr="00196C2B" w:rsidRDefault="00E32301" w:rsidP="000D0D76">
            <w:pPr>
              <w:jc w:val="center"/>
              <w:rPr>
                <w:rFonts w:ascii="Arial" w:hAnsi="Arial" w:cs="Arial"/>
                <w:b/>
                <w:bCs/>
                <w:color w:val="000000"/>
                <w:sz w:val="14"/>
                <w:szCs w:val="20"/>
              </w:rPr>
            </w:pPr>
            <w:r w:rsidRPr="00196C2B">
              <w:rPr>
                <w:rFonts w:ascii="Arial" w:hAnsi="Arial" w:cs="Arial"/>
                <w:b/>
                <w:bCs/>
                <w:color w:val="000000"/>
                <w:sz w:val="14"/>
                <w:szCs w:val="20"/>
              </w:rPr>
              <w:t>(13)</w:t>
            </w:r>
          </w:p>
        </w:tc>
      </w:tr>
      <w:tr w:rsidR="00E32301" w:rsidRPr="00957DF2" w:rsidTr="000D0D76">
        <w:trPr>
          <w:trHeight w:val="31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301" w:rsidRPr="00196C2B" w:rsidRDefault="00E32301" w:rsidP="000D0D76">
            <w:pPr>
              <w:jc w:val="center"/>
              <w:rPr>
                <w:rFonts w:cs="Calibri"/>
                <w:color w:val="000000"/>
                <w:sz w:val="16"/>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32301" w:rsidRPr="00196C2B" w:rsidRDefault="00E32301" w:rsidP="000D0D76">
            <w:pPr>
              <w:jc w:val="center"/>
              <w:rPr>
                <w:rFonts w:cs="Calibri"/>
                <w:color w:val="000000"/>
                <w:sz w:val="16"/>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32301" w:rsidRPr="00196C2B" w:rsidRDefault="00E32301" w:rsidP="000D0D76">
            <w:pPr>
              <w:jc w:val="center"/>
              <w:rPr>
                <w:rFonts w:cs="Calibri"/>
                <w:color w:val="000000"/>
                <w:sz w:val="16"/>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E32301" w:rsidRPr="00196C2B" w:rsidRDefault="00E32301" w:rsidP="000D0D76">
            <w:pPr>
              <w:jc w:val="center"/>
              <w:rPr>
                <w:rFonts w:cs="Calibri"/>
                <w:color w:val="000000"/>
                <w:sz w:val="16"/>
                <w:szCs w:val="20"/>
              </w:rPr>
            </w:pPr>
          </w:p>
        </w:tc>
        <w:tc>
          <w:tcPr>
            <w:tcW w:w="1134"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850"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993"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1275"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1134"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1276"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1134"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c>
          <w:tcPr>
            <w:tcW w:w="992" w:type="dxa"/>
            <w:tcBorders>
              <w:top w:val="single" w:sz="4" w:space="0" w:color="auto"/>
              <w:left w:val="nil"/>
              <w:bottom w:val="single" w:sz="4" w:space="0" w:color="auto"/>
              <w:right w:val="single" w:sz="4" w:space="0" w:color="auto"/>
            </w:tcBorders>
            <w:vAlign w:val="bottom"/>
          </w:tcPr>
          <w:p w:rsidR="00E32301" w:rsidRPr="00196C2B" w:rsidRDefault="00E32301" w:rsidP="000D0D76">
            <w:pPr>
              <w:jc w:val="center"/>
              <w:rPr>
                <w:rFonts w:cs="Calibri"/>
                <w:color w:val="000000"/>
                <w:sz w:val="16"/>
                <w:szCs w:val="20"/>
              </w:rPr>
            </w:pPr>
          </w:p>
        </w:tc>
      </w:tr>
    </w:tbl>
    <w:p w:rsidR="00E32301" w:rsidRDefault="00E32301" w:rsidP="00E32301">
      <w:pPr>
        <w:spacing w:after="120" w:line="288" w:lineRule="auto"/>
        <w:rPr>
          <w:rFonts w:ascii="Arial" w:hAnsi="Arial" w:cs="Arial"/>
          <w:b/>
          <w:sz w:val="40"/>
          <w:szCs w:val="40"/>
        </w:rPr>
      </w:pPr>
      <w:r>
        <w:rPr>
          <w:rFonts w:ascii="Arial" w:hAnsi="Arial" w:cs="Arial"/>
          <w:b/>
          <w:sz w:val="40"/>
          <w:szCs w:val="40"/>
        </w:rPr>
        <w:br w:type="page"/>
      </w:r>
    </w:p>
    <w:p w:rsidR="00E32301" w:rsidRDefault="00E32301" w:rsidP="00E32301">
      <w:pPr>
        <w:spacing w:after="240"/>
        <w:jc w:val="both"/>
        <w:rPr>
          <w:rFonts w:ascii="Arial" w:hAnsi="Arial" w:cs="Arial"/>
          <w:b/>
          <w:sz w:val="40"/>
          <w:szCs w:val="40"/>
        </w:rPr>
        <w:sectPr w:rsidR="00E32301" w:rsidSect="000D0D7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40" w:right="1440" w:bottom="1440" w:left="1440" w:header="567" w:footer="567" w:gutter="0"/>
          <w:pgNumType w:start="1"/>
          <w:cols w:space="708"/>
          <w:docGrid w:linePitch="360"/>
        </w:sectPr>
      </w:pPr>
    </w:p>
    <w:p w:rsidR="00E32301" w:rsidRDefault="00E32301" w:rsidP="00E32301">
      <w:pPr>
        <w:spacing w:after="240"/>
        <w:jc w:val="both"/>
        <w:rPr>
          <w:rFonts w:ascii="Arial" w:hAnsi="Arial" w:cs="Arial"/>
          <w:b/>
          <w:sz w:val="40"/>
          <w:szCs w:val="40"/>
        </w:rPr>
        <w:sectPr w:rsidR="00E32301" w:rsidSect="000D0D76">
          <w:footerReference w:type="default" r:id="rId21"/>
          <w:pgSz w:w="11906" w:h="16838" w:code="9"/>
          <w:pgMar w:top="1440" w:right="1440" w:bottom="1440" w:left="1440" w:header="567" w:footer="567" w:gutter="0"/>
          <w:pgNumType w:start="1"/>
          <w:cols w:space="708"/>
          <w:docGrid w:linePitch="360"/>
        </w:sectPr>
      </w:pPr>
    </w:p>
    <w:p w:rsidR="00E32301" w:rsidRPr="00054C93" w:rsidRDefault="00E32301" w:rsidP="00E32301">
      <w:pPr>
        <w:spacing w:after="240"/>
        <w:jc w:val="both"/>
        <w:rPr>
          <w:rFonts w:ascii="Arial" w:hAnsi="Arial" w:cs="Arial"/>
          <w:b/>
          <w:sz w:val="40"/>
          <w:szCs w:val="40"/>
        </w:rPr>
      </w:pPr>
      <w:r w:rsidRPr="00054C93">
        <w:rPr>
          <w:rFonts w:ascii="Arial" w:hAnsi="Arial" w:cs="Arial"/>
          <w:b/>
          <w:sz w:val="40"/>
          <w:szCs w:val="40"/>
        </w:rPr>
        <w:lastRenderedPageBreak/>
        <w:t xml:space="preserve">Reporting </w:t>
      </w:r>
      <w:r>
        <w:rPr>
          <w:rFonts w:ascii="Arial" w:hAnsi="Arial" w:cs="Arial"/>
          <w:b/>
          <w:sz w:val="40"/>
          <w:szCs w:val="40"/>
        </w:rPr>
        <w:t>F</w:t>
      </w:r>
      <w:r w:rsidRPr="00054C93">
        <w:rPr>
          <w:rFonts w:ascii="Arial" w:hAnsi="Arial" w:cs="Arial"/>
          <w:b/>
          <w:sz w:val="40"/>
          <w:szCs w:val="40"/>
        </w:rPr>
        <w:t xml:space="preserve">orm </w:t>
      </w:r>
      <w:r>
        <w:rPr>
          <w:rFonts w:ascii="Arial" w:hAnsi="Arial" w:cs="Arial"/>
          <w:b/>
          <w:sz w:val="40"/>
          <w:szCs w:val="40"/>
        </w:rPr>
        <w:t>GRF</w:t>
      </w:r>
      <w:r w:rsidRPr="00054C93">
        <w:rPr>
          <w:rFonts w:ascii="Arial" w:hAnsi="Arial" w:cs="Arial"/>
          <w:b/>
          <w:sz w:val="40"/>
          <w:szCs w:val="40"/>
        </w:rPr>
        <w:t xml:space="preserve"> </w:t>
      </w:r>
      <w:r>
        <w:rPr>
          <w:rFonts w:ascii="Arial" w:hAnsi="Arial" w:cs="Arial"/>
          <w:b/>
          <w:sz w:val="40"/>
          <w:szCs w:val="40"/>
        </w:rPr>
        <w:t xml:space="preserve">460.1_G </w:t>
      </w:r>
    </w:p>
    <w:p w:rsidR="00E32301" w:rsidRPr="00054C93" w:rsidRDefault="00E32301" w:rsidP="00E32301">
      <w:pPr>
        <w:spacing w:before="360" w:after="240"/>
        <w:rPr>
          <w:rFonts w:ascii="Arial" w:hAnsi="Arial" w:cs="Arial"/>
          <w:b/>
          <w:sz w:val="40"/>
          <w:szCs w:val="40"/>
        </w:rPr>
      </w:pPr>
      <w:r>
        <w:rPr>
          <w:rFonts w:ascii="Arial" w:hAnsi="Arial" w:cs="Arial"/>
          <w:b/>
          <w:sz w:val="40"/>
          <w:szCs w:val="40"/>
        </w:rPr>
        <w:t>Exposure Analysis by Reinsurance Counterparty (G)</w:t>
      </w:r>
    </w:p>
    <w:p w:rsidR="00E32301" w:rsidRPr="00054C93" w:rsidRDefault="00E32301" w:rsidP="00E32301">
      <w:pPr>
        <w:spacing w:before="360" w:after="240"/>
        <w:jc w:val="both"/>
        <w:rPr>
          <w:rFonts w:ascii="Arial" w:hAnsi="Arial" w:cs="Arial"/>
          <w:b/>
          <w:sz w:val="40"/>
          <w:szCs w:val="40"/>
        </w:rPr>
      </w:pPr>
      <w:r w:rsidRPr="00054C93">
        <w:rPr>
          <w:rFonts w:ascii="Arial" w:hAnsi="Arial" w:cs="Arial"/>
          <w:b/>
          <w:sz w:val="40"/>
          <w:szCs w:val="40"/>
        </w:rPr>
        <w:t>Instruction</w:t>
      </w:r>
      <w:r>
        <w:rPr>
          <w:rFonts w:ascii="Arial" w:hAnsi="Arial" w:cs="Arial"/>
          <w:b/>
          <w:sz w:val="40"/>
          <w:szCs w:val="40"/>
        </w:rPr>
        <w:t>s</w:t>
      </w:r>
    </w:p>
    <w:p w:rsidR="00E32301" w:rsidRDefault="00E32301" w:rsidP="00E32301">
      <w:pPr>
        <w:spacing w:after="240"/>
        <w:jc w:val="both"/>
      </w:pPr>
      <w:r w:rsidRPr="00F47773">
        <w:t>Th</w:t>
      </w:r>
      <w:r>
        <w:t>e</w:t>
      </w:r>
      <w:r w:rsidRPr="00F47773">
        <w:t>s</w:t>
      </w:r>
      <w:r>
        <w:t>e</w:t>
      </w:r>
      <w:r w:rsidRPr="00F47773">
        <w:t xml:space="preserve"> instruction</w:t>
      </w:r>
      <w:r>
        <w:t xml:space="preserve">s </w:t>
      </w:r>
      <w:r w:rsidRPr="00F47773">
        <w:t xml:space="preserve">assist completion of </w:t>
      </w:r>
      <w:r w:rsidRPr="00F47773">
        <w:rPr>
          <w:i/>
        </w:rPr>
        <w:t xml:space="preserve">Reporting Form </w:t>
      </w:r>
      <w:r>
        <w:rPr>
          <w:i/>
        </w:rPr>
        <w:t>GRF 460.1_G</w:t>
      </w:r>
      <w:r w:rsidRPr="00F47773">
        <w:rPr>
          <w:i/>
        </w:rPr>
        <w:t xml:space="preserve"> </w:t>
      </w:r>
      <w:r>
        <w:rPr>
          <w:i/>
        </w:rPr>
        <w:t xml:space="preserve">Exposure Analysis by Reinsurance Counterparty (G) </w:t>
      </w:r>
      <w:r>
        <w:t>(G</w:t>
      </w:r>
      <w:r w:rsidRPr="003634F5">
        <w:t xml:space="preserve">RF </w:t>
      </w:r>
      <w:r>
        <w:t>460.1_G)</w:t>
      </w:r>
      <w:r w:rsidRPr="00F47773">
        <w:t>.</w:t>
      </w:r>
      <w:r>
        <w:t xml:space="preserve"> GRF 460.1_G</w:t>
      </w:r>
      <w:r w:rsidRPr="00A20A04">
        <w:t xml:space="preserve"> collects information </w:t>
      </w:r>
      <w:r>
        <w:t xml:space="preserve">relating to the impact on the capital base and each component of the prescribed capital amount of a </w:t>
      </w:r>
      <w:r w:rsidRPr="00196C2B">
        <w:rPr>
          <w:b/>
          <w:i/>
        </w:rPr>
        <w:t>regulated institution</w:t>
      </w:r>
      <w:r>
        <w:t xml:space="preserve"> due to a reinsurance counterparty failure. Information reported in GRF 460.1_G</w:t>
      </w:r>
      <w:r w:rsidRPr="00A20A04">
        <w:t xml:space="preserve"> is primari</w:t>
      </w:r>
      <w:r>
        <w:t>ly required for prudential purposes</w:t>
      </w:r>
      <w:r w:rsidRPr="00A20A04">
        <w:t>.</w:t>
      </w:r>
    </w:p>
    <w:p w:rsidR="00E32301" w:rsidRDefault="00E32301" w:rsidP="00E32301">
      <w:pPr>
        <w:spacing w:after="240"/>
        <w:jc w:val="both"/>
      </w:pPr>
      <w:r>
        <w:t>These instructions must be read in conjunction with the general instruction guide.</w:t>
      </w:r>
    </w:p>
    <w:p w:rsidR="00E32301" w:rsidRPr="00954F21" w:rsidRDefault="00E32301" w:rsidP="00E32301">
      <w:pPr>
        <w:spacing w:before="120" w:after="240"/>
        <w:jc w:val="both"/>
        <w:rPr>
          <w:rFonts w:ascii="Arial" w:hAnsi="Arial" w:cs="Arial"/>
          <w:b/>
          <w:sz w:val="32"/>
          <w:szCs w:val="32"/>
        </w:rPr>
      </w:pPr>
      <w:r>
        <w:rPr>
          <w:rFonts w:ascii="Arial" w:hAnsi="Arial" w:cs="Arial"/>
          <w:b/>
          <w:sz w:val="32"/>
          <w:szCs w:val="32"/>
        </w:rPr>
        <w:t>Audit matters</w:t>
      </w:r>
    </w:p>
    <w:p w:rsidR="00E32301" w:rsidRDefault="00E32301" w:rsidP="00E32301">
      <w:pPr>
        <w:spacing w:after="240"/>
        <w:jc w:val="both"/>
      </w:pPr>
      <w:r>
        <w:t>A</w:t>
      </w:r>
      <w:r w:rsidRPr="00E122C9">
        <w:t xml:space="preserve">s a result of Insurance </w:t>
      </w:r>
      <w:r>
        <w:t>(e</w:t>
      </w:r>
      <w:r w:rsidRPr="00E122C9">
        <w:t>xemption</w:t>
      </w:r>
      <w:r>
        <w:t>)</w:t>
      </w:r>
      <w:r w:rsidRPr="00E122C9">
        <w:t xml:space="preserve"> </w:t>
      </w:r>
      <w:r>
        <w:t>d</w:t>
      </w:r>
      <w:r w:rsidRPr="00E122C9">
        <w:t xml:space="preserve">etermination No. </w:t>
      </w:r>
      <w:r>
        <w:t>2</w:t>
      </w:r>
      <w:r w:rsidRPr="00E122C9">
        <w:t xml:space="preserve"> of 2013, the </w:t>
      </w:r>
      <w:r w:rsidRPr="00BC68AC">
        <w:rPr>
          <w:b/>
          <w:i/>
        </w:rPr>
        <w:t>Appointed Auditor</w:t>
      </w:r>
      <w:r w:rsidRPr="00E122C9">
        <w:t xml:space="preserve"> of </w:t>
      </w:r>
      <w:r>
        <w:t xml:space="preserve">a </w:t>
      </w:r>
      <w:r w:rsidRPr="004F4B7D">
        <w:rPr>
          <w:b/>
          <w:i/>
        </w:rPr>
        <w:t>general insurer</w:t>
      </w:r>
      <w:r w:rsidRPr="00E122C9">
        <w:t xml:space="preserve"> is not required to audit, or provide a certificate in relation to, information provided by a </w:t>
      </w:r>
      <w:r w:rsidRPr="00EB1E55">
        <w:t>general insurer</w:t>
      </w:r>
      <w:r w:rsidRPr="00E122C9">
        <w:t xml:space="preserve"> under </w:t>
      </w:r>
      <w:r w:rsidRPr="004F4B7D">
        <w:rPr>
          <w:i/>
        </w:rPr>
        <w:t xml:space="preserve">Reporting </w:t>
      </w:r>
      <w:r>
        <w:rPr>
          <w:i/>
        </w:rPr>
        <w:t>Standard</w:t>
      </w:r>
      <w:r w:rsidRPr="004F4B7D">
        <w:rPr>
          <w:i/>
        </w:rPr>
        <w:t xml:space="preserve"> GR</w:t>
      </w:r>
      <w:r>
        <w:rPr>
          <w:i/>
        </w:rPr>
        <w:t>S</w:t>
      </w:r>
      <w:r w:rsidRPr="004F4B7D">
        <w:rPr>
          <w:i/>
        </w:rPr>
        <w:t xml:space="preserve"> 460.1 Exposure Analysis by Reinsurance Counterparty</w:t>
      </w:r>
      <w:r>
        <w:t xml:space="preserve">. Under </w:t>
      </w:r>
      <w:r>
        <w:rPr>
          <w:i/>
        </w:rPr>
        <w:t xml:space="preserve">Prudential Standard GPS 310 Audit and Related Matters </w:t>
      </w:r>
      <w:r>
        <w:t xml:space="preserve">(GPS 310) the </w:t>
      </w:r>
      <w:r w:rsidRPr="00BC68AC">
        <w:rPr>
          <w:b/>
          <w:i/>
        </w:rPr>
        <w:t>Group Auditor</w:t>
      </w:r>
      <w:r>
        <w:rPr>
          <w:b/>
        </w:rPr>
        <w:t xml:space="preserve"> </w:t>
      </w:r>
      <w:r>
        <w:t xml:space="preserve">of a </w:t>
      </w:r>
      <w:r w:rsidRPr="00BC68AC">
        <w:rPr>
          <w:b/>
          <w:i/>
        </w:rPr>
        <w:t>Level 2 insurance group</w:t>
      </w:r>
      <w:r>
        <w:t xml:space="preserve"> is not required to provide a limited assurance review in relation to information provided by the parent entity of a Level 2 insurance group under </w:t>
      </w:r>
      <w:r w:rsidRPr="00BC68AC">
        <w:rPr>
          <w:i/>
        </w:rPr>
        <w:t>Reporting Standard GRS 460.1_G Exposure Analysis by Reinsurance Counterparty (Level 2 Insurance Group)</w:t>
      </w:r>
      <w:r>
        <w:t xml:space="preserve">. APRA, however, may exercise its power under </w:t>
      </w:r>
      <w:r w:rsidRPr="00BC68AC">
        <w:t>GPS 310</w:t>
      </w:r>
      <w:r>
        <w:rPr>
          <w:i/>
        </w:rPr>
        <w:t xml:space="preserve"> </w:t>
      </w:r>
      <w:r>
        <w:t xml:space="preserve">to require the Appointed Auditor or Group Auditor to undertake a special purpose review of the systems, processes and controls surrounding the completion of </w:t>
      </w:r>
      <w:r>
        <w:rPr>
          <w:i/>
        </w:rPr>
        <w:t xml:space="preserve">Reporting Form GRF 460.1 Exposure Analysis by Reinsurance Counterparty </w:t>
      </w:r>
      <w:r>
        <w:t>(GRF 460.1) and GRF 460.1_G, or the data contained within GRF 460.1 and GRF 460.1_G.</w:t>
      </w:r>
    </w:p>
    <w:p w:rsidR="00E32301" w:rsidRPr="00954F21" w:rsidRDefault="00E32301" w:rsidP="00E32301">
      <w:pPr>
        <w:spacing w:before="120" w:after="240"/>
        <w:jc w:val="both"/>
        <w:rPr>
          <w:rFonts w:ascii="Arial" w:hAnsi="Arial" w:cs="Arial"/>
          <w:b/>
          <w:sz w:val="32"/>
          <w:szCs w:val="32"/>
        </w:rPr>
      </w:pPr>
      <w:r>
        <w:rPr>
          <w:rFonts w:ascii="Arial" w:hAnsi="Arial" w:cs="Arial"/>
          <w:b/>
          <w:sz w:val="32"/>
          <w:szCs w:val="32"/>
        </w:rPr>
        <w:t>Supplementary information</w:t>
      </w:r>
    </w:p>
    <w:p w:rsidR="00E32301" w:rsidRDefault="00E32301" w:rsidP="00E32301">
      <w:pPr>
        <w:spacing w:after="240"/>
        <w:jc w:val="both"/>
      </w:pPr>
      <w:r>
        <w:t>The regulated institution must ensure that any underlying calculations and assumptions used to complete GRF 460.1_G are made available to APRA upon request from the regulated institution’s APRA responsible supervisor.</w:t>
      </w:r>
    </w:p>
    <w:p w:rsidR="00E32301" w:rsidRPr="00954F21" w:rsidRDefault="00E32301" w:rsidP="00E32301">
      <w:pPr>
        <w:spacing w:before="120" w:after="240"/>
        <w:jc w:val="both"/>
        <w:rPr>
          <w:rFonts w:ascii="Arial" w:hAnsi="Arial" w:cs="Arial"/>
          <w:b/>
          <w:sz w:val="32"/>
          <w:szCs w:val="32"/>
        </w:rPr>
      </w:pPr>
      <w:r>
        <w:rPr>
          <w:rFonts w:ascii="Arial" w:hAnsi="Arial" w:cs="Arial"/>
          <w:b/>
          <w:sz w:val="32"/>
          <w:szCs w:val="32"/>
        </w:rPr>
        <w:t>Reporting Level</w:t>
      </w:r>
    </w:p>
    <w:p w:rsidR="00E32301" w:rsidRPr="00F554AB" w:rsidRDefault="00E32301" w:rsidP="00E32301">
      <w:pPr>
        <w:spacing w:after="240"/>
        <w:jc w:val="both"/>
      </w:pPr>
      <w:r w:rsidRPr="00076F9D">
        <w:t>GRF 460</w:t>
      </w:r>
      <w:r>
        <w:t>.1</w:t>
      </w:r>
      <w:r w:rsidRPr="00076F9D">
        <w:t xml:space="preserve"> must be completed by </w:t>
      </w:r>
      <w:r>
        <w:t xml:space="preserve">all </w:t>
      </w:r>
      <w:r w:rsidRPr="00BC68AC">
        <w:t>Level 2 insurance groups</w:t>
      </w:r>
      <w:r>
        <w:t>.</w:t>
      </w:r>
    </w:p>
    <w:p w:rsidR="00E32301" w:rsidRPr="00954F21" w:rsidRDefault="00E32301" w:rsidP="00E32301">
      <w:pPr>
        <w:spacing w:before="120" w:after="240"/>
        <w:jc w:val="both"/>
        <w:rPr>
          <w:rFonts w:ascii="Arial" w:hAnsi="Arial" w:cs="Arial"/>
          <w:b/>
          <w:sz w:val="32"/>
          <w:szCs w:val="32"/>
        </w:rPr>
      </w:pPr>
      <w:r w:rsidRPr="00954F21">
        <w:rPr>
          <w:rFonts w:ascii="Arial" w:hAnsi="Arial" w:cs="Arial"/>
          <w:b/>
          <w:sz w:val="32"/>
          <w:szCs w:val="32"/>
        </w:rPr>
        <w:t>Specific instructions</w:t>
      </w:r>
    </w:p>
    <w:p w:rsidR="00E32301" w:rsidRDefault="00E32301" w:rsidP="00E32301">
      <w:pPr>
        <w:spacing w:after="240"/>
        <w:jc w:val="both"/>
        <w:rPr>
          <w:color w:val="000000"/>
        </w:rPr>
      </w:pPr>
      <w:r>
        <w:rPr>
          <w:color w:val="000000"/>
        </w:rPr>
        <w:t>Terms highlighted</w:t>
      </w:r>
      <w:r w:rsidRPr="00286946">
        <w:rPr>
          <w:color w:val="000000"/>
        </w:rPr>
        <w:t xml:space="preserve"> in </w:t>
      </w:r>
      <w:r w:rsidRPr="00156DB2">
        <w:rPr>
          <w:b/>
          <w:i/>
          <w:color w:val="000000"/>
        </w:rPr>
        <w:t>bold italics</w:t>
      </w:r>
      <w:r w:rsidRPr="00286946">
        <w:rPr>
          <w:color w:val="000000"/>
        </w:rPr>
        <w:t xml:space="preserve"> indicate that the definition is provided in these instructions.</w:t>
      </w:r>
      <w:r>
        <w:rPr>
          <w:color w:val="000000"/>
        </w:rPr>
        <w:t xml:space="preserve"> Additional definitions are provided at the end of these instructions. </w:t>
      </w:r>
      <w:r w:rsidRPr="00286946">
        <w:rPr>
          <w:color w:val="000000"/>
        </w:rPr>
        <w:t xml:space="preserve"> </w:t>
      </w:r>
    </w:p>
    <w:p w:rsidR="00E32301" w:rsidRPr="00492053" w:rsidRDefault="00E32301" w:rsidP="00E32301">
      <w:pPr>
        <w:spacing w:after="240"/>
        <w:jc w:val="both"/>
        <w:rPr>
          <w:color w:val="000000"/>
        </w:rPr>
      </w:pPr>
      <w:r w:rsidRPr="00280F46">
        <w:rPr>
          <w:i/>
          <w:color w:val="000000"/>
        </w:rPr>
        <w:lastRenderedPageBreak/>
        <w:t>Reporting Practice Guide GRPG 460</w:t>
      </w:r>
      <w:r>
        <w:rPr>
          <w:i/>
          <w:color w:val="000000"/>
        </w:rPr>
        <w:t xml:space="preserve"> Reinsurance Counterparty Data Collection</w:t>
      </w:r>
      <w:r>
        <w:rPr>
          <w:color w:val="000000"/>
        </w:rPr>
        <w:t xml:space="preserve"> provides guidance to assist regulated institutions in completing GRF 460.1_G. Regulated institutions are permitted to use simplifying assumptions where those assumptions do not have a material impact on the resulting </w:t>
      </w:r>
      <w:r w:rsidRPr="00196C2B">
        <w:rPr>
          <w:b/>
          <w:i/>
          <w:color w:val="000000"/>
        </w:rPr>
        <w:t>capital coverage</w:t>
      </w:r>
      <w:r>
        <w:rPr>
          <w:color w:val="000000"/>
        </w:rPr>
        <w:t xml:space="preserve"> of the regulated institution.</w:t>
      </w:r>
    </w:p>
    <w:p w:rsidR="00E32301" w:rsidRDefault="00E32301" w:rsidP="00E32301">
      <w:pPr>
        <w:spacing w:before="240" w:after="240"/>
        <w:jc w:val="both"/>
        <w:rPr>
          <w:rFonts w:ascii="Arial" w:hAnsi="Arial" w:cs="Arial"/>
          <w:b/>
        </w:rPr>
      </w:pPr>
      <w:r>
        <w:rPr>
          <w:rFonts w:ascii="Arial" w:hAnsi="Arial" w:cs="Arial"/>
          <w:b/>
        </w:rPr>
        <w:t xml:space="preserve">Exposure Analysis by Reinsurance Counterparty </w:t>
      </w:r>
    </w:p>
    <w:p w:rsidR="00E32301" w:rsidRDefault="00E32301" w:rsidP="00E32301">
      <w:pPr>
        <w:spacing w:before="240" w:after="240"/>
        <w:jc w:val="both"/>
      </w:pPr>
      <w:r>
        <w:t xml:space="preserve">Report individual counterparties on GRF 460.1_G where the failure of that counterparty results in a five per cent change in </w:t>
      </w:r>
      <w:r w:rsidRPr="00F85138">
        <w:rPr>
          <w:b/>
          <w:i/>
        </w:rPr>
        <w:t>capital coverage</w:t>
      </w:r>
      <w:r>
        <w:rPr>
          <w:b/>
          <w:i/>
        </w:rPr>
        <w:t xml:space="preserve"> </w:t>
      </w:r>
      <w:r>
        <w:t>of the regulated institution when compared to the capital coverage at the end of the financial year.</w:t>
      </w:r>
    </w:p>
    <w:p w:rsidR="00E32301" w:rsidRDefault="00E32301" w:rsidP="00E32301">
      <w:pPr>
        <w:spacing w:before="240" w:after="240"/>
        <w:jc w:val="both"/>
      </w:pPr>
      <w:r>
        <w:t xml:space="preserve">For the purposes of this reporting form, failure means that the counterparty will no longer meet their obligation to the regulated institution. This means that the regulated institution makes no recovery from on-balance sheet reinsurance assets and the reinsurer is not replaced on any of its previous or current reinsurance programs. </w:t>
      </w:r>
    </w:p>
    <w:p w:rsidR="00E32301" w:rsidRDefault="00E32301" w:rsidP="00E32301">
      <w:pPr>
        <w:spacing w:after="240"/>
        <w:jc w:val="both"/>
      </w:pPr>
      <w:r w:rsidRPr="00A37D4B">
        <w:rPr>
          <w:b/>
        </w:rPr>
        <w:t>Reporting basis:</w:t>
      </w:r>
      <w:r>
        <w:t xml:space="preserve"> report balances for Columns 7 to 13 as at the end of the financial year. </w:t>
      </w:r>
    </w:p>
    <w:p w:rsidR="00E32301" w:rsidRPr="00A20A04" w:rsidRDefault="00E32301" w:rsidP="00E32301">
      <w:pPr>
        <w:spacing w:before="240" w:after="240"/>
        <w:jc w:val="both"/>
      </w:pPr>
      <w:r>
        <w:rPr>
          <w:b/>
        </w:rPr>
        <w:t>Unit of measurement</w:t>
      </w:r>
      <w:r>
        <w:t>: report amounts in Columns 7 to 13 as thousands of dollars.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57"/>
      </w:tblGrid>
      <w:tr w:rsidR="00E32301" w:rsidRPr="002E5243" w:rsidTr="000D0D76">
        <w:tc>
          <w:tcPr>
            <w:tcW w:w="1814" w:type="dxa"/>
          </w:tcPr>
          <w:p w:rsidR="00E32301" w:rsidRPr="002E5243" w:rsidRDefault="00E32301" w:rsidP="000D0D76">
            <w:pPr>
              <w:spacing w:before="120" w:after="120"/>
              <w:rPr>
                <w:b/>
              </w:rPr>
            </w:pPr>
          </w:p>
        </w:tc>
        <w:tc>
          <w:tcPr>
            <w:tcW w:w="7257" w:type="dxa"/>
          </w:tcPr>
          <w:p w:rsidR="00E32301" w:rsidRDefault="00E32301" w:rsidP="000D0D76">
            <w:pPr>
              <w:spacing w:before="120" w:after="120"/>
              <w:jc w:val="both"/>
            </w:pPr>
            <w:r>
              <w:t xml:space="preserve">Report each </w:t>
            </w:r>
            <w:r w:rsidRPr="00B00839">
              <w:t>counterparty</w:t>
            </w:r>
            <w:r>
              <w:t xml:space="preserve"> as a separate line item.</w:t>
            </w:r>
          </w:p>
          <w:p w:rsidR="00E32301" w:rsidRPr="002E5243" w:rsidRDefault="00E32301" w:rsidP="000D0D76">
            <w:pPr>
              <w:spacing w:before="120" w:after="120"/>
              <w:jc w:val="both"/>
            </w:pPr>
            <w:r>
              <w:t xml:space="preserve">For each counterparty report the </w:t>
            </w:r>
            <w:r w:rsidRPr="00E82C8D">
              <w:rPr>
                <w:b/>
                <w:i/>
              </w:rPr>
              <w:t>Name of counterparty (reinsurer)</w:t>
            </w:r>
            <w:r>
              <w:t xml:space="preserve"> in column 1, the </w:t>
            </w:r>
            <w:r w:rsidRPr="00E82C8D">
              <w:rPr>
                <w:b/>
                <w:i/>
              </w:rPr>
              <w:t>Reinsurer identifier</w:t>
            </w:r>
            <w:r>
              <w:t xml:space="preserve"> in column 2, the </w:t>
            </w:r>
            <w:r w:rsidRPr="00E82C8D">
              <w:rPr>
                <w:b/>
                <w:i/>
              </w:rPr>
              <w:t>Counterparty group name</w:t>
            </w:r>
            <w:r>
              <w:t xml:space="preserve"> in column 3, the </w:t>
            </w:r>
            <w:r w:rsidRPr="00E82C8D">
              <w:rPr>
                <w:b/>
                <w:i/>
              </w:rPr>
              <w:t>APRA counterparty grade</w:t>
            </w:r>
            <w:r>
              <w:t xml:space="preserve"> in column 4, the </w:t>
            </w:r>
            <w:r w:rsidRPr="00E82C8D">
              <w:rPr>
                <w:b/>
                <w:i/>
              </w:rPr>
              <w:t>Counterparty domicile</w:t>
            </w:r>
            <w:r>
              <w:t xml:space="preserve"> in column 5, the </w:t>
            </w:r>
            <w:r w:rsidRPr="00E82C8D">
              <w:rPr>
                <w:b/>
                <w:i/>
              </w:rPr>
              <w:t>Group domicile</w:t>
            </w:r>
            <w:r>
              <w:t xml:space="preserve"> in column 6, the </w:t>
            </w:r>
            <w:r>
              <w:rPr>
                <w:b/>
                <w:i/>
              </w:rPr>
              <w:t>Total impact on capital</w:t>
            </w:r>
            <w:r w:rsidRPr="00644D93">
              <w:rPr>
                <w:b/>
                <w:i/>
              </w:rPr>
              <w:t xml:space="preserve"> </w:t>
            </w:r>
            <w:r w:rsidRPr="00F85138">
              <w:rPr>
                <w:b/>
                <w:i/>
              </w:rPr>
              <w:t>base</w:t>
            </w:r>
            <w:r>
              <w:t xml:space="preserve">, in column 7, the </w:t>
            </w:r>
            <w:r>
              <w:rPr>
                <w:b/>
                <w:i/>
              </w:rPr>
              <w:t>Total impact on Insurance Risk</w:t>
            </w:r>
            <w:r w:rsidRPr="00A40296">
              <w:rPr>
                <w:b/>
                <w:i/>
              </w:rPr>
              <w:t xml:space="preserve"> Charge</w:t>
            </w:r>
            <w:r>
              <w:t xml:space="preserve"> in column 8, the </w:t>
            </w:r>
            <w:r>
              <w:rPr>
                <w:b/>
                <w:i/>
              </w:rPr>
              <w:t>Total impact on Insurance Concentration Risk Charge</w:t>
            </w:r>
            <w:r>
              <w:t xml:space="preserve"> in column 9,</w:t>
            </w:r>
            <w:r>
              <w:rPr>
                <w:b/>
                <w:i/>
              </w:rPr>
              <w:t xml:space="preserve"> </w:t>
            </w:r>
            <w:r w:rsidRPr="00A40296">
              <w:t>the</w:t>
            </w:r>
            <w:r>
              <w:t xml:space="preserve"> </w:t>
            </w:r>
            <w:r>
              <w:rPr>
                <w:b/>
                <w:i/>
              </w:rPr>
              <w:t>Total impact on Asset Risk Charge (after aggregation formula)</w:t>
            </w:r>
            <w:r>
              <w:t xml:space="preserve"> in column 10, the </w:t>
            </w:r>
            <w:r>
              <w:rPr>
                <w:b/>
                <w:i/>
              </w:rPr>
              <w:t>Total impact on Asset Concentration Risk Charge</w:t>
            </w:r>
            <w:r>
              <w:t xml:space="preserve"> in column 11, the </w:t>
            </w:r>
            <w:r>
              <w:rPr>
                <w:b/>
                <w:i/>
              </w:rPr>
              <w:t>Total impact on Operational Risk Charge</w:t>
            </w:r>
            <w:r>
              <w:t xml:space="preserve"> in column 12 and the </w:t>
            </w:r>
            <w:r>
              <w:rPr>
                <w:b/>
                <w:i/>
              </w:rPr>
              <w:t>Total impact on prescribed capital amount</w:t>
            </w:r>
            <w:r>
              <w:t xml:space="preserve"> in column 13. </w:t>
            </w:r>
          </w:p>
        </w:tc>
      </w:tr>
      <w:tr w:rsidR="00E32301" w:rsidRPr="002E5243" w:rsidTr="000D0D76">
        <w:tc>
          <w:tcPr>
            <w:tcW w:w="1814" w:type="dxa"/>
          </w:tcPr>
          <w:p w:rsidR="00E32301" w:rsidRPr="002E5243" w:rsidRDefault="00E32301" w:rsidP="000D0D76">
            <w:pPr>
              <w:spacing w:before="120" w:after="120"/>
              <w:rPr>
                <w:b/>
              </w:rPr>
            </w:pPr>
            <w:r>
              <w:t>Name of counterparty (reinsurer)</w:t>
            </w:r>
          </w:p>
        </w:tc>
        <w:tc>
          <w:tcPr>
            <w:tcW w:w="7257" w:type="dxa"/>
          </w:tcPr>
          <w:p w:rsidR="00E32301" w:rsidRDefault="00E32301" w:rsidP="000D0D76">
            <w:pPr>
              <w:spacing w:before="120" w:after="120"/>
              <w:jc w:val="both"/>
            </w:pPr>
            <w:r>
              <w:t xml:space="preserve">The legal name of the counterparty to the reinsurance exposure. Where relevant, use the name of counterparty as stated on the </w:t>
            </w:r>
            <w:r>
              <w:rPr>
                <w:b/>
                <w:i/>
              </w:rPr>
              <w:t>reinsurer identifier list</w:t>
            </w:r>
            <w:r>
              <w:t>.</w:t>
            </w:r>
          </w:p>
        </w:tc>
      </w:tr>
      <w:tr w:rsidR="00E32301" w:rsidRPr="002E5243" w:rsidTr="000D0D76">
        <w:tc>
          <w:tcPr>
            <w:tcW w:w="1814" w:type="dxa"/>
          </w:tcPr>
          <w:p w:rsidR="00E32301" w:rsidRPr="002E5243" w:rsidRDefault="00E32301" w:rsidP="000D0D76">
            <w:pPr>
              <w:spacing w:before="120" w:after="120"/>
              <w:rPr>
                <w:b/>
              </w:rPr>
            </w:pPr>
            <w:r>
              <w:t>Reinsurer identifier</w:t>
            </w:r>
          </w:p>
        </w:tc>
        <w:tc>
          <w:tcPr>
            <w:tcW w:w="7257" w:type="dxa"/>
          </w:tcPr>
          <w:p w:rsidR="00E32301" w:rsidRDefault="00E32301" w:rsidP="000D0D76">
            <w:pPr>
              <w:spacing w:before="120" w:after="120"/>
              <w:jc w:val="both"/>
            </w:pPr>
            <w:r>
              <w:t xml:space="preserve">The unique identifier for the counterparty reported in column 1. Where relevant, the reinsurer identifier must be reported as stated on the </w:t>
            </w:r>
            <w:r w:rsidRPr="00BC68AC">
              <w:rPr>
                <w:b/>
                <w:i/>
              </w:rPr>
              <w:t>r</w:t>
            </w:r>
            <w:r w:rsidRPr="00CC2BB6">
              <w:t>einsurer identifier list</w:t>
            </w:r>
            <w:r>
              <w:t xml:space="preserve">. If the reinsurer is not on the reinsurer identifier list, report the reinsurer identifier as ‘unassigned’. </w:t>
            </w:r>
          </w:p>
        </w:tc>
      </w:tr>
      <w:tr w:rsidR="00E32301" w:rsidRPr="002E5243" w:rsidTr="000D0D76">
        <w:tc>
          <w:tcPr>
            <w:tcW w:w="1814" w:type="dxa"/>
          </w:tcPr>
          <w:p w:rsidR="00E32301" w:rsidRPr="002E5243" w:rsidRDefault="00E32301" w:rsidP="000D0D76">
            <w:pPr>
              <w:spacing w:before="120" w:after="120"/>
              <w:rPr>
                <w:b/>
              </w:rPr>
            </w:pPr>
            <w:r>
              <w:t>Counterparty group name</w:t>
            </w:r>
          </w:p>
        </w:tc>
        <w:tc>
          <w:tcPr>
            <w:tcW w:w="7257" w:type="dxa"/>
          </w:tcPr>
          <w:p w:rsidR="00E32301" w:rsidRDefault="00E32301" w:rsidP="000D0D76">
            <w:pPr>
              <w:spacing w:before="120" w:after="120"/>
              <w:jc w:val="both"/>
            </w:pPr>
            <w:r>
              <w:t>The name of the group to which the counterparty to the reinsurance exposure belongs. If the counterparty to the reinsurance exposure does not belong to a group, leave this column blank. Where relevant, the counterparty group name must be reported as stated on the reinsurer identifier list. If the counterparty group name is not on the reinsurer identifier list, report the counterparty group name as per these instructions.</w:t>
            </w:r>
          </w:p>
        </w:tc>
      </w:tr>
      <w:tr w:rsidR="00E32301" w:rsidRPr="002E5243" w:rsidTr="000D0D76">
        <w:tc>
          <w:tcPr>
            <w:tcW w:w="1814" w:type="dxa"/>
          </w:tcPr>
          <w:p w:rsidR="00E32301" w:rsidRPr="002E5243" w:rsidRDefault="00E32301" w:rsidP="000D0D76">
            <w:pPr>
              <w:spacing w:before="120" w:after="120"/>
              <w:rPr>
                <w:b/>
              </w:rPr>
            </w:pPr>
            <w:r>
              <w:lastRenderedPageBreak/>
              <w:t>APRA counterparty grade</w:t>
            </w:r>
          </w:p>
        </w:tc>
        <w:tc>
          <w:tcPr>
            <w:tcW w:w="7257" w:type="dxa"/>
          </w:tcPr>
          <w:p w:rsidR="00E32301" w:rsidRDefault="00E32301" w:rsidP="000D0D76">
            <w:pPr>
              <w:spacing w:before="120" w:after="120"/>
              <w:jc w:val="both"/>
            </w:pPr>
            <w:r>
              <w:t xml:space="preserve">The counterparty grade of 1 to 7 in accordance with </w:t>
            </w:r>
            <w:r>
              <w:rPr>
                <w:i/>
              </w:rPr>
              <w:t>Prudential Standard</w:t>
            </w:r>
            <w:r w:rsidRPr="00A31918">
              <w:rPr>
                <w:i/>
              </w:rPr>
              <w:t xml:space="preserve"> GPS 001 Definitions</w:t>
            </w:r>
            <w:r>
              <w:t xml:space="preserve"> (GPS 001).</w:t>
            </w:r>
          </w:p>
        </w:tc>
      </w:tr>
      <w:tr w:rsidR="00E32301" w:rsidRPr="002E5243" w:rsidTr="000D0D76">
        <w:tc>
          <w:tcPr>
            <w:tcW w:w="1814" w:type="dxa"/>
          </w:tcPr>
          <w:p w:rsidR="00E32301" w:rsidRPr="002E5243" w:rsidRDefault="00E32301" w:rsidP="000D0D76">
            <w:pPr>
              <w:spacing w:before="120" w:after="120"/>
              <w:rPr>
                <w:b/>
              </w:rPr>
            </w:pPr>
            <w:r>
              <w:t>Counterparty domicile</w:t>
            </w:r>
          </w:p>
        </w:tc>
        <w:tc>
          <w:tcPr>
            <w:tcW w:w="7257" w:type="dxa"/>
          </w:tcPr>
          <w:p w:rsidR="00E32301" w:rsidRDefault="00E32301" w:rsidP="000D0D76">
            <w:pPr>
              <w:spacing w:before="120" w:after="120"/>
              <w:jc w:val="both"/>
            </w:pPr>
            <w:r>
              <w:t>For a subsidiary, the domicile is where the counterparty is legally incorporated. For a branch, the domicile is where the counterparty (branch) is located. Where relevant, the counterparty domicile must be reported as stated on the reinsurer identifier list. If the counterparty is not on the reinsurer identifier list, report the domicile using the domiciles in Appendix 1.</w:t>
            </w:r>
          </w:p>
        </w:tc>
      </w:tr>
      <w:tr w:rsidR="00E32301" w:rsidRPr="002E5243" w:rsidTr="000D0D76">
        <w:tc>
          <w:tcPr>
            <w:tcW w:w="1814" w:type="dxa"/>
          </w:tcPr>
          <w:p w:rsidR="00E32301" w:rsidRPr="002E5243" w:rsidRDefault="00E32301" w:rsidP="000D0D76">
            <w:pPr>
              <w:spacing w:before="120" w:after="120"/>
              <w:rPr>
                <w:b/>
              </w:rPr>
            </w:pPr>
            <w:r>
              <w:t>Group domicile</w:t>
            </w:r>
          </w:p>
        </w:tc>
        <w:tc>
          <w:tcPr>
            <w:tcW w:w="7257" w:type="dxa"/>
          </w:tcPr>
          <w:p w:rsidR="00E32301" w:rsidRDefault="00E32301" w:rsidP="000D0D76">
            <w:pPr>
              <w:spacing w:before="120" w:after="120"/>
              <w:jc w:val="both"/>
            </w:pPr>
            <w:r>
              <w:t>The domicile where the group owning the counterparty is legally incorporated. If the counterparty does not belong to a group, leave this column blank. Where relevant, the group domicile must be reported as stated on the reinsurer identifier list. If the group is not on the reinsurer identifier list, report the group domicile using the domiciles listed in Appendix 1.</w:t>
            </w:r>
          </w:p>
        </w:tc>
      </w:tr>
      <w:tr w:rsidR="00E32301" w:rsidRPr="002E5243" w:rsidTr="000D0D76">
        <w:tc>
          <w:tcPr>
            <w:tcW w:w="1814" w:type="dxa"/>
          </w:tcPr>
          <w:p w:rsidR="00E32301" w:rsidRPr="002E5243" w:rsidRDefault="00E32301" w:rsidP="000D0D76">
            <w:pPr>
              <w:spacing w:before="120" w:after="120"/>
              <w:rPr>
                <w:b/>
              </w:rPr>
            </w:pPr>
            <w:r>
              <w:t>Total impact on capital base</w:t>
            </w:r>
          </w:p>
        </w:tc>
        <w:tc>
          <w:tcPr>
            <w:tcW w:w="7257" w:type="dxa"/>
          </w:tcPr>
          <w:p w:rsidR="00E32301" w:rsidRDefault="00E32301" w:rsidP="000D0D76">
            <w:pPr>
              <w:spacing w:before="120" w:after="120"/>
              <w:jc w:val="both"/>
            </w:pPr>
            <w:r>
              <w:t xml:space="preserve">Report the decrease in capital base, after tax where applicable, due to the failure of the reinsurer reported in column 1. </w:t>
            </w:r>
            <w:r w:rsidRPr="003D4209">
              <w:t>This takes into account changes</w:t>
            </w:r>
            <w:r>
              <w:t xml:space="preserve"> </w:t>
            </w:r>
            <w:r w:rsidRPr="003D4209">
              <w:t xml:space="preserve">as a result of the loss of the reinsurer on </w:t>
            </w:r>
            <w:r>
              <w:t xml:space="preserve">a regulated institution’s </w:t>
            </w:r>
            <w:r w:rsidRPr="003D4209">
              <w:t xml:space="preserve">net outstanding claims </w:t>
            </w:r>
            <w:r>
              <w:t xml:space="preserve">liabilities and </w:t>
            </w:r>
            <w:r w:rsidRPr="003D4209">
              <w:t>net premiums liabilit</w:t>
            </w:r>
            <w:r>
              <w:t>y. This will include any change in the</w:t>
            </w:r>
            <w:r w:rsidRPr="003D4209">
              <w:t xml:space="preserve"> </w:t>
            </w:r>
            <w:r w:rsidRPr="00196C2B">
              <w:rPr>
                <w:b/>
                <w:i/>
              </w:rPr>
              <w:t>OCP surplus/deficit</w:t>
            </w:r>
            <w:r w:rsidRPr="003D4209">
              <w:t xml:space="preserve"> and </w:t>
            </w:r>
            <w:r w:rsidRPr="00196C2B">
              <w:rPr>
                <w:b/>
                <w:i/>
              </w:rPr>
              <w:t>PL surplus/deficit</w:t>
            </w:r>
            <w:r w:rsidRPr="003D4209">
              <w:t>.</w:t>
            </w:r>
            <w:r>
              <w:t xml:space="preserve"> </w:t>
            </w:r>
            <w:r w:rsidRPr="00F85138">
              <w:t>Amounts reported for this item must be equal to or less than zero.</w:t>
            </w:r>
          </w:p>
        </w:tc>
      </w:tr>
      <w:tr w:rsidR="00E32301" w:rsidRPr="002E5243" w:rsidTr="000D0D76">
        <w:tc>
          <w:tcPr>
            <w:tcW w:w="1814" w:type="dxa"/>
          </w:tcPr>
          <w:p w:rsidR="00E32301" w:rsidRPr="002E5243" w:rsidRDefault="00E32301" w:rsidP="000D0D76">
            <w:pPr>
              <w:spacing w:before="120" w:after="120"/>
              <w:rPr>
                <w:b/>
              </w:rPr>
            </w:pPr>
            <w:r>
              <w:t>Total impact on Insurance Risk Charge</w:t>
            </w:r>
          </w:p>
        </w:tc>
        <w:tc>
          <w:tcPr>
            <w:tcW w:w="7257" w:type="dxa"/>
          </w:tcPr>
          <w:p w:rsidR="00E32301" w:rsidRDefault="00E32301" w:rsidP="000D0D76">
            <w:pPr>
              <w:spacing w:before="120" w:after="120"/>
              <w:jc w:val="both"/>
            </w:pPr>
            <w:r>
              <w:t xml:space="preserve">Report the increase in </w:t>
            </w:r>
            <w:r w:rsidRPr="00F85138">
              <w:rPr>
                <w:b/>
                <w:i/>
              </w:rPr>
              <w:t>Insurance Risk Charge</w:t>
            </w:r>
            <w:r>
              <w:t xml:space="preserve"> due to the failure of the reinsurer reported in column 1. </w:t>
            </w:r>
            <w:r w:rsidRPr="003D4209">
              <w:t>This takes into account the impact on the OCP and PL risk charges</w:t>
            </w:r>
            <w:r>
              <w:t xml:space="preserve"> as a result of the impact of a reinsurer failure on the net outstanding claims provisions and net premiums liabilities</w:t>
            </w:r>
            <w:r w:rsidRPr="003D4209">
              <w:t>. A</w:t>
            </w:r>
            <w:r>
              <w:t xml:space="preserve"> regulated institution</w:t>
            </w:r>
            <w:r w:rsidRPr="003D4209">
              <w:t xml:space="preserve"> may use simplifying assumptions as long as those assumptions do not have a material impact on the overall </w:t>
            </w:r>
            <w:r>
              <w:t xml:space="preserve">capital coverage </w:t>
            </w:r>
            <w:r w:rsidRPr="003D4209">
              <w:t>outcome</w:t>
            </w:r>
            <w:r w:rsidRPr="0020003B">
              <w:t xml:space="preserve">. </w:t>
            </w:r>
            <w:r w:rsidRPr="00F85138">
              <w:t>Amounts reported for this item must be equal to or greater than zero.</w:t>
            </w:r>
          </w:p>
        </w:tc>
      </w:tr>
      <w:tr w:rsidR="00E32301" w:rsidRPr="002E5243" w:rsidTr="000D0D76">
        <w:tc>
          <w:tcPr>
            <w:tcW w:w="1814" w:type="dxa"/>
          </w:tcPr>
          <w:p w:rsidR="00E32301" w:rsidRPr="002E5243" w:rsidRDefault="00E32301" w:rsidP="000D0D76">
            <w:pPr>
              <w:spacing w:before="120" w:after="120"/>
              <w:rPr>
                <w:b/>
              </w:rPr>
            </w:pPr>
            <w:r>
              <w:t>Total impact on Insurance Concentration Risk Charge</w:t>
            </w:r>
          </w:p>
        </w:tc>
        <w:tc>
          <w:tcPr>
            <w:tcW w:w="7257" w:type="dxa"/>
          </w:tcPr>
          <w:p w:rsidR="00E32301" w:rsidRDefault="00E32301" w:rsidP="000D0D76">
            <w:pPr>
              <w:spacing w:before="120" w:after="120"/>
              <w:jc w:val="both"/>
            </w:pPr>
            <w:r>
              <w:t xml:space="preserve">Report the increase in the </w:t>
            </w:r>
            <w:r w:rsidRPr="00F85138">
              <w:rPr>
                <w:b/>
                <w:i/>
              </w:rPr>
              <w:t>Insurance Concentration Risk Charge (ICRC)</w:t>
            </w:r>
            <w:r>
              <w:t xml:space="preserve"> due to the failure of the reinsurer reported in column 1. </w:t>
            </w:r>
            <w:r w:rsidRPr="003D4209">
              <w:t xml:space="preserve">This </w:t>
            </w:r>
            <w:r>
              <w:t xml:space="preserve">must consider </w:t>
            </w:r>
            <w:r w:rsidRPr="003D4209">
              <w:t xml:space="preserve">the impact on each component of the ICRC </w:t>
            </w:r>
            <w:r>
              <w:t xml:space="preserve">(if applicable) </w:t>
            </w:r>
            <w:r w:rsidRPr="003D4209">
              <w:t>and the current ICRC of the insurer. A</w:t>
            </w:r>
            <w:r>
              <w:t xml:space="preserve"> regulated institution </w:t>
            </w:r>
            <w:r w:rsidRPr="003D4209">
              <w:t xml:space="preserve">may use simplifying assumptions as long as those assumptions do not have a material impact on the overall </w:t>
            </w:r>
            <w:r>
              <w:t xml:space="preserve">capital coverage </w:t>
            </w:r>
            <w:r w:rsidRPr="003D4209">
              <w:t>outcome.</w:t>
            </w:r>
            <w:r>
              <w:t xml:space="preserve"> </w:t>
            </w:r>
            <w:r w:rsidRPr="00F85138">
              <w:t>Amounts reported for this item must be equal to or greater than zero.</w:t>
            </w:r>
          </w:p>
        </w:tc>
      </w:tr>
      <w:tr w:rsidR="00E32301" w:rsidRPr="002E5243" w:rsidTr="000D0D76">
        <w:trPr>
          <w:cantSplit/>
        </w:trPr>
        <w:tc>
          <w:tcPr>
            <w:tcW w:w="1814" w:type="dxa"/>
          </w:tcPr>
          <w:p w:rsidR="00E32301" w:rsidRPr="002E5243" w:rsidRDefault="00E32301" w:rsidP="000D0D76">
            <w:pPr>
              <w:spacing w:before="120" w:after="120"/>
              <w:rPr>
                <w:b/>
              </w:rPr>
            </w:pPr>
            <w:r>
              <w:lastRenderedPageBreak/>
              <w:t>Total impact on Asset Risk Charge (after aggregation formula)</w:t>
            </w:r>
          </w:p>
        </w:tc>
        <w:tc>
          <w:tcPr>
            <w:tcW w:w="7257" w:type="dxa"/>
          </w:tcPr>
          <w:p w:rsidR="00E32301" w:rsidRDefault="00E32301" w:rsidP="000D0D76">
            <w:pPr>
              <w:spacing w:before="120" w:after="120"/>
              <w:jc w:val="both"/>
            </w:pPr>
            <w:r>
              <w:t xml:space="preserve">Report the change in the </w:t>
            </w:r>
            <w:r w:rsidRPr="00F85138">
              <w:rPr>
                <w:b/>
                <w:i/>
              </w:rPr>
              <w:t>Asset Risk Charge</w:t>
            </w:r>
            <w:r>
              <w:t xml:space="preserve"> due to the failure of the reinsurer reported in column 1. </w:t>
            </w:r>
            <w:r w:rsidRPr="003D4209">
              <w:t xml:space="preserve">The amount reported must be after the aggregation formula </w:t>
            </w:r>
            <w:r>
              <w:t xml:space="preserve">in </w:t>
            </w:r>
            <w:r>
              <w:rPr>
                <w:i/>
              </w:rPr>
              <w:t xml:space="preserve">Prudential Standard GPS 114 Capital Adequacy: Asset Risk Charge </w:t>
            </w:r>
            <w:r w:rsidRPr="003D4209">
              <w:t xml:space="preserve">is applied. A </w:t>
            </w:r>
            <w:r>
              <w:t xml:space="preserve">regulated institution </w:t>
            </w:r>
            <w:r w:rsidRPr="003D4209">
              <w:t xml:space="preserve">may estimate this by applying the percentage of the aggregated risk charge components to the sum of the risk charge components on </w:t>
            </w:r>
            <w:r w:rsidRPr="004744ED">
              <w:rPr>
                <w:i/>
              </w:rPr>
              <w:t>Reporting Form GRF</w:t>
            </w:r>
            <w:r>
              <w:rPr>
                <w:i/>
              </w:rPr>
              <w:t xml:space="preserve"> </w:t>
            </w:r>
            <w:r w:rsidRPr="004744ED">
              <w:rPr>
                <w:i/>
              </w:rPr>
              <w:t>114</w:t>
            </w:r>
            <w:r>
              <w:rPr>
                <w:i/>
              </w:rPr>
              <w:t>.</w:t>
            </w:r>
            <w:r w:rsidRPr="004744ED">
              <w:rPr>
                <w:i/>
              </w:rPr>
              <w:t>0 Asset Risk Charge</w:t>
            </w:r>
            <w:r>
              <w:t xml:space="preserve"> or </w:t>
            </w:r>
            <w:r w:rsidRPr="004744ED">
              <w:rPr>
                <w:i/>
              </w:rPr>
              <w:t>Reporting Form GRF</w:t>
            </w:r>
            <w:r>
              <w:rPr>
                <w:i/>
              </w:rPr>
              <w:t xml:space="preserve"> </w:t>
            </w:r>
            <w:r w:rsidRPr="004744ED">
              <w:rPr>
                <w:i/>
              </w:rPr>
              <w:t>114</w:t>
            </w:r>
            <w:r>
              <w:rPr>
                <w:i/>
              </w:rPr>
              <w:t>.</w:t>
            </w:r>
            <w:r w:rsidRPr="004744ED">
              <w:rPr>
                <w:i/>
              </w:rPr>
              <w:t>0</w:t>
            </w:r>
            <w:r>
              <w:rPr>
                <w:i/>
              </w:rPr>
              <w:t>_G</w:t>
            </w:r>
            <w:r w:rsidRPr="004744ED">
              <w:rPr>
                <w:i/>
              </w:rPr>
              <w:t xml:space="preserve"> Asset Risk Charge</w:t>
            </w:r>
            <w:r>
              <w:rPr>
                <w:i/>
              </w:rPr>
              <w:t xml:space="preserve"> (G)</w:t>
            </w:r>
            <w:r>
              <w:t xml:space="preserve"> for a Level 2 insurance group</w:t>
            </w:r>
            <w:r w:rsidRPr="003D4209">
              <w:t xml:space="preserve">. </w:t>
            </w:r>
            <w:r>
              <w:t xml:space="preserve">In addition, a regulated institution </w:t>
            </w:r>
            <w:r w:rsidRPr="003D4209">
              <w:t xml:space="preserve">may use simplifying assumptions as long as those assumptions do not have a material impact on the overall </w:t>
            </w:r>
            <w:r>
              <w:t xml:space="preserve">capital coverage </w:t>
            </w:r>
            <w:r w:rsidRPr="003D4209">
              <w:t>outcome.</w:t>
            </w:r>
            <w:r>
              <w:t xml:space="preserve"> </w:t>
            </w:r>
            <w:r w:rsidRPr="003D4209">
              <w:t>Report an increase in the Asset Risk Charge as a positive amount and a decrease as a negative amount.</w:t>
            </w:r>
          </w:p>
        </w:tc>
      </w:tr>
      <w:tr w:rsidR="00E32301" w:rsidRPr="002E5243" w:rsidTr="000D0D76">
        <w:tc>
          <w:tcPr>
            <w:tcW w:w="1814" w:type="dxa"/>
          </w:tcPr>
          <w:p w:rsidR="00E32301" w:rsidRPr="002E5243" w:rsidRDefault="00E32301" w:rsidP="000D0D76">
            <w:pPr>
              <w:spacing w:before="120" w:after="120"/>
              <w:rPr>
                <w:b/>
              </w:rPr>
            </w:pPr>
            <w:r>
              <w:t>Total impact on Asset Concentration Risk Charge</w:t>
            </w:r>
          </w:p>
        </w:tc>
        <w:tc>
          <w:tcPr>
            <w:tcW w:w="7257" w:type="dxa"/>
          </w:tcPr>
          <w:p w:rsidR="00E32301" w:rsidRDefault="00E32301" w:rsidP="000D0D76">
            <w:pPr>
              <w:spacing w:before="120" w:after="120"/>
              <w:jc w:val="both"/>
            </w:pPr>
            <w:r>
              <w:t xml:space="preserve">Report the change in the </w:t>
            </w:r>
            <w:r w:rsidRPr="00F85138">
              <w:rPr>
                <w:b/>
                <w:i/>
              </w:rPr>
              <w:t>Asset Concentration Risk Charge (ACRC)</w:t>
            </w:r>
            <w:r>
              <w:t xml:space="preserve"> due to the failure of the reinsurer reported in column 1. A regulated institution must consider whether any existing ACRC due to the reinsurer reported in column 1 is decreased due to its failure. A regulated institution must also consider whether there is a change in the ACRC (either an increase in an existing ACRC or a new ACRC) due to a decrease in capital base from the failure of the reinsurer reported in column 1.</w:t>
            </w:r>
            <w:r w:rsidRPr="002E1005">
              <w:t xml:space="preserve"> Report an increase in the </w:t>
            </w:r>
            <w:r>
              <w:t>ACRC</w:t>
            </w:r>
            <w:r w:rsidRPr="002E1005">
              <w:t xml:space="preserve"> as a positive amount and a decrease as a negative amount.</w:t>
            </w:r>
          </w:p>
        </w:tc>
      </w:tr>
      <w:tr w:rsidR="00E32301" w:rsidRPr="002E5243" w:rsidTr="000D0D76">
        <w:tc>
          <w:tcPr>
            <w:tcW w:w="1814" w:type="dxa"/>
          </w:tcPr>
          <w:p w:rsidR="00E32301" w:rsidRPr="002E5243" w:rsidRDefault="00E32301" w:rsidP="000D0D76">
            <w:pPr>
              <w:spacing w:before="120" w:after="120"/>
              <w:rPr>
                <w:b/>
              </w:rPr>
            </w:pPr>
            <w:r>
              <w:t>Total impact on Operational Risk Charge</w:t>
            </w:r>
          </w:p>
        </w:tc>
        <w:tc>
          <w:tcPr>
            <w:tcW w:w="7257" w:type="dxa"/>
          </w:tcPr>
          <w:p w:rsidR="00E32301" w:rsidRDefault="00E32301" w:rsidP="000D0D76">
            <w:pPr>
              <w:spacing w:before="120" w:after="120"/>
              <w:jc w:val="both"/>
            </w:pPr>
            <w:r>
              <w:t xml:space="preserve">Report the increase in the </w:t>
            </w:r>
            <w:r w:rsidRPr="00F85138">
              <w:rPr>
                <w:b/>
                <w:i/>
              </w:rPr>
              <w:t>Operational Risk Charge</w:t>
            </w:r>
            <w:r>
              <w:t xml:space="preserve"> due to the failure of the reinsurer reported in column 1. </w:t>
            </w:r>
            <w:r w:rsidRPr="002E1005">
              <w:t>A</w:t>
            </w:r>
            <w:r>
              <w:t xml:space="preserve"> regulated institution</w:t>
            </w:r>
            <w:r w:rsidRPr="002E1005">
              <w:t xml:space="preserve"> may u</w:t>
            </w:r>
            <w:r>
              <w:t xml:space="preserve">se </w:t>
            </w:r>
            <w:r w:rsidRPr="002E1005">
              <w:t xml:space="preserve">simplifying assumptions as long as those assumptions do not have a material impact on the </w:t>
            </w:r>
            <w:r>
              <w:t>overall capital coverage outcome</w:t>
            </w:r>
            <w:r w:rsidRPr="002E1005">
              <w:t xml:space="preserve">. </w:t>
            </w:r>
            <w:r w:rsidRPr="00F85138">
              <w:t>Amounts reported for this item must be equal to or greater than zero.</w:t>
            </w:r>
          </w:p>
        </w:tc>
      </w:tr>
      <w:tr w:rsidR="00E32301" w:rsidRPr="002E5243" w:rsidTr="000D0D76">
        <w:tc>
          <w:tcPr>
            <w:tcW w:w="1814" w:type="dxa"/>
          </w:tcPr>
          <w:p w:rsidR="00E32301" w:rsidRPr="002E5243" w:rsidRDefault="00E32301" w:rsidP="000D0D76">
            <w:pPr>
              <w:spacing w:before="120" w:after="120"/>
              <w:rPr>
                <w:b/>
              </w:rPr>
            </w:pPr>
            <w:r>
              <w:t>Total impact on prescribed capital amount</w:t>
            </w:r>
          </w:p>
        </w:tc>
        <w:tc>
          <w:tcPr>
            <w:tcW w:w="7257" w:type="dxa"/>
          </w:tcPr>
          <w:p w:rsidR="00E32301" w:rsidRDefault="00E32301" w:rsidP="000D0D76">
            <w:pPr>
              <w:spacing w:before="120" w:after="120"/>
              <w:jc w:val="both"/>
            </w:pPr>
            <w:r>
              <w:t xml:space="preserve">Report the total change in prescribed capital amount due to the failure of the reinsurer reported in column 1. </w:t>
            </w:r>
            <w:r w:rsidRPr="002E1005">
              <w:t xml:space="preserve">The total change in the prescribed capital amount is the change in the each component of the prescribed capital amount reported in columns 8 to 12 after applying the </w:t>
            </w:r>
            <w:r>
              <w:t>a</w:t>
            </w:r>
            <w:r w:rsidRPr="002E1005">
              <w:t xml:space="preserve">ggregation </w:t>
            </w:r>
            <w:r>
              <w:t>b</w:t>
            </w:r>
            <w:r w:rsidRPr="002E1005">
              <w:t xml:space="preserve">enefit in accordance with </w:t>
            </w:r>
            <w:r w:rsidRPr="004744ED">
              <w:rPr>
                <w:i/>
              </w:rPr>
              <w:t>Prudential Standard GPS 110 Capital Adequacy</w:t>
            </w:r>
            <w:r w:rsidRPr="002E1005">
              <w:t>.</w:t>
            </w:r>
            <w:r>
              <w:t xml:space="preserve"> </w:t>
            </w:r>
            <w:r w:rsidRPr="00F85138">
              <w:t xml:space="preserve">Amounts reported for this item must be equal to or less than the sum of columns 8 to 12 due to the increase in the </w:t>
            </w:r>
            <w:r>
              <w:t>a</w:t>
            </w:r>
            <w:r w:rsidRPr="00F85138">
              <w:t xml:space="preserve">ggregation </w:t>
            </w:r>
            <w:r>
              <w:t>b</w:t>
            </w:r>
            <w:r w:rsidRPr="00F85138">
              <w:t>enefit.</w:t>
            </w:r>
          </w:p>
        </w:tc>
      </w:tr>
    </w:tbl>
    <w:p w:rsidR="00E32301" w:rsidRPr="002935B5" w:rsidRDefault="00E32301" w:rsidP="00E32301">
      <w:pPr>
        <w:spacing w:before="360" w:after="120"/>
        <w:jc w:val="both"/>
        <w:rPr>
          <w:rFonts w:ascii="Arial" w:hAnsi="Arial" w:cs="Arial"/>
          <w:b/>
          <w:sz w:val="28"/>
          <w:szCs w:val="28"/>
        </w:rPr>
      </w:pPr>
      <w:r w:rsidRPr="002935B5">
        <w:rPr>
          <w:rFonts w:ascii="Arial" w:hAnsi="Arial" w:cs="Arial"/>
          <w:b/>
          <w:sz w:val="28"/>
          <w:szCs w:val="28"/>
        </w:rPr>
        <w:t>Glossary of additional terms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6"/>
      </w:tblGrid>
      <w:tr w:rsidR="00E32301" w:rsidRPr="002E5243" w:rsidTr="000D0D76">
        <w:tc>
          <w:tcPr>
            <w:tcW w:w="1985" w:type="dxa"/>
            <w:shd w:val="clear" w:color="auto" w:fill="auto"/>
          </w:tcPr>
          <w:p w:rsidR="00E32301" w:rsidRDefault="00E32301" w:rsidP="000D0D76">
            <w:pPr>
              <w:spacing w:before="120" w:after="120"/>
              <w:rPr>
                <w:b/>
                <w:i/>
              </w:rPr>
            </w:pPr>
            <w:r>
              <w:rPr>
                <w:b/>
                <w:i/>
              </w:rPr>
              <w:t>Capital coverage</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rPr>
                <w:rFonts w:eastAsiaTheme="minorHAnsi"/>
              </w:rPr>
              <w:t xml:space="preserve">This is the regulated institution’s capital base, determined under </w:t>
            </w:r>
            <w:r w:rsidRPr="00F85138">
              <w:rPr>
                <w:rFonts w:eastAsiaTheme="minorHAnsi"/>
                <w:i/>
              </w:rPr>
              <w:t>Prudential Standard GPS 112 Capital Adequacy: Measurement of Capital</w:t>
            </w:r>
            <w:r>
              <w:rPr>
                <w:rFonts w:eastAsiaTheme="minorHAnsi"/>
              </w:rPr>
              <w:t xml:space="preserve">, divided by its prescribed capital amount, determined under </w:t>
            </w:r>
            <w:r w:rsidRPr="00F85138">
              <w:rPr>
                <w:rFonts w:eastAsiaTheme="minorHAnsi"/>
                <w:i/>
              </w:rPr>
              <w:t>Prudential Standard GPS 110 Capital Adequacy</w:t>
            </w:r>
            <w:r>
              <w:rPr>
                <w:rFonts w:eastAsiaTheme="minorHAnsi"/>
              </w:rPr>
              <w:t xml:space="preserve">. </w:t>
            </w:r>
          </w:p>
        </w:tc>
      </w:tr>
      <w:tr w:rsidR="00E32301" w:rsidRPr="002E5243" w:rsidTr="000D0D76">
        <w:tc>
          <w:tcPr>
            <w:tcW w:w="1985" w:type="dxa"/>
            <w:shd w:val="clear" w:color="auto" w:fill="auto"/>
          </w:tcPr>
          <w:p w:rsidR="00E32301" w:rsidRDefault="00E32301" w:rsidP="000D0D76">
            <w:pPr>
              <w:spacing w:before="120" w:after="120"/>
              <w:rPr>
                <w:b/>
                <w:i/>
              </w:rPr>
            </w:pPr>
            <w:r>
              <w:rPr>
                <w:b/>
                <w:i/>
              </w:rPr>
              <w:t>Asset concentration risk charge (ACRC)</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rPr>
                <w:rFonts w:eastAsiaTheme="minorHAnsi"/>
              </w:rPr>
              <w:t xml:space="preserve">This is the risk charge determined under </w:t>
            </w:r>
            <w:r w:rsidRPr="00F85138">
              <w:rPr>
                <w:rFonts w:eastAsiaTheme="minorHAnsi"/>
                <w:i/>
              </w:rPr>
              <w:t>Prudential Standard GPS 117 Capital Adequacy: Asset Concentration Risk Charge</w:t>
            </w:r>
            <w:r>
              <w:rPr>
                <w:rFonts w:eastAsiaTheme="minorHAnsi"/>
              </w:rPr>
              <w:t>.</w:t>
            </w:r>
          </w:p>
        </w:tc>
      </w:tr>
      <w:tr w:rsidR="00E32301" w:rsidRPr="002E5243" w:rsidTr="000D0D76">
        <w:tc>
          <w:tcPr>
            <w:tcW w:w="1985" w:type="dxa"/>
            <w:shd w:val="clear" w:color="auto" w:fill="auto"/>
          </w:tcPr>
          <w:p w:rsidR="00E32301" w:rsidRDefault="00E32301" w:rsidP="000D0D76">
            <w:pPr>
              <w:spacing w:before="120" w:after="120"/>
              <w:rPr>
                <w:b/>
                <w:i/>
              </w:rPr>
            </w:pPr>
            <w:r>
              <w:rPr>
                <w:b/>
                <w:i/>
              </w:rPr>
              <w:lastRenderedPageBreak/>
              <w:t>Asset risk charge</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rPr>
                <w:rFonts w:eastAsiaTheme="minorHAnsi"/>
              </w:rPr>
              <w:t xml:space="preserve">This is the risk charge determined under </w:t>
            </w:r>
            <w:r w:rsidRPr="00953931">
              <w:rPr>
                <w:rFonts w:eastAsiaTheme="minorHAnsi"/>
                <w:i/>
              </w:rPr>
              <w:t>Prudential Standard GPS 11</w:t>
            </w:r>
            <w:r>
              <w:rPr>
                <w:rFonts w:eastAsiaTheme="minorHAnsi"/>
                <w:i/>
              </w:rPr>
              <w:t>4</w:t>
            </w:r>
            <w:r w:rsidRPr="00953931">
              <w:rPr>
                <w:rFonts w:eastAsiaTheme="minorHAnsi"/>
                <w:i/>
              </w:rPr>
              <w:t xml:space="preserve"> Capital Adequacy: Asset Risk Charge</w:t>
            </w:r>
            <w:r>
              <w:rPr>
                <w:rFonts w:eastAsiaTheme="minorHAnsi"/>
              </w:rPr>
              <w:t>.</w:t>
            </w:r>
          </w:p>
        </w:tc>
      </w:tr>
      <w:tr w:rsidR="00E32301" w:rsidRPr="002E5243" w:rsidTr="000D0D76">
        <w:tc>
          <w:tcPr>
            <w:tcW w:w="1985" w:type="dxa"/>
            <w:shd w:val="clear" w:color="auto" w:fill="auto"/>
          </w:tcPr>
          <w:p w:rsidR="00E32301" w:rsidRDefault="00E32301" w:rsidP="000D0D76">
            <w:pPr>
              <w:spacing w:before="120" w:after="120"/>
              <w:rPr>
                <w:b/>
                <w:i/>
              </w:rPr>
            </w:pPr>
            <w:r>
              <w:rPr>
                <w:b/>
                <w:i/>
              </w:rPr>
              <w:t>Insurance concentration risk charge (ICRC)</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rPr>
                <w:rFonts w:eastAsiaTheme="minorHAnsi"/>
              </w:rPr>
              <w:t xml:space="preserve">This is the risk charge determined under </w:t>
            </w:r>
            <w:r w:rsidRPr="00953931">
              <w:rPr>
                <w:rFonts w:eastAsiaTheme="minorHAnsi"/>
                <w:i/>
              </w:rPr>
              <w:t>Prudential Standard GPS 11</w:t>
            </w:r>
            <w:r>
              <w:rPr>
                <w:rFonts w:eastAsiaTheme="minorHAnsi"/>
                <w:i/>
              </w:rPr>
              <w:t>6</w:t>
            </w:r>
            <w:r w:rsidRPr="00953931">
              <w:rPr>
                <w:rFonts w:eastAsiaTheme="minorHAnsi"/>
                <w:i/>
              </w:rPr>
              <w:t xml:space="preserve"> Capital Adequacy: </w:t>
            </w:r>
            <w:r>
              <w:rPr>
                <w:rFonts w:eastAsiaTheme="minorHAnsi"/>
                <w:i/>
              </w:rPr>
              <w:t xml:space="preserve">Insurance </w:t>
            </w:r>
            <w:r w:rsidRPr="00953931">
              <w:rPr>
                <w:rFonts w:eastAsiaTheme="minorHAnsi"/>
                <w:i/>
              </w:rPr>
              <w:t>Concentration Risk Charge</w:t>
            </w:r>
            <w:r>
              <w:rPr>
                <w:rFonts w:eastAsiaTheme="minorHAnsi"/>
              </w:rPr>
              <w:t>.</w:t>
            </w:r>
          </w:p>
        </w:tc>
      </w:tr>
      <w:tr w:rsidR="00E32301" w:rsidRPr="002E5243" w:rsidTr="000D0D76">
        <w:tc>
          <w:tcPr>
            <w:tcW w:w="1985" w:type="dxa"/>
            <w:shd w:val="clear" w:color="auto" w:fill="auto"/>
          </w:tcPr>
          <w:p w:rsidR="00E32301" w:rsidRDefault="00E32301" w:rsidP="000D0D76">
            <w:pPr>
              <w:spacing w:before="120" w:after="120"/>
              <w:rPr>
                <w:b/>
                <w:i/>
              </w:rPr>
            </w:pPr>
            <w:r>
              <w:rPr>
                <w:b/>
                <w:i/>
              </w:rPr>
              <w:t>Insurance risk charge</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rPr>
                <w:rFonts w:eastAsiaTheme="minorHAnsi"/>
              </w:rPr>
              <w:t xml:space="preserve">This is the risk charge determined under </w:t>
            </w:r>
            <w:r w:rsidRPr="00953931">
              <w:rPr>
                <w:rFonts w:eastAsiaTheme="minorHAnsi"/>
                <w:i/>
              </w:rPr>
              <w:t>Prudential Standard GPS 11</w:t>
            </w:r>
            <w:r>
              <w:rPr>
                <w:rFonts w:eastAsiaTheme="minorHAnsi"/>
                <w:i/>
              </w:rPr>
              <w:t>5</w:t>
            </w:r>
            <w:r w:rsidRPr="00953931">
              <w:rPr>
                <w:rFonts w:eastAsiaTheme="minorHAnsi"/>
                <w:i/>
              </w:rPr>
              <w:t xml:space="preserve"> Capital Adequacy: </w:t>
            </w:r>
            <w:r>
              <w:rPr>
                <w:rFonts w:eastAsiaTheme="minorHAnsi"/>
                <w:i/>
              </w:rPr>
              <w:t>Insurance</w:t>
            </w:r>
            <w:r w:rsidRPr="00953931">
              <w:rPr>
                <w:rFonts w:eastAsiaTheme="minorHAnsi"/>
                <w:i/>
              </w:rPr>
              <w:t xml:space="preserve"> Risk Charge</w:t>
            </w:r>
            <w:r>
              <w:rPr>
                <w:rFonts w:eastAsiaTheme="minorHAnsi"/>
              </w:rPr>
              <w:t>.</w:t>
            </w:r>
          </w:p>
        </w:tc>
      </w:tr>
      <w:tr w:rsidR="00E32301" w:rsidRPr="002E5243" w:rsidTr="000D0D76">
        <w:tc>
          <w:tcPr>
            <w:tcW w:w="1985" w:type="dxa"/>
            <w:shd w:val="clear" w:color="auto" w:fill="auto"/>
          </w:tcPr>
          <w:p w:rsidR="00E32301" w:rsidRPr="005654B6" w:rsidRDefault="00E32301" w:rsidP="000D0D76">
            <w:pPr>
              <w:spacing w:before="120" w:after="120"/>
              <w:rPr>
                <w:b/>
                <w:i/>
              </w:rPr>
            </w:pPr>
            <w:r>
              <w:rPr>
                <w:b/>
                <w:i/>
              </w:rPr>
              <w:t>OCP surplus/deficit</w:t>
            </w:r>
          </w:p>
        </w:tc>
        <w:tc>
          <w:tcPr>
            <w:tcW w:w="7086" w:type="dxa"/>
            <w:shd w:val="clear" w:color="auto" w:fill="auto"/>
          </w:tcPr>
          <w:p w:rsidR="00E32301" w:rsidRPr="002E5243" w:rsidRDefault="00E32301" w:rsidP="000D0D76">
            <w:pPr>
              <w:autoSpaceDE w:val="0"/>
              <w:autoSpaceDN w:val="0"/>
              <w:adjustRightInd w:val="0"/>
              <w:spacing w:before="120" w:after="120"/>
              <w:jc w:val="both"/>
            </w:pPr>
            <w:r>
              <w:rPr>
                <w:rFonts w:eastAsiaTheme="minorHAnsi"/>
              </w:rPr>
              <w:t xml:space="preserve">This is the net outstanding claims liabilities determined under </w:t>
            </w:r>
            <w:r>
              <w:rPr>
                <w:rFonts w:eastAsiaTheme="minorHAnsi"/>
                <w:i/>
                <w:iCs/>
              </w:rPr>
              <w:t xml:space="preserve">Australian Accounting Standard AASB 1023 General Insurance Contracts </w:t>
            </w:r>
            <w:r>
              <w:rPr>
                <w:rFonts w:eastAsiaTheme="minorHAnsi"/>
              </w:rPr>
              <w:t xml:space="preserve">(AASB 1023) in surplus or deficit to the net outstanding claims liabilities determined under </w:t>
            </w:r>
            <w:r>
              <w:rPr>
                <w:rFonts w:eastAsiaTheme="minorHAnsi"/>
                <w:i/>
              </w:rPr>
              <w:t xml:space="preserve">Prudential Standard GPS 320 Actuarial and Related Matters </w:t>
            </w:r>
            <w:r>
              <w:rPr>
                <w:rFonts w:eastAsiaTheme="minorHAnsi"/>
              </w:rPr>
              <w:t>(GPS 320).</w:t>
            </w:r>
          </w:p>
        </w:tc>
      </w:tr>
      <w:tr w:rsidR="00E32301" w:rsidRPr="002E5243" w:rsidTr="000D0D76">
        <w:tc>
          <w:tcPr>
            <w:tcW w:w="1985" w:type="dxa"/>
            <w:shd w:val="clear" w:color="auto" w:fill="auto"/>
          </w:tcPr>
          <w:p w:rsidR="00E32301" w:rsidRDefault="00E32301" w:rsidP="000D0D76">
            <w:pPr>
              <w:spacing w:before="120" w:after="120"/>
              <w:rPr>
                <w:b/>
                <w:i/>
              </w:rPr>
            </w:pPr>
            <w:r>
              <w:rPr>
                <w:b/>
                <w:i/>
              </w:rPr>
              <w:t>Operational risk charge</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rPr>
                <w:rFonts w:eastAsiaTheme="minorHAnsi"/>
              </w:rPr>
              <w:t xml:space="preserve">This is the risk charge determined under </w:t>
            </w:r>
            <w:r w:rsidRPr="00953931">
              <w:rPr>
                <w:rFonts w:eastAsiaTheme="minorHAnsi"/>
                <w:i/>
              </w:rPr>
              <w:t>Prudential Standard GPS 11</w:t>
            </w:r>
            <w:r>
              <w:rPr>
                <w:rFonts w:eastAsiaTheme="minorHAnsi"/>
                <w:i/>
              </w:rPr>
              <w:t>8</w:t>
            </w:r>
            <w:r w:rsidRPr="00953931">
              <w:rPr>
                <w:rFonts w:eastAsiaTheme="minorHAnsi"/>
                <w:i/>
              </w:rPr>
              <w:t xml:space="preserve"> Capital Adequacy: </w:t>
            </w:r>
            <w:r>
              <w:rPr>
                <w:rFonts w:eastAsiaTheme="minorHAnsi"/>
                <w:i/>
              </w:rPr>
              <w:t>Operational</w:t>
            </w:r>
            <w:r w:rsidRPr="00953931">
              <w:rPr>
                <w:rFonts w:eastAsiaTheme="minorHAnsi"/>
                <w:i/>
              </w:rPr>
              <w:t xml:space="preserve"> Risk Charge</w:t>
            </w:r>
            <w:r>
              <w:rPr>
                <w:rFonts w:eastAsiaTheme="minorHAnsi"/>
              </w:rPr>
              <w:t>.</w:t>
            </w:r>
          </w:p>
        </w:tc>
      </w:tr>
      <w:tr w:rsidR="00E32301" w:rsidRPr="002E5243" w:rsidTr="000D0D76">
        <w:tc>
          <w:tcPr>
            <w:tcW w:w="1985" w:type="dxa"/>
            <w:shd w:val="clear" w:color="auto" w:fill="auto"/>
          </w:tcPr>
          <w:p w:rsidR="00E32301" w:rsidRDefault="00E32301" w:rsidP="000D0D76">
            <w:pPr>
              <w:spacing w:before="120" w:after="120"/>
              <w:rPr>
                <w:b/>
                <w:i/>
              </w:rPr>
            </w:pPr>
            <w:r>
              <w:rPr>
                <w:b/>
                <w:i/>
              </w:rPr>
              <w:t>PL surplus/deficit</w:t>
            </w:r>
          </w:p>
        </w:tc>
        <w:tc>
          <w:tcPr>
            <w:tcW w:w="7086" w:type="dxa"/>
            <w:shd w:val="clear" w:color="auto" w:fill="auto"/>
          </w:tcPr>
          <w:p w:rsidR="00E32301" w:rsidRDefault="00E32301" w:rsidP="000D0D76">
            <w:pPr>
              <w:autoSpaceDE w:val="0"/>
              <w:autoSpaceDN w:val="0"/>
              <w:adjustRightInd w:val="0"/>
              <w:spacing w:before="120" w:after="120"/>
              <w:jc w:val="both"/>
            </w:pPr>
            <w:r>
              <w:rPr>
                <w:rFonts w:eastAsiaTheme="minorHAnsi"/>
              </w:rPr>
              <w:t>This is the net premiums liabilities determined under AASB 1023 in surplus or deficit to the net premiums liabilities determined under GPS 320.</w:t>
            </w:r>
          </w:p>
        </w:tc>
      </w:tr>
      <w:tr w:rsidR="00E32301" w:rsidRPr="002E5243" w:rsidTr="000D0D76">
        <w:tc>
          <w:tcPr>
            <w:tcW w:w="1985" w:type="dxa"/>
            <w:shd w:val="clear" w:color="auto" w:fill="auto"/>
          </w:tcPr>
          <w:p w:rsidR="00E32301" w:rsidRDefault="00E32301" w:rsidP="000D0D76">
            <w:pPr>
              <w:spacing w:before="120" w:after="120"/>
              <w:rPr>
                <w:b/>
                <w:i/>
              </w:rPr>
            </w:pPr>
            <w:r>
              <w:rPr>
                <w:b/>
                <w:i/>
              </w:rPr>
              <w:t>Reinsurer identifier list</w:t>
            </w:r>
          </w:p>
        </w:tc>
        <w:tc>
          <w:tcPr>
            <w:tcW w:w="7086" w:type="dxa"/>
            <w:shd w:val="clear" w:color="auto" w:fill="auto"/>
          </w:tcPr>
          <w:p w:rsidR="00E32301" w:rsidRDefault="00E32301" w:rsidP="000D0D76">
            <w:pPr>
              <w:autoSpaceDE w:val="0"/>
              <w:autoSpaceDN w:val="0"/>
              <w:adjustRightInd w:val="0"/>
              <w:spacing w:before="120" w:after="120"/>
              <w:jc w:val="both"/>
              <w:rPr>
                <w:rFonts w:eastAsiaTheme="minorHAnsi"/>
              </w:rPr>
            </w:pPr>
            <w:r>
              <w:t>This is a list of reinsurers which includes the name of the counterparty, counterparty domicile, counterparty group name and group domicile that must be used for reporting on GRF 460.0 and GRF 460.0_G. The list is located on APRA’s website.</w:t>
            </w:r>
          </w:p>
        </w:tc>
      </w:tr>
    </w:tbl>
    <w:p w:rsidR="00E32301" w:rsidRDefault="00E32301" w:rsidP="00E32301"/>
    <w:p w:rsidR="00E32301" w:rsidRPr="00502F8D" w:rsidRDefault="00E32301" w:rsidP="00E32301">
      <w:pPr>
        <w:widowControl w:val="0"/>
        <w:spacing w:before="240" w:after="240"/>
        <w:jc w:val="both"/>
        <w:rPr>
          <w:rFonts w:ascii="Arial" w:hAnsi="Arial" w:cs="Arial"/>
          <w:b/>
          <w:color w:val="000000"/>
          <w:sz w:val="32"/>
          <w:szCs w:val="32"/>
        </w:rPr>
      </w:pPr>
      <w:r w:rsidRPr="00502F8D">
        <w:rPr>
          <w:rFonts w:ascii="Arial" w:hAnsi="Arial" w:cs="Arial"/>
          <w:b/>
          <w:color w:val="000000"/>
          <w:sz w:val="32"/>
          <w:szCs w:val="32"/>
        </w:rPr>
        <w:t>Interpretation</w:t>
      </w:r>
    </w:p>
    <w:p w:rsidR="00E32301" w:rsidRDefault="00E32301" w:rsidP="00E32301">
      <w:pPr>
        <w:widowControl w:val="0"/>
        <w:spacing w:after="240"/>
        <w:jc w:val="both"/>
        <w:rPr>
          <w:color w:val="000000"/>
        </w:rPr>
      </w:pPr>
      <w:r w:rsidRPr="00502F8D">
        <w:rPr>
          <w:color w:val="000000"/>
        </w:rPr>
        <w:t xml:space="preserve">For the </w:t>
      </w:r>
      <w:r w:rsidRPr="00706CFC">
        <w:rPr>
          <w:color w:val="000000"/>
        </w:rPr>
        <w:t>purposes of these instructions:</w:t>
      </w:r>
    </w:p>
    <w:p w:rsidR="00E32301" w:rsidRDefault="00E32301" w:rsidP="00E32301">
      <w:pPr>
        <w:widowControl w:val="0"/>
        <w:numPr>
          <w:ilvl w:val="0"/>
          <w:numId w:val="31"/>
        </w:numPr>
        <w:spacing w:after="240"/>
        <w:ind w:left="567" w:hanging="567"/>
        <w:jc w:val="both"/>
        <w:rPr>
          <w:b/>
          <w:i/>
          <w:color w:val="000000"/>
        </w:rPr>
      </w:pPr>
      <w:r>
        <w:rPr>
          <w:b/>
          <w:i/>
          <w:color w:val="000000"/>
        </w:rPr>
        <w:t>Appointed Auditor</w:t>
      </w:r>
      <w:r>
        <w:rPr>
          <w:color w:val="000000"/>
        </w:rPr>
        <w:t xml:space="preserve"> is defined in GPS 001;</w:t>
      </w:r>
    </w:p>
    <w:p w:rsidR="00E32301" w:rsidRPr="00F85138" w:rsidRDefault="00E32301" w:rsidP="00E32301">
      <w:pPr>
        <w:widowControl w:val="0"/>
        <w:numPr>
          <w:ilvl w:val="0"/>
          <w:numId w:val="31"/>
        </w:numPr>
        <w:spacing w:after="240"/>
        <w:ind w:left="567" w:hanging="567"/>
        <w:jc w:val="both"/>
        <w:rPr>
          <w:b/>
          <w:i/>
          <w:color w:val="000000"/>
        </w:rPr>
      </w:pPr>
      <w:r w:rsidRPr="007C01E4">
        <w:rPr>
          <w:b/>
          <w:i/>
          <w:color w:val="000000"/>
        </w:rPr>
        <w:t>general insurer</w:t>
      </w:r>
      <w:r>
        <w:rPr>
          <w:color w:val="000000"/>
        </w:rPr>
        <w:t xml:space="preserve"> means a general insurer authorised under the </w:t>
      </w:r>
      <w:r w:rsidRPr="00196C2B">
        <w:rPr>
          <w:i/>
          <w:color w:val="000000"/>
        </w:rPr>
        <w:t>Insurance Act</w:t>
      </w:r>
      <w:r>
        <w:rPr>
          <w:i/>
          <w:color w:val="000000"/>
        </w:rPr>
        <w:t xml:space="preserve"> 1973</w:t>
      </w:r>
      <w:r>
        <w:rPr>
          <w:color w:val="000000"/>
        </w:rPr>
        <w:t>;</w:t>
      </w:r>
    </w:p>
    <w:p w:rsidR="00E32301" w:rsidRPr="007C01E4" w:rsidRDefault="00E32301" w:rsidP="00E32301">
      <w:pPr>
        <w:widowControl w:val="0"/>
        <w:numPr>
          <w:ilvl w:val="0"/>
          <w:numId w:val="31"/>
        </w:numPr>
        <w:spacing w:after="240"/>
        <w:ind w:left="567" w:hanging="567"/>
        <w:jc w:val="both"/>
        <w:rPr>
          <w:b/>
          <w:i/>
          <w:color w:val="000000"/>
        </w:rPr>
      </w:pPr>
      <w:r>
        <w:rPr>
          <w:b/>
          <w:i/>
          <w:color w:val="000000"/>
        </w:rPr>
        <w:t>Group Auditor</w:t>
      </w:r>
      <w:r>
        <w:rPr>
          <w:color w:val="000000"/>
        </w:rPr>
        <w:t xml:space="preserve"> is defined in GPS 001;</w:t>
      </w:r>
    </w:p>
    <w:p w:rsidR="00E32301" w:rsidRPr="00077581" w:rsidRDefault="00E32301" w:rsidP="00E32301">
      <w:pPr>
        <w:widowControl w:val="0"/>
        <w:numPr>
          <w:ilvl w:val="0"/>
          <w:numId w:val="31"/>
        </w:numPr>
        <w:spacing w:after="240"/>
        <w:ind w:left="567" w:hanging="567"/>
        <w:jc w:val="both"/>
        <w:rPr>
          <w:i/>
          <w:color w:val="000000"/>
        </w:rPr>
      </w:pPr>
      <w:r>
        <w:rPr>
          <w:b/>
          <w:i/>
          <w:color w:val="000000"/>
        </w:rPr>
        <w:t>regulated institution</w:t>
      </w:r>
      <w:r>
        <w:rPr>
          <w:color w:val="000000"/>
        </w:rPr>
        <w:t xml:space="preserve"> is defined in GPS 001 as a collective term for general insurers and Level 2 insurance groups; and</w:t>
      </w:r>
    </w:p>
    <w:p w:rsidR="00E32301" w:rsidRPr="00852D83" w:rsidRDefault="00E32301" w:rsidP="00E32301">
      <w:pPr>
        <w:widowControl w:val="0"/>
        <w:numPr>
          <w:ilvl w:val="0"/>
          <w:numId w:val="31"/>
        </w:numPr>
        <w:spacing w:after="240"/>
        <w:ind w:left="567" w:hanging="567"/>
        <w:jc w:val="both"/>
        <w:rPr>
          <w:color w:val="000000"/>
        </w:rPr>
      </w:pPr>
      <w:r w:rsidRPr="00852D83">
        <w:rPr>
          <w:b/>
          <w:i/>
          <w:color w:val="000000"/>
        </w:rPr>
        <w:t>Level 2 insurance group</w:t>
      </w:r>
      <w:r w:rsidRPr="00852D83">
        <w:rPr>
          <w:color w:val="000000"/>
        </w:rPr>
        <w:t xml:space="preserve"> </w:t>
      </w:r>
      <w:r>
        <w:rPr>
          <w:color w:val="000000"/>
        </w:rPr>
        <w:t>is defined in Attachment D of GPS 001</w:t>
      </w:r>
      <w:r w:rsidRPr="00852D83">
        <w:t>.</w:t>
      </w:r>
    </w:p>
    <w:p w:rsidR="00E32301" w:rsidRDefault="00E32301" w:rsidP="00E32301">
      <w:pPr>
        <w:spacing w:after="120" w:line="288" w:lineRule="auto"/>
        <w:rPr>
          <w:color w:val="000000"/>
        </w:rPr>
      </w:pPr>
    </w:p>
    <w:p w:rsidR="00E32301" w:rsidRDefault="00E32301" w:rsidP="00E32301">
      <w:pPr>
        <w:widowControl w:val="0"/>
        <w:spacing w:after="240"/>
        <w:jc w:val="both"/>
        <w:rPr>
          <w:color w:val="000000"/>
        </w:rPr>
      </w:pPr>
    </w:p>
    <w:p w:rsidR="00E32301" w:rsidRDefault="00E32301" w:rsidP="00E32301">
      <w:pPr>
        <w:spacing w:after="120" w:line="288" w:lineRule="auto"/>
        <w:rPr>
          <w:rFonts w:ascii="Arial" w:hAnsi="Arial" w:cs="Arial"/>
          <w:b/>
          <w:sz w:val="32"/>
          <w:szCs w:val="32"/>
        </w:rPr>
        <w:sectPr w:rsidR="00E32301" w:rsidSect="000D0D76">
          <w:type w:val="continuous"/>
          <w:pgSz w:w="11906" w:h="16838" w:code="9"/>
          <w:pgMar w:top="1440" w:right="1440" w:bottom="1440" w:left="1440" w:header="567" w:footer="567" w:gutter="0"/>
          <w:cols w:space="708"/>
          <w:docGrid w:linePitch="360"/>
        </w:sectPr>
      </w:pPr>
    </w:p>
    <w:p w:rsidR="00E32301" w:rsidRDefault="00E32301" w:rsidP="00E32301">
      <w:pPr>
        <w:spacing w:before="240" w:after="240"/>
        <w:jc w:val="both"/>
        <w:rPr>
          <w:rFonts w:ascii="Arial" w:hAnsi="Arial" w:cs="Arial"/>
          <w:b/>
          <w:sz w:val="32"/>
          <w:szCs w:val="32"/>
        </w:rPr>
      </w:pPr>
    </w:p>
    <w:p w:rsidR="00E32301" w:rsidRDefault="00E32301" w:rsidP="00E32301">
      <w:pPr>
        <w:spacing w:before="240" w:after="240"/>
        <w:jc w:val="both"/>
        <w:rPr>
          <w:rFonts w:ascii="Arial" w:hAnsi="Arial" w:cs="Arial"/>
          <w:b/>
          <w:sz w:val="32"/>
          <w:szCs w:val="32"/>
        </w:rPr>
      </w:pPr>
    </w:p>
    <w:p w:rsidR="00E32301" w:rsidRDefault="00E32301" w:rsidP="00E32301">
      <w:pPr>
        <w:spacing w:before="240" w:after="240"/>
        <w:jc w:val="both"/>
        <w:rPr>
          <w:rFonts w:ascii="Arial" w:hAnsi="Arial" w:cs="Arial"/>
          <w:b/>
          <w:sz w:val="32"/>
          <w:szCs w:val="32"/>
        </w:rPr>
      </w:pPr>
      <w:r>
        <w:rPr>
          <w:rFonts w:ascii="Arial" w:hAnsi="Arial" w:cs="Arial"/>
          <w:b/>
          <w:sz w:val="32"/>
          <w:szCs w:val="32"/>
        </w:rPr>
        <w:lastRenderedPageBreak/>
        <w:t>Appendix 1: Country list</w:t>
      </w:r>
    </w:p>
    <w:p w:rsidR="00E32301" w:rsidRDefault="00E32301" w:rsidP="00E32301">
      <w:pPr>
        <w:spacing w:after="240"/>
        <w:jc w:val="both"/>
        <w:sectPr w:rsidR="00E32301" w:rsidSect="000D0D76">
          <w:type w:val="continuous"/>
          <w:pgSz w:w="11906" w:h="16838" w:code="9"/>
          <w:pgMar w:top="1440" w:right="1440" w:bottom="1440" w:left="1440" w:header="567" w:footer="567" w:gutter="0"/>
          <w:cols w:num="2" w:space="708"/>
          <w:titlePg/>
          <w:docGrid w:linePitch="360"/>
        </w:sectPr>
      </w:pPr>
    </w:p>
    <w:p w:rsidR="00E32301" w:rsidRDefault="00E32301" w:rsidP="00E32301">
      <w:pPr>
        <w:spacing w:after="240"/>
        <w:jc w:val="both"/>
      </w:pPr>
      <w:r>
        <w:lastRenderedPageBreak/>
        <w:t>The following country list must be used when reporting any values for columns 8 and 9.</w:t>
      </w:r>
    </w:p>
    <w:p w:rsidR="00E32301" w:rsidRDefault="00E32301" w:rsidP="00E32301">
      <w:pPr>
        <w:spacing w:after="120"/>
        <w:jc w:val="both"/>
      </w:pPr>
      <w:r>
        <w:t>If the country cannot be identified, report the relevant ‘residual’ region listed in the table (for example, US Pacific Islands). If the residual region cannot be identified, report ‘unallocated’.</w:t>
      </w:r>
    </w:p>
    <w:p w:rsidR="00E32301" w:rsidRDefault="00E32301" w:rsidP="00E32301">
      <w:pPr>
        <w:jc w:val="both"/>
        <w:rPr>
          <w:b/>
          <w:bCs/>
          <w:sz w:val="20"/>
          <w:szCs w:val="20"/>
        </w:rPr>
        <w:sectPr w:rsidR="00E32301" w:rsidSect="000D0D76">
          <w:type w:val="continuous"/>
          <w:pgSz w:w="11906" w:h="16838" w:code="9"/>
          <w:pgMar w:top="1440" w:right="1440" w:bottom="1440" w:left="1440" w:header="567" w:footer="567" w:gutter="0"/>
          <w:cols w:space="708"/>
          <w:titlePg/>
          <w:docGrid w:linePitch="360"/>
        </w:sect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tblGrid>
      <w:tr w:rsidR="00E32301" w:rsidRPr="00B932E6" w:rsidTr="000D0D76">
        <w:trPr>
          <w:trHeight w:val="90"/>
          <w:tblHeader/>
        </w:trPr>
        <w:tc>
          <w:tcPr>
            <w:tcW w:w="1951" w:type="dxa"/>
          </w:tcPr>
          <w:p w:rsidR="00E32301" w:rsidRPr="00B932E6" w:rsidRDefault="00E32301" w:rsidP="000D0D76">
            <w:pPr>
              <w:jc w:val="both"/>
              <w:rPr>
                <w:sz w:val="20"/>
                <w:szCs w:val="20"/>
              </w:rPr>
            </w:pPr>
            <w:r w:rsidRPr="00B932E6">
              <w:rPr>
                <w:b/>
                <w:bCs/>
                <w:sz w:val="20"/>
                <w:szCs w:val="20"/>
              </w:rPr>
              <w:lastRenderedPageBreak/>
              <w:t>Country/Grouping</w:t>
            </w:r>
          </w:p>
        </w:tc>
        <w:tc>
          <w:tcPr>
            <w:tcW w:w="2410" w:type="dxa"/>
          </w:tcPr>
          <w:p w:rsidR="00E32301" w:rsidRPr="00B932E6" w:rsidRDefault="00E32301" w:rsidP="000D0D76">
            <w:pPr>
              <w:jc w:val="both"/>
              <w:rPr>
                <w:sz w:val="20"/>
                <w:szCs w:val="20"/>
              </w:rPr>
            </w:pPr>
            <w:r w:rsidRPr="00B932E6">
              <w:rPr>
                <w:b/>
                <w:bCs/>
                <w:sz w:val="20"/>
                <w:szCs w:val="20"/>
              </w:rPr>
              <w:t xml:space="preserve">Code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Afghanistan </w:t>
            </w:r>
          </w:p>
        </w:tc>
        <w:tc>
          <w:tcPr>
            <w:tcW w:w="2410" w:type="dxa"/>
          </w:tcPr>
          <w:p w:rsidR="00E32301" w:rsidRPr="00B932E6" w:rsidRDefault="00E32301" w:rsidP="000D0D76">
            <w:pPr>
              <w:jc w:val="both"/>
              <w:rPr>
                <w:sz w:val="20"/>
                <w:szCs w:val="20"/>
              </w:rPr>
            </w:pPr>
            <w:r w:rsidRPr="00B932E6">
              <w:rPr>
                <w:sz w:val="20"/>
                <w:szCs w:val="20"/>
              </w:rPr>
              <w:t xml:space="preserve">AF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Albania </w:t>
            </w:r>
          </w:p>
        </w:tc>
        <w:tc>
          <w:tcPr>
            <w:tcW w:w="2410" w:type="dxa"/>
          </w:tcPr>
          <w:p w:rsidR="00E32301" w:rsidRPr="00B932E6" w:rsidRDefault="00E32301" w:rsidP="000D0D76">
            <w:pPr>
              <w:jc w:val="both"/>
              <w:rPr>
                <w:sz w:val="20"/>
                <w:szCs w:val="20"/>
              </w:rPr>
            </w:pPr>
            <w:r w:rsidRPr="00B932E6">
              <w:rPr>
                <w:sz w:val="20"/>
                <w:szCs w:val="20"/>
              </w:rPr>
              <w:t xml:space="preserve">AL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Algeria </w:t>
            </w:r>
          </w:p>
        </w:tc>
        <w:tc>
          <w:tcPr>
            <w:tcW w:w="2410" w:type="dxa"/>
          </w:tcPr>
          <w:p w:rsidR="00E32301" w:rsidRPr="00B932E6" w:rsidRDefault="00E32301" w:rsidP="000D0D76">
            <w:pPr>
              <w:jc w:val="both"/>
              <w:rPr>
                <w:sz w:val="20"/>
                <w:szCs w:val="20"/>
              </w:rPr>
            </w:pPr>
            <w:r w:rsidRPr="00B932E6">
              <w:rPr>
                <w:sz w:val="20"/>
                <w:szCs w:val="20"/>
              </w:rPr>
              <w:t xml:space="preserve">DZ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Andorra </w:t>
            </w:r>
          </w:p>
        </w:tc>
        <w:tc>
          <w:tcPr>
            <w:tcW w:w="2410" w:type="dxa"/>
          </w:tcPr>
          <w:p w:rsidR="00E32301" w:rsidRPr="00B932E6" w:rsidRDefault="00E32301" w:rsidP="000D0D76">
            <w:pPr>
              <w:jc w:val="both"/>
              <w:rPr>
                <w:sz w:val="20"/>
                <w:szCs w:val="20"/>
              </w:rPr>
            </w:pPr>
            <w:r w:rsidRPr="00B932E6">
              <w:rPr>
                <w:sz w:val="20"/>
                <w:szCs w:val="20"/>
              </w:rPr>
              <w:t xml:space="preserve">AD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Angola </w:t>
            </w:r>
          </w:p>
        </w:tc>
        <w:tc>
          <w:tcPr>
            <w:tcW w:w="2410" w:type="dxa"/>
          </w:tcPr>
          <w:p w:rsidR="00E32301" w:rsidRPr="00B932E6" w:rsidRDefault="00E32301" w:rsidP="000D0D76">
            <w:pPr>
              <w:jc w:val="both"/>
              <w:rPr>
                <w:sz w:val="20"/>
                <w:szCs w:val="20"/>
              </w:rPr>
            </w:pPr>
            <w:r w:rsidRPr="00B932E6">
              <w:rPr>
                <w:sz w:val="20"/>
                <w:szCs w:val="20"/>
              </w:rPr>
              <w:t xml:space="preserve">AO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Argentina </w:t>
            </w:r>
          </w:p>
        </w:tc>
        <w:tc>
          <w:tcPr>
            <w:tcW w:w="2410" w:type="dxa"/>
          </w:tcPr>
          <w:p w:rsidR="00E32301" w:rsidRPr="00B932E6" w:rsidRDefault="00E32301" w:rsidP="000D0D76">
            <w:pPr>
              <w:jc w:val="both"/>
              <w:rPr>
                <w:sz w:val="20"/>
                <w:szCs w:val="20"/>
              </w:rPr>
            </w:pPr>
            <w:r w:rsidRPr="00B932E6">
              <w:rPr>
                <w:sz w:val="20"/>
                <w:szCs w:val="20"/>
              </w:rPr>
              <w:t xml:space="preserve">AR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Armenia </w:t>
            </w:r>
          </w:p>
        </w:tc>
        <w:tc>
          <w:tcPr>
            <w:tcW w:w="2410" w:type="dxa"/>
          </w:tcPr>
          <w:p w:rsidR="00E32301" w:rsidRPr="00B932E6" w:rsidRDefault="00E32301" w:rsidP="000D0D76">
            <w:pPr>
              <w:jc w:val="both"/>
              <w:rPr>
                <w:sz w:val="20"/>
                <w:szCs w:val="20"/>
              </w:rPr>
            </w:pPr>
            <w:r w:rsidRPr="00B932E6">
              <w:rPr>
                <w:sz w:val="20"/>
                <w:szCs w:val="20"/>
              </w:rPr>
              <w:t xml:space="preserve">AM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Aruba </w:t>
            </w:r>
          </w:p>
        </w:tc>
        <w:tc>
          <w:tcPr>
            <w:tcW w:w="2410" w:type="dxa"/>
          </w:tcPr>
          <w:p w:rsidR="00E32301" w:rsidRPr="00B932E6" w:rsidRDefault="00E32301" w:rsidP="000D0D76">
            <w:pPr>
              <w:jc w:val="both"/>
              <w:rPr>
                <w:sz w:val="20"/>
                <w:szCs w:val="20"/>
              </w:rPr>
            </w:pPr>
            <w:r w:rsidRPr="00B932E6">
              <w:rPr>
                <w:sz w:val="20"/>
                <w:szCs w:val="20"/>
              </w:rPr>
              <w:t xml:space="preserve">AW </w:t>
            </w:r>
          </w:p>
        </w:tc>
      </w:tr>
      <w:tr w:rsidR="00E32301" w:rsidRPr="00B932E6" w:rsidTr="000D0D76">
        <w:trPr>
          <w:trHeight w:val="434"/>
        </w:trPr>
        <w:tc>
          <w:tcPr>
            <w:tcW w:w="1951" w:type="dxa"/>
          </w:tcPr>
          <w:p w:rsidR="00E32301" w:rsidRPr="00B932E6" w:rsidRDefault="00E32301" w:rsidP="000D0D76">
            <w:pPr>
              <w:jc w:val="both"/>
              <w:rPr>
                <w:sz w:val="20"/>
                <w:szCs w:val="20"/>
              </w:rPr>
            </w:pPr>
            <w:r w:rsidRPr="00B932E6">
              <w:rPr>
                <w:sz w:val="20"/>
                <w:szCs w:val="20"/>
              </w:rPr>
              <w:t xml:space="preserve">Australia </w:t>
            </w:r>
          </w:p>
        </w:tc>
        <w:tc>
          <w:tcPr>
            <w:tcW w:w="2410" w:type="dxa"/>
          </w:tcPr>
          <w:p w:rsidR="00E32301" w:rsidRPr="00B932E6" w:rsidRDefault="00E32301" w:rsidP="000D0D76">
            <w:pPr>
              <w:jc w:val="both"/>
              <w:rPr>
                <w:sz w:val="20"/>
                <w:szCs w:val="20"/>
              </w:rPr>
            </w:pPr>
            <w:r w:rsidRPr="00B932E6">
              <w:rPr>
                <w:sz w:val="20"/>
                <w:szCs w:val="20"/>
              </w:rPr>
              <w:t xml:space="preserve">AU includes Christmas Islands, Cocos Islands, Norfolk Islands, Heard and McDonald Islands, Territory of Ashmore and Cartier Islands and Territory of Coral Sea Islands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Austria </w:t>
            </w:r>
          </w:p>
        </w:tc>
        <w:tc>
          <w:tcPr>
            <w:tcW w:w="2410" w:type="dxa"/>
          </w:tcPr>
          <w:p w:rsidR="00E32301" w:rsidRPr="00B932E6" w:rsidRDefault="00E32301" w:rsidP="000D0D76">
            <w:pPr>
              <w:jc w:val="both"/>
              <w:rPr>
                <w:sz w:val="20"/>
                <w:szCs w:val="20"/>
              </w:rPr>
            </w:pPr>
            <w:r w:rsidRPr="00B932E6">
              <w:rPr>
                <w:sz w:val="20"/>
                <w:szCs w:val="20"/>
              </w:rPr>
              <w:t xml:space="preserve">AT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Azerbaijan </w:t>
            </w:r>
          </w:p>
        </w:tc>
        <w:tc>
          <w:tcPr>
            <w:tcW w:w="2410" w:type="dxa"/>
          </w:tcPr>
          <w:p w:rsidR="00E32301" w:rsidRPr="00B932E6" w:rsidRDefault="00E32301" w:rsidP="000D0D76">
            <w:pPr>
              <w:jc w:val="both"/>
              <w:rPr>
                <w:sz w:val="20"/>
                <w:szCs w:val="20"/>
              </w:rPr>
            </w:pPr>
            <w:r w:rsidRPr="00B932E6">
              <w:rPr>
                <w:sz w:val="20"/>
                <w:szCs w:val="20"/>
              </w:rPr>
              <w:t xml:space="preserve">AZ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Bahamas </w:t>
            </w:r>
          </w:p>
        </w:tc>
        <w:tc>
          <w:tcPr>
            <w:tcW w:w="2410" w:type="dxa"/>
          </w:tcPr>
          <w:p w:rsidR="00E32301" w:rsidRPr="00B932E6" w:rsidRDefault="00E32301" w:rsidP="000D0D76">
            <w:pPr>
              <w:jc w:val="both"/>
              <w:rPr>
                <w:sz w:val="20"/>
                <w:szCs w:val="20"/>
              </w:rPr>
            </w:pPr>
            <w:r w:rsidRPr="00B932E6">
              <w:rPr>
                <w:sz w:val="20"/>
                <w:szCs w:val="20"/>
              </w:rPr>
              <w:t xml:space="preserve">BS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Bahrain </w:t>
            </w:r>
          </w:p>
        </w:tc>
        <w:tc>
          <w:tcPr>
            <w:tcW w:w="2410" w:type="dxa"/>
          </w:tcPr>
          <w:p w:rsidR="00E32301" w:rsidRPr="00B932E6" w:rsidRDefault="00E32301" w:rsidP="000D0D76">
            <w:pPr>
              <w:jc w:val="both"/>
              <w:rPr>
                <w:sz w:val="20"/>
                <w:szCs w:val="20"/>
              </w:rPr>
            </w:pPr>
            <w:r w:rsidRPr="00B932E6">
              <w:rPr>
                <w:sz w:val="20"/>
                <w:szCs w:val="20"/>
              </w:rPr>
              <w:t xml:space="preserve">BH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Bangladesh </w:t>
            </w:r>
          </w:p>
        </w:tc>
        <w:tc>
          <w:tcPr>
            <w:tcW w:w="2410" w:type="dxa"/>
          </w:tcPr>
          <w:p w:rsidR="00E32301" w:rsidRPr="00B932E6" w:rsidRDefault="00E32301" w:rsidP="000D0D76">
            <w:pPr>
              <w:jc w:val="both"/>
              <w:rPr>
                <w:sz w:val="20"/>
                <w:szCs w:val="20"/>
              </w:rPr>
            </w:pPr>
            <w:r w:rsidRPr="00B932E6">
              <w:rPr>
                <w:sz w:val="20"/>
                <w:szCs w:val="20"/>
              </w:rPr>
              <w:t xml:space="preserve">BD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Barbados </w:t>
            </w:r>
          </w:p>
        </w:tc>
        <w:tc>
          <w:tcPr>
            <w:tcW w:w="2410" w:type="dxa"/>
          </w:tcPr>
          <w:p w:rsidR="00E32301" w:rsidRPr="00B932E6" w:rsidRDefault="00E32301" w:rsidP="000D0D76">
            <w:pPr>
              <w:jc w:val="both"/>
              <w:rPr>
                <w:sz w:val="20"/>
                <w:szCs w:val="20"/>
              </w:rPr>
            </w:pPr>
            <w:r w:rsidRPr="00B932E6">
              <w:rPr>
                <w:sz w:val="20"/>
                <w:szCs w:val="20"/>
              </w:rPr>
              <w:t xml:space="preserve">BB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Belarus </w:t>
            </w:r>
          </w:p>
        </w:tc>
        <w:tc>
          <w:tcPr>
            <w:tcW w:w="2410" w:type="dxa"/>
          </w:tcPr>
          <w:p w:rsidR="00E32301" w:rsidRPr="00B932E6" w:rsidRDefault="00E32301" w:rsidP="000D0D76">
            <w:pPr>
              <w:jc w:val="both"/>
              <w:rPr>
                <w:sz w:val="20"/>
                <w:szCs w:val="20"/>
              </w:rPr>
            </w:pPr>
            <w:r w:rsidRPr="00B932E6">
              <w:rPr>
                <w:sz w:val="20"/>
                <w:szCs w:val="20"/>
              </w:rPr>
              <w:t xml:space="preserve">BY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Belgium </w:t>
            </w:r>
          </w:p>
        </w:tc>
        <w:tc>
          <w:tcPr>
            <w:tcW w:w="2410" w:type="dxa"/>
          </w:tcPr>
          <w:p w:rsidR="00E32301" w:rsidRPr="00B932E6" w:rsidRDefault="00E32301" w:rsidP="000D0D76">
            <w:pPr>
              <w:jc w:val="both"/>
              <w:rPr>
                <w:sz w:val="20"/>
                <w:szCs w:val="20"/>
              </w:rPr>
            </w:pPr>
            <w:r w:rsidRPr="00B932E6">
              <w:rPr>
                <w:sz w:val="20"/>
                <w:szCs w:val="20"/>
              </w:rPr>
              <w:t xml:space="preserve">BE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Belize </w:t>
            </w:r>
          </w:p>
        </w:tc>
        <w:tc>
          <w:tcPr>
            <w:tcW w:w="2410" w:type="dxa"/>
          </w:tcPr>
          <w:p w:rsidR="00E32301" w:rsidRPr="00B932E6" w:rsidRDefault="00E32301" w:rsidP="000D0D76">
            <w:pPr>
              <w:jc w:val="both"/>
              <w:rPr>
                <w:sz w:val="20"/>
                <w:szCs w:val="20"/>
              </w:rPr>
            </w:pPr>
            <w:r w:rsidRPr="00B932E6">
              <w:rPr>
                <w:sz w:val="20"/>
                <w:szCs w:val="20"/>
              </w:rPr>
              <w:t xml:space="preserve">BZ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Benin </w:t>
            </w:r>
          </w:p>
        </w:tc>
        <w:tc>
          <w:tcPr>
            <w:tcW w:w="2410" w:type="dxa"/>
          </w:tcPr>
          <w:p w:rsidR="00E32301" w:rsidRPr="00B932E6" w:rsidRDefault="00E32301" w:rsidP="000D0D76">
            <w:pPr>
              <w:jc w:val="both"/>
              <w:rPr>
                <w:sz w:val="20"/>
                <w:szCs w:val="20"/>
              </w:rPr>
            </w:pPr>
            <w:r w:rsidRPr="00B932E6">
              <w:rPr>
                <w:sz w:val="20"/>
                <w:szCs w:val="20"/>
              </w:rPr>
              <w:t xml:space="preserve">BJ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Bermuda </w:t>
            </w:r>
          </w:p>
        </w:tc>
        <w:tc>
          <w:tcPr>
            <w:tcW w:w="2410" w:type="dxa"/>
          </w:tcPr>
          <w:p w:rsidR="00E32301" w:rsidRPr="00B932E6" w:rsidRDefault="00E32301" w:rsidP="000D0D76">
            <w:pPr>
              <w:jc w:val="both"/>
              <w:rPr>
                <w:sz w:val="20"/>
                <w:szCs w:val="20"/>
              </w:rPr>
            </w:pPr>
            <w:r w:rsidRPr="00B932E6">
              <w:rPr>
                <w:sz w:val="20"/>
                <w:szCs w:val="20"/>
              </w:rPr>
              <w:t xml:space="preserve">BM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Bhutan </w:t>
            </w:r>
          </w:p>
        </w:tc>
        <w:tc>
          <w:tcPr>
            <w:tcW w:w="2410" w:type="dxa"/>
          </w:tcPr>
          <w:p w:rsidR="00E32301" w:rsidRPr="00B932E6" w:rsidRDefault="00E32301" w:rsidP="000D0D76">
            <w:pPr>
              <w:jc w:val="both"/>
              <w:rPr>
                <w:sz w:val="20"/>
                <w:szCs w:val="20"/>
              </w:rPr>
            </w:pPr>
            <w:r w:rsidRPr="00B932E6">
              <w:rPr>
                <w:sz w:val="20"/>
                <w:szCs w:val="20"/>
              </w:rPr>
              <w:t xml:space="preserve">BT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Bolivia </w:t>
            </w:r>
          </w:p>
        </w:tc>
        <w:tc>
          <w:tcPr>
            <w:tcW w:w="2410" w:type="dxa"/>
          </w:tcPr>
          <w:p w:rsidR="00E32301" w:rsidRPr="00B932E6" w:rsidRDefault="00E32301" w:rsidP="000D0D76">
            <w:pPr>
              <w:jc w:val="both"/>
              <w:rPr>
                <w:sz w:val="20"/>
                <w:szCs w:val="20"/>
              </w:rPr>
            </w:pPr>
            <w:r w:rsidRPr="00B932E6">
              <w:rPr>
                <w:sz w:val="20"/>
                <w:szCs w:val="20"/>
              </w:rPr>
              <w:t xml:space="preserve">BO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Bosnia and Herzegovina </w:t>
            </w:r>
          </w:p>
        </w:tc>
        <w:tc>
          <w:tcPr>
            <w:tcW w:w="2410" w:type="dxa"/>
          </w:tcPr>
          <w:p w:rsidR="00E32301" w:rsidRPr="00B932E6" w:rsidRDefault="00E32301" w:rsidP="000D0D76">
            <w:pPr>
              <w:jc w:val="both"/>
              <w:rPr>
                <w:sz w:val="20"/>
                <w:szCs w:val="20"/>
              </w:rPr>
            </w:pPr>
            <w:r w:rsidRPr="00B932E6">
              <w:rPr>
                <w:sz w:val="20"/>
                <w:szCs w:val="20"/>
              </w:rPr>
              <w:t xml:space="preserve">BA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Botswana </w:t>
            </w:r>
          </w:p>
        </w:tc>
        <w:tc>
          <w:tcPr>
            <w:tcW w:w="2410" w:type="dxa"/>
          </w:tcPr>
          <w:p w:rsidR="00E32301" w:rsidRPr="00B932E6" w:rsidRDefault="00E32301" w:rsidP="000D0D76">
            <w:pPr>
              <w:jc w:val="both"/>
              <w:rPr>
                <w:sz w:val="20"/>
                <w:szCs w:val="20"/>
              </w:rPr>
            </w:pPr>
            <w:r w:rsidRPr="00B932E6">
              <w:rPr>
                <w:sz w:val="20"/>
                <w:szCs w:val="20"/>
              </w:rPr>
              <w:t xml:space="preserve">BW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Brazil </w:t>
            </w:r>
          </w:p>
        </w:tc>
        <w:tc>
          <w:tcPr>
            <w:tcW w:w="2410" w:type="dxa"/>
          </w:tcPr>
          <w:p w:rsidR="00E32301" w:rsidRPr="00B932E6" w:rsidRDefault="00E32301" w:rsidP="000D0D76">
            <w:pPr>
              <w:jc w:val="both"/>
              <w:rPr>
                <w:sz w:val="20"/>
                <w:szCs w:val="20"/>
              </w:rPr>
            </w:pPr>
            <w:r w:rsidRPr="00B932E6">
              <w:rPr>
                <w:sz w:val="20"/>
                <w:szCs w:val="20"/>
              </w:rPr>
              <w:t xml:space="preserve">BR </w:t>
            </w:r>
          </w:p>
        </w:tc>
      </w:tr>
      <w:tr w:rsidR="00E32301" w:rsidRPr="00B932E6" w:rsidTr="000D0D76">
        <w:trPr>
          <w:trHeight w:val="320"/>
        </w:trPr>
        <w:tc>
          <w:tcPr>
            <w:tcW w:w="1951" w:type="dxa"/>
          </w:tcPr>
          <w:p w:rsidR="00E32301" w:rsidRPr="00B932E6" w:rsidRDefault="00E32301" w:rsidP="000D0D76">
            <w:pPr>
              <w:jc w:val="both"/>
              <w:rPr>
                <w:sz w:val="20"/>
                <w:szCs w:val="20"/>
              </w:rPr>
            </w:pPr>
            <w:r w:rsidRPr="00B932E6">
              <w:rPr>
                <w:sz w:val="20"/>
                <w:szCs w:val="20"/>
              </w:rPr>
              <w:t xml:space="preserve">British Overseas Territories </w:t>
            </w:r>
          </w:p>
        </w:tc>
        <w:tc>
          <w:tcPr>
            <w:tcW w:w="2410" w:type="dxa"/>
          </w:tcPr>
          <w:p w:rsidR="00E32301" w:rsidRPr="00B932E6" w:rsidRDefault="00E32301" w:rsidP="000D0D76">
            <w:pPr>
              <w:jc w:val="both"/>
              <w:rPr>
                <w:sz w:val="20"/>
                <w:szCs w:val="20"/>
              </w:rPr>
            </w:pPr>
            <w:r w:rsidRPr="00B932E6">
              <w:rPr>
                <w:sz w:val="20"/>
                <w:szCs w:val="20"/>
              </w:rPr>
              <w:t xml:space="preserve">1W includes British Antarctic Territory, British Indian Ocean Territory, Chagos, Pitcairn Islands, South Georgia and South Sandwich Islands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Brunei </w:t>
            </w:r>
          </w:p>
        </w:tc>
        <w:tc>
          <w:tcPr>
            <w:tcW w:w="2410" w:type="dxa"/>
          </w:tcPr>
          <w:p w:rsidR="00E32301" w:rsidRPr="00B932E6" w:rsidRDefault="00E32301" w:rsidP="000D0D76">
            <w:pPr>
              <w:jc w:val="both"/>
              <w:rPr>
                <w:sz w:val="20"/>
                <w:szCs w:val="20"/>
              </w:rPr>
            </w:pPr>
            <w:r w:rsidRPr="00B932E6">
              <w:rPr>
                <w:sz w:val="20"/>
                <w:szCs w:val="20"/>
              </w:rPr>
              <w:t xml:space="preserve">BN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Bulgaria </w:t>
            </w:r>
          </w:p>
        </w:tc>
        <w:tc>
          <w:tcPr>
            <w:tcW w:w="2410" w:type="dxa"/>
          </w:tcPr>
          <w:p w:rsidR="00E32301" w:rsidRPr="00B932E6" w:rsidRDefault="00E32301" w:rsidP="000D0D76">
            <w:pPr>
              <w:jc w:val="both"/>
              <w:rPr>
                <w:sz w:val="20"/>
                <w:szCs w:val="20"/>
              </w:rPr>
            </w:pPr>
            <w:r w:rsidRPr="00B932E6">
              <w:rPr>
                <w:sz w:val="20"/>
                <w:szCs w:val="20"/>
              </w:rPr>
              <w:t xml:space="preserve">BG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Burkina Faso </w:t>
            </w:r>
          </w:p>
        </w:tc>
        <w:tc>
          <w:tcPr>
            <w:tcW w:w="2410" w:type="dxa"/>
          </w:tcPr>
          <w:p w:rsidR="00E32301" w:rsidRPr="00B932E6" w:rsidRDefault="00E32301" w:rsidP="000D0D76">
            <w:pPr>
              <w:jc w:val="both"/>
              <w:rPr>
                <w:sz w:val="20"/>
                <w:szCs w:val="20"/>
              </w:rPr>
            </w:pPr>
            <w:r w:rsidRPr="00B932E6">
              <w:rPr>
                <w:sz w:val="20"/>
                <w:szCs w:val="20"/>
              </w:rPr>
              <w:t xml:space="preserve">BF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Burundi </w:t>
            </w:r>
          </w:p>
        </w:tc>
        <w:tc>
          <w:tcPr>
            <w:tcW w:w="2410" w:type="dxa"/>
          </w:tcPr>
          <w:p w:rsidR="00E32301" w:rsidRPr="00B932E6" w:rsidRDefault="00E32301" w:rsidP="000D0D76">
            <w:pPr>
              <w:jc w:val="both"/>
              <w:rPr>
                <w:sz w:val="20"/>
                <w:szCs w:val="20"/>
              </w:rPr>
            </w:pPr>
            <w:r w:rsidRPr="00B932E6">
              <w:rPr>
                <w:sz w:val="20"/>
                <w:szCs w:val="20"/>
              </w:rPr>
              <w:t xml:space="preserve">BI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Cambodia </w:t>
            </w:r>
          </w:p>
        </w:tc>
        <w:tc>
          <w:tcPr>
            <w:tcW w:w="2410" w:type="dxa"/>
          </w:tcPr>
          <w:p w:rsidR="00E32301" w:rsidRPr="00B932E6" w:rsidRDefault="00E32301" w:rsidP="000D0D76">
            <w:pPr>
              <w:jc w:val="both"/>
              <w:rPr>
                <w:sz w:val="20"/>
                <w:szCs w:val="20"/>
              </w:rPr>
            </w:pPr>
            <w:r w:rsidRPr="00B932E6">
              <w:rPr>
                <w:sz w:val="20"/>
                <w:szCs w:val="20"/>
              </w:rPr>
              <w:t xml:space="preserve">KH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Cameroon </w:t>
            </w:r>
          </w:p>
        </w:tc>
        <w:tc>
          <w:tcPr>
            <w:tcW w:w="2410" w:type="dxa"/>
          </w:tcPr>
          <w:p w:rsidR="00E32301" w:rsidRPr="00B932E6" w:rsidRDefault="00E32301" w:rsidP="000D0D76">
            <w:pPr>
              <w:jc w:val="both"/>
              <w:rPr>
                <w:sz w:val="20"/>
                <w:szCs w:val="20"/>
              </w:rPr>
            </w:pPr>
            <w:r w:rsidRPr="00B932E6">
              <w:rPr>
                <w:sz w:val="20"/>
                <w:szCs w:val="20"/>
              </w:rPr>
              <w:t xml:space="preserve">CM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Canada </w:t>
            </w:r>
          </w:p>
        </w:tc>
        <w:tc>
          <w:tcPr>
            <w:tcW w:w="2410" w:type="dxa"/>
          </w:tcPr>
          <w:p w:rsidR="00E32301" w:rsidRPr="00B932E6" w:rsidRDefault="00E32301" w:rsidP="000D0D76">
            <w:pPr>
              <w:jc w:val="both"/>
              <w:rPr>
                <w:sz w:val="20"/>
                <w:szCs w:val="20"/>
              </w:rPr>
            </w:pPr>
            <w:r w:rsidRPr="00B932E6">
              <w:rPr>
                <w:sz w:val="20"/>
                <w:szCs w:val="20"/>
              </w:rPr>
              <w:t xml:space="preserve">CA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Cape Verde </w:t>
            </w:r>
          </w:p>
        </w:tc>
        <w:tc>
          <w:tcPr>
            <w:tcW w:w="2410" w:type="dxa"/>
          </w:tcPr>
          <w:p w:rsidR="00E32301" w:rsidRPr="00B932E6" w:rsidRDefault="00E32301" w:rsidP="000D0D76">
            <w:pPr>
              <w:jc w:val="both"/>
              <w:rPr>
                <w:sz w:val="20"/>
                <w:szCs w:val="20"/>
              </w:rPr>
            </w:pPr>
            <w:r w:rsidRPr="00B932E6">
              <w:rPr>
                <w:sz w:val="20"/>
                <w:szCs w:val="20"/>
              </w:rPr>
              <w:t xml:space="preserve">CV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Cayman Islands </w:t>
            </w:r>
          </w:p>
        </w:tc>
        <w:tc>
          <w:tcPr>
            <w:tcW w:w="2410" w:type="dxa"/>
          </w:tcPr>
          <w:p w:rsidR="00E32301" w:rsidRPr="00B932E6" w:rsidRDefault="00E32301" w:rsidP="000D0D76">
            <w:pPr>
              <w:jc w:val="both"/>
              <w:rPr>
                <w:sz w:val="20"/>
                <w:szCs w:val="20"/>
              </w:rPr>
            </w:pPr>
            <w:r w:rsidRPr="00B932E6">
              <w:rPr>
                <w:sz w:val="20"/>
                <w:szCs w:val="20"/>
              </w:rPr>
              <w:t xml:space="preserve">KY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Central African Republic </w:t>
            </w:r>
          </w:p>
        </w:tc>
        <w:tc>
          <w:tcPr>
            <w:tcW w:w="2410" w:type="dxa"/>
          </w:tcPr>
          <w:p w:rsidR="00E32301" w:rsidRPr="00B932E6" w:rsidRDefault="00E32301" w:rsidP="000D0D76">
            <w:pPr>
              <w:jc w:val="both"/>
              <w:rPr>
                <w:sz w:val="20"/>
                <w:szCs w:val="20"/>
              </w:rPr>
            </w:pPr>
            <w:r w:rsidRPr="00B932E6">
              <w:rPr>
                <w:sz w:val="20"/>
                <w:szCs w:val="20"/>
              </w:rPr>
              <w:t xml:space="preserve">CF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lastRenderedPageBreak/>
              <w:t xml:space="preserve">Chad </w:t>
            </w:r>
          </w:p>
        </w:tc>
        <w:tc>
          <w:tcPr>
            <w:tcW w:w="2410" w:type="dxa"/>
          </w:tcPr>
          <w:p w:rsidR="00E32301" w:rsidRPr="00B932E6" w:rsidRDefault="00E32301" w:rsidP="000D0D76">
            <w:pPr>
              <w:jc w:val="both"/>
              <w:rPr>
                <w:sz w:val="20"/>
                <w:szCs w:val="20"/>
              </w:rPr>
            </w:pPr>
            <w:r w:rsidRPr="00B932E6">
              <w:rPr>
                <w:sz w:val="20"/>
                <w:szCs w:val="20"/>
              </w:rPr>
              <w:t xml:space="preserve">TD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Chile </w:t>
            </w:r>
          </w:p>
        </w:tc>
        <w:tc>
          <w:tcPr>
            <w:tcW w:w="2410" w:type="dxa"/>
          </w:tcPr>
          <w:p w:rsidR="00E32301" w:rsidRPr="00B932E6" w:rsidRDefault="00E32301" w:rsidP="000D0D76">
            <w:pPr>
              <w:jc w:val="both"/>
              <w:rPr>
                <w:sz w:val="20"/>
                <w:szCs w:val="20"/>
              </w:rPr>
            </w:pPr>
            <w:r w:rsidRPr="00B932E6">
              <w:rPr>
                <w:sz w:val="20"/>
                <w:szCs w:val="20"/>
              </w:rPr>
              <w:t xml:space="preserve">CL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China </w:t>
            </w:r>
          </w:p>
        </w:tc>
        <w:tc>
          <w:tcPr>
            <w:tcW w:w="2410" w:type="dxa"/>
          </w:tcPr>
          <w:p w:rsidR="00E32301" w:rsidRPr="00B932E6" w:rsidRDefault="00E32301" w:rsidP="000D0D76">
            <w:pPr>
              <w:jc w:val="both"/>
              <w:rPr>
                <w:sz w:val="20"/>
                <w:szCs w:val="20"/>
              </w:rPr>
            </w:pPr>
            <w:r w:rsidRPr="00B932E6">
              <w:rPr>
                <w:sz w:val="20"/>
                <w:szCs w:val="20"/>
              </w:rPr>
              <w:t xml:space="preserve">CN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Colombia </w:t>
            </w:r>
          </w:p>
        </w:tc>
        <w:tc>
          <w:tcPr>
            <w:tcW w:w="2410" w:type="dxa"/>
          </w:tcPr>
          <w:p w:rsidR="00E32301" w:rsidRPr="00B932E6" w:rsidRDefault="00E32301" w:rsidP="000D0D76">
            <w:pPr>
              <w:jc w:val="both"/>
              <w:rPr>
                <w:sz w:val="20"/>
                <w:szCs w:val="20"/>
              </w:rPr>
            </w:pPr>
            <w:r w:rsidRPr="00B932E6">
              <w:rPr>
                <w:sz w:val="20"/>
                <w:szCs w:val="20"/>
              </w:rPr>
              <w:t xml:space="preserve">CO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Comoros Islands </w:t>
            </w:r>
          </w:p>
        </w:tc>
        <w:tc>
          <w:tcPr>
            <w:tcW w:w="2410" w:type="dxa"/>
          </w:tcPr>
          <w:p w:rsidR="00E32301" w:rsidRPr="00B932E6" w:rsidRDefault="00E32301" w:rsidP="000D0D76">
            <w:pPr>
              <w:jc w:val="both"/>
              <w:rPr>
                <w:sz w:val="20"/>
                <w:szCs w:val="20"/>
              </w:rPr>
            </w:pPr>
            <w:r w:rsidRPr="00B932E6">
              <w:rPr>
                <w:sz w:val="20"/>
                <w:szCs w:val="20"/>
              </w:rPr>
              <w:t xml:space="preserve">KM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Congo </w:t>
            </w:r>
          </w:p>
        </w:tc>
        <w:tc>
          <w:tcPr>
            <w:tcW w:w="2410" w:type="dxa"/>
          </w:tcPr>
          <w:p w:rsidR="00E32301" w:rsidRPr="00B932E6" w:rsidRDefault="00E32301" w:rsidP="000D0D76">
            <w:pPr>
              <w:jc w:val="both"/>
              <w:rPr>
                <w:sz w:val="20"/>
                <w:szCs w:val="20"/>
              </w:rPr>
            </w:pPr>
            <w:r w:rsidRPr="00B932E6">
              <w:rPr>
                <w:sz w:val="20"/>
                <w:szCs w:val="20"/>
              </w:rPr>
              <w:t xml:space="preserve">CG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Congo Democratic Republic </w:t>
            </w:r>
          </w:p>
        </w:tc>
        <w:tc>
          <w:tcPr>
            <w:tcW w:w="2410" w:type="dxa"/>
          </w:tcPr>
          <w:p w:rsidR="00E32301" w:rsidRPr="00B932E6" w:rsidRDefault="00E32301" w:rsidP="000D0D76">
            <w:pPr>
              <w:jc w:val="both"/>
              <w:rPr>
                <w:sz w:val="20"/>
                <w:szCs w:val="20"/>
              </w:rPr>
            </w:pPr>
            <w:r w:rsidRPr="00B932E6">
              <w:rPr>
                <w:sz w:val="20"/>
                <w:szCs w:val="20"/>
              </w:rPr>
              <w:t xml:space="preserve">CD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Consortium Banks </w:t>
            </w:r>
          </w:p>
        </w:tc>
        <w:tc>
          <w:tcPr>
            <w:tcW w:w="2410" w:type="dxa"/>
          </w:tcPr>
          <w:p w:rsidR="00E32301" w:rsidRPr="00B932E6" w:rsidRDefault="00E32301" w:rsidP="000D0D76">
            <w:pPr>
              <w:jc w:val="both"/>
              <w:rPr>
                <w:sz w:val="20"/>
                <w:szCs w:val="20"/>
              </w:rPr>
            </w:pPr>
            <w:r w:rsidRPr="00B932E6">
              <w:rPr>
                <w:sz w:val="20"/>
                <w:szCs w:val="20"/>
              </w:rPr>
              <w:t xml:space="preserve">1G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Costa Rica </w:t>
            </w:r>
          </w:p>
        </w:tc>
        <w:tc>
          <w:tcPr>
            <w:tcW w:w="2410" w:type="dxa"/>
          </w:tcPr>
          <w:p w:rsidR="00E32301" w:rsidRPr="00B932E6" w:rsidRDefault="00E32301" w:rsidP="000D0D76">
            <w:pPr>
              <w:jc w:val="both"/>
              <w:rPr>
                <w:sz w:val="20"/>
                <w:szCs w:val="20"/>
              </w:rPr>
            </w:pPr>
            <w:r w:rsidRPr="00B932E6">
              <w:rPr>
                <w:sz w:val="20"/>
                <w:szCs w:val="20"/>
              </w:rPr>
              <w:t xml:space="preserve">CR </w:t>
            </w:r>
          </w:p>
        </w:tc>
      </w:tr>
      <w:tr w:rsidR="00E32301" w:rsidRPr="00B932E6" w:rsidTr="000D0D76">
        <w:trPr>
          <w:trHeight w:val="90"/>
        </w:trPr>
        <w:tc>
          <w:tcPr>
            <w:tcW w:w="1951" w:type="dxa"/>
          </w:tcPr>
          <w:p w:rsidR="00E32301" w:rsidRPr="00B932E6" w:rsidRDefault="00E32301" w:rsidP="000D0D76">
            <w:pPr>
              <w:jc w:val="both"/>
              <w:rPr>
                <w:sz w:val="20"/>
                <w:szCs w:val="20"/>
              </w:rPr>
            </w:pPr>
            <w:r w:rsidRPr="00B932E6">
              <w:rPr>
                <w:sz w:val="20"/>
                <w:szCs w:val="20"/>
              </w:rPr>
              <w:t xml:space="preserve">Cote d'Ivoire </w:t>
            </w:r>
          </w:p>
        </w:tc>
        <w:tc>
          <w:tcPr>
            <w:tcW w:w="2410" w:type="dxa"/>
          </w:tcPr>
          <w:p w:rsidR="00E32301" w:rsidRPr="00B932E6" w:rsidRDefault="00E32301" w:rsidP="000D0D76">
            <w:pPr>
              <w:jc w:val="both"/>
              <w:rPr>
                <w:sz w:val="20"/>
                <w:szCs w:val="20"/>
              </w:rPr>
            </w:pPr>
            <w:r w:rsidRPr="00B932E6">
              <w:rPr>
                <w:sz w:val="20"/>
                <w:szCs w:val="20"/>
              </w:rPr>
              <w:t xml:space="preserve">CI </w:t>
            </w:r>
          </w:p>
        </w:tc>
      </w:tr>
      <w:tr w:rsidR="00E32301" w:rsidRPr="00B932E6" w:rsidTr="000D0D76">
        <w:trPr>
          <w:trHeight w:val="90"/>
        </w:trPr>
        <w:tc>
          <w:tcPr>
            <w:tcW w:w="1951" w:type="dxa"/>
            <w:tcBorders>
              <w:bottom w:val="single" w:sz="4" w:space="0" w:color="auto"/>
            </w:tcBorders>
          </w:tcPr>
          <w:p w:rsidR="00E32301" w:rsidRPr="00B932E6" w:rsidRDefault="00E32301" w:rsidP="000D0D76">
            <w:pPr>
              <w:jc w:val="both"/>
              <w:rPr>
                <w:sz w:val="20"/>
                <w:szCs w:val="20"/>
              </w:rPr>
            </w:pPr>
            <w:r w:rsidRPr="00B932E6">
              <w:rPr>
                <w:sz w:val="20"/>
                <w:szCs w:val="20"/>
              </w:rPr>
              <w:t xml:space="preserve">Croatia </w:t>
            </w:r>
          </w:p>
        </w:tc>
        <w:tc>
          <w:tcPr>
            <w:tcW w:w="2410" w:type="dxa"/>
            <w:tcBorders>
              <w:bottom w:val="single" w:sz="4" w:space="0" w:color="auto"/>
            </w:tcBorders>
          </w:tcPr>
          <w:p w:rsidR="00E32301" w:rsidRPr="00B932E6" w:rsidRDefault="00E32301" w:rsidP="000D0D76">
            <w:pPr>
              <w:jc w:val="both"/>
              <w:rPr>
                <w:sz w:val="20"/>
                <w:szCs w:val="20"/>
              </w:rPr>
            </w:pPr>
            <w:r w:rsidRPr="00B932E6">
              <w:rPr>
                <w:sz w:val="20"/>
                <w:szCs w:val="20"/>
              </w:rPr>
              <w:t xml:space="preserve">HR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Cuba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Cyprus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CY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Czech Republic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CZ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Denmark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DK excludes Faeroe Islands and Greenland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Djibouti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DJ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Dominica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Dominican Republic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Ecuador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EC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Egypt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El Salvador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SV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Equatorial Guinea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GQ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Eritrea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Estonia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Ethiopia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Faeroe Islands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Falkland Islands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Fiji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FJ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Finland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FI  includes Aland Islands </w:t>
            </w:r>
          </w:p>
        </w:tc>
      </w:tr>
      <w:tr w:rsidR="00E32301" w:rsidRPr="00B932E6" w:rsidTr="000D0D76">
        <w:tblPrEx>
          <w:tblBorders>
            <w:top w:val="nil"/>
            <w:left w:val="nil"/>
            <w:bottom w:val="nil"/>
            <w:right w:val="nil"/>
            <w:insideH w:val="none" w:sz="0" w:space="0" w:color="auto"/>
            <w:insideV w:val="none" w:sz="0" w:space="0" w:color="auto"/>
          </w:tblBorders>
        </w:tblPrEx>
        <w:trPr>
          <w:trHeight w:val="32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France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FR includes French Guiana, French Southern Territories, Guadeloupe, Martinique, Mayotte, Monaco, Reunion and St. Pierre and Miquelon </w:t>
            </w:r>
          </w:p>
        </w:tc>
      </w:tr>
      <w:tr w:rsidR="00E32301" w:rsidRPr="00B932E6" w:rsidTr="000D0D76">
        <w:tblPrEx>
          <w:tblBorders>
            <w:top w:val="nil"/>
            <w:left w:val="nil"/>
            <w:bottom w:val="nil"/>
            <w:right w:val="nil"/>
            <w:insideH w:val="none" w:sz="0" w:space="0" w:color="auto"/>
            <w:insideV w:val="none" w:sz="0" w:space="0" w:color="auto"/>
          </w:tblBorders>
        </w:tblPrEx>
        <w:trPr>
          <w:trHeight w:val="204"/>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French Polynesia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PF includes Society Archipelago, Tuamotu-Gambier Islands, Marquesas, Australes Archipelago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Gabon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Gambia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Georgia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Germany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DE </w:t>
            </w:r>
          </w:p>
          <w:p w:rsidR="00E32301" w:rsidRPr="00B932E6" w:rsidRDefault="00E32301" w:rsidP="000D0D76">
            <w:pPr>
              <w:jc w:val="both"/>
              <w:rPr>
                <w:sz w:val="20"/>
                <w:szCs w:val="20"/>
              </w:rPr>
            </w:pPr>
            <w:r w:rsidRPr="00B932E6">
              <w:rPr>
                <w:sz w:val="20"/>
                <w:szCs w:val="20"/>
              </w:rPr>
              <w:t xml:space="preserve">includes the European Central Bank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Ghana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GH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Gibraltar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GI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lastRenderedPageBreak/>
              <w:t xml:space="preserve">Greece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Greenland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GL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Grenada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GD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Guatemala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Guernsey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Guinea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Guinea-Bissau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GW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Guyana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GY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Haiti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Honduras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Hong Kong SAR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Hungary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HU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Iceland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India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Indonesia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ID </w:t>
            </w:r>
          </w:p>
        </w:tc>
      </w:tr>
      <w:tr w:rsidR="00E32301" w:rsidRPr="00B932E6" w:rsidTr="000D0D76">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International organisations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1C except the BIS which is included under Switzerland, and the ECB which is included under Germany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Iran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Iraq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IQ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Ireland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Isle of Man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Israel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IL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Italy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IT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Jamaica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Japan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JP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Jersey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Jordan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JO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Kazakhstan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KZ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Kenya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KE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122E26">
              <w:rPr>
                <w:sz w:val="20"/>
                <w:szCs w:val="20"/>
              </w:rPr>
              <w:t>Kiribati</w:t>
            </w:r>
          </w:p>
        </w:tc>
        <w:tc>
          <w:tcPr>
            <w:tcW w:w="2410" w:type="dxa"/>
            <w:tcBorders>
              <w:top w:val="single" w:sz="4" w:space="0" w:color="auto"/>
              <w:left w:val="single" w:sz="4" w:space="0" w:color="auto"/>
              <w:bottom w:val="single" w:sz="4" w:space="0" w:color="auto"/>
              <w:right w:val="single" w:sz="4" w:space="0" w:color="auto"/>
            </w:tcBorders>
          </w:tcPr>
          <w:p w:rsidR="00E32301" w:rsidRPr="00E73132" w:rsidRDefault="00E32301" w:rsidP="000D0D76">
            <w:pPr>
              <w:jc w:val="both"/>
              <w:rPr>
                <w:sz w:val="20"/>
                <w:szCs w:val="20"/>
              </w:rPr>
            </w:pPr>
            <w:r w:rsidRPr="00E73132">
              <w:rPr>
                <w:color w:val="000000"/>
                <w:sz w:val="20"/>
                <w:szCs w:val="20"/>
              </w:rPr>
              <w:t>KIR</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122E26">
              <w:rPr>
                <w:sz w:val="20"/>
                <w:szCs w:val="20"/>
              </w:rPr>
              <w:t>Kuwait</w:t>
            </w:r>
          </w:p>
        </w:tc>
        <w:tc>
          <w:tcPr>
            <w:tcW w:w="2410" w:type="dxa"/>
            <w:tcBorders>
              <w:top w:val="single" w:sz="4" w:space="0" w:color="auto"/>
              <w:left w:val="single" w:sz="4" w:space="0" w:color="auto"/>
              <w:bottom w:val="single" w:sz="4" w:space="0" w:color="auto"/>
              <w:right w:val="single" w:sz="4" w:space="0" w:color="auto"/>
            </w:tcBorders>
          </w:tcPr>
          <w:p w:rsidR="00E32301" w:rsidRPr="00E73132" w:rsidRDefault="00E32301" w:rsidP="000D0D76">
            <w:pPr>
              <w:jc w:val="both"/>
              <w:rPr>
                <w:sz w:val="20"/>
                <w:szCs w:val="20"/>
              </w:rPr>
            </w:pPr>
            <w:r w:rsidRPr="00E73132">
              <w:rPr>
                <w:color w:val="000000"/>
                <w:sz w:val="20"/>
                <w:szCs w:val="20"/>
              </w:rPr>
              <w:t>KWT</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122E26">
              <w:rPr>
                <w:sz w:val="20"/>
                <w:szCs w:val="20"/>
              </w:rPr>
              <w:t>Kyrgyz Republic</w:t>
            </w:r>
          </w:p>
        </w:tc>
        <w:tc>
          <w:tcPr>
            <w:tcW w:w="2410" w:type="dxa"/>
            <w:tcBorders>
              <w:top w:val="single" w:sz="4" w:space="0" w:color="auto"/>
              <w:left w:val="single" w:sz="4" w:space="0" w:color="auto"/>
              <w:bottom w:val="single" w:sz="4" w:space="0" w:color="auto"/>
              <w:right w:val="single" w:sz="4" w:space="0" w:color="auto"/>
            </w:tcBorders>
          </w:tcPr>
          <w:p w:rsidR="00E32301" w:rsidRPr="00E73132" w:rsidRDefault="00E32301" w:rsidP="000D0D76">
            <w:pPr>
              <w:jc w:val="both"/>
              <w:rPr>
                <w:sz w:val="20"/>
                <w:szCs w:val="20"/>
              </w:rPr>
            </w:pPr>
            <w:r w:rsidRPr="00E73132">
              <w:rPr>
                <w:color w:val="000000"/>
                <w:sz w:val="20"/>
                <w:szCs w:val="20"/>
              </w:rPr>
              <w:t>KGZ</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Lao</w:t>
            </w:r>
            <w:r>
              <w:rPr>
                <w:sz w:val="20"/>
                <w:szCs w:val="20"/>
              </w:rPr>
              <w:t>s</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LA</w:t>
            </w:r>
            <w:r>
              <w:rPr>
                <w:sz w:val="20"/>
                <w:szCs w:val="20"/>
              </w:rPr>
              <w:t>O</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Latvia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LV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Lebanon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LB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Lesotho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Liberia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Libya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LY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Liechtenstein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LI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Lithuania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Luxembourg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Macau SAR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Macedonia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Madagascar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Malawi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MW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Malaysia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MY includes Labuan International Offshore Financial Centre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Maldives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MV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Mali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ML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Malta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Marshall Islands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MH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Mauritania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Mauritius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lastRenderedPageBreak/>
              <w:t xml:space="preserve">Mexico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MX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Micronesia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FM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Moldova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MD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Mongolia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Montenegro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Morocco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Mozambique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MZ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Myanmar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MM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Namibia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Nauru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Nepal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NP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Netherlands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NL </w:t>
            </w:r>
          </w:p>
        </w:tc>
      </w:tr>
      <w:tr w:rsidR="00E32301" w:rsidRPr="00B932E6" w:rsidTr="000D0D76">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Netherlands Antilles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AN  includes Bonaire, Curacao, Saba, St. Eustatius and St. Maarten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New Caledonia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NC </w:t>
            </w:r>
          </w:p>
        </w:tc>
      </w:tr>
      <w:tr w:rsidR="00E32301" w:rsidRPr="00B932E6" w:rsidTr="000D0D76">
        <w:tblPrEx>
          <w:tblBorders>
            <w:top w:val="nil"/>
            <w:left w:val="nil"/>
            <w:bottom w:val="nil"/>
            <w:right w:val="nil"/>
            <w:insideH w:val="none" w:sz="0" w:space="0" w:color="auto"/>
            <w:insideV w:val="none" w:sz="0" w:space="0" w:color="auto"/>
          </w:tblBorders>
        </w:tblPrEx>
        <w:trPr>
          <w:trHeight w:val="204"/>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New Zealand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NZ includes Cook Islands, Minor Islands, Niue, Ross Dependency and Tokelau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Nicaragua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NI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Niger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Nigeria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North Korea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KP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Norway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NO includes Bouvet Islands, Svalbard and Jan Mayen Islands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Official Monetary Authorities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1D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Oman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OM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Pakistan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Palau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PW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Palestinian Territory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Panama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  includes Panama Canal Zone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Papua New Guinea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Paraguay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PY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Peru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Philippines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PH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Poland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PL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Portugal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PT includes the Azores and Madeira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Qatar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QA </w:t>
            </w:r>
          </w:p>
        </w:tc>
      </w:tr>
      <w:tr w:rsidR="00E32301" w:rsidRPr="00B932E6" w:rsidTr="000D0D76">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Residual Africa and Middle East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2W includes Western Sahara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Residual Asia and Pacific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2O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Residual developed countries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2R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Residual Europe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2B </w:t>
            </w:r>
          </w:p>
        </w:tc>
      </w:tr>
      <w:tr w:rsidR="00E32301" w:rsidRPr="00B932E6" w:rsidTr="000D0D76">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Residual Latin America and Caribbean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2H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Residual offshore centres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2N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Romania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Russia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Rwanda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RW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lastRenderedPageBreak/>
              <w:t xml:space="preserve">Samoa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WS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San Marino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Sao Tome and Principe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Saudi Arabia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Senegal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Serbia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RS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Seychelles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SC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Sierra Leone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SL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Singapore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Slovakia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Slovenia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SI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Solomon Islands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SB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Somalia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South Africa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ZA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South Korea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KR </w:t>
            </w:r>
          </w:p>
        </w:tc>
      </w:tr>
      <w:tr w:rsidR="00E32301" w:rsidRPr="00B932E6" w:rsidTr="000D0D76">
        <w:tblPrEx>
          <w:tblBorders>
            <w:top w:val="nil"/>
            <w:left w:val="nil"/>
            <w:bottom w:val="nil"/>
            <w:right w:val="nil"/>
            <w:insideH w:val="none" w:sz="0" w:space="0" w:color="auto"/>
            <w:insideV w:val="none" w:sz="0" w:space="0" w:color="auto"/>
          </w:tblBorders>
        </w:tblPrEx>
        <w:trPr>
          <w:trHeight w:val="204"/>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Spain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ES includes Balearic Islands, Canary Islands and Ceuta and Melilla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Sri Lanka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LK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St. Helena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SH includes Ascension, Gough and Tristan Da Cunha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St. Lucia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LC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St. Vincent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VC includes the Grenadines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Sudan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SD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Suriname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Swaziland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SZ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Sweden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Switzerland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CH includes Bank for International Settlements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Syria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SY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Taiwan, China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TW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Tajikistan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TJ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Tanzania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TZ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Thailand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TH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Timor Leste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TL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Togo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Tonga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TO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Trinidad and Tobago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TT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Tunisia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Turkey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TR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Turkmenistan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Turks and Caicos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TC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Tuvalu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TV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Uganda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UG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Ukraine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Unallocated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5M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United Arab Emirates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AE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United Kingdom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GB excludes Guernsey, Isle of Man and Jersey </w:t>
            </w:r>
          </w:p>
        </w:tc>
      </w:tr>
      <w:tr w:rsidR="00E32301" w:rsidRPr="00B932E6" w:rsidTr="000D0D76">
        <w:tblPrEx>
          <w:tblBorders>
            <w:top w:val="nil"/>
            <w:left w:val="nil"/>
            <w:bottom w:val="nil"/>
            <w:right w:val="nil"/>
          </w:tblBorders>
        </w:tblPrEx>
        <w:trPr>
          <w:cantSplit/>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lastRenderedPageBreak/>
              <w:t xml:space="preserve">United States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US includes American Samoa, Guam, Midway Islands, Northern Mariana Islands, Puerto Rico, US Virgin Islands and Wake Islands</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Uruguay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UY </w:t>
            </w:r>
          </w:p>
        </w:tc>
      </w:tr>
      <w:tr w:rsidR="00E32301" w:rsidRPr="00B932E6" w:rsidTr="000D0D76">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US Pacific Islands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PU includes Carolines, Howland and Baker, Kingman Reef, Palmyra and Jarvis and Johnston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Uzbekistan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UZ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Vanuatu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VU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Vatican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VA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Venezuela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Vietnam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VN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Wallis and Futuna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WF </w:t>
            </w:r>
          </w:p>
        </w:tc>
      </w:tr>
      <w:tr w:rsidR="00E32301" w:rsidRPr="00B932E6" w:rsidTr="000D0D76">
        <w:tblPrEx>
          <w:tblBorders>
            <w:top w:val="nil"/>
            <w:left w:val="nil"/>
            <w:bottom w:val="nil"/>
            <w:right w:val="nil"/>
            <w:insideH w:val="none" w:sz="0" w:space="0" w:color="auto"/>
            <w:insideV w:val="none" w:sz="0" w:space="0" w:color="auto"/>
          </w:tblBorders>
        </w:tblPrEx>
        <w:trPr>
          <w:trHeight w:val="205"/>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West Indies UK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1Z includes Anguilla, Antigua and Barbuda, British Virgin Islands, Montserrat and St. Christopher/St. Kitts - Nevis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Yemen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YE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Zambia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ZM </w:t>
            </w:r>
          </w:p>
        </w:tc>
      </w:tr>
      <w:tr w:rsidR="00E32301" w:rsidRPr="00B932E6" w:rsidTr="000D0D76">
        <w:tblPrEx>
          <w:tblBorders>
            <w:top w:val="nil"/>
            <w:left w:val="nil"/>
            <w:bottom w:val="nil"/>
            <w:right w:val="nil"/>
            <w:insideH w:val="none" w:sz="0" w:space="0" w:color="auto"/>
            <w:insideV w:val="none" w:sz="0" w:space="0" w:color="auto"/>
          </w:tblBorders>
        </w:tblPrEx>
        <w:trPr>
          <w:trHeight w:val="90"/>
        </w:trPr>
        <w:tc>
          <w:tcPr>
            <w:tcW w:w="1951"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Zimbabwe </w:t>
            </w:r>
          </w:p>
        </w:tc>
        <w:tc>
          <w:tcPr>
            <w:tcW w:w="2410" w:type="dxa"/>
            <w:tcBorders>
              <w:top w:val="single" w:sz="4" w:space="0" w:color="auto"/>
              <w:left w:val="single" w:sz="4" w:space="0" w:color="auto"/>
              <w:bottom w:val="single" w:sz="4" w:space="0" w:color="auto"/>
              <w:right w:val="single" w:sz="4" w:space="0" w:color="auto"/>
            </w:tcBorders>
          </w:tcPr>
          <w:p w:rsidR="00E32301" w:rsidRPr="00B932E6" w:rsidRDefault="00E32301" w:rsidP="000D0D76">
            <w:pPr>
              <w:jc w:val="both"/>
              <w:rPr>
                <w:sz w:val="20"/>
                <w:szCs w:val="20"/>
              </w:rPr>
            </w:pPr>
            <w:r w:rsidRPr="00B932E6">
              <w:rPr>
                <w:sz w:val="20"/>
                <w:szCs w:val="20"/>
              </w:rPr>
              <w:t xml:space="preserve">ZW </w:t>
            </w:r>
          </w:p>
        </w:tc>
      </w:tr>
    </w:tbl>
    <w:p w:rsidR="00E32301" w:rsidRDefault="00E32301" w:rsidP="00E32301">
      <w:pPr>
        <w:spacing w:after="240"/>
        <w:jc w:val="both"/>
      </w:pPr>
    </w:p>
    <w:p w:rsidR="00E32301" w:rsidRPr="00706CFC" w:rsidRDefault="00E32301" w:rsidP="00E32301">
      <w:pPr>
        <w:widowControl w:val="0"/>
        <w:spacing w:after="240"/>
        <w:jc w:val="both"/>
        <w:rPr>
          <w:color w:val="000000"/>
        </w:rPr>
      </w:pPr>
    </w:p>
    <w:p w:rsidR="00E32301" w:rsidRPr="00DE0A59" w:rsidRDefault="00E32301" w:rsidP="00E32301"/>
    <w:p w:rsidR="00E32301" w:rsidRPr="00DE0A59" w:rsidRDefault="00E32301" w:rsidP="00E32301">
      <w:pPr>
        <w:spacing w:before="240" w:after="240"/>
        <w:jc w:val="both"/>
      </w:pPr>
    </w:p>
    <w:p w:rsidR="00E32301" w:rsidRDefault="00E32301" w:rsidP="00CF5F3B">
      <w:pPr>
        <w:spacing w:before="120" w:after="240"/>
        <w:jc w:val="both"/>
        <w:rPr>
          <w:bCs/>
        </w:rPr>
      </w:pPr>
    </w:p>
    <w:sectPr w:rsidR="00E32301" w:rsidSect="000D0D76">
      <w:type w:val="continuous"/>
      <w:pgSz w:w="11906" w:h="16838" w:code="9"/>
      <w:pgMar w:top="1440" w:right="1440" w:bottom="1440" w:left="1440" w:header="567"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76" w:rsidRDefault="000D0D76" w:rsidP="0090207E">
      <w:r>
        <w:separator/>
      </w:r>
    </w:p>
  </w:endnote>
  <w:endnote w:type="continuationSeparator" w:id="0">
    <w:p w:rsidR="000D0D76" w:rsidRDefault="000D0D76" w:rsidP="0090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81321"/>
      <w:docPartObj>
        <w:docPartGallery w:val="Page Numbers (Bottom of Page)"/>
        <w:docPartUnique/>
      </w:docPartObj>
    </w:sdtPr>
    <w:sdtEndPr>
      <w:rPr>
        <w:b/>
      </w:rPr>
    </w:sdtEndPr>
    <w:sdtContent>
      <w:sdt>
        <w:sdtPr>
          <w:rPr>
            <w:b/>
          </w:rPr>
          <w:id w:val="-866605485"/>
          <w:docPartObj>
            <w:docPartGallery w:val="Page Numbers (Top of Page)"/>
            <w:docPartUnique/>
          </w:docPartObj>
        </w:sdtPr>
        <w:sdtEndPr/>
        <w:sdtContent>
          <w:p w:rsidR="000D0D76" w:rsidRPr="00C442D2" w:rsidRDefault="000D0D76" w:rsidP="00E32301">
            <w:pPr>
              <w:pStyle w:val="Footer"/>
              <w:jc w:val="right"/>
            </w:pPr>
            <w:r w:rsidRPr="00C442D2">
              <w:rPr>
                <w:b/>
              </w:rPr>
              <w:t xml:space="preserve">GRS 460.1_G - </w:t>
            </w:r>
            <w:r w:rsidRPr="00C442D2">
              <w:rPr>
                <w:b/>
                <w:bCs/>
              </w:rPr>
              <w:fldChar w:fldCharType="begin"/>
            </w:r>
            <w:r w:rsidRPr="00C442D2">
              <w:rPr>
                <w:b/>
                <w:bCs/>
              </w:rPr>
              <w:instrText xml:space="preserve"> PAGE </w:instrText>
            </w:r>
            <w:r w:rsidRPr="00C442D2">
              <w:rPr>
                <w:b/>
                <w:bCs/>
              </w:rPr>
              <w:fldChar w:fldCharType="separate"/>
            </w:r>
            <w:r w:rsidR="006B1843">
              <w:rPr>
                <w:b/>
                <w:bCs/>
                <w:noProof/>
              </w:rPr>
              <w:t>8</w:t>
            </w:r>
            <w:r w:rsidRPr="00C442D2">
              <w:rPr>
                <w:b/>
                <w:bCs/>
              </w:rPr>
              <w:fldChar w:fldCharType="end"/>
            </w:r>
          </w:p>
        </w:sdtContent>
      </w:sdt>
    </w:sdtContent>
  </w:sdt>
  <w:p w:rsidR="000D0D76" w:rsidRDefault="000D0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16045"/>
      <w:docPartObj>
        <w:docPartGallery w:val="Page Numbers (Bottom of Page)"/>
        <w:docPartUnique/>
      </w:docPartObj>
    </w:sdtPr>
    <w:sdtEndPr/>
    <w:sdtContent>
      <w:sdt>
        <w:sdtPr>
          <w:id w:val="860082579"/>
          <w:docPartObj>
            <w:docPartGallery w:val="Page Numbers (Top of Page)"/>
            <w:docPartUnique/>
          </w:docPartObj>
        </w:sdtPr>
        <w:sdtEndPr/>
        <w:sdtContent>
          <w:p w:rsidR="000D0D76" w:rsidRDefault="000D0D76">
            <w:pPr>
              <w:pStyle w:val="Footer"/>
            </w:pPr>
            <w:r>
              <w:t xml:space="preserve">Page </w:t>
            </w:r>
            <w:r>
              <w:rPr>
                <w:b/>
                <w:bCs/>
              </w:rPr>
              <w:fldChar w:fldCharType="begin"/>
            </w:r>
            <w:r>
              <w:rPr>
                <w:b/>
                <w:bCs/>
              </w:rPr>
              <w:instrText xml:space="preserve"> PAGE </w:instrText>
            </w:r>
            <w:r>
              <w:rPr>
                <w:b/>
                <w:bCs/>
              </w:rPr>
              <w:fldChar w:fldCharType="separate"/>
            </w:r>
            <w:r w:rsidR="006B1843">
              <w:rPr>
                <w:b/>
                <w:bCs/>
                <w:noProof/>
              </w:rPr>
              <w:t>8</w:t>
            </w:r>
            <w:r>
              <w:rPr>
                <w:b/>
                <w:bCs/>
              </w:rPr>
              <w:fldChar w:fldCharType="end"/>
            </w:r>
            <w:r>
              <w:t xml:space="preserve"> </w:t>
            </w:r>
          </w:p>
        </w:sdtContent>
      </w:sdt>
    </w:sdtContent>
  </w:sdt>
  <w:p w:rsidR="000D0D76" w:rsidRDefault="000D0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Default="000D0D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42231"/>
      <w:docPartObj>
        <w:docPartGallery w:val="Page Numbers (Bottom of Page)"/>
        <w:docPartUnique/>
      </w:docPartObj>
    </w:sdtPr>
    <w:sdtEndPr/>
    <w:sdtContent>
      <w:sdt>
        <w:sdtPr>
          <w:rPr>
            <w:b/>
          </w:rPr>
          <w:id w:val="371967029"/>
          <w:docPartObj>
            <w:docPartGallery w:val="Page Numbers (Top of Page)"/>
            <w:docPartUnique/>
          </w:docPartObj>
        </w:sdtPr>
        <w:sdtEndPr>
          <w:rPr>
            <w:b w:val="0"/>
          </w:rPr>
        </w:sdtEndPr>
        <w:sdtContent>
          <w:p w:rsidR="000D0D76" w:rsidRDefault="000D0D76" w:rsidP="00E32301">
            <w:pPr>
              <w:pStyle w:val="Footer"/>
              <w:jc w:val="right"/>
            </w:pPr>
            <w:r w:rsidRPr="00F85138">
              <w:rPr>
                <w:b/>
              </w:rPr>
              <w:t>GRF 460.1</w:t>
            </w:r>
            <w:r>
              <w:rPr>
                <w:b/>
              </w:rPr>
              <w:t>_G</w:t>
            </w:r>
            <w:r w:rsidRPr="00F85138">
              <w:rPr>
                <w:b/>
              </w:rPr>
              <w:t xml:space="preserve"> - </w:t>
            </w:r>
            <w:r w:rsidRPr="00F85138">
              <w:rPr>
                <w:b/>
                <w:bCs/>
              </w:rPr>
              <w:fldChar w:fldCharType="begin"/>
            </w:r>
            <w:r w:rsidRPr="00F85138">
              <w:rPr>
                <w:b/>
                <w:bCs/>
              </w:rPr>
              <w:instrText xml:space="preserve"> PAGE </w:instrText>
            </w:r>
            <w:r w:rsidRPr="00F85138">
              <w:rPr>
                <w:b/>
                <w:bCs/>
              </w:rPr>
              <w:fldChar w:fldCharType="separate"/>
            </w:r>
            <w:r w:rsidR="006B1843">
              <w:rPr>
                <w:b/>
                <w:bCs/>
                <w:noProof/>
              </w:rPr>
              <w:t>8</w:t>
            </w:r>
            <w:r w:rsidRPr="00F85138">
              <w:rPr>
                <w:b/>
                <w:bCs/>
              </w:rPr>
              <w:fldChar w:fldCharType="end"/>
            </w:r>
          </w:p>
        </w:sdtContent>
      </w:sdt>
    </w:sdtContent>
  </w:sdt>
  <w:p w:rsidR="000D0D76" w:rsidRDefault="000D0D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136605541"/>
      <w:docPartObj>
        <w:docPartGallery w:val="Page Numbers (Bottom of Page)"/>
        <w:docPartUnique/>
      </w:docPartObj>
    </w:sdtPr>
    <w:sdtEndPr/>
    <w:sdtContent>
      <w:sdt>
        <w:sdtPr>
          <w:rPr>
            <w:b/>
          </w:rPr>
          <w:id w:val="-2015672721"/>
          <w:docPartObj>
            <w:docPartGallery w:val="Page Numbers (Top of Page)"/>
            <w:docPartUnique/>
          </w:docPartObj>
        </w:sdtPr>
        <w:sdtEndPr/>
        <w:sdtContent>
          <w:p w:rsidR="000D0D76" w:rsidRPr="00F85138" w:rsidRDefault="000D0D76">
            <w:pPr>
              <w:pStyle w:val="Footer"/>
              <w:rPr>
                <w:b/>
              </w:rPr>
            </w:pPr>
            <w:r w:rsidRPr="00F85138">
              <w:rPr>
                <w:b/>
              </w:rPr>
              <w:t xml:space="preserve">GRF 460.1 Instructions - </w:t>
            </w:r>
            <w:r w:rsidRPr="00F85138">
              <w:rPr>
                <w:b/>
                <w:bCs/>
              </w:rPr>
              <w:fldChar w:fldCharType="begin"/>
            </w:r>
            <w:r w:rsidRPr="00F85138">
              <w:rPr>
                <w:b/>
                <w:bCs/>
              </w:rPr>
              <w:instrText xml:space="preserve"> PAGE </w:instrText>
            </w:r>
            <w:r w:rsidRPr="00F85138">
              <w:rPr>
                <w:b/>
                <w:bCs/>
              </w:rPr>
              <w:fldChar w:fldCharType="separate"/>
            </w:r>
            <w:r w:rsidR="006B1843">
              <w:rPr>
                <w:b/>
                <w:bCs/>
                <w:noProof/>
              </w:rPr>
              <w:t>8</w:t>
            </w:r>
            <w:r w:rsidRPr="00F85138">
              <w:rPr>
                <w:b/>
                <w:bCs/>
              </w:rPr>
              <w:fldChar w:fldCharType="end"/>
            </w:r>
          </w:p>
        </w:sdtContent>
      </w:sdt>
    </w:sdtContent>
  </w:sdt>
  <w:p w:rsidR="000D0D76" w:rsidRDefault="000D0D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73974"/>
      <w:docPartObj>
        <w:docPartGallery w:val="Page Numbers (Bottom of Page)"/>
        <w:docPartUnique/>
      </w:docPartObj>
    </w:sdtPr>
    <w:sdtEndPr/>
    <w:sdtContent>
      <w:sdt>
        <w:sdtPr>
          <w:rPr>
            <w:b/>
          </w:rPr>
          <w:id w:val="1129047292"/>
          <w:docPartObj>
            <w:docPartGallery w:val="Page Numbers (Top of Page)"/>
            <w:docPartUnique/>
          </w:docPartObj>
        </w:sdtPr>
        <w:sdtEndPr>
          <w:rPr>
            <w:b w:val="0"/>
          </w:rPr>
        </w:sdtEndPr>
        <w:sdtContent>
          <w:p w:rsidR="000D0D76" w:rsidRDefault="000D0D76" w:rsidP="00E32301">
            <w:pPr>
              <w:pStyle w:val="Footer"/>
              <w:jc w:val="right"/>
            </w:pPr>
            <w:r w:rsidRPr="00F85138">
              <w:rPr>
                <w:b/>
              </w:rPr>
              <w:t>GRF 460.1</w:t>
            </w:r>
            <w:r>
              <w:rPr>
                <w:b/>
              </w:rPr>
              <w:t>_G</w:t>
            </w:r>
            <w:r w:rsidRPr="00F85138">
              <w:rPr>
                <w:b/>
              </w:rPr>
              <w:t xml:space="preserve"> </w:t>
            </w:r>
            <w:r>
              <w:rPr>
                <w:b/>
              </w:rPr>
              <w:t xml:space="preserve">Instructions </w:t>
            </w:r>
            <w:r w:rsidRPr="00F85138">
              <w:rPr>
                <w:b/>
              </w:rPr>
              <w:t xml:space="preserve">- </w:t>
            </w:r>
            <w:r w:rsidRPr="00F85138">
              <w:rPr>
                <w:b/>
                <w:bCs/>
              </w:rPr>
              <w:fldChar w:fldCharType="begin"/>
            </w:r>
            <w:r w:rsidRPr="00F85138">
              <w:rPr>
                <w:b/>
                <w:bCs/>
              </w:rPr>
              <w:instrText xml:space="preserve"> PAGE </w:instrText>
            </w:r>
            <w:r w:rsidRPr="00F85138">
              <w:rPr>
                <w:b/>
                <w:bCs/>
              </w:rPr>
              <w:fldChar w:fldCharType="separate"/>
            </w:r>
            <w:r w:rsidR="006B1843">
              <w:rPr>
                <w:b/>
                <w:bCs/>
                <w:noProof/>
              </w:rPr>
              <w:t>8</w:t>
            </w:r>
            <w:r w:rsidRPr="00F85138">
              <w:rPr>
                <w:b/>
                <w:bCs/>
              </w:rPr>
              <w:fldChar w:fldCharType="end"/>
            </w:r>
          </w:p>
        </w:sdtContent>
      </w:sdt>
    </w:sdtContent>
  </w:sdt>
  <w:p w:rsidR="000D0D76" w:rsidRDefault="000D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76" w:rsidRDefault="000D0D76" w:rsidP="0090207E">
      <w:r>
        <w:separator/>
      </w:r>
    </w:p>
  </w:footnote>
  <w:footnote w:type="continuationSeparator" w:id="0">
    <w:p w:rsidR="000D0D76" w:rsidRDefault="000D0D76" w:rsidP="0090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Pr="00C000B7" w:rsidRDefault="000D0D76" w:rsidP="00962D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Pr="00C442D2" w:rsidRDefault="000D0D76" w:rsidP="000D0D76">
    <w:pPr>
      <w:pStyle w:val="Header"/>
      <w:jc w:val="right"/>
    </w:pPr>
    <w:r w:rsidRPr="00C442D2">
      <w:ptab w:relativeTo="margin" w:alignment="center" w:leader="none"/>
    </w:r>
    <w:r w:rsidRPr="00C442D2">
      <w:ptab w:relativeTo="margin" w:alignment="right" w:leader="none"/>
    </w:r>
    <w:r w:rsidRPr="00C442D2">
      <w:t>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Pr="00141499" w:rsidRDefault="000D0D76" w:rsidP="000D0D76">
    <w:pPr>
      <w:pStyle w:val="Header"/>
      <w:jc w:val="right"/>
    </w:pPr>
    <w:r w:rsidRPr="00141499">
      <w:t>December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Default="000D0D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Pr="003D3858" w:rsidRDefault="000D0D76" w:rsidP="000D0D76">
    <w:pPr>
      <w:pStyle w:val="Header"/>
      <w:jc w:val="right"/>
    </w:pPr>
    <w:r>
      <w:t>December 2013</w:t>
    </w:r>
  </w:p>
  <w:p w:rsidR="000D0D76" w:rsidRPr="00665727" w:rsidRDefault="000D0D76" w:rsidP="000D0D7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6" w:rsidRDefault="000D0D76" w:rsidP="000D0D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692F6"/>
    <w:lvl w:ilvl="0">
      <w:start w:val="1"/>
      <w:numFmt w:val="lowerLetter"/>
      <w:pStyle w:val="ListNumber5"/>
      <w:lvlText w:val="%1."/>
      <w:lvlJc w:val="left"/>
      <w:pPr>
        <w:ind w:left="1492" w:hanging="360"/>
      </w:pPr>
    </w:lvl>
  </w:abstractNum>
  <w:abstractNum w:abstractNumId="1">
    <w:nsid w:val="FFFFFF7D"/>
    <w:multiLevelType w:val="singleLevel"/>
    <w:tmpl w:val="E4901F6C"/>
    <w:lvl w:ilvl="0">
      <w:start w:val="1"/>
      <w:numFmt w:val="lowerRoman"/>
      <w:pStyle w:val="ListNumber4"/>
      <w:lvlText w:val="%1."/>
      <w:lvlJc w:val="right"/>
      <w:pPr>
        <w:ind w:left="1209" w:hanging="360"/>
      </w:pPr>
    </w:lvl>
  </w:abstractNum>
  <w:abstractNum w:abstractNumId="2">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nsid w:val="FFFFFF80"/>
    <w:multiLevelType w:val="singleLevel"/>
    <w:tmpl w:val="A07AE4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D8A4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87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AE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9">
    <w:nsid w:val="FFFFFF89"/>
    <w:multiLevelType w:val="singleLevel"/>
    <w:tmpl w:val="0C09000F"/>
    <w:lvl w:ilvl="0">
      <w:start w:val="1"/>
      <w:numFmt w:val="decimal"/>
      <w:lvlText w:val="%1."/>
      <w:lvlJc w:val="left"/>
      <w:pPr>
        <w:ind w:left="360" w:hanging="360"/>
      </w:pPr>
      <w:rPr>
        <w:rFonts w:hint="default"/>
      </w:rPr>
    </w:lvl>
  </w:abstractNum>
  <w:abstractNum w:abstractNumId="10">
    <w:nsid w:val="09150E52"/>
    <w:multiLevelType w:val="hybridMultilevel"/>
    <w:tmpl w:val="1CF2D258"/>
    <w:lvl w:ilvl="0" w:tplc="1E24B42C">
      <w:start w:val="1"/>
      <w:numFmt w:val="lowerLetter"/>
      <w:lvlText w:val="(%1)"/>
      <w:lvlJc w:val="left"/>
      <w:pPr>
        <w:ind w:left="1287" w:hanging="360"/>
      </w:pPr>
      <w:rPr>
        <w:rFonts w:ascii="Times New Roman" w:hAnsi="Times New Roman" w:hint="default"/>
        <w:b w:val="0"/>
        <w:i w:val="0"/>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0DB57F05"/>
    <w:multiLevelType w:val="multilevel"/>
    <w:tmpl w:val="0C09001F"/>
    <w:numStyleLink w:val="111111"/>
  </w:abstractNum>
  <w:abstractNum w:abstractNumId="12">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49D4D38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1353F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7803E8"/>
    <w:multiLevelType w:val="multilevel"/>
    <w:tmpl w:val="0C09001F"/>
    <w:numStyleLink w:val="111111"/>
  </w:abstractNum>
  <w:abstractNum w:abstractNumId="15">
    <w:nsid w:val="157B52D2"/>
    <w:multiLevelType w:val="hybridMultilevel"/>
    <w:tmpl w:val="2E3AC27C"/>
    <w:lvl w:ilvl="0" w:tplc="92100808">
      <w:start w:val="1"/>
      <w:numFmt w:val="lowerLetter"/>
      <w:lvlText w:val="(%1)"/>
      <w:lvlJc w:val="left"/>
      <w:pPr>
        <w:ind w:left="1287" w:hanging="360"/>
      </w:pPr>
      <w:rPr>
        <w:rFonts w:hint="default"/>
        <w:sz w:val="22"/>
        <w:szCs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1BED1B71"/>
    <w:multiLevelType w:val="hybridMultilevel"/>
    <w:tmpl w:val="32FAE6A0"/>
    <w:lvl w:ilvl="0" w:tplc="02C21A02">
      <w:start w:val="1"/>
      <w:numFmt w:val="decimal"/>
      <w:lvlText w:val="%1."/>
      <w:lvlJc w:val="left"/>
      <w:pPr>
        <w:ind w:left="1211" w:hanging="360"/>
      </w:pPr>
      <w:rPr>
        <w:rFonts w:ascii="Times New Roman" w:hAnsi="Times New Roman" w:cs="Times New Roman" w:hint="default"/>
        <w:b w:val="0"/>
        <w:sz w:val="24"/>
        <w:szCs w:val="24"/>
      </w:rPr>
    </w:lvl>
    <w:lvl w:ilvl="1" w:tplc="ACEC76DE">
      <w:start w:val="1"/>
      <w:numFmt w:val="lowerLetter"/>
      <w:lvlText w:val="(%2)"/>
      <w:lvlJc w:val="left"/>
      <w:pPr>
        <w:ind w:left="928"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nsid w:val="1E1409B1"/>
    <w:multiLevelType w:val="multilevel"/>
    <w:tmpl w:val="0C09001F"/>
    <w:numStyleLink w:val="111111"/>
  </w:abstractNum>
  <w:abstractNum w:abstractNumId="18">
    <w:nsid w:val="1F693F2E"/>
    <w:multiLevelType w:val="hybridMultilevel"/>
    <w:tmpl w:val="A476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DD169F"/>
    <w:multiLevelType w:val="hybridMultilevel"/>
    <w:tmpl w:val="22FA3938"/>
    <w:lvl w:ilvl="0" w:tplc="1DFE0F2A">
      <w:start w:val="1"/>
      <w:numFmt w:val="lowerLetter"/>
      <w:lvlText w:val="(%1)"/>
      <w:lvlJc w:val="left"/>
      <w:pPr>
        <w:ind w:left="1287"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073334"/>
    <w:multiLevelType w:val="hybridMultilevel"/>
    <w:tmpl w:val="0BB6B2C2"/>
    <w:lvl w:ilvl="0" w:tplc="19623CE4">
      <w:start w:val="1"/>
      <w:numFmt w:val="lowerLetter"/>
      <w:lvlText w:val="(%1)"/>
      <w:lvlJc w:val="left"/>
      <w:pPr>
        <w:tabs>
          <w:tab w:val="num" w:pos="1134"/>
        </w:tabs>
        <w:ind w:left="1134" w:hanging="567"/>
      </w:pPr>
      <w:rPr>
        <w:rFonts w:hint="default"/>
      </w:rPr>
    </w:lvl>
    <w:lvl w:ilvl="1" w:tplc="4FC6CD72">
      <w:start w:val="1"/>
      <w:numFmt w:val="lowerLetter"/>
      <w:lvlText w:val="(%2)"/>
      <w:lvlJc w:val="left"/>
      <w:pPr>
        <w:tabs>
          <w:tab w:val="num" w:pos="1135"/>
        </w:tabs>
        <w:ind w:left="1135"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00E1983"/>
    <w:multiLevelType w:val="multilevel"/>
    <w:tmpl w:val="0C09001F"/>
    <w:numStyleLink w:val="111111"/>
  </w:abstractNum>
  <w:abstractNum w:abstractNumId="23">
    <w:nsid w:val="562E7D1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EA072EC"/>
    <w:multiLevelType w:val="multilevel"/>
    <w:tmpl w:val="331866B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6B5B4576"/>
    <w:multiLevelType w:val="hybridMultilevel"/>
    <w:tmpl w:val="2B3C24AA"/>
    <w:lvl w:ilvl="0" w:tplc="4FC6CD72">
      <w:start w:val="1"/>
      <w:numFmt w:val="lowerLetter"/>
      <w:lvlText w:val="(%1)"/>
      <w:lvlJc w:val="left"/>
      <w:pPr>
        <w:tabs>
          <w:tab w:val="num" w:pos="1135"/>
        </w:tabs>
        <w:ind w:left="1135"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CDF43F9"/>
    <w:multiLevelType w:val="hybridMultilevel"/>
    <w:tmpl w:val="DC2A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5"/>
  </w:num>
  <w:num w:numId="4">
    <w:abstractNumId w:val="10"/>
  </w:num>
  <w:num w:numId="5">
    <w:abstractNumId w:val="25"/>
  </w:num>
  <w:num w:numId="6">
    <w:abstractNumId w:val="13"/>
  </w:num>
  <w:num w:numId="7">
    <w:abstractNumId w:val="11"/>
  </w:num>
  <w:num w:numId="8">
    <w:abstractNumId w:val="26"/>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7"/>
  </w:num>
  <w:num w:numId="22">
    <w:abstractNumId w:val="14"/>
  </w:num>
  <w:num w:numId="23">
    <w:abstractNumId w:val="24"/>
  </w:num>
  <w:num w:numId="24">
    <w:abstractNumId w:val="17"/>
    <w:lvlOverride w:ilvl="0">
      <w:startOverride w:val="1"/>
    </w:lvlOverride>
  </w:num>
  <w:num w:numId="25">
    <w:abstractNumId w:val="8"/>
    <w:lvlOverride w:ilvl="0">
      <w:startOverride w:val="2"/>
    </w:lvlOverride>
    <w:lvlOverride w:ilvl="1">
      <w:startOverride w:val="1"/>
    </w:lvlOverride>
  </w:num>
  <w:num w:numId="26">
    <w:abstractNumId w:val="8"/>
    <w:lvlOverride w:ilvl="0">
      <w:startOverride w:val="2"/>
    </w:lvlOverride>
    <w:lvlOverride w:ilvl="1">
      <w:startOverride w:val="1"/>
    </w:lvlOverride>
  </w:num>
  <w:num w:numId="27">
    <w:abstractNumId w:val="20"/>
  </w:num>
  <w:num w:numId="28">
    <w:abstractNumId w:val="12"/>
  </w:num>
  <w:num w:numId="29">
    <w:abstractNumId w:val="19"/>
  </w:num>
  <w:num w:numId="30">
    <w:abstractNumId w:val="18"/>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8E"/>
    <w:rsid w:val="000152CE"/>
    <w:rsid w:val="00020AFE"/>
    <w:rsid w:val="00024E8B"/>
    <w:rsid w:val="000312F6"/>
    <w:rsid w:val="000511D1"/>
    <w:rsid w:val="00064CD5"/>
    <w:rsid w:val="00067989"/>
    <w:rsid w:val="0009622C"/>
    <w:rsid w:val="000A5F23"/>
    <w:rsid w:val="000D0D76"/>
    <w:rsid w:val="000E1425"/>
    <w:rsid w:val="000F2096"/>
    <w:rsid w:val="000F2CA0"/>
    <w:rsid w:val="000F345F"/>
    <w:rsid w:val="000F3F02"/>
    <w:rsid w:val="00115093"/>
    <w:rsid w:val="00115A68"/>
    <w:rsid w:val="0012092B"/>
    <w:rsid w:val="001209E6"/>
    <w:rsid w:val="0012429B"/>
    <w:rsid w:val="00126634"/>
    <w:rsid w:val="001377D5"/>
    <w:rsid w:val="0015165F"/>
    <w:rsid w:val="00162F8B"/>
    <w:rsid w:val="00184511"/>
    <w:rsid w:val="00186F73"/>
    <w:rsid w:val="00192E50"/>
    <w:rsid w:val="00194461"/>
    <w:rsid w:val="001B031A"/>
    <w:rsid w:val="001C53B5"/>
    <w:rsid w:val="001D27D0"/>
    <w:rsid w:val="001D4BED"/>
    <w:rsid w:val="001D78A7"/>
    <w:rsid w:val="001E1DA7"/>
    <w:rsid w:val="001E5464"/>
    <w:rsid w:val="00215F2B"/>
    <w:rsid w:val="00226B5E"/>
    <w:rsid w:val="00235826"/>
    <w:rsid w:val="00240721"/>
    <w:rsid w:val="00247444"/>
    <w:rsid w:val="0026618D"/>
    <w:rsid w:val="002703FB"/>
    <w:rsid w:val="00271EEE"/>
    <w:rsid w:val="002766E5"/>
    <w:rsid w:val="002A1873"/>
    <w:rsid w:val="002B084E"/>
    <w:rsid w:val="002B4361"/>
    <w:rsid w:val="002B56C8"/>
    <w:rsid w:val="002D6983"/>
    <w:rsid w:val="002D7740"/>
    <w:rsid w:val="002E1411"/>
    <w:rsid w:val="002F6EF6"/>
    <w:rsid w:val="002F7E2D"/>
    <w:rsid w:val="003001F8"/>
    <w:rsid w:val="00316D34"/>
    <w:rsid w:val="00327079"/>
    <w:rsid w:val="003304E6"/>
    <w:rsid w:val="00330785"/>
    <w:rsid w:val="00330A55"/>
    <w:rsid w:val="00331EA1"/>
    <w:rsid w:val="00333202"/>
    <w:rsid w:val="00337337"/>
    <w:rsid w:val="00342BAF"/>
    <w:rsid w:val="00343FE3"/>
    <w:rsid w:val="00350927"/>
    <w:rsid w:val="00356617"/>
    <w:rsid w:val="0035692D"/>
    <w:rsid w:val="00376E4B"/>
    <w:rsid w:val="00386F9F"/>
    <w:rsid w:val="0039500C"/>
    <w:rsid w:val="00396B5C"/>
    <w:rsid w:val="003A2603"/>
    <w:rsid w:val="003A47D2"/>
    <w:rsid w:val="003A4A92"/>
    <w:rsid w:val="003B37D7"/>
    <w:rsid w:val="003B4B56"/>
    <w:rsid w:val="003C05D4"/>
    <w:rsid w:val="003C3322"/>
    <w:rsid w:val="003C3FAD"/>
    <w:rsid w:val="003C6BD0"/>
    <w:rsid w:val="003D6DEE"/>
    <w:rsid w:val="003E0659"/>
    <w:rsid w:val="003E39FC"/>
    <w:rsid w:val="003E7D98"/>
    <w:rsid w:val="003F3CCA"/>
    <w:rsid w:val="003F7649"/>
    <w:rsid w:val="00402B24"/>
    <w:rsid w:val="004256EB"/>
    <w:rsid w:val="00444EC8"/>
    <w:rsid w:val="00447CFF"/>
    <w:rsid w:val="00453DD5"/>
    <w:rsid w:val="00454920"/>
    <w:rsid w:val="004554E8"/>
    <w:rsid w:val="00484235"/>
    <w:rsid w:val="00484F36"/>
    <w:rsid w:val="00491D2D"/>
    <w:rsid w:val="004931EC"/>
    <w:rsid w:val="00493CAF"/>
    <w:rsid w:val="004945DA"/>
    <w:rsid w:val="00495B00"/>
    <w:rsid w:val="00497C51"/>
    <w:rsid w:val="004C76D4"/>
    <w:rsid w:val="004D1C22"/>
    <w:rsid w:val="00506564"/>
    <w:rsid w:val="00507E86"/>
    <w:rsid w:val="00516AF3"/>
    <w:rsid w:val="00517597"/>
    <w:rsid w:val="00524F2F"/>
    <w:rsid w:val="00525129"/>
    <w:rsid w:val="00526464"/>
    <w:rsid w:val="0053032F"/>
    <w:rsid w:val="00530969"/>
    <w:rsid w:val="00535C63"/>
    <w:rsid w:val="00535D4C"/>
    <w:rsid w:val="005414B5"/>
    <w:rsid w:val="00543FFF"/>
    <w:rsid w:val="00561A0D"/>
    <w:rsid w:val="005624AB"/>
    <w:rsid w:val="00562A94"/>
    <w:rsid w:val="00567B6D"/>
    <w:rsid w:val="00575189"/>
    <w:rsid w:val="005769EE"/>
    <w:rsid w:val="00584739"/>
    <w:rsid w:val="005872B8"/>
    <w:rsid w:val="00593967"/>
    <w:rsid w:val="005A0832"/>
    <w:rsid w:val="005A3D37"/>
    <w:rsid w:val="005A6A51"/>
    <w:rsid w:val="005B0CDA"/>
    <w:rsid w:val="005B3F82"/>
    <w:rsid w:val="005B497D"/>
    <w:rsid w:val="005C54D4"/>
    <w:rsid w:val="005C7973"/>
    <w:rsid w:val="005D30AC"/>
    <w:rsid w:val="005D65A5"/>
    <w:rsid w:val="005E6F95"/>
    <w:rsid w:val="005F7538"/>
    <w:rsid w:val="005F7C77"/>
    <w:rsid w:val="00607DD0"/>
    <w:rsid w:val="0061766C"/>
    <w:rsid w:val="00621D00"/>
    <w:rsid w:val="0062706D"/>
    <w:rsid w:val="00630E53"/>
    <w:rsid w:val="006322E7"/>
    <w:rsid w:val="006353F8"/>
    <w:rsid w:val="00640523"/>
    <w:rsid w:val="00647EAD"/>
    <w:rsid w:val="00651F74"/>
    <w:rsid w:val="006558A6"/>
    <w:rsid w:val="00665B2B"/>
    <w:rsid w:val="00682CD9"/>
    <w:rsid w:val="00684B76"/>
    <w:rsid w:val="00693228"/>
    <w:rsid w:val="00694E18"/>
    <w:rsid w:val="00697B00"/>
    <w:rsid w:val="006A3919"/>
    <w:rsid w:val="006A6EFB"/>
    <w:rsid w:val="006B0D35"/>
    <w:rsid w:val="006B1843"/>
    <w:rsid w:val="006B218E"/>
    <w:rsid w:val="006B56A6"/>
    <w:rsid w:val="006B7496"/>
    <w:rsid w:val="006B7FAF"/>
    <w:rsid w:val="006C1A98"/>
    <w:rsid w:val="006C2D8D"/>
    <w:rsid w:val="006C5616"/>
    <w:rsid w:val="006D4575"/>
    <w:rsid w:val="006E4E69"/>
    <w:rsid w:val="006E4F31"/>
    <w:rsid w:val="006F2CED"/>
    <w:rsid w:val="006F449B"/>
    <w:rsid w:val="0070032E"/>
    <w:rsid w:val="00700450"/>
    <w:rsid w:val="0070332B"/>
    <w:rsid w:val="0070337A"/>
    <w:rsid w:val="00705127"/>
    <w:rsid w:val="0071429E"/>
    <w:rsid w:val="00721965"/>
    <w:rsid w:val="00723AF4"/>
    <w:rsid w:val="00724C19"/>
    <w:rsid w:val="007254F5"/>
    <w:rsid w:val="00730861"/>
    <w:rsid w:val="00736EA7"/>
    <w:rsid w:val="00737AC5"/>
    <w:rsid w:val="00750475"/>
    <w:rsid w:val="0077251D"/>
    <w:rsid w:val="00772714"/>
    <w:rsid w:val="00775580"/>
    <w:rsid w:val="007766F9"/>
    <w:rsid w:val="00781B65"/>
    <w:rsid w:val="007874DC"/>
    <w:rsid w:val="00787DF7"/>
    <w:rsid w:val="00790083"/>
    <w:rsid w:val="00790DBA"/>
    <w:rsid w:val="007A25C6"/>
    <w:rsid w:val="007A2660"/>
    <w:rsid w:val="007A3061"/>
    <w:rsid w:val="007A7703"/>
    <w:rsid w:val="007A7767"/>
    <w:rsid w:val="007B0036"/>
    <w:rsid w:val="007B0877"/>
    <w:rsid w:val="007B11E4"/>
    <w:rsid w:val="007D5660"/>
    <w:rsid w:val="007E5315"/>
    <w:rsid w:val="007E7BBC"/>
    <w:rsid w:val="007F2CC1"/>
    <w:rsid w:val="007F419C"/>
    <w:rsid w:val="00803528"/>
    <w:rsid w:val="00835768"/>
    <w:rsid w:val="0084158B"/>
    <w:rsid w:val="00842D80"/>
    <w:rsid w:val="00846C4D"/>
    <w:rsid w:val="00861E54"/>
    <w:rsid w:val="008676C0"/>
    <w:rsid w:val="0087026D"/>
    <w:rsid w:val="008718D0"/>
    <w:rsid w:val="00875CA5"/>
    <w:rsid w:val="008925E9"/>
    <w:rsid w:val="00892B6B"/>
    <w:rsid w:val="00894FF9"/>
    <w:rsid w:val="00896CD8"/>
    <w:rsid w:val="00896FB1"/>
    <w:rsid w:val="008B1B02"/>
    <w:rsid w:val="008B3721"/>
    <w:rsid w:val="008C0427"/>
    <w:rsid w:val="008D201B"/>
    <w:rsid w:val="008D3C4C"/>
    <w:rsid w:val="008F16E5"/>
    <w:rsid w:val="008F4038"/>
    <w:rsid w:val="00900BD1"/>
    <w:rsid w:val="0090150C"/>
    <w:rsid w:val="00901A46"/>
    <w:rsid w:val="0090207E"/>
    <w:rsid w:val="00903E50"/>
    <w:rsid w:val="00904786"/>
    <w:rsid w:val="00905084"/>
    <w:rsid w:val="00910025"/>
    <w:rsid w:val="00910E20"/>
    <w:rsid w:val="00912316"/>
    <w:rsid w:val="00916182"/>
    <w:rsid w:val="0092079E"/>
    <w:rsid w:val="00925C71"/>
    <w:rsid w:val="00933058"/>
    <w:rsid w:val="009423EF"/>
    <w:rsid w:val="0096185C"/>
    <w:rsid w:val="00961900"/>
    <w:rsid w:val="00962DF2"/>
    <w:rsid w:val="00967AFF"/>
    <w:rsid w:val="00970E95"/>
    <w:rsid w:val="00980C33"/>
    <w:rsid w:val="00980CD1"/>
    <w:rsid w:val="00985078"/>
    <w:rsid w:val="0099253D"/>
    <w:rsid w:val="00996062"/>
    <w:rsid w:val="009A027F"/>
    <w:rsid w:val="009A5F57"/>
    <w:rsid w:val="009B6C08"/>
    <w:rsid w:val="009C1E6D"/>
    <w:rsid w:val="009C4C29"/>
    <w:rsid w:val="009C5155"/>
    <w:rsid w:val="009C724D"/>
    <w:rsid w:val="009E2C99"/>
    <w:rsid w:val="009E48C7"/>
    <w:rsid w:val="009F7C9C"/>
    <w:rsid w:val="00A02BFF"/>
    <w:rsid w:val="00A14EDC"/>
    <w:rsid w:val="00A21FD8"/>
    <w:rsid w:val="00A3306D"/>
    <w:rsid w:val="00A352F2"/>
    <w:rsid w:val="00A4179D"/>
    <w:rsid w:val="00A43974"/>
    <w:rsid w:val="00A43CA7"/>
    <w:rsid w:val="00A46DD5"/>
    <w:rsid w:val="00A51988"/>
    <w:rsid w:val="00A56E9D"/>
    <w:rsid w:val="00A66DEE"/>
    <w:rsid w:val="00A730F2"/>
    <w:rsid w:val="00A77904"/>
    <w:rsid w:val="00A84C29"/>
    <w:rsid w:val="00A904CC"/>
    <w:rsid w:val="00A9334B"/>
    <w:rsid w:val="00A97E6C"/>
    <w:rsid w:val="00AA2268"/>
    <w:rsid w:val="00AA2550"/>
    <w:rsid w:val="00AA2C56"/>
    <w:rsid w:val="00AA431C"/>
    <w:rsid w:val="00AA4E8A"/>
    <w:rsid w:val="00AB40E3"/>
    <w:rsid w:val="00AB50C2"/>
    <w:rsid w:val="00AC19F5"/>
    <w:rsid w:val="00AC4DD1"/>
    <w:rsid w:val="00AD62C5"/>
    <w:rsid w:val="00AE41A6"/>
    <w:rsid w:val="00AE4629"/>
    <w:rsid w:val="00AF1DE0"/>
    <w:rsid w:val="00AF4B3A"/>
    <w:rsid w:val="00AF5089"/>
    <w:rsid w:val="00AF6DB7"/>
    <w:rsid w:val="00B028DD"/>
    <w:rsid w:val="00B2468C"/>
    <w:rsid w:val="00B25EC4"/>
    <w:rsid w:val="00B312BB"/>
    <w:rsid w:val="00B40D59"/>
    <w:rsid w:val="00B41DE4"/>
    <w:rsid w:val="00B44398"/>
    <w:rsid w:val="00B46C3F"/>
    <w:rsid w:val="00B477F0"/>
    <w:rsid w:val="00B52964"/>
    <w:rsid w:val="00B6738A"/>
    <w:rsid w:val="00B70368"/>
    <w:rsid w:val="00B73D32"/>
    <w:rsid w:val="00B82936"/>
    <w:rsid w:val="00B91606"/>
    <w:rsid w:val="00B9589C"/>
    <w:rsid w:val="00B96206"/>
    <w:rsid w:val="00BB0250"/>
    <w:rsid w:val="00BC4F7B"/>
    <w:rsid w:val="00BC5F4D"/>
    <w:rsid w:val="00BD0DDE"/>
    <w:rsid w:val="00BD4BF0"/>
    <w:rsid w:val="00BE09F1"/>
    <w:rsid w:val="00BE3B55"/>
    <w:rsid w:val="00BF26E6"/>
    <w:rsid w:val="00C064CB"/>
    <w:rsid w:val="00C25421"/>
    <w:rsid w:val="00C30A03"/>
    <w:rsid w:val="00C332DE"/>
    <w:rsid w:val="00C35BF8"/>
    <w:rsid w:val="00C35FE6"/>
    <w:rsid w:val="00C611E9"/>
    <w:rsid w:val="00C70D64"/>
    <w:rsid w:val="00C71D7E"/>
    <w:rsid w:val="00C73B80"/>
    <w:rsid w:val="00C76128"/>
    <w:rsid w:val="00CA016B"/>
    <w:rsid w:val="00CA1227"/>
    <w:rsid w:val="00CA6FE5"/>
    <w:rsid w:val="00CB17F7"/>
    <w:rsid w:val="00CB3127"/>
    <w:rsid w:val="00CC3EEE"/>
    <w:rsid w:val="00CC51A2"/>
    <w:rsid w:val="00CC6735"/>
    <w:rsid w:val="00CD0A0D"/>
    <w:rsid w:val="00CD2DC6"/>
    <w:rsid w:val="00CE3550"/>
    <w:rsid w:val="00CE7910"/>
    <w:rsid w:val="00CF0F75"/>
    <w:rsid w:val="00CF17A1"/>
    <w:rsid w:val="00CF57AA"/>
    <w:rsid w:val="00CF5F3B"/>
    <w:rsid w:val="00D01408"/>
    <w:rsid w:val="00D12C09"/>
    <w:rsid w:val="00D226B7"/>
    <w:rsid w:val="00D250DA"/>
    <w:rsid w:val="00D54202"/>
    <w:rsid w:val="00D61A44"/>
    <w:rsid w:val="00D63CF6"/>
    <w:rsid w:val="00D715A1"/>
    <w:rsid w:val="00D83C15"/>
    <w:rsid w:val="00D83C67"/>
    <w:rsid w:val="00D85CA2"/>
    <w:rsid w:val="00DA33E0"/>
    <w:rsid w:val="00DB2515"/>
    <w:rsid w:val="00DC2FAA"/>
    <w:rsid w:val="00DD521F"/>
    <w:rsid w:val="00DD54A2"/>
    <w:rsid w:val="00DE0DB4"/>
    <w:rsid w:val="00DE327C"/>
    <w:rsid w:val="00DE71BD"/>
    <w:rsid w:val="00DF02A8"/>
    <w:rsid w:val="00DF321F"/>
    <w:rsid w:val="00DF5370"/>
    <w:rsid w:val="00E14E58"/>
    <w:rsid w:val="00E201CC"/>
    <w:rsid w:val="00E22A96"/>
    <w:rsid w:val="00E259AC"/>
    <w:rsid w:val="00E32301"/>
    <w:rsid w:val="00E35F03"/>
    <w:rsid w:val="00E42F10"/>
    <w:rsid w:val="00E43683"/>
    <w:rsid w:val="00E44295"/>
    <w:rsid w:val="00E60E08"/>
    <w:rsid w:val="00E63AB5"/>
    <w:rsid w:val="00E70D28"/>
    <w:rsid w:val="00E7542B"/>
    <w:rsid w:val="00E75509"/>
    <w:rsid w:val="00E838B6"/>
    <w:rsid w:val="00E842B6"/>
    <w:rsid w:val="00E84353"/>
    <w:rsid w:val="00E87B75"/>
    <w:rsid w:val="00E94F5C"/>
    <w:rsid w:val="00EA2010"/>
    <w:rsid w:val="00EA2565"/>
    <w:rsid w:val="00EA32D0"/>
    <w:rsid w:val="00EC0FAE"/>
    <w:rsid w:val="00EC1FED"/>
    <w:rsid w:val="00EC4955"/>
    <w:rsid w:val="00EC6547"/>
    <w:rsid w:val="00ED2BB7"/>
    <w:rsid w:val="00ED3B18"/>
    <w:rsid w:val="00EE1562"/>
    <w:rsid w:val="00EE1956"/>
    <w:rsid w:val="00EF5BF4"/>
    <w:rsid w:val="00F0040B"/>
    <w:rsid w:val="00F017F6"/>
    <w:rsid w:val="00F04FD5"/>
    <w:rsid w:val="00F0795F"/>
    <w:rsid w:val="00F10210"/>
    <w:rsid w:val="00F1293A"/>
    <w:rsid w:val="00F257FD"/>
    <w:rsid w:val="00F25813"/>
    <w:rsid w:val="00F25F0E"/>
    <w:rsid w:val="00F26297"/>
    <w:rsid w:val="00F3451E"/>
    <w:rsid w:val="00F36940"/>
    <w:rsid w:val="00F44717"/>
    <w:rsid w:val="00F45C26"/>
    <w:rsid w:val="00F4642E"/>
    <w:rsid w:val="00F55713"/>
    <w:rsid w:val="00F559E0"/>
    <w:rsid w:val="00F56FD1"/>
    <w:rsid w:val="00F72B62"/>
    <w:rsid w:val="00F76111"/>
    <w:rsid w:val="00F902D1"/>
    <w:rsid w:val="00FA1EC8"/>
    <w:rsid w:val="00FA7586"/>
    <w:rsid w:val="00FB1365"/>
    <w:rsid w:val="00FB750E"/>
    <w:rsid w:val="00FC00FD"/>
    <w:rsid w:val="00FC2669"/>
    <w:rsid w:val="00FC68D6"/>
    <w:rsid w:val="00FC7AEB"/>
    <w:rsid w:val="00FD4D5C"/>
    <w:rsid w:val="00FD5993"/>
    <w:rsid w:val="00FE54A7"/>
    <w:rsid w:val="00FE5D9E"/>
    <w:rsid w:val="00FF0EB2"/>
    <w:rsid w:val="00FF51CA"/>
    <w:rsid w:val="00FF6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86"/>
    <w:rPr>
      <w:sz w:val="24"/>
      <w:szCs w:val="24"/>
    </w:rPr>
  </w:style>
  <w:style w:type="paragraph" w:styleId="Heading1">
    <w:name w:val="heading 1"/>
    <w:basedOn w:val="Normal"/>
    <w:next w:val="Normal"/>
    <w:link w:val="Heading1Char"/>
    <w:uiPriority w:val="9"/>
    <w:qFormat/>
    <w:rsid w:val="00BE3B55"/>
    <w:pPr>
      <w:keepNext/>
      <w:spacing w:after="240"/>
      <w:outlineLvl w:val="0"/>
    </w:pPr>
    <w:rPr>
      <w:rFonts w:ascii="Arial" w:hAnsi="Arial" w:cs="Arial"/>
      <w:b/>
      <w:bCs/>
      <w:kern w:val="32"/>
      <w:sz w:val="40"/>
      <w:szCs w:val="32"/>
    </w:rPr>
  </w:style>
  <w:style w:type="paragraph" w:styleId="Heading2">
    <w:name w:val="heading 2"/>
    <w:basedOn w:val="Normal"/>
    <w:next w:val="Normal"/>
    <w:link w:val="Heading2Char"/>
    <w:uiPriority w:val="9"/>
    <w:qFormat/>
    <w:rsid w:val="00C73B80"/>
    <w:pPr>
      <w:keepNext/>
      <w:spacing w:after="240"/>
      <w:jc w:val="both"/>
      <w:outlineLvl w:val="1"/>
    </w:pPr>
    <w:rPr>
      <w:rFonts w:ascii="Arial" w:hAnsi="Arial"/>
      <w:b/>
      <w:sz w:val="32"/>
      <w:szCs w:val="20"/>
    </w:rPr>
  </w:style>
  <w:style w:type="paragraph" w:styleId="Heading3">
    <w:name w:val="heading 3"/>
    <w:basedOn w:val="Normal"/>
    <w:next w:val="Normal"/>
    <w:link w:val="Heading3Char"/>
    <w:uiPriority w:val="9"/>
    <w:qFormat/>
    <w:rsid w:val="00C73B80"/>
    <w:pPr>
      <w:keepNext/>
      <w:spacing w:after="240"/>
      <w:outlineLvl w:val="2"/>
    </w:pPr>
    <w:rPr>
      <w:rFonts w:ascii="Arial" w:hAnsi="Arial" w:cs="Arial"/>
      <w:b/>
      <w:bCs/>
      <w:szCs w:val="26"/>
    </w:rPr>
  </w:style>
  <w:style w:type="paragraph" w:styleId="Heading4">
    <w:name w:val="heading 4"/>
    <w:basedOn w:val="Heading3"/>
    <w:next w:val="Normal"/>
    <w:link w:val="Heading4Char"/>
    <w:uiPriority w:val="9"/>
    <w:unhideWhenUsed/>
    <w:qFormat/>
    <w:rsid w:val="00E32301"/>
    <w:pPr>
      <w:keepLines/>
      <w:spacing w:before="200" w:after="200" w:line="360" w:lineRule="auto"/>
      <w:contextualSpacing/>
      <w:outlineLvl w:val="3"/>
    </w:pPr>
    <w:rPr>
      <w:rFonts w:ascii="Trebuchet MS" w:eastAsiaTheme="majorEastAsia" w:hAnsi="Trebuchet MS" w:cstheme="majorBidi"/>
      <w:bCs w:val="0"/>
      <w:iCs/>
      <w:kern w:val="28"/>
      <w:sz w:val="28"/>
      <w:lang w:eastAsia="en-US"/>
    </w:rPr>
  </w:style>
  <w:style w:type="paragraph" w:styleId="Heading5">
    <w:name w:val="heading 5"/>
    <w:basedOn w:val="Heading4"/>
    <w:next w:val="Normal"/>
    <w:link w:val="Heading5Char"/>
    <w:uiPriority w:val="9"/>
    <w:unhideWhenUsed/>
    <w:qFormat/>
    <w:rsid w:val="00E32301"/>
    <w:pPr>
      <w:spacing w:before="120"/>
      <w:outlineLvl w:val="4"/>
    </w:pPr>
    <w:rPr>
      <w:sz w:val="24"/>
    </w:rPr>
  </w:style>
  <w:style w:type="paragraph" w:styleId="Heading6">
    <w:name w:val="heading 6"/>
    <w:basedOn w:val="Heading5"/>
    <w:next w:val="Normal"/>
    <w:link w:val="Heading6Char"/>
    <w:uiPriority w:val="9"/>
    <w:unhideWhenUsed/>
    <w:qFormat/>
    <w:rsid w:val="00E32301"/>
    <w:pPr>
      <w:outlineLvl w:val="5"/>
    </w:pPr>
    <w:rPr>
      <w:b w:val="0"/>
      <w:i/>
    </w:rPr>
  </w:style>
  <w:style w:type="paragraph" w:styleId="Heading7">
    <w:name w:val="heading 7"/>
    <w:basedOn w:val="Heading6"/>
    <w:next w:val="Normal"/>
    <w:link w:val="Heading7Char"/>
    <w:uiPriority w:val="9"/>
    <w:semiHidden/>
    <w:unhideWhenUsed/>
    <w:rsid w:val="00E32301"/>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E32301"/>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32301"/>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E5D9E"/>
    <w:rPr>
      <w:sz w:val="16"/>
    </w:rPr>
  </w:style>
  <w:style w:type="paragraph" w:styleId="CommentText">
    <w:name w:val="annotation text"/>
    <w:basedOn w:val="Normal"/>
    <w:link w:val="CommentTextChar"/>
    <w:uiPriority w:val="99"/>
    <w:semiHidden/>
    <w:rsid w:val="00FE5D9E"/>
  </w:style>
  <w:style w:type="paragraph" w:customStyle="1" w:styleId="Heading">
    <w:name w:val="Heading"/>
    <w:basedOn w:val="Normal"/>
    <w:link w:val="HeadingChar"/>
    <w:rsid w:val="00FE5D9E"/>
    <w:rPr>
      <w:b/>
      <w:sz w:val="26"/>
    </w:rPr>
  </w:style>
  <w:style w:type="paragraph" w:customStyle="1" w:styleId="SubHeading">
    <w:name w:val="Sub Heading"/>
    <w:basedOn w:val="Normal"/>
    <w:next w:val="Normal"/>
    <w:rsid w:val="00FE5D9E"/>
    <w:rPr>
      <w:b/>
      <w:lang w:eastAsia="en-US"/>
    </w:rPr>
  </w:style>
  <w:style w:type="character" w:customStyle="1" w:styleId="HeadingChar">
    <w:name w:val="Heading Char"/>
    <w:link w:val="Heading"/>
    <w:rsid w:val="00FE5D9E"/>
    <w:rPr>
      <w:rFonts w:ascii="Trebuchet MS" w:hAnsi="Trebuchet MS"/>
      <w:b/>
      <w:sz w:val="26"/>
      <w:szCs w:val="24"/>
      <w:lang w:val="en-AU" w:eastAsia="en-AU" w:bidi="ar-SA"/>
    </w:rPr>
  </w:style>
  <w:style w:type="paragraph" w:styleId="BalloonText">
    <w:name w:val="Balloon Text"/>
    <w:basedOn w:val="Normal"/>
    <w:link w:val="BalloonTextChar"/>
    <w:uiPriority w:val="99"/>
    <w:semiHidden/>
    <w:rsid w:val="00FE5D9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C00FD"/>
    <w:rPr>
      <w:b/>
      <w:bCs/>
      <w:sz w:val="20"/>
      <w:szCs w:val="20"/>
    </w:rPr>
  </w:style>
  <w:style w:type="paragraph" w:styleId="Header">
    <w:name w:val="header"/>
    <w:basedOn w:val="Normal"/>
    <w:link w:val="HeaderChar"/>
    <w:rsid w:val="003E7D98"/>
    <w:pPr>
      <w:tabs>
        <w:tab w:val="center" w:pos="4153"/>
        <w:tab w:val="right" w:pos="8306"/>
      </w:tabs>
    </w:pPr>
  </w:style>
  <w:style w:type="paragraph" w:styleId="Footer">
    <w:name w:val="footer"/>
    <w:basedOn w:val="Normal"/>
    <w:link w:val="FooterChar"/>
    <w:uiPriority w:val="99"/>
    <w:rsid w:val="003E7D98"/>
    <w:pPr>
      <w:tabs>
        <w:tab w:val="center" w:pos="4153"/>
        <w:tab w:val="right" w:pos="8306"/>
      </w:tabs>
    </w:pPr>
  </w:style>
  <w:style w:type="character" w:customStyle="1" w:styleId="Heading3Char">
    <w:name w:val="Heading 3 Char"/>
    <w:link w:val="Heading3"/>
    <w:uiPriority w:val="9"/>
    <w:rsid w:val="00CB17F7"/>
    <w:rPr>
      <w:rFonts w:ascii="Arial" w:hAnsi="Arial" w:cs="Arial"/>
      <w:b/>
      <w:bCs/>
      <w:sz w:val="24"/>
      <w:szCs w:val="26"/>
      <w:lang w:val="en-AU" w:eastAsia="en-AU" w:bidi="ar-SA"/>
    </w:rPr>
  </w:style>
  <w:style w:type="character" w:styleId="PageNumber">
    <w:name w:val="page number"/>
    <w:basedOn w:val="DefaultParagraphFont"/>
    <w:rsid w:val="00B44398"/>
  </w:style>
  <w:style w:type="paragraph" w:styleId="BodyText">
    <w:name w:val="Body Text"/>
    <w:basedOn w:val="Normal"/>
    <w:link w:val="BodyTextChar"/>
    <w:uiPriority w:val="99"/>
    <w:rsid w:val="00E63AB5"/>
    <w:pPr>
      <w:jc w:val="both"/>
    </w:pPr>
    <w:rPr>
      <w:i/>
      <w:szCs w:val="20"/>
      <w:lang w:val="en-US"/>
    </w:rPr>
  </w:style>
  <w:style w:type="paragraph" w:styleId="BodyText2">
    <w:name w:val="Body Text 2"/>
    <w:basedOn w:val="Normal"/>
    <w:rsid w:val="00E63AB5"/>
    <w:pPr>
      <w:spacing w:before="120"/>
      <w:jc w:val="both"/>
    </w:pPr>
    <w:rPr>
      <w:szCs w:val="20"/>
      <w:lang w:val="en-US"/>
    </w:rPr>
  </w:style>
  <w:style w:type="paragraph" w:customStyle="1" w:styleId="DefinitionTerm">
    <w:name w:val="Definition Term"/>
    <w:basedOn w:val="Normal"/>
    <w:next w:val="Normal"/>
    <w:rsid w:val="00E63AB5"/>
    <w:rPr>
      <w:snapToGrid w:val="0"/>
      <w:szCs w:val="20"/>
      <w:lang w:eastAsia="en-US"/>
    </w:rPr>
  </w:style>
  <w:style w:type="paragraph" w:styleId="Title">
    <w:name w:val="Title"/>
    <w:basedOn w:val="Normal"/>
    <w:next w:val="ActTitle"/>
    <w:link w:val="TitleChar"/>
    <w:uiPriority w:val="10"/>
    <w:qFormat/>
    <w:rsid w:val="00E63AB5"/>
    <w:pPr>
      <w:spacing w:before="480"/>
    </w:pPr>
    <w:rPr>
      <w:rFonts w:ascii="Arial" w:hAnsi="Arial" w:cs="Arial"/>
      <w:b/>
      <w:bCs/>
      <w:sz w:val="40"/>
      <w:szCs w:val="40"/>
      <w:lang w:eastAsia="en-US"/>
    </w:rPr>
  </w:style>
  <w:style w:type="paragraph" w:customStyle="1" w:styleId="ActTitle">
    <w:name w:val="Act Title"/>
    <w:basedOn w:val="Normal"/>
    <w:next w:val="IntroTo"/>
    <w:rsid w:val="00E63AB5"/>
    <w:pPr>
      <w:pBdr>
        <w:bottom w:val="single" w:sz="4" w:space="3" w:color="auto"/>
      </w:pBdr>
      <w:spacing w:before="480" w:after="240"/>
    </w:pPr>
    <w:rPr>
      <w:rFonts w:ascii="Arial" w:hAnsi="Arial"/>
      <w:i/>
      <w:iCs/>
      <w:sz w:val="28"/>
      <w:szCs w:val="20"/>
    </w:rPr>
  </w:style>
  <w:style w:type="paragraph" w:customStyle="1" w:styleId="IP">
    <w:name w:val="IP"/>
    <w:aliases w:val="Interpretation paragraph"/>
    <w:basedOn w:val="Normal"/>
    <w:next w:val="Normal"/>
    <w:rsid w:val="00E63AB5"/>
    <w:pPr>
      <w:keepNext/>
      <w:tabs>
        <w:tab w:val="right" w:pos="794"/>
      </w:tabs>
      <w:spacing w:before="120" w:line="260" w:lineRule="exact"/>
      <w:ind w:left="964" w:hanging="964"/>
      <w:jc w:val="both"/>
    </w:pPr>
    <w:rPr>
      <w:lang w:eastAsia="en-US"/>
    </w:rPr>
  </w:style>
  <w:style w:type="paragraph" w:customStyle="1" w:styleId="definition">
    <w:name w:val="definition"/>
    <w:basedOn w:val="Normal"/>
    <w:rsid w:val="00E63AB5"/>
    <w:pPr>
      <w:spacing w:before="80" w:line="260" w:lineRule="exact"/>
      <w:jc w:val="both"/>
    </w:pPr>
    <w:rPr>
      <w:lang w:eastAsia="en-US"/>
    </w:rPr>
  </w:style>
  <w:style w:type="paragraph" w:customStyle="1" w:styleId="IntroTo">
    <w:name w:val="IntroTo:"/>
    <w:basedOn w:val="Normal"/>
    <w:rsid w:val="00E63AB5"/>
    <w:pPr>
      <w:ind w:left="720" w:hanging="720"/>
    </w:pPr>
    <w:rPr>
      <w:szCs w:val="20"/>
      <w:lang w:eastAsia="en-US"/>
    </w:rPr>
  </w:style>
  <w:style w:type="character" w:customStyle="1" w:styleId="CharSchNo">
    <w:name w:val="CharSchNo"/>
    <w:basedOn w:val="DefaultParagraphFont"/>
    <w:rsid w:val="00E63AB5"/>
  </w:style>
  <w:style w:type="paragraph" w:customStyle="1" w:styleId="Default">
    <w:name w:val="Default"/>
    <w:rsid w:val="00E63AB5"/>
    <w:pPr>
      <w:autoSpaceDE w:val="0"/>
      <w:autoSpaceDN w:val="0"/>
      <w:adjustRightInd w:val="0"/>
    </w:pPr>
    <w:rPr>
      <w:color w:val="000000"/>
      <w:sz w:val="24"/>
      <w:szCs w:val="24"/>
    </w:rPr>
  </w:style>
  <w:style w:type="paragraph" w:styleId="FootnoteText">
    <w:name w:val="footnote text"/>
    <w:basedOn w:val="Normal"/>
    <w:link w:val="FootnoteTextChar"/>
    <w:uiPriority w:val="99"/>
    <w:rsid w:val="00240721"/>
    <w:rPr>
      <w:sz w:val="20"/>
      <w:szCs w:val="20"/>
    </w:rPr>
  </w:style>
  <w:style w:type="character" w:styleId="FootnoteReference">
    <w:name w:val="footnote reference"/>
    <w:uiPriority w:val="99"/>
    <w:rsid w:val="00240721"/>
    <w:rPr>
      <w:vertAlign w:val="superscript"/>
    </w:rPr>
  </w:style>
  <w:style w:type="paragraph" w:customStyle="1" w:styleId="AS">
    <w:name w:val="AS"/>
    <w:aliases w:val="Schedule title Amendment"/>
    <w:basedOn w:val="Normal"/>
    <w:next w:val="Normal"/>
    <w:rsid w:val="009E2C99"/>
    <w:pPr>
      <w:keepNext/>
      <w:autoSpaceDE w:val="0"/>
      <w:autoSpaceDN w:val="0"/>
      <w:spacing w:before="480"/>
      <w:ind w:left="2410" w:hanging="2410"/>
    </w:pPr>
    <w:rPr>
      <w:rFonts w:ascii="Arial" w:hAnsi="Arial" w:cs="Arial"/>
      <w:b/>
      <w:bCs/>
      <w:sz w:val="32"/>
      <w:szCs w:val="32"/>
    </w:rPr>
  </w:style>
  <w:style w:type="paragraph" w:customStyle="1" w:styleId="CharCharCharCharCharChar">
    <w:name w:val="Char Char Char Char Char Char"/>
    <w:basedOn w:val="Normal"/>
    <w:rsid w:val="009E2C99"/>
    <w:pPr>
      <w:spacing w:after="160" w:line="240" w:lineRule="exact"/>
    </w:pPr>
    <w:rPr>
      <w:rFonts w:ascii="Verdana" w:hAnsi="Verdana" w:cs="Verdana"/>
      <w:sz w:val="20"/>
      <w:szCs w:val="20"/>
      <w:lang w:val="en-US" w:eastAsia="en-US"/>
    </w:rPr>
  </w:style>
  <w:style w:type="character" w:customStyle="1" w:styleId="CommentTextChar">
    <w:name w:val="Comment Text Char"/>
    <w:link w:val="CommentText"/>
    <w:uiPriority w:val="99"/>
    <w:semiHidden/>
    <w:rsid w:val="00772714"/>
    <w:rPr>
      <w:sz w:val="24"/>
      <w:szCs w:val="24"/>
    </w:rPr>
  </w:style>
  <w:style w:type="paragraph" w:styleId="ListParagraph">
    <w:name w:val="List Paragraph"/>
    <w:basedOn w:val="Normal"/>
    <w:uiPriority w:val="34"/>
    <w:qFormat/>
    <w:rsid w:val="003E0659"/>
    <w:pPr>
      <w:ind w:left="720"/>
      <w:contextualSpacing/>
    </w:pPr>
    <w:rPr>
      <w:sz w:val="20"/>
      <w:szCs w:val="20"/>
    </w:rPr>
  </w:style>
  <w:style w:type="character" w:customStyle="1" w:styleId="FooterChar">
    <w:name w:val="Footer Char"/>
    <w:link w:val="Footer"/>
    <w:uiPriority w:val="99"/>
    <w:rsid w:val="003C6BD0"/>
    <w:rPr>
      <w:sz w:val="24"/>
      <w:szCs w:val="24"/>
    </w:rPr>
  </w:style>
  <w:style w:type="paragraph" w:styleId="Revision">
    <w:name w:val="Revision"/>
    <w:hidden/>
    <w:uiPriority w:val="99"/>
    <w:semiHidden/>
    <w:rsid w:val="0035692D"/>
    <w:rPr>
      <w:sz w:val="24"/>
      <w:szCs w:val="24"/>
    </w:rPr>
  </w:style>
  <w:style w:type="character" w:customStyle="1" w:styleId="HeaderChar">
    <w:name w:val="Header Char"/>
    <w:link w:val="Header"/>
    <w:rsid w:val="00BD0DDE"/>
    <w:rPr>
      <w:sz w:val="24"/>
      <w:szCs w:val="24"/>
    </w:rPr>
  </w:style>
  <w:style w:type="character" w:customStyle="1" w:styleId="TitleChar">
    <w:name w:val="Title Char"/>
    <w:link w:val="Title"/>
    <w:uiPriority w:val="10"/>
    <w:rsid w:val="00BD0DDE"/>
    <w:rPr>
      <w:rFonts w:ascii="Arial" w:hAnsi="Arial" w:cs="Arial"/>
      <w:b/>
      <w:bCs/>
      <w:sz w:val="40"/>
      <w:szCs w:val="40"/>
      <w:lang w:eastAsia="en-US"/>
    </w:rPr>
  </w:style>
  <w:style w:type="paragraph" w:customStyle="1" w:styleId="IH">
    <w:name w:val="IH"/>
    <w:aliases w:val="Interpretation heading"/>
    <w:basedOn w:val="Normal"/>
    <w:next w:val="Normal"/>
    <w:rsid w:val="00BD0DDE"/>
    <w:pPr>
      <w:keepNext/>
      <w:spacing w:before="480"/>
      <w:ind w:left="964" w:hanging="964"/>
    </w:pPr>
    <w:rPr>
      <w:rFonts w:ascii="Arial" w:hAnsi="Arial"/>
      <w:b/>
      <w:lang w:eastAsia="en-US"/>
    </w:rPr>
  </w:style>
  <w:style w:type="paragraph" w:customStyle="1" w:styleId="ASref">
    <w:name w:val="AS ref"/>
    <w:basedOn w:val="Normal"/>
    <w:next w:val="Normal"/>
    <w:rsid w:val="00BD0DDE"/>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BD0DDE"/>
  </w:style>
  <w:style w:type="numbering" w:styleId="111111">
    <w:name w:val="Outline List 2"/>
    <w:basedOn w:val="NoList"/>
    <w:uiPriority w:val="99"/>
    <w:semiHidden/>
    <w:unhideWhenUsed/>
    <w:rsid w:val="00962DF2"/>
    <w:pPr>
      <w:numPr>
        <w:numId w:val="6"/>
      </w:numPr>
    </w:pPr>
  </w:style>
  <w:style w:type="character" w:customStyle="1" w:styleId="Heading4Char">
    <w:name w:val="Heading 4 Char"/>
    <w:basedOn w:val="DefaultParagraphFont"/>
    <w:link w:val="Heading4"/>
    <w:uiPriority w:val="9"/>
    <w:rsid w:val="00E32301"/>
    <w:rPr>
      <w:rFonts w:ascii="Trebuchet MS" w:eastAsiaTheme="majorEastAsia" w:hAnsi="Trebuchet MS" w:cstheme="majorBidi"/>
      <w:b/>
      <w:iCs/>
      <w:kern w:val="28"/>
      <w:sz w:val="28"/>
      <w:szCs w:val="26"/>
      <w:lang w:eastAsia="en-US"/>
    </w:rPr>
  </w:style>
  <w:style w:type="character" w:customStyle="1" w:styleId="Heading5Char">
    <w:name w:val="Heading 5 Char"/>
    <w:basedOn w:val="DefaultParagraphFont"/>
    <w:link w:val="Heading5"/>
    <w:uiPriority w:val="9"/>
    <w:rsid w:val="00E32301"/>
    <w:rPr>
      <w:rFonts w:ascii="Trebuchet MS" w:eastAsiaTheme="majorEastAsia" w:hAnsi="Trebuchet MS" w:cstheme="majorBidi"/>
      <w:b/>
      <w:iCs/>
      <w:kern w:val="28"/>
      <w:sz w:val="24"/>
      <w:szCs w:val="26"/>
      <w:lang w:eastAsia="en-US"/>
    </w:rPr>
  </w:style>
  <w:style w:type="character" w:customStyle="1" w:styleId="Heading6Char">
    <w:name w:val="Heading 6 Char"/>
    <w:basedOn w:val="DefaultParagraphFont"/>
    <w:link w:val="Heading6"/>
    <w:uiPriority w:val="9"/>
    <w:rsid w:val="00E32301"/>
    <w:rPr>
      <w:rFonts w:ascii="Trebuchet MS" w:eastAsiaTheme="majorEastAsia" w:hAnsi="Trebuchet MS" w:cstheme="majorBidi"/>
      <w:i/>
      <w:iCs/>
      <w:kern w:val="28"/>
      <w:sz w:val="24"/>
      <w:szCs w:val="26"/>
      <w:lang w:eastAsia="en-US"/>
    </w:rPr>
  </w:style>
  <w:style w:type="character" w:customStyle="1" w:styleId="Heading7Char">
    <w:name w:val="Heading 7 Char"/>
    <w:basedOn w:val="DefaultParagraphFont"/>
    <w:link w:val="Heading7"/>
    <w:uiPriority w:val="9"/>
    <w:semiHidden/>
    <w:rsid w:val="00E32301"/>
    <w:rPr>
      <w:rFonts w:ascii="Trebuchet MS" w:eastAsiaTheme="majorEastAsia" w:hAnsi="Trebuchet MS" w:cstheme="majorBidi"/>
      <w:b/>
      <w:iCs/>
      <w:color w:val="404040"/>
      <w:sz w:val="22"/>
      <w:szCs w:val="22"/>
      <w:lang w:eastAsia="en-US"/>
    </w:rPr>
  </w:style>
  <w:style w:type="character" w:customStyle="1" w:styleId="Heading8Char">
    <w:name w:val="Heading 8 Char"/>
    <w:basedOn w:val="DefaultParagraphFont"/>
    <w:link w:val="Heading8"/>
    <w:uiPriority w:val="9"/>
    <w:semiHidden/>
    <w:rsid w:val="00E3230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32301"/>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E32301"/>
    <w:pPr>
      <w:spacing w:after="120"/>
    </w:pPr>
    <w:rPr>
      <w:rFonts w:ascii="Trebuchet MS" w:eastAsiaTheme="minorHAnsi" w:hAnsi="Trebuchet MS"/>
      <w:sz w:val="22"/>
      <w:szCs w:val="22"/>
      <w:lang w:eastAsia="en-US"/>
    </w:rPr>
  </w:style>
  <w:style w:type="character" w:customStyle="1" w:styleId="Heading1Char">
    <w:name w:val="Heading 1 Char"/>
    <w:link w:val="Heading1"/>
    <w:uiPriority w:val="9"/>
    <w:rsid w:val="00E32301"/>
    <w:rPr>
      <w:rFonts w:ascii="Arial" w:hAnsi="Arial" w:cs="Arial"/>
      <w:b/>
      <w:bCs/>
      <w:kern w:val="32"/>
      <w:sz w:val="40"/>
      <w:szCs w:val="32"/>
    </w:rPr>
  </w:style>
  <w:style w:type="character" w:customStyle="1" w:styleId="Heading2Char">
    <w:name w:val="Heading 2 Char"/>
    <w:link w:val="Heading2"/>
    <w:uiPriority w:val="9"/>
    <w:rsid w:val="00E32301"/>
    <w:rPr>
      <w:rFonts w:ascii="Arial" w:hAnsi="Arial"/>
      <w:b/>
      <w:sz w:val="32"/>
    </w:rPr>
  </w:style>
  <w:style w:type="paragraph" w:customStyle="1" w:styleId="Bullet">
    <w:name w:val="Bullet"/>
    <w:basedOn w:val="Normal"/>
    <w:link w:val="BulletChar"/>
    <w:rsid w:val="00E32301"/>
    <w:pPr>
      <w:numPr>
        <w:numId w:val="8"/>
      </w:numPr>
      <w:tabs>
        <w:tab w:val="left" w:pos="1935"/>
      </w:tabs>
      <w:spacing w:before="120"/>
    </w:pPr>
    <w:rPr>
      <w:rFonts w:ascii="Trebuchet MS" w:eastAsia="Calibri" w:hAnsi="Trebuchet MS"/>
      <w:szCs w:val="22"/>
      <w:lang w:eastAsia="en-US"/>
    </w:rPr>
  </w:style>
  <w:style w:type="character" w:customStyle="1" w:styleId="BulletChar">
    <w:name w:val="Bullet Char"/>
    <w:link w:val="Bullet"/>
    <w:rsid w:val="00E32301"/>
    <w:rPr>
      <w:rFonts w:ascii="Trebuchet MS" w:eastAsia="Calibri" w:hAnsi="Trebuchet MS"/>
      <w:sz w:val="24"/>
      <w:szCs w:val="22"/>
      <w:lang w:eastAsia="en-US"/>
    </w:rPr>
  </w:style>
  <w:style w:type="paragraph" w:customStyle="1" w:styleId="Nonchapterheading">
    <w:name w:val="Non chapter heading"/>
    <w:basedOn w:val="Heading5"/>
    <w:link w:val="NonchapterheadingChar"/>
    <w:rsid w:val="00E32301"/>
    <w:pPr>
      <w:spacing w:after="120" w:line="288" w:lineRule="auto"/>
      <w:ind w:left="360" w:hanging="360"/>
    </w:pPr>
    <w:rPr>
      <w:iCs w:val="0"/>
      <w:szCs w:val="22"/>
    </w:rPr>
  </w:style>
  <w:style w:type="character" w:customStyle="1" w:styleId="NonchapterheadingChar">
    <w:name w:val="Non chapter heading Char"/>
    <w:basedOn w:val="Heading5Char"/>
    <w:link w:val="Nonchapterheading"/>
    <w:rsid w:val="00E32301"/>
    <w:rPr>
      <w:rFonts w:ascii="Trebuchet MS" w:eastAsiaTheme="majorEastAsia" w:hAnsi="Trebuchet MS" w:cstheme="majorBidi"/>
      <w:b/>
      <w:iCs w:val="0"/>
      <w:kern w:val="28"/>
      <w:sz w:val="24"/>
      <w:szCs w:val="22"/>
      <w:lang w:eastAsia="en-US"/>
    </w:rPr>
  </w:style>
  <w:style w:type="paragraph" w:customStyle="1" w:styleId="Non-numberedchapterheading">
    <w:name w:val="Non-numbered chapter heading"/>
    <w:basedOn w:val="Heading5"/>
    <w:link w:val="Non-numberedchapterheadingChar"/>
    <w:rsid w:val="00E32301"/>
    <w:pPr>
      <w:spacing w:after="120" w:line="288" w:lineRule="auto"/>
      <w:ind w:left="360" w:hanging="360"/>
    </w:pPr>
    <w:rPr>
      <w:iCs w:val="0"/>
      <w:szCs w:val="22"/>
    </w:rPr>
  </w:style>
  <w:style w:type="character" w:customStyle="1" w:styleId="Non-numberedchapterheadingChar">
    <w:name w:val="Non-numbered chapter heading Char"/>
    <w:basedOn w:val="Heading5Char"/>
    <w:link w:val="Non-numberedchapterheading"/>
    <w:rsid w:val="00E32301"/>
    <w:rPr>
      <w:rFonts w:ascii="Trebuchet MS" w:eastAsiaTheme="majorEastAsia" w:hAnsi="Trebuchet MS" w:cstheme="majorBidi"/>
      <w:b/>
      <w:iCs w:val="0"/>
      <w:kern w:val="28"/>
      <w:sz w:val="24"/>
      <w:szCs w:val="22"/>
      <w:lang w:eastAsia="en-US"/>
    </w:rPr>
  </w:style>
  <w:style w:type="paragraph" w:styleId="TOC1">
    <w:name w:val="toc 1"/>
    <w:basedOn w:val="Normal"/>
    <w:next w:val="Normal"/>
    <w:autoRedefine/>
    <w:uiPriority w:val="39"/>
    <w:unhideWhenUsed/>
    <w:rsid w:val="00E32301"/>
    <w:pPr>
      <w:tabs>
        <w:tab w:val="right" w:leader="dot" w:pos="9016"/>
      </w:tabs>
    </w:pPr>
    <w:rPr>
      <w:rFonts w:ascii="Trebuchet MS" w:eastAsia="Calibri" w:hAnsi="Trebuchet MS"/>
      <w:b/>
      <w:noProof/>
      <w:sz w:val="22"/>
      <w:szCs w:val="22"/>
      <w:lang w:eastAsia="en-US"/>
    </w:rPr>
  </w:style>
  <w:style w:type="paragraph" w:styleId="TOC2">
    <w:name w:val="toc 2"/>
    <w:basedOn w:val="Normal"/>
    <w:next w:val="Normal"/>
    <w:autoRedefine/>
    <w:uiPriority w:val="39"/>
    <w:unhideWhenUsed/>
    <w:rsid w:val="00E32301"/>
    <w:pPr>
      <w:ind w:left="220"/>
    </w:pPr>
    <w:rPr>
      <w:rFonts w:ascii="Trebuchet MS" w:eastAsia="Calibri" w:hAnsi="Trebuchet MS"/>
      <w:b/>
      <w:sz w:val="22"/>
      <w:szCs w:val="22"/>
      <w:lang w:eastAsia="en-US"/>
    </w:rPr>
  </w:style>
  <w:style w:type="paragraph" w:styleId="TOC3">
    <w:name w:val="toc 3"/>
    <w:basedOn w:val="Normal"/>
    <w:next w:val="Normal"/>
    <w:autoRedefine/>
    <w:uiPriority w:val="39"/>
    <w:unhideWhenUsed/>
    <w:rsid w:val="00E32301"/>
    <w:pPr>
      <w:ind w:left="440"/>
    </w:pPr>
    <w:rPr>
      <w:rFonts w:ascii="Trebuchet MS" w:eastAsia="Calibri" w:hAnsi="Trebuchet MS"/>
      <w:sz w:val="22"/>
      <w:szCs w:val="22"/>
      <w:lang w:eastAsia="en-US"/>
    </w:rPr>
  </w:style>
  <w:style w:type="paragraph" w:styleId="TOC4">
    <w:name w:val="toc 4"/>
    <w:basedOn w:val="Normal"/>
    <w:next w:val="Normal"/>
    <w:autoRedefine/>
    <w:uiPriority w:val="39"/>
    <w:unhideWhenUsed/>
    <w:rsid w:val="00E32301"/>
    <w:pPr>
      <w:ind w:left="660"/>
    </w:pPr>
    <w:rPr>
      <w:rFonts w:ascii="Trebuchet MS" w:eastAsia="Calibri" w:hAnsi="Trebuchet MS"/>
      <w:sz w:val="22"/>
      <w:szCs w:val="22"/>
      <w:lang w:eastAsia="en-US"/>
    </w:rPr>
  </w:style>
  <w:style w:type="character" w:customStyle="1" w:styleId="FootnoteTextChar">
    <w:name w:val="Footnote Text Char"/>
    <w:link w:val="FootnoteText"/>
    <w:uiPriority w:val="99"/>
    <w:rsid w:val="00E32301"/>
  </w:style>
  <w:style w:type="paragraph" w:styleId="Subtitle">
    <w:name w:val="Subtitle"/>
    <w:basedOn w:val="Normal"/>
    <w:next w:val="Normal"/>
    <w:link w:val="SubtitleChar"/>
    <w:uiPriority w:val="11"/>
    <w:qFormat/>
    <w:rsid w:val="00E32301"/>
    <w:pPr>
      <w:numPr>
        <w:ilvl w:val="1"/>
      </w:numPr>
    </w:pPr>
    <w:rPr>
      <w:rFonts w:ascii="Trebuchet MS" w:eastAsiaTheme="majorEastAsia" w:hAnsi="Trebuchet MS" w:cstheme="majorBidi"/>
      <w:i/>
      <w:iCs/>
      <w:spacing w:val="15"/>
      <w:sz w:val="22"/>
      <w:lang w:eastAsia="en-US"/>
    </w:rPr>
  </w:style>
  <w:style w:type="character" w:customStyle="1" w:styleId="SubtitleChar">
    <w:name w:val="Subtitle Char"/>
    <w:basedOn w:val="DefaultParagraphFont"/>
    <w:link w:val="Subtitle"/>
    <w:uiPriority w:val="11"/>
    <w:rsid w:val="00E32301"/>
    <w:rPr>
      <w:rFonts w:ascii="Trebuchet MS" w:eastAsiaTheme="majorEastAsia" w:hAnsi="Trebuchet MS" w:cstheme="majorBidi"/>
      <w:i/>
      <w:iCs/>
      <w:spacing w:val="15"/>
      <w:sz w:val="22"/>
      <w:szCs w:val="24"/>
      <w:lang w:eastAsia="en-US"/>
    </w:rPr>
  </w:style>
  <w:style w:type="character" w:styleId="Hyperlink">
    <w:name w:val="Hyperlink"/>
    <w:uiPriority w:val="99"/>
    <w:rsid w:val="00E32301"/>
    <w:rPr>
      <w:rFonts w:ascii="Trebuchet MS" w:hAnsi="Trebuchet MS"/>
      <w:color w:val="0000FF"/>
      <w:sz w:val="22"/>
      <w:u w:val="single"/>
    </w:rPr>
  </w:style>
  <w:style w:type="character" w:styleId="Strong">
    <w:name w:val="Strong"/>
    <w:uiPriority w:val="22"/>
    <w:qFormat/>
    <w:rsid w:val="00E32301"/>
    <w:rPr>
      <w:rFonts w:ascii="Trebuchet MS" w:hAnsi="Trebuchet MS"/>
      <w:b/>
      <w:bCs/>
      <w:sz w:val="22"/>
    </w:rPr>
  </w:style>
  <w:style w:type="character" w:styleId="Emphasis">
    <w:name w:val="Emphasis"/>
    <w:uiPriority w:val="20"/>
    <w:qFormat/>
    <w:rsid w:val="00E32301"/>
    <w:rPr>
      <w:rFonts w:ascii="Trebuchet MS" w:hAnsi="Trebuchet MS"/>
      <w:i/>
      <w:iCs/>
      <w:sz w:val="22"/>
    </w:rPr>
  </w:style>
  <w:style w:type="table" w:styleId="TableGrid">
    <w:name w:val="Table Grid"/>
    <w:basedOn w:val="TableNormal"/>
    <w:uiPriority w:val="59"/>
    <w:rsid w:val="00E32301"/>
    <w:pPr>
      <w:spacing w:after="120"/>
    </w:pPr>
    <w:rPr>
      <w:rFonts w:ascii="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ListNumber3"/>
    <w:link w:val="NumberedListChar"/>
    <w:rsid w:val="00E32301"/>
    <w:pPr>
      <w:numPr>
        <w:numId w:val="21"/>
      </w:numPr>
    </w:pPr>
  </w:style>
  <w:style w:type="paragraph" w:styleId="Quote">
    <w:name w:val="Quote"/>
    <w:basedOn w:val="Normal"/>
    <w:next w:val="Normal"/>
    <w:link w:val="QuoteChar"/>
    <w:uiPriority w:val="29"/>
    <w:qFormat/>
    <w:rsid w:val="00E32301"/>
    <w:rPr>
      <w:rFonts w:ascii="Trebuchet MS" w:eastAsia="Calibri" w:hAnsi="Trebuchet MS"/>
      <w:i/>
      <w:iCs/>
      <w:color w:val="000000"/>
      <w:sz w:val="22"/>
      <w:szCs w:val="22"/>
      <w:lang w:eastAsia="en-US"/>
    </w:rPr>
  </w:style>
  <w:style w:type="character" w:customStyle="1" w:styleId="QuoteChar">
    <w:name w:val="Quote Char"/>
    <w:basedOn w:val="DefaultParagraphFont"/>
    <w:link w:val="Quote"/>
    <w:uiPriority w:val="29"/>
    <w:rsid w:val="00E32301"/>
    <w:rPr>
      <w:rFonts w:ascii="Trebuchet MS" w:eastAsia="Calibri" w:hAnsi="Trebuchet MS"/>
      <w:i/>
      <w:iCs/>
      <w:color w:val="000000"/>
      <w:sz w:val="22"/>
      <w:szCs w:val="22"/>
      <w:lang w:eastAsia="en-US"/>
    </w:rPr>
  </w:style>
  <w:style w:type="paragraph" w:styleId="TOAHeading">
    <w:name w:val="toa heading"/>
    <w:basedOn w:val="Normal"/>
    <w:next w:val="Normal"/>
    <w:uiPriority w:val="99"/>
    <w:semiHidden/>
    <w:unhideWhenUsed/>
    <w:rsid w:val="00E32301"/>
    <w:pPr>
      <w:spacing w:before="120"/>
    </w:pPr>
    <w:rPr>
      <w:rFonts w:ascii="Trebuchet MS" w:eastAsiaTheme="majorEastAsia" w:hAnsi="Trebuchet MS" w:cstheme="majorBidi"/>
      <w:b/>
      <w:bCs/>
      <w:sz w:val="28"/>
      <w:lang w:eastAsia="en-US"/>
    </w:rPr>
  </w:style>
  <w:style w:type="character" w:styleId="IntenseEmphasis">
    <w:name w:val="Intense Emphasis"/>
    <w:uiPriority w:val="21"/>
    <w:qFormat/>
    <w:rsid w:val="00E32301"/>
    <w:rPr>
      <w:rFonts w:ascii="Trebuchet MS" w:hAnsi="Trebuchet MS"/>
      <w:b/>
      <w:bCs/>
      <w:i/>
      <w:iCs/>
      <w:color w:val="000000" w:themeColor="text1"/>
      <w:sz w:val="22"/>
    </w:rPr>
  </w:style>
  <w:style w:type="paragraph" w:styleId="ListBullet">
    <w:name w:val="List Bullet"/>
    <w:basedOn w:val="List"/>
    <w:uiPriority w:val="99"/>
    <w:unhideWhenUsed/>
    <w:qFormat/>
    <w:rsid w:val="00E32301"/>
    <w:pPr>
      <w:numPr>
        <w:numId w:val="27"/>
      </w:numPr>
      <w:contextualSpacing w:val="0"/>
    </w:pPr>
  </w:style>
  <w:style w:type="paragraph" w:styleId="ListNumber2">
    <w:name w:val="List Number 2"/>
    <w:basedOn w:val="Normal"/>
    <w:uiPriority w:val="99"/>
    <w:unhideWhenUsed/>
    <w:rsid w:val="00E32301"/>
    <w:pPr>
      <w:numPr>
        <w:numId w:val="16"/>
      </w:numPr>
      <w:contextualSpacing/>
    </w:pPr>
    <w:rPr>
      <w:rFonts w:ascii="Trebuchet MS" w:eastAsia="Calibri" w:hAnsi="Trebuchet MS"/>
      <w:sz w:val="22"/>
      <w:szCs w:val="22"/>
      <w:lang w:eastAsia="en-US"/>
    </w:rPr>
  </w:style>
  <w:style w:type="paragraph" w:styleId="ListNumber3">
    <w:name w:val="List Number 3"/>
    <w:basedOn w:val="Normal"/>
    <w:link w:val="ListNumber3Char"/>
    <w:uiPriority w:val="99"/>
    <w:unhideWhenUsed/>
    <w:rsid w:val="00E32301"/>
    <w:pPr>
      <w:numPr>
        <w:numId w:val="17"/>
      </w:numPr>
      <w:contextualSpacing/>
    </w:pPr>
    <w:rPr>
      <w:rFonts w:ascii="Trebuchet MS" w:eastAsia="Calibri" w:hAnsi="Trebuchet MS"/>
      <w:sz w:val="22"/>
      <w:szCs w:val="22"/>
      <w:lang w:eastAsia="en-US"/>
    </w:rPr>
  </w:style>
  <w:style w:type="paragraph" w:styleId="ListNumber4">
    <w:name w:val="List Number 4"/>
    <w:basedOn w:val="Normal"/>
    <w:uiPriority w:val="99"/>
    <w:semiHidden/>
    <w:unhideWhenUsed/>
    <w:rsid w:val="00E32301"/>
    <w:pPr>
      <w:numPr>
        <w:numId w:val="18"/>
      </w:numPr>
      <w:contextualSpacing/>
    </w:pPr>
    <w:rPr>
      <w:rFonts w:ascii="Trebuchet MS" w:eastAsia="Calibri" w:hAnsi="Trebuchet MS"/>
      <w:sz w:val="22"/>
      <w:szCs w:val="22"/>
      <w:lang w:eastAsia="en-US"/>
    </w:rPr>
  </w:style>
  <w:style w:type="paragraph" w:styleId="ListNumber5">
    <w:name w:val="List Number 5"/>
    <w:basedOn w:val="Normal"/>
    <w:uiPriority w:val="99"/>
    <w:semiHidden/>
    <w:unhideWhenUsed/>
    <w:rsid w:val="00E32301"/>
    <w:pPr>
      <w:numPr>
        <w:numId w:val="19"/>
      </w:numPr>
      <w:contextualSpacing/>
    </w:pPr>
    <w:rPr>
      <w:rFonts w:ascii="Trebuchet MS" w:eastAsia="Calibri" w:hAnsi="Trebuchet MS"/>
      <w:sz w:val="22"/>
      <w:szCs w:val="22"/>
      <w:lang w:eastAsia="en-US"/>
    </w:rPr>
  </w:style>
  <w:style w:type="paragraph" w:styleId="ListNumber">
    <w:name w:val="List Number"/>
    <w:basedOn w:val="Normal"/>
    <w:uiPriority w:val="99"/>
    <w:unhideWhenUsed/>
    <w:rsid w:val="00E32301"/>
    <w:pPr>
      <w:numPr>
        <w:numId w:val="15"/>
      </w:numPr>
      <w:contextualSpacing/>
    </w:pPr>
    <w:rPr>
      <w:rFonts w:ascii="Trebuchet MS" w:eastAsia="Calibri" w:hAnsi="Trebuchet MS"/>
      <w:sz w:val="22"/>
      <w:szCs w:val="22"/>
      <w:lang w:eastAsia="en-US"/>
    </w:rPr>
  </w:style>
  <w:style w:type="paragraph" w:styleId="List">
    <w:name w:val="List"/>
    <w:basedOn w:val="Normal"/>
    <w:uiPriority w:val="99"/>
    <w:unhideWhenUsed/>
    <w:rsid w:val="00E32301"/>
    <w:pPr>
      <w:ind w:left="283" w:hanging="283"/>
      <w:contextualSpacing/>
    </w:pPr>
    <w:rPr>
      <w:rFonts w:ascii="Trebuchet MS" w:eastAsia="Calibri" w:hAnsi="Trebuchet MS"/>
      <w:sz w:val="22"/>
      <w:szCs w:val="22"/>
      <w:lang w:eastAsia="en-US"/>
    </w:rPr>
  </w:style>
  <w:style w:type="paragraph" w:styleId="List2">
    <w:name w:val="List 2"/>
    <w:basedOn w:val="Normal"/>
    <w:uiPriority w:val="99"/>
    <w:unhideWhenUsed/>
    <w:rsid w:val="00E32301"/>
    <w:pPr>
      <w:ind w:left="566" w:hanging="283"/>
      <w:contextualSpacing/>
    </w:pPr>
    <w:rPr>
      <w:rFonts w:ascii="Trebuchet MS" w:eastAsia="Calibri" w:hAnsi="Trebuchet MS"/>
      <w:sz w:val="22"/>
      <w:szCs w:val="22"/>
      <w:lang w:eastAsia="en-US"/>
    </w:rPr>
  </w:style>
  <w:style w:type="paragraph" w:styleId="List3">
    <w:name w:val="List 3"/>
    <w:basedOn w:val="Normal"/>
    <w:uiPriority w:val="99"/>
    <w:unhideWhenUsed/>
    <w:rsid w:val="00E32301"/>
    <w:pPr>
      <w:ind w:left="849" w:hanging="283"/>
      <w:contextualSpacing/>
    </w:pPr>
    <w:rPr>
      <w:rFonts w:ascii="Trebuchet MS" w:eastAsia="Calibri" w:hAnsi="Trebuchet MS"/>
      <w:sz w:val="22"/>
      <w:szCs w:val="22"/>
      <w:lang w:eastAsia="en-US"/>
    </w:rPr>
  </w:style>
  <w:style w:type="paragraph" w:styleId="List4">
    <w:name w:val="List 4"/>
    <w:basedOn w:val="Normal"/>
    <w:uiPriority w:val="99"/>
    <w:unhideWhenUsed/>
    <w:rsid w:val="00E32301"/>
    <w:pPr>
      <w:ind w:left="1132" w:hanging="283"/>
      <w:contextualSpacing/>
    </w:pPr>
    <w:rPr>
      <w:rFonts w:ascii="Trebuchet MS" w:eastAsia="Calibri" w:hAnsi="Trebuchet MS"/>
      <w:sz w:val="22"/>
      <w:szCs w:val="22"/>
      <w:lang w:eastAsia="en-US"/>
    </w:rPr>
  </w:style>
  <w:style w:type="character" w:customStyle="1" w:styleId="ListNumber3Char">
    <w:name w:val="List Number 3 Char"/>
    <w:basedOn w:val="DefaultParagraphFont"/>
    <w:link w:val="ListNumber3"/>
    <w:uiPriority w:val="99"/>
    <w:rsid w:val="00E32301"/>
    <w:rPr>
      <w:rFonts w:ascii="Trebuchet MS" w:eastAsia="Calibri" w:hAnsi="Trebuchet MS"/>
      <w:sz w:val="22"/>
      <w:szCs w:val="22"/>
      <w:lang w:eastAsia="en-US"/>
    </w:rPr>
  </w:style>
  <w:style w:type="character" w:customStyle="1" w:styleId="NumberedListChar">
    <w:name w:val="Numbered List Char"/>
    <w:basedOn w:val="ListNumber3Char"/>
    <w:link w:val="NumberedList"/>
    <w:rsid w:val="00E32301"/>
    <w:rPr>
      <w:rFonts w:ascii="Trebuchet MS" w:eastAsia="Calibri" w:hAnsi="Trebuchet MS"/>
      <w:sz w:val="22"/>
      <w:szCs w:val="22"/>
      <w:lang w:eastAsia="en-US"/>
    </w:rPr>
  </w:style>
  <w:style w:type="character" w:customStyle="1" w:styleId="BodyTextChar">
    <w:name w:val="Body Text Char"/>
    <w:basedOn w:val="DefaultParagraphFont"/>
    <w:link w:val="BodyText"/>
    <w:uiPriority w:val="99"/>
    <w:rsid w:val="00E32301"/>
    <w:rPr>
      <w:i/>
      <w:sz w:val="24"/>
      <w:lang w:val="en-US"/>
    </w:rPr>
  </w:style>
  <w:style w:type="paragraph" w:styleId="TOCHeading">
    <w:name w:val="TOC Heading"/>
    <w:basedOn w:val="Heading1"/>
    <w:next w:val="Normal"/>
    <w:uiPriority w:val="39"/>
    <w:unhideWhenUsed/>
    <w:qFormat/>
    <w:rsid w:val="00E32301"/>
    <w:pPr>
      <w:keepLines/>
      <w:spacing w:before="480" w:after="0" w:line="360" w:lineRule="auto"/>
      <w:contextualSpacing/>
      <w:outlineLvl w:val="9"/>
    </w:pPr>
    <w:rPr>
      <w:rFonts w:asciiTheme="majorHAnsi" w:eastAsiaTheme="majorEastAsia" w:hAnsiTheme="majorHAnsi" w:cstheme="majorBidi"/>
      <w:kern w:val="0"/>
      <w:sz w:val="36"/>
      <w:szCs w:val="28"/>
      <w:lang w:eastAsia="en-US"/>
    </w:rPr>
  </w:style>
  <w:style w:type="paragraph" w:customStyle="1" w:styleId="TableColumnHeading">
    <w:name w:val="Table Column Heading"/>
    <w:basedOn w:val="Normal"/>
    <w:rsid w:val="00E32301"/>
    <w:pPr>
      <w:widowControl w:val="0"/>
      <w:spacing w:before="120"/>
    </w:pPr>
    <w:rPr>
      <w:rFonts w:ascii="Trebuchet MS" w:eastAsia="Times" w:hAnsi="Trebuchet MS" w:cstheme="majorBidi"/>
      <w:b/>
      <w:iCs/>
      <w:color w:val="000000" w:themeColor="text1"/>
      <w:sz w:val="22"/>
      <w:szCs w:val="20"/>
      <w:lang w:eastAsia="en-US"/>
    </w:rPr>
  </w:style>
  <w:style w:type="paragraph" w:customStyle="1" w:styleId="TableColumnSub-Heading">
    <w:name w:val="Table Column Sub-Heading"/>
    <w:basedOn w:val="Normal"/>
    <w:rsid w:val="00E32301"/>
    <w:pPr>
      <w:keepNext/>
      <w:widowControl w:val="0"/>
      <w:spacing w:before="60" w:after="60"/>
    </w:pPr>
    <w:rPr>
      <w:rFonts w:ascii="Trebuchet MS" w:eastAsia="Calibri" w:hAnsi="Trebuchet MS" w:cstheme="minorBidi"/>
      <w:b/>
      <w:sz w:val="20"/>
      <w:szCs w:val="22"/>
      <w:lang w:eastAsia="en-US"/>
    </w:rPr>
  </w:style>
  <w:style w:type="paragraph" w:customStyle="1" w:styleId="TableRowHeading">
    <w:name w:val="Table Row Heading"/>
    <w:basedOn w:val="Normal"/>
    <w:rsid w:val="00E32301"/>
    <w:pPr>
      <w:keepNext/>
      <w:widowControl w:val="0"/>
      <w:spacing w:before="120"/>
    </w:pPr>
    <w:rPr>
      <w:rFonts w:ascii="Trebuchet MS" w:eastAsia="Calibri" w:hAnsi="Trebuchet MS"/>
      <w:b/>
      <w:i/>
      <w:sz w:val="20"/>
      <w:szCs w:val="22"/>
    </w:rPr>
  </w:style>
  <w:style w:type="table" w:customStyle="1" w:styleId="APRAWorkingPaperTable">
    <w:name w:val="APRA Working Paper Table"/>
    <w:basedOn w:val="TableNormal"/>
    <w:uiPriority w:val="99"/>
    <w:rsid w:val="00E32301"/>
    <w:rPr>
      <w:rFonts w:ascii="Trebuchet MS" w:eastAsiaTheme="minorHAnsi" w:hAnsi="Trebuchet MS"/>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BalloonTextChar">
    <w:name w:val="Balloon Text Char"/>
    <w:basedOn w:val="DefaultParagraphFont"/>
    <w:link w:val="BalloonText"/>
    <w:uiPriority w:val="99"/>
    <w:semiHidden/>
    <w:rsid w:val="00E32301"/>
    <w:rPr>
      <w:rFonts w:ascii="Tahoma" w:hAnsi="Tahoma" w:cs="Tahoma"/>
      <w:sz w:val="16"/>
      <w:szCs w:val="16"/>
    </w:rPr>
  </w:style>
  <w:style w:type="character" w:styleId="FollowedHyperlink">
    <w:name w:val="FollowedHyperlink"/>
    <w:basedOn w:val="DefaultParagraphFont"/>
    <w:uiPriority w:val="99"/>
    <w:semiHidden/>
    <w:unhideWhenUsed/>
    <w:rsid w:val="00E32301"/>
    <w:rPr>
      <w:color w:val="800080" w:themeColor="followedHyperlink"/>
      <w:u w:val="single"/>
    </w:rPr>
  </w:style>
  <w:style w:type="character" w:styleId="SubtleEmphasis">
    <w:name w:val="Subtle Emphasis"/>
    <w:basedOn w:val="DefaultParagraphFont"/>
    <w:uiPriority w:val="19"/>
    <w:qFormat/>
    <w:rsid w:val="00E32301"/>
    <w:rPr>
      <w:i/>
      <w:iCs/>
      <w:color w:val="808080" w:themeColor="text1" w:themeTint="7F"/>
    </w:rPr>
  </w:style>
  <w:style w:type="character" w:styleId="PlaceholderText">
    <w:name w:val="Placeholder Text"/>
    <w:basedOn w:val="DefaultParagraphFont"/>
    <w:uiPriority w:val="99"/>
    <w:semiHidden/>
    <w:rsid w:val="00E32301"/>
    <w:rPr>
      <w:color w:val="808080"/>
    </w:rPr>
  </w:style>
  <w:style w:type="character" w:customStyle="1" w:styleId="CommentSubjectChar">
    <w:name w:val="Comment Subject Char"/>
    <w:basedOn w:val="CommentTextChar"/>
    <w:link w:val="CommentSubject"/>
    <w:uiPriority w:val="99"/>
    <w:semiHidden/>
    <w:rsid w:val="00E3230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86"/>
    <w:rPr>
      <w:sz w:val="24"/>
      <w:szCs w:val="24"/>
    </w:rPr>
  </w:style>
  <w:style w:type="paragraph" w:styleId="Heading1">
    <w:name w:val="heading 1"/>
    <w:basedOn w:val="Normal"/>
    <w:next w:val="Normal"/>
    <w:link w:val="Heading1Char"/>
    <w:uiPriority w:val="9"/>
    <w:qFormat/>
    <w:rsid w:val="00BE3B55"/>
    <w:pPr>
      <w:keepNext/>
      <w:spacing w:after="240"/>
      <w:outlineLvl w:val="0"/>
    </w:pPr>
    <w:rPr>
      <w:rFonts w:ascii="Arial" w:hAnsi="Arial" w:cs="Arial"/>
      <w:b/>
      <w:bCs/>
      <w:kern w:val="32"/>
      <w:sz w:val="40"/>
      <w:szCs w:val="32"/>
    </w:rPr>
  </w:style>
  <w:style w:type="paragraph" w:styleId="Heading2">
    <w:name w:val="heading 2"/>
    <w:basedOn w:val="Normal"/>
    <w:next w:val="Normal"/>
    <w:link w:val="Heading2Char"/>
    <w:uiPriority w:val="9"/>
    <w:qFormat/>
    <w:rsid w:val="00C73B80"/>
    <w:pPr>
      <w:keepNext/>
      <w:spacing w:after="240"/>
      <w:jc w:val="both"/>
      <w:outlineLvl w:val="1"/>
    </w:pPr>
    <w:rPr>
      <w:rFonts w:ascii="Arial" w:hAnsi="Arial"/>
      <w:b/>
      <w:sz w:val="32"/>
      <w:szCs w:val="20"/>
    </w:rPr>
  </w:style>
  <w:style w:type="paragraph" w:styleId="Heading3">
    <w:name w:val="heading 3"/>
    <w:basedOn w:val="Normal"/>
    <w:next w:val="Normal"/>
    <w:link w:val="Heading3Char"/>
    <w:uiPriority w:val="9"/>
    <w:qFormat/>
    <w:rsid w:val="00C73B80"/>
    <w:pPr>
      <w:keepNext/>
      <w:spacing w:after="240"/>
      <w:outlineLvl w:val="2"/>
    </w:pPr>
    <w:rPr>
      <w:rFonts w:ascii="Arial" w:hAnsi="Arial" w:cs="Arial"/>
      <w:b/>
      <w:bCs/>
      <w:szCs w:val="26"/>
    </w:rPr>
  </w:style>
  <w:style w:type="paragraph" w:styleId="Heading4">
    <w:name w:val="heading 4"/>
    <w:basedOn w:val="Heading3"/>
    <w:next w:val="Normal"/>
    <w:link w:val="Heading4Char"/>
    <w:uiPriority w:val="9"/>
    <w:unhideWhenUsed/>
    <w:qFormat/>
    <w:rsid w:val="00E32301"/>
    <w:pPr>
      <w:keepLines/>
      <w:spacing w:before="200" w:after="200" w:line="360" w:lineRule="auto"/>
      <w:contextualSpacing/>
      <w:outlineLvl w:val="3"/>
    </w:pPr>
    <w:rPr>
      <w:rFonts w:ascii="Trebuchet MS" w:eastAsiaTheme="majorEastAsia" w:hAnsi="Trebuchet MS" w:cstheme="majorBidi"/>
      <w:bCs w:val="0"/>
      <w:iCs/>
      <w:kern w:val="28"/>
      <w:sz w:val="28"/>
      <w:lang w:eastAsia="en-US"/>
    </w:rPr>
  </w:style>
  <w:style w:type="paragraph" w:styleId="Heading5">
    <w:name w:val="heading 5"/>
    <w:basedOn w:val="Heading4"/>
    <w:next w:val="Normal"/>
    <w:link w:val="Heading5Char"/>
    <w:uiPriority w:val="9"/>
    <w:unhideWhenUsed/>
    <w:qFormat/>
    <w:rsid w:val="00E32301"/>
    <w:pPr>
      <w:spacing w:before="120"/>
      <w:outlineLvl w:val="4"/>
    </w:pPr>
    <w:rPr>
      <w:sz w:val="24"/>
    </w:rPr>
  </w:style>
  <w:style w:type="paragraph" w:styleId="Heading6">
    <w:name w:val="heading 6"/>
    <w:basedOn w:val="Heading5"/>
    <w:next w:val="Normal"/>
    <w:link w:val="Heading6Char"/>
    <w:uiPriority w:val="9"/>
    <w:unhideWhenUsed/>
    <w:qFormat/>
    <w:rsid w:val="00E32301"/>
    <w:pPr>
      <w:outlineLvl w:val="5"/>
    </w:pPr>
    <w:rPr>
      <w:b w:val="0"/>
      <w:i/>
    </w:rPr>
  </w:style>
  <w:style w:type="paragraph" w:styleId="Heading7">
    <w:name w:val="heading 7"/>
    <w:basedOn w:val="Heading6"/>
    <w:next w:val="Normal"/>
    <w:link w:val="Heading7Char"/>
    <w:uiPriority w:val="9"/>
    <w:semiHidden/>
    <w:unhideWhenUsed/>
    <w:rsid w:val="00E32301"/>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E32301"/>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32301"/>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E5D9E"/>
    <w:rPr>
      <w:sz w:val="16"/>
    </w:rPr>
  </w:style>
  <w:style w:type="paragraph" w:styleId="CommentText">
    <w:name w:val="annotation text"/>
    <w:basedOn w:val="Normal"/>
    <w:link w:val="CommentTextChar"/>
    <w:uiPriority w:val="99"/>
    <w:semiHidden/>
    <w:rsid w:val="00FE5D9E"/>
  </w:style>
  <w:style w:type="paragraph" w:customStyle="1" w:styleId="Heading">
    <w:name w:val="Heading"/>
    <w:basedOn w:val="Normal"/>
    <w:link w:val="HeadingChar"/>
    <w:rsid w:val="00FE5D9E"/>
    <w:rPr>
      <w:b/>
      <w:sz w:val="26"/>
    </w:rPr>
  </w:style>
  <w:style w:type="paragraph" w:customStyle="1" w:styleId="SubHeading">
    <w:name w:val="Sub Heading"/>
    <w:basedOn w:val="Normal"/>
    <w:next w:val="Normal"/>
    <w:rsid w:val="00FE5D9E"/>
    <w:rPr>
      <w:b/>
      <w:lang w:eastAsia="en-US"/>
    </w:rPr>
  </w:style>
  <w:style w:type="character" w:customStyle="1" w:styleId="HeadingChar">
    <w:name w:val="Heading Char"/>
    <w:link w:val="Heading"/>
    <w:rsid w:val="00FE5D9E"/>
    <w:rPr>
      <w:rFonts w:ascii="Trebuchet MS" w:hAnsi="Trebuchet MS"/>
      <w:b/>
      <w:sz w:val="26"/>
      <w:szCs w:val="24"/>
      <w:lang w:val="en-AU" w:eastAsia="en-AU" w:bidi="ar-SA"/>
    </w:rPr>
  </w:style>
  <w:style w:type="paragraph" w:styleId="BalloonText">
    <w:name w:val="Balloon Text"/>
    <w:basedOn w:val="Normal"/>
    <w:link w:val="BalloonTextChar"/>
    <w:uiPriority w:val="99"/>
    <w:semiHidden/>
    <w:rsid w:val="00FE5D9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C00FD"/>
    <w:rPr>
      <w:b/>
      <w:bCs/>
      <w:sz w:val="20"/>
      <w:szCs w:val="20"/>
    </w:rPr>
  </w:style>
  <w:style w:type="paragraph" w:styleId="Header">
    <w:name w:val="header"/>
    <w:basedOn w:val="Normal"/>
    <w:link w:val="HeaderChar"/>
    <w:rsid w:val="003E7D98"/>
    <w:pPr>
      <w:tabs>
        <w:tab w:val="center" w:pos="4153"/>
        <w:tab w:val="right" w:pos="8306"/>
      </w:tabs>
    </w:pPr>
  </w:style>
  <w:style w:type="paragraph" w:styleId="Footer">
    <w:name w:val="footer"/>
    <w:basedOn w:val="Normal"/>
    <w:link w:val="FooterChar"/>
    <w:uiPriority w:val="99"/>
    <w:rsid w:val="003E7D98"/>
    <w:pPr>
      <w:tabs>
        <w:tab w:val="center" w:pos="4153"/>
        <w:tab w:val="right" w:pos="8306"/>
      </w:tabs>
    </w:pPr>
  </w:style>
  <w:style w:type="character" w:customStyle="1" w:styleId="Heading3Char">
    <w:name w:val="Heading 3 Char"/>
    <w:link w:val="Heading3"/>
    <w:uiPriority w:val="9"/>
    <w:rsid w:val="00CB17F7"/>
    <w:rPr>
      <w:rFonts w:ascii="Arial" w:hAnsi="Arial" w:cs="Arial"/>
      <w:b/>
      <w:bCs/>
      <w:sz w:val="24"/>
      <w:szCs w:val="26"/>
      <w:lang w:val="en-AU" w:eastAsia="en-AU" w:bidi="ar-SA"/>
    </w:rPr>
  </w:style>
  <w:style w:type="character" w:styleId="PageNumber">
    <w:name w:val="page number"/>
    <w:basedOn w:val="DefaultParagraphFont"/>
    <w:rsid w:val="00B44398"/>
  </w:style>
  <w:style w:type="paragraph" w:styleId="BodyText">
    <w:name w:val="Body Text"/>
    <w:basedOn w:val="Normal"/>
    <w:link w:val="BodyTextChar"/>
    <w:uiPriority w:val="99"/>
    <w:rsid w:val="00E63AB5"/>
    <w:pPr>
      <w:jc w:val="both"/>
    </w:pPr>
    <w:rPr>
      <w:i/>
      <w:szCs w:val="20"/>
      <w:lang w:val="en-US"/>
    </w:rPr>
  </w:style>
  <w:style w:type="paragraph" w:styleId="BodyText2">
    <w:name w:val="Body Text 2"/>
    <w:basedOn w:val="Normal"/>
    <w:rsid w:val="00E63AB5"/>
    <w:pPr>
      <w:spacing w:before="120"/>
      <w:jc w:val="both"/>
    </w:pPr>
    <w:rPr>
      <w:szCs w:val="20"/>
      <w:lang w:val="en-US"/>
    </w:rPr>
  </w:style>
  <w:style w:type="paragraph" w:customStyle="1" w:styleId="DefinitionTerm">
    <w:name w:val="Definition Term"/>
    <w:basedOn w:val="Normal"/>
    <w:next w:val="Normal"/>
    <w:rsid w:val="00E63AB5"/>
    <w:rPr>
      <w:snapToGrid w:val="0"/>
      <w:szCs w:val="20"/>
      <w:lang w:eastAsia="en-US"/>
    </w:rPr>
  </w:style>
  <w:style w:type="paragraph" w:styleId="Title">
    <w:name w:val="Title"/>
    <w:basedOn w:val="Normal"/>
    <w:next w:val="ActTitle"/>
    <w:link w:val="TitleChar"/>
    <w:uiPriority w:val="10"/>
    <w:qFormat/>
    <w:rsid w:val="00E63AB5"/>
    <w:pPr>
      <w:spacing w:before="480"/>
    </w:pPr>
    <w:rPr>
      <w:rFonts w:ascii="Arial" w:hAnsi="Arial" w:cs="Arial"/>
      <w:b/>
      <w:bCs/>
      <w:sz w:val="40"/>
      <w:szCs w:val="40"/>
      <w:lang w:eastAsia="en-US"/>
    </w:rPr>
  </w:style>
  <w:style w:type="paragraph" w:customStyle="1" w:styleId="ActTitle">
    <w:name w:val="Act Title"/>
    <w:basedOn w:val="Normal"/>
    <w:next w:val="IntroTo"/>
    <w:rsid w:val="00E63AB5"/>
    <w:pPr>
      <w:pBdr>
        <w:bottom w:val="single" w:sz="4" w:space="3" w:color="auto"/>
      </w:pBdr>
      <w:spacing w:before="480" w:after="240"/>
    </w:pPr>
    <w:rPr>
      <w:rFonts w:ascii="Arial" w:hAnsi="Arial"/>
      <w:i/>
      <w:iCs/>
      <w:sz w:val="28"/>
      <w:szCs w:val="20"/>
    </w:rPr>
  </w:style>
  <w:style w:type="paragraph" w:customStyle="1" w:styleId="IP">
    <w:name w:val="IP"/>
    <w:aliases w:val="Interpretation paragraph"/>
    <w:basedOn w:val="Normal"/>
    <w:next w:val="Normal"/>
    <w:rsid w:val="00E63AB5"/>
    <w:pPr>
      <w:keepNext/>
      <w:tabs>
        <w:tab w:val="right" w:pos="794"/>
      </w:tabs>
      <w:spacing w:before="120" w:line="260" w:lineRule="exact"/>
      <w:ind w:left="964" w:hanging="964"/>
      <w:jc w:val="both"/>
    </w:pPr>
    <w:rPr>
      <w:lang w:eastAsia="en-US"/>
    </w:rPr>
  </w:style>
  <w:style w:type="paragraph" w:customStyle="1" w:styleId="definition">
    <w:name w:val="definition"/>
    <w:basedOn w:val="Normal"/>
    <w:rsid w:val="00E63AB5"/>
    <w:pPr>
      <w:spacing w:before="80" w:line="260" w:lineRule="exact"/>
      <w:jc w:val="both"/>
    </w:pPr>
    <w:rPr>
      <w:lang w:eastAsia="en-US"/>
    </w:rPr>
  </w:style>
  <w:style w:type="paragraph" w:customStyle="1" w:styleId="IntroTo">
    <w:name w:val="IntroTo:"/>
    <w:basedOn w:val="Normal"/>
    <w:rsid w:val="00E63AB5"/>
    <w:pPr>
      <w:ind w:left="720" w:hanging="720"/>
    </w:pPr>
    <w:rPr>
      <w:szCs w:val="20"/>
      <w:lang w:eastAsia="en-US"/>
    </w:rPr>
  </w:style>
  <w:style w:type="character" w:customStyle="1" w:styleId="CharSchNo">
    <w:name w:val="CharSchNo"/>
    <w:basedOn w:val="DefaultParagraphFont"/>
    <w:rsid w:val="00E63AB5"/>
  </w:style>
  <w:style w:type="paragraph" w:customStyle="1" w:styleId="Default">
    <w:name w:val="Default"/>
    <w:rsid w:val="00E63AB5"/>
    <w:pPr>
      <w:autoSpaceDE w:val="0"/>
      <w:autoSpaceDN w:val="0"/>
      <w:adjustRightInd w:val="0"/>
    </w:pPr>
    <w:rPr>
      <w:color w:val="000000"/>
      <w:sz w:val="24"/>
      <w:szCs w:val="24"/>
    </w:rPr>
  </w:style>
  <w:style w:type="paragraph" w:styleId="FootnoteText">
    <w:name w:val="footnote text"/>
    <w:basedOn w:val="Normal"/>
    <w:link w:val="FootnoteTextChar"/>
    <w:uiPriority w:val="99"/>
    <w:rsid w:val="00240721"/>
    <w:rPr>
      <w:sz w:val="20"/>
      <w:szCs w:val="20"/>
    </w:rPr>
  </w:style>
  <w:style w:type="character" w:styleId="FootnoteReference">
    <w:name w:val="footnote reference"/>
    <w:uiPriority w:val="99"/>
    <w:rsid w:val="00240721"/>
    <w:rPr>
      <w:vertAlign w:val="superscript"/>
    </w:rPr>
  </w:style>
  <w:style w:type="paragraph" w:customStyle="1" w:styleId="AS">
    <w:name w:val="AS"/>
    <w:aliases w:val="Schedule title Amendment"/>
    <w:basedOn w:val="Normal"/>
    <w:next w:val="Normal"/>
    <w:rsid w:val="009E2C99"/>
    <w:pPr>
      <w:keepNext/>
      <w:autoSpaceDE w:val="0"/>
      <w:autoSpaceDN w:val="0"/>
      <w:spacing w:before="480"/>
      <w:ind w:left="2410" w:hanging="2410"/>
    </w:pPr>
    <w:rPr>
      <w:rFonts w:ascii="Arial" w:hAnsi="Arial" w:cs="Arial"/>
      <w:b/>
      <w:bCs/>
      <w:sz w:val="32"/>
      <w:szCs w:val="32"/>
    </w:rPr>
  </w:style>
  <w:style w:type="paragraph" w:customStyle="1" w:styleId="CharCharCharCharCharChar">
    <w:name w:val="Char Char Char Char Char Char"/>
    <w:basedOn w:val="Normal"/>
    <w:rsid w:val="009E2C99"/>
    <w:pPr>
      <w:spacing w:after="160" w:line="240" w:lineRule="exact"/>
    </w:pPr>
    <w:rPr>
      <w:rFonts w:ascii="Verdana" w:hAnsi="Verdana" w:cs="Verdana"/>
      <w:sz w:val="20"/>
      <w:szCs w:val="20"/>
      <w:lang w:val="en-US" w:eastAsia="en-US"/>
    </w:rPr>
  </w:style>
  <w:style w:type="character" w:customStyle="1" w:styleId="CommentTextChar">
    <w:name w:val="Comment Text Char"/>
    <w:link w:val="CommentText"/>
    <w:uiPriority w:val="99"/>
    <w:semiHidden/>
    <w:rsid w:val="00772714"/>
    <w:rPr>
      <w:sz w:val="24"/>
      <w:szCs w:val="24"/>
    </w:rPr>
  </w:style>
  <w:style w:type="paragraph" w:styleId="ListParagraph">
    <w:name w:val="List Paragraph"/>
    <w:basedOn w:val="Normal"/>
    <w:uiPriority w:val="34"/>
    <w:qFormat/>
    <w:rsid w:val="003E0659"/>
    <w:pPr>
      <w:ind w:left="720"/>
      <w:contextualSpacing/>
    </w:pPr>
    <w:rPr>
      <w:sz w:val="20"/>
      <w:szCs w:val="20"/>
    </w:rPr>
  </w:style>
  <w:style w:type="character" w:customStyle="1" w:styleId="FooterChar">
    <w:name w:val="Footer Char"/>
    <w:link w:val="Footer"/>
    <w:uiPriority w:val="99"/>
    <w:rsid w:val="003C6BD0"/>
    <w:rPr>
      <w:sz w:val="24"/>
      <w:szCs w:val="24"/>
    </w:rPr>
  </w:style>
  <w:style w:type="paragraph" w:styleId="Revision">
    <w:name w:val="Revision"/>
    <w:hidden/>
    <w:uiPriority w:val="99"/>
    <w:semiHidden/>
    <w:rsid w:val="0035692D"/>
    <w:rPr>
      <w:sz w:val="24"/>
      <w:szCs w:val="24"/>
    </w:rPr>
  </w:style>
  <w:style w:type="character" w:customStyle="1" w:styleId="HeaderChar">
    <w:name w:val="Header Char"/>
    <w:link w:val="Header"/>
    <w:rsid w:val="00BD0DDE"/>
    <w:rPr>
      <w:sz w:val="24"/>
      <w:szCs w:val="24"/>
    </w:rPr>
  </w:style>
  <w:style w:type="character" w:customStyle="1" w:styleId="TitleChar">
    <w:name w:val="Title Char"/>
    <w:link w:val="Title"/>
    <w:uiPriority w:val="10"/>
    <w:rsid w:val="00BD0DDE"/>
    <w:rPr>
      <w:rFonts w:ascii="Arial" w:hAnsi="Arial" w:cs="Arial"/>
      <w:b/>
      <w:bCs/>
      <w:sz w:val="40"/>
      <w:szCs w:val="40"/>
      <w:lang w:eastAsia="en-US"/>
    </w:rPr>
  </w:style>
  <w:style w:type="paragraph" w:customStyle="1" w:styleId="IH">
    <w:name w:val="IH"/>
    <w:aliases w:val="Interpretation heading"/>
    <w:basedOn w:val="Normal"/>
    <w:next w:val="Normal"/>
    <w:rsid w:val="00BD0DDE"/>
    <w:pPr>
      <w:keepNext/>
      <w:spacing w:before="480"/>
      <w:ind w:left="964" w:hanging="964"/>
    </w:pPr>
    <w:rPr>
      <w:rFonts w:ascii="Arial" w:hAnsi="Arial"/>
      <w:b/>
      <w:lang w:eastAsia="en-US"/>
    </w:rPr>
  </w:style>
  <w:style w:type="paragraph" w:customStyle="1" w:styleId="ASref">
    <w:name w:val="AS ref"/>
    <w:basedOn w:val="Normal"/>
    <w:next w:val="Normal"/>
    <w:rsid w:val="00BD0DDE"/>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BD0DDE"/>
  </w:style>
  <w:style w:type="numbering" w:styleId="111111">
    <w:name w:val="Outline List 2"/>
    <w:basedOn w:val="NoList"/>
    <w:uiPriority w:val="99"/>
    <w:semiHidden/>
    <w:unhideWhenUsed/>
    <w:rsid w:val="00962DF2"/>
    <w:pPr>
      <w:numPr>
        <w:numId w:val="6"/>
      </w:numPr>
    </w:pPr>
  </w:style>
  <w:style w:type="character" w:customStyle="1" w:styleId="Heading4Char">
    <w:name w:val="Heading 4 Char"/>
    <w:basedOn w:val="DefaultParagraphFont"/>
    <w:link w:val="Heading4"/>
    <w:uiPriority w:val="9"/>
    <w:rsid w:val="00E32301"/>
    <w:rPr>
      <w:rFonts w:ascii="Trebuchet MS" w:eastAsiaTheme="majorEastAsia" w:hAnsi="Trebuchet MS" w:cstheme="majorBidi"/>
      <w:b/>
      <w:iCs/>
      <w:kern w:val="28"/>
      <w:sz w:val="28"/>
      <w:szCs w:val="26"/>
      <w:lang w:eastAsia="en-US"/>
    </w:rPr>
  </w:style>
  <w:style w:type="character" w:customStyle="1" w:styleId="Heading5Char">
    <w:name w:val="Heading 5 Char"/>
    <w:basedOn w:val="DefaultParagraphFont"/>
    <w:link w:val="Heading5"/>
    <w:uiPriority w:val="9"/>
    <w:rsid w:val="00E32301"/>
    <w:rPr>
      <w:rFonts w:ascii="Trebuchet MS" w:eastAsiaTheme="majorEastAsia" w:hAnsi="Trebuchet MS" w:cstheme="majorBidi"/>
      <w:b/>
      <w:iCs/>
      <w:kern w:val="28"/>
      <w:sz w:val="24"/>
      <w:szCs w:val="26"/>
      <w:lang w:eastAsia="en-US"/>
    </w:rPr>
  </w:style>
  <w:style w:type="character" w:customStyle="1" w:styleId="Heading6Char">
    <w:name w:val="Heading 6 Char"/>
    <w:basedOn w:val="DefaultParagraphFont"/>
    <w:link w:val="Heading6"/>
    <w:uiPriority w:val="9"/>
    <w:rsid w:val="00E32301"/>
    <w:rPr>
      <w:rFonts w:ascii="Trebuchet MS" w:eastAsiaTheme="majorEastAsia" w:hAnsi="Trebuchet MS" w:cstheme="majorBidi"/>
      <w:i/>
      <w:iCs/>
      <w:kern w:val="28"/>
      <w:sz w:val="24"/>
      <w:szCs w:val="26"/>
      <w:lang w:eastAsia="en-US"/>
    </w:rPr>
  </w:style>
  <w:style w:type="character" w:customStyle="1" w:styleId="Heading7Char">
    <w:name w:val="Heading 7 Char"/>
    <w:basedOn w:val="DefaultParagraphFont"/>
    <w:link w:val="Heading7"/>
    <w:uiPriority w:val="9"/>
    <w:semiHidden/>
    <w:rsid w:val="00E32301"/>
    <w:rPr>
      <w:rFonts w:ascii="Trebuchet MS" w:eastAsiaTheme="majorEastAsia" w:hAnsi="Trebuchet MS" w:cstheme="majorBidi"/>
      <w:b/>
      <w:iCs/>
      <w:color w:val="404040"/>
      <w:sz w:val="22"/>
      <w:szCs w:val="22"/>
      <w:lang w:eastAsia="en-US"/>
    </w:rPr>
  </w:style>
  <w:style w:type="character" w:customStyle="1" w:styleId="Heading8Char">
    <w:name w:val="Heading 8 Char"/>
    <w:basedOn w:val="DefaultParagraphFont"/>
    <w:link w:val="Heading8"/>
    <w:uiPriority w:val="9"/>
    <w:semiHidden/>
    <w:rsid w:val="00E3230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32301"/>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E32301"/>
    <w:pPr>
      <w:spacing w:after="120"/>
    </w:pPr>
    <w:rPr>
      <w:rFonts w:ascii="Trebuchet MS" w:eastAsiaTheme="minorHAnsi" w:hAnsi="Trebuchet MS"/>
      <w:sz w:val="22"/>
      <w:szCs w:val="22"/>
      <w:lang w:eastAsia="en-US"/>
    </w:rPr>
  </w:style>
  <w:style w:type="character" w:customStyle="1" w:styleId="Heading1Char">
    <w:name w:val="Heading 1 Char"/>
    <w:link w:val="Heading1"/>
    <w:uiPriority w:val="9"/>
    <w:rsid w:val="00E32301"/>
    <w:rPr>
      <w:rFonts w:ascii="Arial" w:hAnsi="Arial" w:cs="Arial"/>
      <w:b/>
      <w:bCs/>
      <w:kern w:val="32"/>
      <w:sz w:val="40"/>
      <w:szCs w:val="32"/>
    </w:rPr>
  </w:style>
  <w:style w:type="character" w:customStyle="1" w:styleId="Heading2Char">
    <w:name w:val="Heading 2 Char"/>
    <w:link w:val="Heading2"/>
    <w:uiPriority w:val="9"/>
    <w:rsid w:val="00E32301"/>
    <w:rPr>
      <w:rFonts w:ascii="Arial" w:hAnsi="Arial"/>
      <w:b/>
      <w:sz w:val="32"/>
    </w:rPr>
  </w:style>
  <w:style w:type="paragraph" w:customStyle="1" w:styleId="Bullet">
    <w:name w:val="Bullet"/>
    <w:basedOn w:val="Normal"/>
    <w:link w:val="BulletChar"/>
    <w:rsid w:val="00E32301"/>
    <w:pPr>
      <w:numPr>
        <w:numId w:val="8"/>
      </w:numPr>
      <w:tabs>
        <w:tab w:val="left" w:pos="1935"/>
      </w:tabs>
      <w:spacing w:before="120"/>
    </w:pPr>
    <w:rPr>
      <w:rFonts w:ascii="Trebuchet MS" w:eastAsia="Calibri" w:hAnsi="Trebuchet MS"/>
      <w:szCs w:val="22"/>
      <w:lang w:eastAsia="en-US"/>
    </w:rPr>
  </w:style>
  <w:style w:type="character" w:customStyle="1" w:styleId="BulletChar">
    <w:name w:val="Bullet Char"/>
    <w:link w:val="Bullet"/>
    <w:rsid w:val="00E32301"/>
    <w:rPr>
      <w:rFonts w:ascii="Trebuchet MS" w:eastAsia="Calibri" w:hAnsi="Trebuchet MS"/>
      <w:sz w:val="24"/>
      <w:szCs w:val="22"/>
      <w:lang w:eastAsia="en-US"/>
    </w:rPr>
  </w:style>
  <w:style w:type="paragraph" w:customStyle="1" w:styleId="Nonchapterheading">
    <w:name w:val="Non chapter heading"/>
    <w:basedOn w:val="Heading5"/>
    <w:link w:val="NonchapterheadingChar"/>
    <w:rsid w:val="00E32301"/>
    <w:pPr>
      <w:spacing w:after="120" w:line="288" w:lineRule="auto"/>
      <w:ind w:left="360" w:hanging="360"/>
    </w:pPr>
    <w:rPr>
      <w:iCs w:val="0"/>
      <w:szCs w:val="22"/>
    </w:rPr>
  </w:style>
  <w:style w:type="character" w:customStyle="1" w:styleId="NonchapterheadingChar">
    <w:name w:val="Non chapter heading Char"/>
    <w:basedOn w:val="Heading5Char"/>
    <w:link w:val="Nonchapterheading"/>
    <w:rsid w:val="00E32301"/>
    <w:rPr>
      <w:rFonts w:ascii="Trebuchet MS" w:eastAsiaTheme="majorEastAsia" w:hAnsi="Trebuchet MS" w:cstheme="majorBidi"/>
      <w:b/>
      <w:iCs w:val="0"/>
      <w:kern w:val="28"/>
      <w:sz w:val="24"/>
      <w:szCs w:val="22"/>
      <w:lang w:eastAsia="en-US"/>
    </w:rPr>
  </w:style>
  <w:style w:type="paragraph" w:customStyle="1" w:styleId="Non-numberedchapterheading">
    <w:name w:val="Non-numbered chapter heading"/>
    <w:basedOn w:val="Heading5"/>
    <w:link w:val="Non-numberedchapterheadingChar"/>
    <w:rsid w:val="00E32301"/>
    <w:pPr>
      <w:spacing w:after="120" w:line="288" w:lineRule="auto"/>
      <w:ind w:left="360" w:hanging="360"/>
    </w:pPr>
    <w:rPr>
      <w:iCs w:val="0"/>
      <w:szCs w:val="22"/>
    </w:rPr>
  </w:style>
  <w:style w:type="character" w:customStyle="1" w:styleId="Non-numberedchapterheadingChar">
    <w:name w:val="Non-numbered chapter heading Char"/>
    <w:basedOn w:val="Heading5Char"/>
    <w:link w:val="Non-numberedchapterheading"/>
    <w:rsid w:val="00E32301"/>
    <w:rPr>
      <w:rFonts w:ascii="Trebuchet MS" w:eastAsiaTheme="majorEastAsia" w:hAnsi="Trebuchet MS" w:cstheme="majorBidi"/>
      <w:b/>
      <w:iCs w:val="0"/>
      <w:kern w:val="28"/>
      <w:sz w:val="24"/>
      <w:szCs w:val="22"/>
      <w:lang w:eastAsia="en-US"/>
    </w:rPr>
  </w:style>
  <w:style w:type="paragraph" w:styleId="TOC1">
    <w:name w:val="toc 1"/>
    <w:basedOn w:val="Normal"/>
    <w:next w:val="Normal"/>
    <w:autoRedefine/>
    <w:uiPriority w:val="39"/>
    <w:unhideWhenUsed/>
    <w:rsid w:val="00E32301"/>
    <w:pPr>
      <w:tabs>
        <w:tab w:val="right" w:leader="dot" w:pos="9016"/>
      </w:tabs>
    </w:pPr>
    <w:rPr>
      <w:rFonts w:ascii="Trebuchet MS" w:eastAsia="Calibri" w:hAnsi="Trebuchet MS"/>
      <w:b/>
      <w:noProof/>
      <w:sz w:val="22"/>
      <w:szCs w:val="22"/>
      <w:lang w:eastAsia="en-US"/>
    </w:rPr>
  </w:style>
  <w:style w:type="paragraph" w:styleId="TOC2">
    <w:name w:val="toc 2"/>
    <w:basedOn w:val="Normal"/>
    <w:next w:val="Normal"/>
    <w:autoRedefine/>
    <w:uiPriority w:val="39"/>
    <w:unhideWhenUsed/>
    <w:rsid w:val="00E32301"/>
    <w:pPr>
      <w:ind w:left="220"/>
    </w:pPr>
    <w:rPr>
      <w:rFonts w:ascii="Trebuchet MS" w:eastAsia="Calibri" w:hAnsi="Trebuchet MS"/>
      <w:b/>
      <w:sz w:val="22"/>
      <w:szCs w:val="22"/>
      <w:lang w:eastAsia="en-US"/>
    </w:rPr>
  </w:style>
  <w:style w:type="paragraph" w:styleId="TOC3">
    <w:name w:val="toc 3"/>
    <w:basedOn w:val="Normal"/>
    <w:next w:val="Normal"/>
    <w:autoRedefine/>
    <w:uiPriority w:val="39"/>
    <w:unhideWhenUsed/>
    <w:rsid w:val="00E32301"/>
    <w:pPr>
      <w:ind w:left="440"/>
    </w:pPr>
    <w:rPr>
      <w:rFonts w:ascii="Trebuchet MS" w:eastAsia="Calibri" w:hAnsi="Trebuchet MS"/>
      <w:sz w:val="22"/>
      <w:szCs w:val="22"/>
      <w:lang w:eastAsia="en-US"/>
    </w:rPr>
  </w:style>
  <w:style w:type="paragraph" w:styleId="TOC4">
    <w:name w:val="toc 4"/>
    <w:basedOn w:val="Normal"/>
    <w:next w:val="Normal"/>
    <w:autoRedefine/>
    <w:uiPriority w:val="39"/>
    <w:unhideWhenUsed/>
    <w:rsid w:val="00E32301"/>
    <w:pPr>
      <w:ind w:left="660"/>
    </w:pPr>
    <w:rPr>
      <w:rFonts w:ascii="Trebuchet MS" w:eastAsia="Calibri" w:hAnsi="Trebuchet MS"/>
      <w:sz w:val="22"/>
      <w:szCs w:val="22"/>
      <w:lang w:eastAsia="en-US"/>
    </w:rPr>
  </w:style>
  <w:style w:type="character" w:customStyle="1" w:styleId="FootnoteTextChar">
    <w:name w:val="Footnote Text Char"/>
    <w:link w:val="FootnoteText"/>
    <w:uiPriority w:val="99"/>
    <w:rsid w:val="00E32301"/>
  </w:style>
  <w:style w:type="paragraph" w:styleId="Subtitle">
    <w:name w:val="Subtitle"/>
    <w:basedOn w:val="Normal"/>
    <w:next w:val="Normal"/>
    <w:link w:val="SubtitleChar"/>
    <w:uiPriority w:val="11"/>
    <w:qFormat/>
    <w:rsid w:val="00E32301"/>
    <w:pPr>
      <w:numPr>
        <w:ilvl w:val="1"/>
      </w:numPr>
    </w:pPr>
    <w:rPr>
      <w:rFonts w:ascii="Trebuchet MS" w:eastAsiaTheme="majorEastAsia" w:hAnsi="Trebuchet MS" w:cstheme="majorBidi"/>
      <w:i/>
      <w:iCs/>
      <w:spacing w:val="15"/>
      <w:sz w:val="22"/>
      <w:lang w:eastAsia="en-US"/>
    </w:rPr>
  </w:style>
  <w:style w:type="character" w:customStyle="1" w:styleId="SubtitleChar">
    <w:name w:val="Subtitle Char"/>
    <w:basedOn w:val="DefaultParagraphFont"/>
    <w:link w:val="Subtitle"/>
    <w:uiPriority w:val="11"/>
    <w:rsid w:val="00E32301"/>
    <w:rPr>
      <w:rFonts w:ascii="Trebuchet MS" w:eastAsiaTheme="majorEastAsia" w:hAnsi="Trebuchet MS" w:cstheme="majorBidi"/>
      <w:i/>
      <w:iCs/>
      <w:spacing w:val="15"/>
      <w:sz w:val="22"/>
      <w:szCs w:val="24"/>
      <w:lang w:eastAsia="en-US"/>
    </w:rPr>
  </w:style>
  <w:style w:type="character" w:styleId="Hyperlink">
    <w:name w:val="Hyperlink"/>
    <w:uiPriority w:val="99"/>
    <w:rsid w:val="00E32301"/>
    <w:rPr>
      <w:rFonts w:ascii="Trebuchet MS" w:hAnsi="Trebuchet MS"/>
      <w:color w:val="0000FF"/>
      <w:sz w:val="22"/>
      <w:u w:val="single"/>
    </w:rPr>
  </w:style>
  <w:style w:type="character" w:styleId="Strong">
    <w:name w:val="Strong"/>
    <w:uiPriority w:val="22"/>
    <w:qFormat/>
    <w:rsid w:val="00E32301"/>
    <w:rPr>
      <w:rFonts w:ascii="Trebuchet MS" w:hAnsi="Trebuchet MS"/>
      <w:b/>
      <w:bCs/>
      <w:sz w:val="22"/>
    </w:rPr>
  </w:style>
  <w:style w:type="character" w:styleId="Emphasis">
    <w:name w:val="Emphasis"/>
    <w:uiPriority w:val="20"/>
    <w:qFormat/>
    <w:rsid w:val="00E32301"/>
    <w:rPr>
      <w:rFonts w:ascii="Trebuchet MS" w:hAnsi="Trebuchet MS"/>
      <w:i/>
      <w:iCs/>
      <w:sz w:val="22"/>
    </w:rPr>
  </w:style>
  <w:style w:type="table" w:styleId="TableGrid">
    <w:name w:val="Table Grid"/>
    <w:basedOn w:val="TableNormal"/>
    <w:uiPriority w:val="59"/>
    <w:rsid w:val="00E32301"/>
    <w:pPr>
      <w:spacing w:after="120"/>
    </w:pPr>
    <w:rPr>
      <w:rFonts w:ascii="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ListNumber3"/>
    <w:link w:val="NumberedListChar"/>
    <w:rsid w:val="00E32301"/>
    <w:pPr>
      <w:numPr>
        <w:numId w:val="21"/>
      </w:numPr>
    </w:pPr>
  </w:style>
  <w:style w:type="paragraph" w:styleId="Quote">
    <w:name w:val="Quote"/>
    <w:basedOn w:val="Normal"/>
    <w:next w:val="Normal"/>
    <w:link w:val="QuoteChar"/>
    <w:uiPriority w:val="29"/>
    <w:qFormat/>
    <w:rsid w:val="00E32301"/>
    <w:rPr>
      <w:rFonts w:ascii="Trebuchet MS" w:eastAsia="Calibri" w:hAnsi="Trebuchet MS"/>
      <w:i/>
      <w:iCs/>
      <w:color w:val="000000"/>
      <w:sz w:val="22"/>
      <w:szCs w:val="22"/>
      <w:lang w:eastAsia="en-US"/>
    </w:rPr>
  </w:style>
  <w:style w:type="character" w:customStyle="1" w:styleId="QuoteChar">
    <w:name w:val="Quote Char"/>
    <w:basedOn w:val="DefaultParagraphFont"/>
    <w:link w:val="Quote"/>
    <w:uiPriority w:val="29"/>
    <w:rsid w:val="00E32301"/>
    <w:rPr>
      <w:rFonts w:ascii="Trebuchet MS" w:eastAsia="Calibri" w:hAnsi="Trebuchet MS"/>
      <w:i/>
      <w:iCs/>
      <w:color w:val="000000"/>
      <w:sz w:val="22"/>
      <w:szCs w:val="22"/>
      <w:lang w:eastAsia="en-US"/>
    </w:rPr>
  </w:style>
  <w:style w:type="paragraph" w:styleId="TOAHeading">
    <w:name w:val="toa heading"/>
    <w:basedOn w:val="Normal"/>
    <w:next w:val="Normal"/>
    <w:uiPriority w:val="99"/>
    <w:semiHidden/>
    <w:unhideWhenUsed/>
    <w:rsid w:val="00E32301"/>
    <w:pPr>
      <w:spacing w:before="120"/>
    </w:pPr>
    <w:rPr>
      <w:rFonts w:ascii="Trebuchet MS" w:eastAsiaTheme="majorEastAsia" w:hAnsi="Trebuchet MS" w:cstheme="majorBidi"/>
      <w:b/>
      <w:bCs/>
      <w:sz w:val="28"/>
      <w:lang w:eastAsia="en-US"/>
    </w:rPr>
  </w:style>
  <w:style w:type="character" w:styleId="IntenseEmphasis">
    <w:name w:val="Intense Emphasis"/>
    <w:uiPriority w:val="21"/>
    <w:qFormat/>
    <w:rsid w:val="00E32301"/>
    <w:rPr>
      <w:rFonts w:ascii="Trebuchet MS" w:hAnsi="Trebuchet MS"/>
      <w:b/>
      <w:bCs/>
      <w:i/>
      <w:iCs/>
      <w:color w:val="000000" w:themeColor="text1"/>
      <w:sz w:val="22"/>
    </w:rPr>
  </w:style>
  <w:style w:type="paragraph" w:styleId="ListBullet">
    <w:name w:val="List Bullet"/>
    <w:basedOn w:val="List"/>
    <w:uiPriority w:val="99"/>
    <w:unhideWhenUsed/>
    <w:qFormat/>
    <w:rsid w:val="00E32301"/>
    <w:pPr>
      <w:numPr>
        <w:numId w:val="27"/>
      </w:numPr>
      <w:contextualSpacing w:val="0"/>
    </w:pPr>
  </w:style>
  <w:style w:type="paragraph" w:styleId="ListNumber2">
    <w:name w:val="List Number 2"/>
    <w:basedOn w:val="Normal"/>
    <w:uiPriority w:val="99"/>
    <w:unhideWhenUsed/>
    <w:rsid w:val="00E32301"/>
    <w:pPr>
      <w:numPr>
        <w:numId w:val="16"/>
      </w:numPr>
      <w:contextualSpacing/>
    </w:pPr>
    <w:rPr>
      <w:rFonts w:ascii="Trebuchet MS" w:eastAsia="Calibri" w:hAnsi="Trebuchet MS"/>
      <w:sz w:val="22"/>
      <w:szCs w:val="22"/>
      <w:lang w:eastAsia="en-US"/>
    </w:rPr>
  </w:style>
  <w:style w:type="paragraph" w:styleId="ListNumber3">
    <w:name w:val="List Number 3"/>
    <w:basedOn w:val="Normal"/>
    <w:link w:val="ListNumber3Char"/>
    <w:uiPriority w:val="99"/>
    <w:unhideWhenUsed/>
    <w:rsid w:val="00E32301"/>
    <w:pPr>
      <w:numPr>
        <w:numId w:val="17"/>
      </w:numPr>
      <w:contextualSpacing/>
    </w:pPr>
    <w:rPr>
      <w:rFonts w:ascii="Trebuchet MS" w:eastAsia="Calibri" w:hAnsi="Trebuchet MS"/>
      <w:sz w:val="22"/>
      <w:szCs w:val="22"/>
      <w:lang w:eastAsia="en-US"/>
    </w:rPr>
  </w:style>
  <w:style w:type="paragraph" w:styleId="ListNumber4">
    <w:name w:val="List Number 4"/>
    <w:basedOn w:val="Normal"/>
    <w:uiPriority w:val="99"/>
    <w:semiHidden/>
    <w:unhideWhenUsed/>
    <w:rsid w:val="00E32301"/>
    <w:pPr>
      <w:numPr>
        <w:numId w:val="18"/>
      </w:numPr>
      <w:contextualSpacing/>
    </w:pPr>
    <w:rPr>
      <w:rFonts w:ascii="Trebuchet MS" w:eastAsia="Calibri" w:hAnsi="Trebuchet MS"/>
      <w:sz w:val="22"/>
      <w:szCs w:val="22"/>
      <w:lang w:eastAsia="en-US"/>
    </w:rPr>
  </w:style>
  <w:style w:type="paragraph" w:styleId="ListNumber5">
    <w:name w:val="List Number 5"/>
    <w:basedOn w:val="Normal"/>
    <w:uiPriority w:val="99"/>
    <w:semiHidden/>
    <w:unhideWhenUsed/>
    <w:rsid w:val="00E32301"/>
    <w:pPr>
      <w:numPr>
        <w:numId w:val="19"/>
      </w:numPr>
      <w:contextualSpacing/>
    </w:pPr>
    <w:rPr>
      <w:rFonts w:ascii="Trebuchet MS" w:eastAsia="Calibri" w:hAnsi="Trebuchet MS"/>
      <w:sz w:val="22"/>
      <w:szCs w:val="22"/>
      <w:lang w:eastAsia="en-US"/>
    </w:rPr>
  </w:style>
  <w:style w:type="paragraph" w:styleId="ListNumber">
    <w:name w:val="List Number"/>
    <w:basedOn w:val="Normal"/>
    <w:uiPriority w:val="99"/>
    <w:unhideWhenUsed/>
    <w:rsid w:val="00E32301"/>
    <w:pPr>
      <w:numPr>
        <w:numId w:val="15"/>
      </w:numPr>
      <w:contextualSpacing/>
    </w:pPr>
    <w:rPr>
      <w:rFonts w:ascii="Trebuchet MS" w:eastAsia="Calibri" w:hAnsi="Trebuchet MS"/>
      <w:sz w:val="22"/>
      <w:szCs w:val="22"/>
      <w:lang w:eastAsia="en-US"/>
    </w:rPr>
  </w:style>
  <w:style w:type="paragraph" w:styleId="List">
    <w:name w:val="List"/>
    <w:basedOn w:val="Normal"/>
    <w:uiPriority w:val="99"/>
    <w:unhideWhenUsed/>
    <w:rsid w:val="00E32301"/>
    <w:pPr>
      <w:ind w:left="283" w:hanging="283"/>
      <w:contextualSpacing/>
    </w:pPr>
    <w:rPr>
      <w:rFonts w:ascii="Trebuchet MS" w:eastAsia="Calibri" w:hAnsi="Trebuchet MS"/>
      <w:sz w:val="22"/>
      <w:szCs w:val="22"/>
      <w:lang w:eastAsia="en-US"/>
    </w:rPr>
  </w:style>
  <w:style w:type="paragraph" w:styleId="List2">
    <w:name w:val="List 2"/>
    <w:basedOn w:val="Normal"/>
    <w:uiPriority w:val="99"/>
    <w:unhideWhenUsed/>
    <w:rsid w:val="00E32301"/>
    <w:pPr>
      <w:ind w:left="566" w:hanging="283"/>
      <w:contextualSpacing/>
    </w:pPr>
    <w:rPr>
      <w:rFonts w:ascii="Trebuchet MS" w:eastAsia="Calibri" w:hAnsi="Trebuchet MS"/>
      <w:sz w:val="22"/>
      <w:szCs w:val="22"/>
      <w:lang w:eastAsia="en-US"/>
    </w:rPr>
  </w:style>
  <w:style w:type="paragraph" w:styleId="List3">
    <w:name w:val="List 3"/>
    <w:basedOn w:val="Normal"/>
    <w:uiPriority w:val="99"/>
    <w:unhideWhenUsed/>
    <w:rsid w:val="00E32301"/>
    <w:pPr>
      <w:ind w:left="849" w:hanging="283"/>
      <w:contextualSpacing/>
    </w:pPr>
    <w:rPr>
      <w:rFonts w:ascii="Trebuchet MS" w:eastAsia="Calibri" w:hAnsi="Trebuchet MS"/>
      <w:sz w:val="22"/>
      <w:szCs w:val="22"/>
      <w:lang w:eastAsia="en-US"/>
    </w:rPr>
  </w:style>
  <w:style w:type="paragraph" w:styleId="List4">
    <w:name w:val="List 4"/>
    <w:basedOn w:val="Normal"/>
    <w:uiPriority w:val="99"/>
    <w:unhideWhenUsed/>
    <w:rsid w:val="00E32301"/>
    <w:pPr>
      <w:ind w:left="1132" w:hanging="283"/>
      <w:contextualSpacing/>
    </w:pPr>
    <w:rPr>
      <w:rFonts w:ascii="Trebuchet MS" w:eastAsia="Calibri" w:hAnsi="Trebuchet MS"/>
      <w:sz w:val="22"/>
      <w:szCs w:val="22"/>
      <w:lang w:eastAsia="en-US"/>
    </w:rPr>
  </w:style>
  <w:style w:type="character" w:customStyle="1" w:styleId="ListNumber3Char">
    <w:name w:val="List Number 3 Char"/>
    <w:basedOn w:val="DefaultParagraphFont"/>
    <w:link w:val="ListNumber3"/>
    <w:uiPriority w:val="99"/>
    <w:rsid w:val="00E32301"/>
    <w:rPr>
      <w:rFonts w:ascii="Trebuchet MS" w:eastAsia="Calibri" w:hAnsi="Trebuchet MS"/>
      <w:sz w:val="22"/>
      <w:szCs w:val="22"/>
      <w:lang w:eastAsia="en-US"/>
    </w:rPr>
  </w:style>
  <w:style w:type="character" w:customStyle="1" w:styleId="NumberedListChar">
    <w:name w:val="Numbered List Char"/>
    <w:basedOn w:val="ListNumber3Char"/>
    <w:link w:val="NumberedList"/>
    <w:rsid w:val="00E32301"/>
    <w:rPr>
      <w:rFonts w:ascii="Trebuchet MS" w:eastAsia="Calibri" w:hAnsi="Trebuchet MS"/>
      <w:sz w:val="22"/>
      <w:szCs w:val="22"/>
      <w:lang w:eastAsia="en-US"/>
    </w:rPr>
  </w:style>
  <w:style w:type="character" w:customStyle="1" w:styleId="BodyTextChar">
    <w:name w:val="Body Text Char"/>
    <w:basedOn w:val="DefaultParagraphFont"/>
    <w:link w:val="BodyText"/>
    <w:uiPriority w:val="99"/>
    <w:rsid w:val="00E32301"/>
    <w:rPr>
      <w:i/>
      <w:sz w:val="24"/>
      <w:lang w:val="en-US"/>
    </w:rPr>
  </w:style>
  <w:style w:type="paragraph" w:styleId="TOCHeading">
    <w:name w:val="TOC Heading"/>
    <w:basedOn w:val="Heading1"/>
    <w:next w:val="Normal"/>
    <w:uiPriority w:val="39"/>
    <w:unhideWhenUsed/>
    <w:qFormat/>
    <w:rsid w:val="00E32301"/>
    <w:pPr>
      <w:keepLines/>
      <w:spacing w:before="480" w:after="0" w:line="360" w:lineRule="auto"/>
      <w:contextualSpacing/>
      <w:outlineLvl w:val="9"/>
    </w:pPr>
    <w:rPr>
      <w:rFonts w:asciiTheme="majorHAnsi" w:eastAsiaTheme="majorEastAsia" w:hAnsiTheme="majorHAnsi" w:cstheme="majorBidi"/>
      <w:kern w:val="0"/>
      <w:sz w:val="36"/>
      <w:szCs w:val="28"/>
      <w:lang w:eastAsia="en-US"/>
    </w:rPr>
  </w:style>
  <w:style w:type="paragraph" w:customStyle="1" w:styleId="TableColumnHeading">
    <w:name w:val="Table Column Heading"/>
    <w:basedOn w:val="Normal"/>
    <w:rsid w:val="00E32301"/>
    <w:pPr>
      <w:widowControl w:val="0"/>
      <w:spacing w:before="120"/>
    </w:pPr>
    <w:rPr>
      <w:rFonts w:ascii="Trebuchet MS" w:eastAsia="Times" w:hAnsi="Trebuchet MS" w:cstheme="majorBidi"/>
      <w:b/>
      <w:iCs/>
      <w:color w:val="000000" w:themeColor="text1"/>
      <w:sz w:val="22"/>
      <w:szCs w:val="20"/>
      <w:lang w:eastAsia="en-US"/>
    </w:rPr>
  </w:style>
  <w:style w:type="paragraph" w:customStyle="1" w:styleId="TableColumnSub-Heading">
    <w:name w:val="Table Column Sub-Heading"/>
    <w:basedOn w:val="Normal"/>
    <w:rsid w:val="00E32301"/>
    <w:pPr>
      <w:keepNext/>
      <w:widowControl w:val="0"/>
      <w:spacing w:before="60" w:after="60"/>
    </w:pPr>
    <w:rPr>
      <w:rFonts w:ascii="Trebuchet MS" w:eastAsia="Calibri" w:hAnsi="Trebuchet MS" w:cstheme="minorBidi"/>
      <w:b/>
      <w:sz w:val="20"/>
      <w:szCs w:val="22"/>
      <w:lang w:eastAsia="en-US"/>
    </w:rPr>
  </w:style>
  <w:style w:type="paragraph" w:customStyle="1" w:styleId="TableRowHeading">
    <w:name w:val="Table Row Heading"/>
    <w:basedOn w:val="Normal"/>
    <w:rsid w:val="00E32301"/>
    <w:pPr>
      <w:keepNext/>
      <w:widowControl w:val="0"/>
      <w:spacing w:before="120"/>
    </w:pPr>
    <w:rPr>
      <w:rFonts w:ascii="Trebuchet MS" w:eastAsia="Calibri" w:hAnsi="Trebuchet MS"/>
      <w:b/>
      <w:i/>
      <w:sz w:val="20"/>
      <w:szCs w:val="22"/>
    </w:rPr>
  </w:style>
  <w:style w:type="table" w:customStyle="1" w:styleId="APRAWorkingPaperTable">
    <w:name w:val="APRA Working Paper Table"/>
    <w:basedOn w:val="TableNormal"/>
    <w:uiPriority w:val="99"/>
    <w:rsid w:val="00E32301"/>
    <w:rPr>
      <w:rFonts w:ascii="Trebuchet MS" w:eastAsiaTheme="minorHAnsi" w:hAnsi="Trebuchet MS"/>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BalloonTextChar">
    <w:name w:val="Balloon Text Char"/>
    <w:basedOn w:val="DefaultParagraphFont"/>
    <w:link w:val="BalloonText"/>
    <w:uiPriority w:val="99"/>
    <w:semiHidden/>
    <w:rsid w:val="00E32301"/>
    <w:rPr>
      <w:rFonts w:ascii="Tahoma" w:hAnsi="Tahoma" w:cs="Tahoma"/>
      <w:sz w:val="16"/>
      <w:szCs w:val="16"/>
    </w:rPr>
  </w:style>
  <w:style w:type="character" w:styleId="FollowedHyperlink">
    <w:name w:val="FollowedHyperlink"/>
    <w:basedOn w:val="DefaultParagraphFont"/>
    <w:uiPriority w:val="99"/>
    <w:semiHidden/>
    <w:unhideWhenUsed/>
    <w:rsid w:val="00E32301"/>
    <w:rPr>
      <w:color w:val="800080" w:themeColor="followedHyperlink"/>
      <w:u w:val="single"/>
    </w:rPr>
  </w:style>
  <w:style w:type="character" w:styleId="SubtleEmphasis">
    <w:name w:val="Subtle Emphasis"/>
    <w:basedOn w:val="DefaultParagraphFont"/>
    <w:uiPriority w:val="19"/>
    <w:qFormat/>
    <w:rsid w:val="00E32301"/>
    <w:rPr>
      <w:i/>
      <w:iCs/>
      <w:color w:val="808080" w:themeColor="text1" w:themeTint="7F"/>
    </w:rPr>
  </w:style>
  <w:style w:type="character" w:styleId="PlaceholderText">
    <w:name w:val="Placeholder Text"/>
    <w:basedOn w:val="DefaultParagraphFont"/>
    <w:uiPriority w:val="99"/>
    <w:semiHidden/>
    <w:rsid w:val="00E32301"/>
    <w:rPr>
      <w:color w:val="808080"/>
    </w:rPr>
  </w:style>
  <w:style w:type="character" w:customStyle="1" w:styleId="CommentSubjectChar">
    <w:name w:val="Comment Subject Char"/>
    <w:basedOn w:val="CommentTextChar"/>
    <w:link w:val="CommentSubject"/>
    <w:uiPriority w:val="99"/>
    <w:semiHidden/>
    <w:rsid w:val="00E3230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990">
      <w:bodyDiv w:val="1"/>
      <w:marLeft w:val="0"/>
      <w:marRight w:val="0"/>
      <w:marTop w:val="0"/>
      <w:marBottom w:val="0"/>
      <w:divBdr>
        <w:top w:val="none" w:sz="0" w:space="0" w:color="auto"/>
        <w:left w:val="none" w:sz="0" w:space="0" w:color="auto"/>
        <w:bottom w:val="none" w:sz="0" w:space="0" w:color="auto"/>
        <w:right w:val="none" w:sz="0" w:space="0" w:color="auto"/>
      </w:divBdr>
    </w:div>
    <w:div w:id="256914304">
      <w:bodyDiv w:val="1"/>
      <w:marLeft w:val="0"/>
      <w:marRight w:val="0"/>
      <w:marTop w:val="0"/>
      <w:marBottom w:val="0"/>
      <w:divBdr>
        <w:top w:val="none" w:sz="0" w:space="0" w:color="auto"/>
        <w:left w:val="none" w:sz="0" w:space="0" w:color="auto"/>
        <w:bottom w:val="none" w:sz="0" w:space="0" w:color="auto"/>
        <w:right w:val="none" w:sz="0" w:space="0" w:color="auto"/>
      </w:divBdr>
    </w:div>
    <w:div w:id="1138498311">
      <w:bodyDiv w:val="1"/>
      <w:marLeft w:val="0"/>
      <w:marRight w:val="0"/>
      <w:marTop w:val="0"/>
      <w:marBottom w:val="0"/>
      <w:divBdr>
        <w:top w:val="none" w:sz="0" w:space="0" w:color="auto"/>
        <w:left w:val="none" w:sz="0" w:space="0" w:color="auto"/>
        <w:bottom w:val="none" w:sz="0" w:space="0" w:color="auto"/>
        <w:right w:val="none" w:sz="0" w:space="0" w:color="auto"/>
      </w:divBdr>
    </w:div>
    <w:div w:id="1238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E1622-0B57-4781-8FF7-F52795DF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Reporting Form LRF 110</vt:lpstr>
    </vt:vector>
  </TitlesOfParts>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LRF 110</dc:title>
  <dc:creator/>
  <cp:lastModifiedBy/>
  <cp:revision>1</cp:revision>
  <cp:lastPrinted>2009-07-22T02:35:00Z</cp:lastPrinted>
  <dcterms:created xsi:type="dcterms:W3CDTF">2013-12-13T00:08:00Z</dcterms:created>
  <dcterms:modified xsi:type="dcterms:W3CDTF">2013-12-13T00:08:00Z</dcterms:modified>
</cp:coreProperties>
</file>