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E" w:rsidRPr="00012097" w:rsidRDefault="00C63F0E" w:rsidP="004D2C46">
      <w:pPr>
        <w:jc w:val="center"/>
        <w:rPr>
          <w:u w:val="single"/>
        </w:rPr>
      </w:pPr>
      <w:bookmarkStart w:id="0" w:name="CursorPositionBM"/>
      <w:bookmarkEnd w:id="0"/>
      <w:r w:rsidRPr="00012097">
        <w:rPr>
          <w:u w:val="single"/>
        </w:rPr>
        <w:t>EXPLANATORY STATEMENT</w:t>
      </w:r>
    </w:p>
    <w:p w:rsidR="00C63F0E" w:rsidRPr="00012097" w:rsidRDefault="00C63F0E" w:rsidP="004D2C46">
      <w:pPr>
        <w:jc w:val="center"/>
        <w:rPr>
          <w:u w:val="single"/>
        </w:rPr>
      </w:pPr>
    </w:p>
    <w:p w:rsidR="00C63F0E" w:rsidRPr="00012097" w:rsidRDefault="00C63F0E" w:rsidP="004265D5">
      <w:pPr>
        <w:jc w:val="center"/>
        <w:rPr>
          <w:b/>
          <w:szCs w:val="24"/>
          <w:u w:val="single"/>
        </w:rPr>
      </w:pPr>
      <w:r w:rsidRPr="00012097">
        <w:rPr>
          <w:b/>
          <w:szCs w:val="24"/>
          <w:u w:val="single"/>
        </w:rPr>
        <w:t>Education Services for Overseas Students</w:t>
      </w:r>
      <w:r w:rsidR="00940441">
        <w:rPr>
          <w:b/>
          <w:szCs w:val="24"/>
          <w:u w:val="single"/>
        </w:rPr>
        <w:t xml:space="preserve"> (TPS Levies) (Risk Rated Premium and Special Tuition Protection Components) </w:t>
      </w:r>
      <w:r w:rsidRPr="00012097">
        <w:rPr>
          <w:b/>
          <w:szCs w:val="24"/>
          <w:u w:val="single"/>
        </w:rPr>
        <w:t xml:space="preserve"> </w:t>
      </w:r>
    </w:p>
    <w:p w:rsidR="00C63F0E" w:rsidRPr="00012097" w:rsidRDefault="00EF2474" w:rsidP="004265D5">
      <w:pPr>
        <w:jc w:val="center"/>
        <w:rPr>
          <w:b/>
          <w:szCs w:val="24"/>
          <w:u w:val="single"/>
        </w:rPr>
      </w:pPr>
      <w:r>
        <w:rPr>
          <w:b/>
          <w:szCs w:val="24"/>
          <w:u w:val="single"/>
        </w:rPr>
        <w:t>Determination 2013</w:t>
      </w:r>
      <w:r w:rsidR="00C63F0E" w:rsidRPr="00012097">
        <w:rPr>
          <w:b/>
          <w:szCs w:val="24"/>
          <w:u w:val="single"/>
        </w:rPr>
        <w:t xml:space="preserve"> </w:t>
      </w:r>
    </w:p>
    <w:p w:rsidR="00C63F0E" w:rsidRPr="00012097" w:rsidRDefault="00C63F0E" w:rsidP="004D2C46">
      <w:pPr>
        <w:ind w:left="1700" w:hanging="1700"/>
      </w:pPr>
    </w:p>
    <w:p w:rsidR="00C63F0E" w:rsidRPr="00012097" w:rsidRDefault="00C63F0E" w:rsidP="004D2C46">
      <w:pPr>
        <w:ind w:left="1700" w:hanging="1700"/>
        <w:rPr>
          <w:u w:val="single"/>
        </w:rPr>
      </w:pPr>
    </w:p>
    <w:p w:rsidR="00C63F0E" w:rsidRPr="0009441F" w:rsidRDefault="0009441F" w:rsidP="0009441F">
      <w:pPr>
        <w:ind w:left="1700" w:hanging="1700"/>
        <w:rPr>
          <w:u w:val="single"/>
        </w:rPr>
      </w:pPr>
      <w:r>
        <w:rPr>
          <w:u w:val="single"/>
        </w:rPr>
        <w:t>Summary</w:t>
      </w:r>
    </w:p>
    <w:p w:rsidR="00940441" w:rsidRDefault="00C63F0E" w:rsidP="00940441">
      <w:pPr>
        <w:spacing w:before="240" w:after="60"/>
      </w:pPr>
      <w:r w:rsidRPr="00F93DC1">
        <w:rPr>
          <w:i/>
        </w:rPr>
        <w:t>The</w:t>
      </w:r>
      <w:r w:rsidRPr="00012097">
        <w:t xml:space="preserve"> </w:t>
      </w:r>
      <w:r w:rsidRPr="00012097">
        <w:rPr>
          <w:i/>
        </w:rPr>
        <w:t>Education Services for Overseas Students</w:t>
      </w:r>
      <w:r w:rsidR="00130C73">
        <w:rPr>
          <w:i/>
        </w:rPr>
        <w:t xml:space="preserve"> (TPS Levies) </w:t>
      </w:r>
      <w:r w:rsidRPr="00012097">
        <w:rPr>
          <w:i/>
        </w:rPr>
        <w:t>(</w:t>
      </w:r>
      <w:r w:rsidR="00940441">
        <w:rPr>
          <w:i/>
        </w:rPr>
        <w:t>Risk Rated Premium and Special Tuition Protection Components,</w:t>
      </w:r>
      <w:r w:rsidR="00EF2474">
        <w:rPr>
          <w:i/>
        </w:rPr>
        <w:t xml:space="preserve"> Determination 2013</w:t>
      </w:r>
      <w:r w:rsidRPr="00012097">
        <w:rPr>
          <w:i/>
        </w:rPr>
        <w:t xml:space="preserve"> </w:t>
      </w:r>
      <w:r w:rsidRPr="00012097">
        <w:t xml:space="preserve">is made by the </w:t>
      </w:r>
      <w:r w:rsidR="00940441">
        <w:t xml:space="preserve">Tuition Protection Service (TPS) Director, pursuant </w:t>
      </w:r>
      <w:r w:rsidR="00A24960">
        <w:t xml:space="preserve">to subsections 9(3) and 10(2) </w:t>
      </w:r>
      <w:r w:rsidR="004660A4">
        <w:t xml:space="preserve"> </w:t>
      </w:r>
      <w:r w:rsidR="00940441" w:rsidRPr="00D94AE7">
        <w:t xml:space="preserve">the </w:t>
      </w:r>
      <w:r w:rsidR="00940441" w:rsidRPr="00D94AE7">
        <w:rPr>
          <w:i/>
        </w:rPr>
        <w:t xml:space="preserve">Education Services for Overseas Students </w:t>
      </w:r>
      <w:r w:rsidR="00940441">
        <w:rPr>
          <w:i/>
        </w:rPr>
        <w:t xml:space="preserve">(TPS Levies) Act 2012 </w:t>
      </w:r>
      <w:r w:rsidR="00940441">
        <w:t>(the Act)</w:t>
      </w:r>
      <w:r w:rsidR="00A24960">
        <w:t>.</w:t>
      </w:r>
    </w:p>
    <w:p w:rsidR="00F93DC1" w:rsidRDefault="00F93DC1" w:rsidP="0099365D"/>
    <w:p w:rsidR="00ED7863" w:rsidRDefault="004D0D67" w:rsidP="0099365D">
      <w:r>
        <w:t xml:space="preserve">The TPS arrangements </w:t>
      </w:r>
      <w:r w:rsidR="00721AD8" w:rsidRPr="00721AD8">
        <w:t xml:space="preserve">commenced on 1 July 2012, </w:t>
      </w:r>
      <w:r w:rsidR="006928C2">
        <w:t xml:space="preserve">and </w:t>
      </w:r>
      <w:r w:rsidR="00C63F0E" w:rsidRPr="00721AD8">
        <w:t>are designed to</w:t>
      </w:r>
      <w:r w:rsidR="00721AD8" w:rsidRPr="00721AD8">
        <w:t xml:space="preserve"> establish a universal tuition protection framework</w:t>
      </w:r>
      <w:r w:rsidR="00721AD8">
        <w:t xml:space="preserve"> which will benefit</w:t>
      </w:r>
      <w:r w:rsidR="00721AD8" w:rsidRPr="00721AD8">
        <w:t xml:space="preserve"> </w:t>
      </w:r>
      <w:r w:rsidR="006928C2">
        <w:t xml:space="preserve">overseas </w:t>
      </w:r>
      <w:r w:rsidR="00721AD8" w:rsidRPr="00721AD8">
        <w:t xml:space="preserve">students affected by a </w:t>
      </w:r>
      <w:r w:rsidR="004660A4">
        <w:t>default</w:t>
      </w:r>
      <w:r w:rsidR="00721AD8" w:rsidRPr="00721AD8">
        <w:t xml:space="preserve"> by providing </w:t>
      </w:r>
      <w:r w:rsidR="009F371A">
        <w:t>placement options or refunds where placement is not available</w:t>
      </w:r>
      <w:r w:rsidR="006928C2">
        <w:t>.</w:t>
      </w:r>
      <w:r w:rsidR="00721AD8" w:rsidRPr="00721AD8">
        <w:t xml:space="preserve"> </w:t>
      </w:r>
      <w:r w:rsidR="006928C2">
        <w:t>The arrangements are also designed to</w:t>
      </w:r>
      <w:r w:rsidR="00C63F0E" w:rsidRPr="00012097">
        <w:t xml:space="preserve"> protect the considerable investment international students make in an Australian education and to protect and enhance Australia’s reputation as a destination of choice for international students. </w:t>
      </w:r>
    </w:p>
    <w:p w:rsidR="00ED7863" w:rsidRDefault="00ED7863" w:rsidP="0099365D"/>
    <w:p w:rsidR="00C63F0E" w:rsidRPr="00012097" w:rsidRDefault="00C63F0E" w:rsidP="0099365D">
      <w:r w:rsidRPr="00012097">
        <w:t>This determination</w:t>
      </w:r>
      <w:r w:rsidR="00EF2474">
        <w:t xml:space="preserve"> commences on 31 December 2013</w:t>
      </w:r>
      <w:r w:rsidR="00ED7863">
        <w:t>, and</w:t>
      </w:r>
      <w:r w:rsidRPr="00012097">
        <w:t xml:space="preserve"> is one of a number the Minister may make to specify in greater detail so</w:t>
      </w:r>
      <w:r w:rsidR="006928C2">
        <w:t xml:space="preserve">me of the Act’s requirements.  </w:t>
      </w:r>
    </w:p>
    <w:p w:rsidR="006928C2" w:rsidRDefault="006928C2" w:rsidP="004D2C46">
      <w:pPr>
        <w:ind w:left="1700" w:hanging="1700"/>
        <w:rPr>
          <w:u w:val="single"/>
        </w:rPr>
      </w:pPr>
    </w:p>
    <w:p w:rsidR="00C63F0E" w:rsidRPr="00012097" w:rsidRDefault="00C63F0E" w:rsidP="004D2C46">
      <w:pPr>
        <w:ind w:left="1700" w:hanging="1700"/>
        <w:rPr>
          <w:u w:val="single"/>
        </w:rPr>
      </w:pPr>
      <w:r w:rsidRPr="00012097">
        <w:rPr>
          <w:u w:val="single"/>
        </w:rPr>
        <w:t>Authority</w:t>
      </w:r>
    </w:p>
    <w:p w:rsidR="00C63F0E" w:rsidRPr="00012097" w:rsidRDefault="00C63F0E" w:rsidP="0023003D"/>
    <w:p w:rsidR="00C63F0E" w:rsidRPr="00012097" w:rsidRDefault="00CA1E8D" w:rsidP="0023003D">
      <w:r>
        <w:t xml:space="preserve">Subsection 54B of Part A, Division 3 of the </w:t>
      </w:r>
      <w:r w:rsidRPr="00CA1E8D">
        <w:rPr>
          <w:i/>
        </w:rPr>
        <w:t xml:space="preserve">Education Services for Overseas Students </w:t>
      </w:r>
      <w:r w:rsidR="00C63F0E" w:rsidRPr="00CA1E8D">
        <w:rPr>
          <w:i/>
        </w:rPr>
        <w:t>Act</w:t>
      </w:r>
      <w:r w:rsidR="00C63F0E" w:rsidRPr="00012097">
        <w:t xml:space="preserve"> </w:t>
      </w:r>
      <w:r w:rsidR="00ED7863" w:rsidRPr="00ED7863">
        <w:rPr>
          <w:i/>
        </w:rPr>
        <w:t>2000</w:t>
      </w:r>
      <w:r w:rsidR="00ED7863">
        <w:t xml:space="preserve"> </w:t>
      </w:r>
      <w:r w:rsidR="00186509">
        <w:t xml:space="preserve">(the ESOS Act) </w:t>
      </w:r>
      <w:r w:rsidR="00C63F0E" w:rsidRPr="00012097">
        <w:t xml:space="preserve">permits the </w:t>
      </w:r>
      <w:r>
        <w:t>TPS Director</w:t>
      </w:r>
      <w:r w:rsidR="00C63F0E" w:rsidRPr="00012097">
        <w:t>, by legislative instrument, to specify a m</w:t>
      </w:r>
      <w:r>
        <w:t xml:space="preserve">ethod for working out the risk rated </w:t>
      </w:r>
      <w:r w:rsidR="00EF2474">
        <w:t xml:space="preserve">premium </w:t>
      </w:r>
      <w:r>
        <w:t>component of the TPS Levy for a year for the purposes of the subsection 9(2) of the Act, and</w:t>
      </w:r>
      <w:r w:rsidR="00721AD8">
        <w:t xml:space="preserve"> a</w:t>
      </w:r>
      <w:r>
        <w:t xml:space="preserve"> special tuition protection component</w:t>
      </w:r>
      <w:r w:rsidR="00C63F0E" w:rsidRPr="00012097">
        <w:t xml:space="preserve"> of </w:t>
      </w:r>
      <w:r>
        <w:t>the TPS Levy for a year</w:t>
      </w:r>
      <w:r w:rsidRPr="00012097">
        <w:t xml:space="preserve"> </w:t>
      </w:r>
      <w:r w:rsidR="00C63F0E" w:rsidRPr="00012097">
        <w:t xml:space="preserve">for </w:t>
      </w:r>
      <w:r>
        <w:t>the purposes of subsect</w:t>
      </w:r>
      <w:r w:rsidR="00F93DC1">
        <w:t>ion 10(2</w:t>
      </w:r>
      <w:r>
        <w:t xml:space="preserve">) of the Act. </w:t>
      </w:r>
    </w:p>
    <w:p w:rsidR="00C63F0E" w:rsidRPr="00012097" w:rsidRDefault="00C63F0E" w:rsidP="004D2C46"/>
    <w:p w:rsidR="00C63F0E" w:rsidRPr="00012097" w:rsidRDefault="00C63F0E" w:rsidP="004D2C46">
      <w:pPr>
        <w:ind w:left="1700" w:hanging="1700"/>
        <w:rPr>
          <w:u w:val="single"/>
        </w:rPr>
      </w:pPr>
      <w:r w:rsidRPr="00012097">
        <w:rPr>
          <w:u w:val="single"/>
        </w:rPr>
        <w:t>Purpose and operation</w:t>
      </w:r>
    </w:p>
    <w:p w:rsidR="00C63F0E" w:rsidRPr="00012097" w:rsidRDefault="00C63F0E" w:rsidP="004D2C46">
      <w:pPr>
        <w:ind w:left="1700" w:hanging="1700"/>
        <w:rPr>
          <w:szCs w:val="24"/>
          <w:u w:val="single"/>
        </w:rPr>
      </w:pPr>
    </w:p>
    <w:p w:rsidR="00F93DC1" w:rsidRDefault="0072702D" w:rsidP="00134676">
      <w:r w:rsidRPr="00012097">
        <w:t>The purpose of this determination is to specify a metho</w:t>
      </w:r>
      <w:r>
        <w:t>d for working out the amount payable by all</w:t>
      </w:r>
      <w:r w:rsidR="00D24173">
        <w:t xml:space="preserve"> </w:t>
      </w:r>
      <w:r w:rsidRPr="00A0363F">
        <w:rPr>
          <w:i/>
        </w:rPr>
        <w:t>non-exempt</w:t>
      </w:r>
      <w:r w:rsidR="00F673C9">
        <w:t xml:space="preserve"> Commonwealth Register of Institutions and Courses for Overseas Students (CRICOS) registered p</w:t>
      </w:r>
      <w:r w:rsidR="00F673C9" w:rsidRPr="006928C2">
        <w:t>rovider</w:t>
      </w:r>
      <w:r w:rsidR="00F673C9">
        <w:t>s</w:t>
      </w:r>
      <w:r w:rsidR="00F673C9" w:rsidRPr="006928C2">
        <w:t xml:space="preserve"> </w:t>
      </w:r>
      <w:r>
        <w:t>for the ri</w:t>
      </w:r>
      <w:r w:rsidR="005103DA">
        <w:t>sk rated premium and</w:t>
      </w:r>
      <w:r w:rsidR="00F93DC1">
        <w:t xml:space="preserve"> special</w:t>
      </w:r>
      <w:r>
        <w:t xml:space="preserve"> tuition protection component of the TPS Levy</w:t>
      </w:r>
      <w:r w:rsidR="005103DA">
        <w:t xml:space="preserve">. </w:t>
      </w:r>
    </w:p>
    <w:p w:rsidR="00F93DC1" w:rsidRDefault="00F93DC1" w:rsidP="00134676"/>
    <w:p w:rsidR="00134676" w:rsidRDefault="00A24960" w:rsidP="00134676">
      <w:r w:rsidRPr="00554F58">
        <w:t>A</w:t>
      </w:r>
      <w:r>
        <w:rPr>
          <w:i/>
        </w:rPr>
        <w:t xml:space="preserve"> n</w:t>
      </w:r>
      <w:r w:rsidR="00134676" w:rsidRPr="00AA6B1E">
        <w:rPr>
          <w:i/>
        </w:rPr>
        <w:t>on-exempt provider</w:t>
      </w:r>
      <w:r w:rsidR="00134676">
        <w:t xml:space="preserve"> is any CRICOS registered p</w:t>
      </w:r>
      <w:r w:rsidR="00134676" w:rsidRPr="006928C2">
        <w:t>rovider other than a provider falling into one of the classes i</w:t>
      </w:r>
      <w:r w:rsidR="00134676">
        <w:t>dentified in Section 5, Part 2 of the</w:t>
      </w:r>
      <w:r w:rsidR="00134676" w:rsidRPr="006928C2">
        <w:t xml:space="preserve"> </w:t>
      </w:r>
      <w:r w:rsidR="00134676">
        <w:t xml:space="preserve">Act, </w:t>
      </w:r>
      <w:r w:rsidR="00134676" w:rsidRPr="006928C2">
        <w:t xml:space="preserve">that is, Table A providers under </w:t>
      </w:r>
      <w:r w:rsidR="00134676" w:rsidRPr="008B00D8">
        <w:rPr>
          <w:i/>
        </w:rPr>
        <w:t>the Higher Education Support Act 2003,</w:t>
      </w:r>
      <w:r w:rsidR="00134676" w:rsidRPr="006928C2">
        <w:t xml:space="preserve"> Government schools and State or Territory VET institutions.</w:t>
      </w:r>
    </w:p>
    <w:p w:rsidR="00134676" w:rsidRDefault="00134676" w:rsidP="00134676">
      <w:pPr>
        <w:textAlignment w:val="baseline"/>
      </w:pPr>
    </w:p>
    <w:p w:rsidR="00134676" w:rsidRPr="00134676" w:rsidRDefault="00134676" w:rsidP="00134676">
      <w:pPr>
        <w:textAlignment w:val="baseline"/>
      </w:pPr>
      <w:r>
        <w:t>The TPS Levy is payable into the Overseas Student Tuition Fund (</w:t>
      </w:r>
      <w:r w:rsidR="00ED7863">
        <w:t xml:space="preserve">OSTF), a special account set up under section 21 of </w:t>
      </w:r>
      <w:r w:rsidR="00ED7863" w:rsidRPr="00ED7863">
        <w:rPr>
          <w:i/>
        </w:rPr>
        <w:t>the Financial Management and Accountability Act 1997</w:t>
      </w:r>
      <w:r w:rsidR="00ED7863" w:rsidRPr="00134676">
        <w:t xml:space="preserve"> (FMA Act)</w:t>
      </w:r>
      <w:r w:rsidR="00ED7863">
        <w:t xml:space="preserve"> </w:t>
      </w:r>
      <w:r>
        <w:t xml:space="preserve">from which </w:t>
      </w:r>
      <w:r w:rsidR="00F93DC1">
        <w:t xml:space="preserve">money for </w:t>
      </w:r>
      <w:r>
        <w:t xml:space="preserve">student placements and refunds will be drawn. </w:t>
      </w:r>
      <w:r w:rsidRPr="00134676">
        <w:t xml:space="preserve">The TPS Director is accountable for the management of the OSTF in accordance with the </w:t>
      </w:r>
      <w:r w:rsidR="00186509">
        <w:t>FMA Act</w:t>
      </w:r>
      <w:r w:rsidRPr="00134676">
        <w:t xml:space="preserve">, and is obligated under the ESOS Act with ensuring the sustainability of the OSTF. </w:t>
      </w:r>
    </w:p>
    <w:p w:rsidR="00A0363F" w:rsidRDefault="00A0363F" w:rsidP="00FF206C"/>
    <w:p w:rsidR="00F673C9" w:rsidRDefault="00A8518C" w:rsidP="00FF206C">
      <w:r>
        <w:lastRenderedPageBreak/>
        <w:t xml:space="preserve">Under Part 2, section 5 of the Act, all </w:t>
      </w:r>
      <w:r w:rsidR="00F673C9">
        <w:t xml:space="preserve">CRICOS </w:t>
      </w:r>
      <w:r>
        <w:t>registered providers are liable</w:t>
      </w:r>
      <w:r w:rsidR="003E1C86">
        <w:t xml:space="preserve"> to</w:t>
      </w:r>
      <w:r w:rsidR="00F673C9">
        <w:t xml:space="preserve"> pay a TPS Levy for the year. The</w:t>
      </w:r>
      <w:r w:rsidR="003E1C86">
        <w:t xml:space="preserve"> amou</w:t>
      </w:r>
      <w:r w:rsidR="003C4973">
        <w:t>nt of the TPS levy</w:t>
      </w:r>
      <w:r w:rsidR="00134676">
        <w:t xml:space="preserve"> payable </w:t>
      </w:r>
      <w:r w:rsidR="003C4973">
        <w:t>is a sum of</w:t>
      </w:r>
      <w:r w:rsidR="00EA22DF">
        <w:t>:</w:t>
      </w:r>
    </w:p>
    <w:p w:rsidR="00134676" w:rsidRDefault="00134676" w:rsidP="00FF206C"/>
    <w:p w:rsidR="00A8518C" w:rsidRDefault="003E1C86" w:rsidP="003E1C86">
      <w:pPr>
        <w:pStyle w:val="ListParagraph"/>
        <w:numPr>
          <w:ilvl w:val="0"/>
          <w:numId w:val="9"/>
        </w:numPr>
      </w:pPr>
      <w:r>
        <w:t>the provider’s administrative fee component (section 6</w:t>
      </w:r>
      <w:r w:rsidR="00134676">
        <w:t xml:space="preserve"> of the Act</w:t>
      </w:r>
      <w:r>
        <w:t>);</w:t>
      </w:r>
    </w:p>
    <w:p w:rsidR="003E1C86" w:rsidRDefault="003E1C86" w:rsidP="003E1C86">
      <w:pPr>
        <w:pStyle w:val="ListParagraph"/>
        <w:numPr>
          <w:ilvl w:val="0"/>
          <w:numId w:val="9"/>
        </w:numPr>
      </w:pPr>
      <w:r>
        <w:t>the provider’s base fee component (section 7</w:t>
      </w:r>
      <w:r w:rsidR="00134676">
        <w:t xml:space="preserve"> of the Act</w:t>
      </w:r>
      <w:r>
        <w:t xml:space="preserve">); </w:t>
      </w:r>
    </w:p>
    <w:p w:rsidR="003E1C86" w:rsidRDefault="003E1C86" w:rsidP="003E1C86">
      <w:pPr>
        <w:pStyle w:val="ListParagraph"/>
        <w:numPr>
          <w:ilvl w:val="0"/>
          <w:numId w:val="9"/>
        </w:numPr>
      </w:pPr>
      <w:r>
        <w:t xml:space="preserve">the provider’s risk rated </w:t>
      </w:r>
      <w:r w:rsidR="00F27CE6">
        <w:t xml:space="preserve">premium </w:t>
      </w:r>
      <w:r>
        <w:t>component(section 9</w:t>
      </w:r>
      <w:r w:rsidR="00134676">
        <w:t xml:space="preserve"> of the Act</w:t>
      </w:r>
      <w:r>
        <w:t>); and</w:t>
      </w:r>
    </w:p>
    <w:p w:rsidR="003E1C86" w:rsidRDefault="003E1C86" w:rsidP="003E1C86">
      <w:pPr>
        <w:pStyle w:val="ListParagraph"/>
        <w:numPr>
          <w:ilvl w:val="0"/>
          <w:numId w:val="9"/>
        </w:numPr>
      </w:pPr>
      <w:r>
        <w:t>the provider’s special tuition</w:t>
      </w:r>
      <w:r w:rsidR="00A0363F">
        <w:t xml:space="preserve"> </w:t>
      </w:r>
      <w:r w:rsidR="00F27CE6">
        <w:t xml:space="preserve">protection </w:t>
      </w:r>
      <w:r w:rsidR="00A0363F">
        <w:t>component</w:t>
      </w:r>
      <w:r>
        <w:t xml:space="preserve"> (section 10</w:t>
      </w:r>
      <w:r w:rsidR="00134676">
        <w:t xml:space="preserve"> of the Act</w:t>
      </w:r>
      <w:r>
        <w:t xml:space="preserve">). </w:t>
      </w:r>
    </w:p>
    <w:p w:rsidR="00A0363F" w:rsidRDefault="00A0363F" w:rsidP="00F673C9"/>
    <w:p w:rsidR="00692C3C" w:rsidRPr="00A0363F" w:rsidRDefault="00692C3C" w:rsidP="00F673C9">
      <w:pPr>
        <w:rPr>
          <w:i/>
        </w:rPr>
      </w:pPr>
      <w:r w:rsidRPr="00A0363F">
        <w:rPr>
          <w:i/>
        </w:rPr>
        <w:t xml:space="preserve">Risk rated </w:t>
      </w:r>
      <w:r w:rsidR="00EA3F3C">
        <w:rPr>
          <w:i/>
        </w:rPr>
        <w:t xml:space="preserve">premium </w:t>
      </w:r>
      <w:r w:rsidRPr="00A0363F">
        <w:rPr>
          <w:i/>
        </w:rPr>
        <w:t>component of the TPS Levy</w:t>
      </w:r>
    </w:p>
    <w:p w:rsidR="00692C3C" w:rsidRDefault="00692C3C" w:rsidP="00F673C9"/>
    <w:p w:rsidR="00F673C9" w:rsidRPr="00F673C9" w:rsidRDefault="00692C3C" w:rsidP="00F673C9">
      <w:r>
        <w:t>Under section 9 (3) of the Act, be</w:t>
      </w:r>
      <w:r w:rsidR="00F673C9" w:rsidRPr="00F673C9">
        <w:t>fore the beginning of each calendar year, the TPS Director must, by legislative instrument, specify the following components of the risk rated pre</w:t>
      </w:r>
      <w:r w:rsidR="00EA22DF">
        <w:t>mium component of the TPS Levy:</w:t>
      </w:r>
    </w:p>
    <w:p w:rsidR="00F673C9" w:rsidRDefault="00F673C9" w:rsidP="00EA22DF">
      <w:pPr>
        <w:pStyle w:val="ListParagraph"/>
        <w:numPr>
          <w:ilvl w:val="0"/>
          <w:numId w:val="11"/>
        </w:numPr>
      </w:pPr>
      <w:r w:rsidRPr="00F673C9">
        <w:t>percentage for that year;</w:t>
      </w:r>
    </w:p>
    <w:p w:rsidR="00F673C9" w:rsidRDefault="00661DC1" w:rsidP="00F673C9">
      <w:pPr>
        <w:pStyle w:val="ListParagraph"/>
        <w:numPr>
          <w:ilvl w:val="0"/>
          <w:numId w:val="11"/>
        </w:numPr>
      </w:pPr>
      <w:r>
        <w:t xml:space="preserve">sum of </w:t>
      </w:r>
      <w:r w:rsidR="00F673C9" w:rsidRPr="00F673C9">
        <w:t>one or more risk factors that reflect the risk of calls being made on the OSTF in respect of registered providers with that factor or those factors;</w:t>
      </w:r>
      <w:r w:rsidR="00EA22DF">
        <w:t xml:space="preserve"> and</w:t>
      </w:r>
    </w:p>
    <w:p w:rsidR="00F673C9" w:rsidRDefault="00F673C9" w:rsidP="00F673C9">
      <w:pPr>
        <w:pStyle w:val="ListParagraph"/>
        <w:numPr>
          <w:ilvl w:val="0"/>
          <w:numId w:val="11"/>
        </w:numPr>
      </w:pPr>
      <w:r w:rsidRPr="00F673C9">
        <w:t>for each risk factor, the factor by which the specified percentage for that year is multiplied.</w:t>
      </w:r>
    </w:p>
    <w:p w:rsidR="004B017A" w:rsidRPr="00F673C9" w:rsidRDefault="004B017A" w:rsidP="004B017A">
      <w:pPr>
        <w:pStyle w:val="ListParagraph"/>
      </w:pPr>
    </w:p>
    <w:p w:rsidR="004B017A" w:rsidRDefault="004B017A" w:rsidP="004B017A">
      <w:r w:rsidRPr="00DE3E1A">
        <w:t xml:space="preserve">The risk factors determined by the TPS Director are </w:t>
      </w:r>
      <w:r>
        <w:t xml:space="preserve">designed to reflect the risk of </w:t>
      </w:r>
      <w:r w:rsidRPr="00DE3E1A">
        <w:t xml:space="preserve">default and therefore the risk of a call each provider represents on the </w:t>
      </w:r>
      <w:r w:rsidR="00661DC1">
        <w:t>TPS</w:t>
      </w:r>
      <w:r w:rsidRPr="00DE3E1A">
        <w:t xml:space="preserve"> framework. </w:t>
      </w:r>
    </w:p>
    <w:p w:rsidR="00F673C9" w:rsidRPr="00DE3E1A" w:rsidRDefault="00F673C9" w:rsidP="00F673C9"/>
    <w:p w:rsidR="002B4F94" w:rsidRDefault="002B4F94" w:rsidP="002B4F94">
      <w:r w:rsidRPr="00692C3C">
        <w:t>A registered provider’s risk component for a risk factor for a year is worked out in accordance with the formula</w:t>
      </w:r>
      <w:r>
        <w:t xml:space="preserve"> in section 9(2)</w:t>
      </w:r>
      <w:r w:rsidRPr="00692C3C">
        <w:t xml:space="preserve"> of the Act</w:t>
      </w:r>
      <w:r w:rsidR="00C875B7">
        <w:t>, as below.</w:t>
      </w:r>
    </w:p>
    <w:p w:rsidR="00C875B7" w:rsidRPr="00DE3E1A" w:rsidRDefault="00C875B7" w:rsidP="002B4F94"/>
    <w:p w:rsidR="002B4F94" w:rsidRDefault="00C875B7" w:rsidP="00C875B7">
      <w:pPr>
        <w:jc w:val="center"/>
      </w:pPr>
      <w:r>
        <w:rPr>
          <w:noProof/>
          <w:lang w:eastAsia="en-AU"/>
        </w:rPr>
        <w:drawing>
          <wp:inline distT="0" distB="0" distL="0" distR="0">
            <wp:extent cx="3528000" cy="72319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000" cy="723191"/>
                    </a:xfrm>
                    <a:prstGeom prst="rect">
                      <a:avLst/>
                    </a:prstGeom>
                    <a:noFill/>
                    <a:ln>
                      <a:noFill/>
                    </a:ln>
                  </pic:spPr>
                </pic:pic>
              </a:graphicData>
            </a:graphic>
          </wp:inline>
        </w:drawing>
      </w:r>
    </w:p>
    <w:p w:rsidR="00C875B7" w:rsidRDefault="00C875B7" w:rsidP="00F673C9"/>
    <w:p w:rsidR="00C875B7" w:rsidRDefault="00C875B7" w:rsidP="00C875B7">
      <w:r w:rsidRPr="00C875B7">
        <w:t>If more than one</w:t>
      </w:r>
      <w:r>
        <w:t xml:space="preserve"> increase factor for the</w:t>
      </w:r>
      <w:r w:rsidRPr="00C875B7">
        <w:t xml:space="preserve"> risk factor exists for a year</w:t>
      </w:r>
      <w:r>
        <w:t>,</w:t>
      </w:r>
      <w:r w:rsidRPr="00C875B7">
        <w:t xml:space="preserve"> to which subsection 9(2) of the Act relates, the matching factors in the</w:t>
      </w:r>
      <w:r>
        <w:t xml:space="preserve"> last column of the table</w:t>
      </w:r>
      <w:r w:rsidR="00774B25">
        <w:t xml:space="preserve"> (set out in the legislative instrument)</w:t>
      </w:r>
      <w:r>
        <w:t xml:space="preserve"> will be added together. The specified percentage will then be multiplied by the sum of the factors.</w:t>
      </w:r>
      <w:r w:rsidR="00995A7C">
        <w:t xml:space="preserve"> T</w:t>
      </w:r>
      <w:r w:rsidR="008506BA">
        <w:t>he specified percentage for 2014</w:t>
      </w:r>
      <w:r w:rsidR="00995A7C">
        <w:t xml:space="preserve"> is 0.155%. </w:t>
      </w:r>
    </w:p>
    <w:p w:rsidR="00C875B7" w:rsidRDefault="00C875B7" w:rsidP="00F673C9"/>
    <w:p w:rsidR="00995A7C" w:rsidRDefault="00995A7C" w:rsidP="00995A7C">
      <w:pPr>
        <w:spacing w:after="200" w:line="276" w:lineRule="auto"/>
      </w:pPr>
      <w:r>
        <w:t xml:space="preserve">For example, if a provider X has two risk factors which apply to them and the sum of the increase factors for the risk factors is 3, and the provider’s </w:t>
      </w:r>
      <w:r w:rsidR="00857E20">
        <w:t xml:space="preserve">overseas students </w:t>
      </w:r>
      <w:r>
        <w:t xml:space="preserve">tuition fee income </w:t>
      </w:r>
      <w:r w:rsidR="00774B25">
        <w:t xml:space="preserve">is </w:t>
      </w:r>
      <w:r>
        <w:t xml:space="preserve">$250,000 for </w:t>
      </w:r>
      <w:r w:rsidR="008506BA">
        <w:t>2013</w:t>
      </w:r>
      <w:r>
        <w:t>, the calculation for the risk rated premium for provider X would be</w:t>
      </w:r>
    </w:p>
    <w:p w:rsidR="00C875B7" w:rsidRDefault="00995A7C" w:rsidP="00995A7C">
      <w:pPr>
        <w:spacing w:after="200" w:line="276" w:lineRule="auto"/>
        <w:jc w:val="center"/>
      </w:pPr>
      <w:r>
        <w:t>0.155/100 x 3 x $250,000 = $1,162.50.</w:t>
      </w:r>
    </w:p>
    <w:p w:rsidR="00692C3C" w:rsidRDefault="00692C3C" w:rsidP="00692C3C"/>
    <w:p w:rsidR="00692C3C" w:rsidRPr="00A0363F" w:rsidRDefault="003C4973" w:rsidP="00692C3C">
      <w:pPr>
        <w:rPr>
          <w:i/>
        </w:rPr>
      </w:pPr>
      <w:r w:rsidRPr="00A0363F">
        <w:rPr>
          <w:i/>
        </w:rPr>
        <w:t>Special tuition protection c</w:t>
      </w:r>
      <w:r w:rsidR="00692C3C" w:rsidRPr="00A0363F">
        <w:rPr>
          <w:i/>
        </w:rPr>
        <w:t>omponent</w:t>
      </w:r>
      <w:r w:rsidRPr="00A0363F">
        <w:rPr>
          <w:i/>
        </w:rPr>
        <w:t xml:space="preserve"> of the TPS Levy</w:t>
      </w:r>
    </w:p>
    <w:p w:rsidR="00692C3C" w:rsidRPr="00A0363F" w:rsidRDefault="00692C3C" w:rsidP="00692C3C">
      <w:pPr>
        <w:rPr>
          <w:i/>
        </w:rPr>
      </w:pPr>
    </w:p>
    <w:p w:rsidR="003C4973" w:rsidRDefault="003C4973" w:rsidP="00692C3C">
      <w:r>
        <w:t>Under section 10 (2) of the Act, b</w:t>
      </w:r>
      <w:r w:rsidR="00692C3C" w:rsidRPr="00692C3C">
        <w:t>efore the beginning of each year, the TPS Director must, by legislative instrument, specify a percentage</w:t>
      </w:r>
      <w:r>
        <w:t xml:space="preserve"> for a specified tuition component of the TSP Levy</w:t>
      </w:r>
      <w:r w:rsidR="00692C3C" w:rsidRPr="00692C3C">
        <w:t xml:space="preserve"> for that year. </w:t>
      </w:r>
      <w:r>
        <w:t>As in section 10 (3) of the Act,</w:t>
      </w:r>
      <w:r w:rsidRPr="003C4973">
        <w:t xml:space="preserve"> </w:t>
      </w:r>
      <w:r>
        <w:t>t</w:t>
      </w:r>
      <w:r w:rsidRPr="00692C3C">
        <w:t>he percentage specified can be zero</w:t>
      </w:r>
      <w:r w:rsidR="00692C3C" w:rsidRPr="00692C3C">
        <w:t>.</w:t>
      </w:r>
      <w:r w:rsidR="00AE77A8">
        <w:t xml:space="preserve"> </w:t>
      </w:r>
    </w:p>
    <w:p w:rsidR="003C4973" w:rsidRDefault="003C4973" w:rsidP="00692C3C"/>
    <w:p w:rsidR="00AE77A8" w:rsidRDefault="00AE77A8" w:rsidP="002B4F94"/>
    <w:p w:rsidR="00AE77A8" w:rsidRDefault="00AE77A8" w:rsidP="002B4F94"/>
    <w:p w:rsidR="002B4F94" w:rsidRDefault="003C4973" w:rsidP="002B4F94">
      <w:r>
        <w:lastRenderedPageBreak/>
        <w:t>A registered provider’s special tuition protection component for a year is worked out in accordance with the formul</w:t>
      </w:r>
      <w:r w:rsidR="00AE77A8">
        <w:t>a in section 10 (1) in the Act, as below.</w:t>
      </w:r>
    </w:p>
    <w:p w:rsidR="00AE77A8" w:rsidRDefault="00AE77A8" w:rsidP="002B4F94"/>
    <w:p w:rsidR="002B4F94" w:rsidRDefault="00AE77A8" w:rsidP="00AE77A8">
      <w:pPr>
        <w:jc w:val="center"/>
      </w:pPr>
      <w:r>
        <w:rPr>
          <w:noProof/>
          <w:lang w:eastAsia="en-AU"/>
        </w:rPr>
        <w:drawing>
          <wp:inline distT="0" distB="0" distL="0" distR="0">
            <wp:extent cx="326898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8980" cy="628650"/>
                    </a:xfrm>
                    <a:prstGeom prst="rect">
                      <a:avLst/>
                    </a:prstGeom>
                    <a:noFill/>
                    <a:ln>
                      <a:noFill/>
                    </a:ln>
                  </pic:spPr>
                </pic:pic>
              </a:graphicData>
            </a:graphic>
          </wp:inline>
        </w:drawing>
      </w:r>
    </w:p>
    <w:p w:rsidR="00AE77A8" w:rsidRDefault="00AE77A8" w:rsidP="002B4F94">
      <w:pPr>
        <w:rPr>
          <w:i/>
        </w:rPr>
      </w:pPr>
    </w:p>
    <w:p w:rsidR="00A0363F" w:rsidRDefault="00DE3E1A" w:rsidP="008777B1">
      <w:r w:rsidRPr="002B4F94">
        <w:rPr>
          <w:i/>
        </w:rPr>
        <w:t>The Explanatory Memorandum, Education Services for Overseas Students (TPS Levies) Bill 2011,</w:t>
      </w:r>
      <w:r w:rsidRPr="002B4F94">
        <w:t xml:space="preserve"> Clause </w:t>
      </w:r>
      <w:bookmarkStart w:id="1" w:name="_Toc302544394"/>
      <w:r w:rsidRPr="002B4F94">
        <w:t>10</w:t>
      </w:r>
      <w:bookmarkEnd w:id="1"/>
      <w:r w:rsidRPr="002B4F94">
        <w:t>, Subclause (2); placed before Aus</w:t>
      </w:r>
      <w:r w:rsidR="001124D1">
        <w:t xml:space="preserve">tralian Parliament states that </w:t>
      </w:r>
      <w:r w:rsidRPr="002B4F94">
        <w:t>the special tuition protection component is designed to build additional insurance</w:t>
      </w:r>
      <w:r w:rsidR="001124D1">
        <w:t xml:space="preserve"> in the OSTF</w:t>
      </w:r>
      <w:r w:rsidRPr="002B4F94">
        <w:t xml:space="preserve">. This component </w:t>
      </w:r>
      <w:r w:rsidR="008777B1">
        <w:t xml:space="preserve">is expressed as a </w:t>
      </w:r>
      <w:r w:rsidRPr="002B4F94">
        <w:t xml:space="preserve">percentage of overseas student tuition fee income, as determined by the TPS Director following advice of the TPS Advisory Board. </w:t>
      </w:r>
      <w:r w:rsidR="002B4F94">
        <w:t>T</w:t>
      </w:r>
      <w:r w:rsidRPr="002B4F94">
        <w:t>he</w:t>
      </w:r>
      <w:r w:rsidR="00911D62">
        <w:t xml:space="preserve"> </w:t>
      </w:r>
      <w:r w:rsidR="00774B25">
        <w:t>specified percentage for the special tuiti</w:t>
      </w:r>
      <w:r w:rsidR="008777B1">
        <w:t>on protect</w:t>
      </w:r>
      <w:r w:rsidR="007B74FB">
        <w:t xml:space="preserve">ion component for </w:t>
      </w:r>
      <w:r w:rsidR="007B74FB" w:rsidRPr="000E049E">
        <w:t>2014 is zero</w:t>
      </w:r>
      <w:r w:rsidR="00774B25" w:rsidRPr="000E049E">
        <w:t>.</w:t>
      </w:r>
      <w:r w:rsidR="00774B25">
        <w:t xml:space="preserve"> </w:t>
      </w:r>
    </w:p>
    <w:p w:rsidR="008777B1" w:rsidRDefault="008777B1" w:rsidP="00F673C9">
      <w:pPr>
        <w:rPr>
          <w:i/>
        </w:rPr>
      </w:pPr>
    </w:p>
    <w:p w:rsidR="00DE3E1A" w:rsidRPr="00DE3E1A" w:rsidRDefault="002B4F94" w:rsidP="00F673C9">
      <w:pPr>
        <w:rPr>
          <w:i/>
        </w:rPr>
      </w:pPr>
      <w:r>
        <w:rPr>
          <w:i/>
        </w:rPr>
        <w:t>Supplementary p</w:t>
      </w:r>
      <w:r w:rsidR="00DE3E1A" w:rsidRPr="00DE3E1A">
        <w:rPr>
          <w:i/>
        </w:rPr>
        <w:t xml:space="preserve">rocess requirements </w:t>
      </w:r>
    </w:p>
    <w:p w:rsidR="00DE3E1A" w:rsidRDefault="00DE3E1A" w:rsidP="00A0363F">
      <w:pPr>
        <w:rPr>
          <w:color w:val="000000"/>
          <w:szCs w:val="24"/>
        </w:rPr>
      </w:pPr>
    </w:p>
    <w:p w:rsidR="009E0ED8" w:rsidRPr="009E0ED8" w:rsidRDefault="00A0363F" w:rsidP="00F673C9">
      <w:pPr>
        <w:rPr>
          <w:color w:val="000000"/>
          <w:szCs w:val="24"/>
        </w:rPr>
      </w:pPr>
      <w:r w:rsidRPr="00012097">
        <w:rPr>
          <w:color w:val="000000"/>
          <w:szCs w:val="24"/>
        </w:rPr>
        <w:t>Consequential cha</w:t>
      </w:r>
      <w:r w:rsidR="005F29F2">
        <w:rPr>
          <w:color w:val="000000"/>
          <w:szCs w:val="24"/>
        </w:rPr>
        <w:t>nges are also being made to the</w:t>
      </w:r>
      <w:r w:rsidR="005F29F2" w:rsidRPr="00012097">
        <w:rPr>
          <w:color w:val="000000"/>
          <w:szCs w:val="24"/>
        </w:rPr>
        <w:t xml:space="preserve"> Provider Registration and International Student Management System (PRIS</w:t>
      </w:r>
      <w:r w:rsidR="009E0ED8">
        <w:rPr>
          <w:color w:val="000000"/>
          <w:szCs w:val="24"/>
        </w:rPr>
        <w:t>MS).</w:t>
      </w:r>
      <w:r w:rsidRPr="00012097">
        <w:rPr>
          <w:color w:val="000000"/>
          <w:szCs w:val="24"/>
        </w:rPr>
        <w:t xml:space="preserve"> </w:t>
      </w:r>
      <w:r w:rsidR="00A24960">
        <w:t>In order to work out the</w:t>
      </w:r>
      <w:r w:rsidR="00943896">
        <w:t xml:space="preserve"> amount of TPS L</w:t>
      </w:r>
      <w:r w:rsidR="009E0ED8" w:rsidRPr="009E0ED8">
        <w:t>evy, register</w:t>
      </w:r>
      <w:r w:rsidR="00A24960">
        <w:t>ed providers will be required</w:t>
      </w:r>
      <w:r w:rsidR="009E0ED8" w:rsidRPr="009E0ED8">
        <w:t xml:space="preserve"> under subsection 26(3) of the </w:t>
      </w:r>
      <w:r w:rsidR="009E0ED8" w:rsidRPr="009E0ED8">
        <w:rPr>
          <w:i/>
          <w:iCs/>
        </w:rPr>
        <w:t>Education Services for Overseas Students Act 2000</w:t>
      </w:r>
      <w:r w:rsidR="00A24BC1">
        <w:rPr>
          <w:i/>
          <w:iCs/>
        </w:rPr>
        <w:t xml:space="preserve"> (ESOS Act)</w:t>
      </w:r>
      <w:r w:rsidR="009E0ED8" w:rsidRPr="009E0ED8">
        <w:rPr>
          <w:i/>
          <w:iCs/>
        </w:rPr>
        <w:t xml:space="preserve"> </w:t>
      </w:r>
      <w:r w:rsidR="00A24960">
        <w:t>to en</w:t>
      </w:r>
      <w:r w:rsidR="00BC56C1">
        <w:t>ter</w:t>
      </w:r>
      <w:r w:rsidR="000E049E">
        <w:t xml:space="preserve"> </w:t>
      </w:r>
      <w:r w:rsidR="009E0ED8" w:rsidRPr="009E0ED8">
        <w:t xml:space="preserve">the total of their overseas student tuition fees for the previous </w:t>
      </w:r>
      <w:r w:rsidR="00353BB0">
        <w:t xml:space="preserve">calendar </w:t>
      </w:r>
      <w:r w:rsidR="009E0ED8" w:rsidRPr="009E0ED8">
        <w:t xml:space="preserve">year into the specified field in PRISMS. </w:t>
      </w:r>
      <w:r w:rsidR="00554F58">
        <w:t xml:space="preserve"> Overseas tuition fee income is defined at section 7 of the ESOS Act as fees that are directly related to the course. </w:t>
      </w:r>
      <w:r w:rsidR="009E0ED8" w:rsidRPr="009E0ED8">
        <w:t>If a registered provider does not provide its overseas student tuition fees for</w:t>
      </w:r>
      <w:r w:rsidR="00BC56C1">
        <w:t xml:space="preserve"> the previous year by</w:t>
      </w:r>
      <w:r w:rsidR="000E049E">
        <w:t xml:space="preserve"> the due date</w:t>
      </w:r>
      <w:r w:rsidR="009E0ED8" w:rsidRPr="009E0ED8">
        <w:t xml:space="preserve"> the Minister may take action under Division 1 of Part 6 of the </w:t>
      </w:r>
      <w:r w:rsidR="009E0ED8" w:rsidRPr="009E0ED8">
        <w:rPr>
          <w:i/>
          <w:iCs/>
        </w:rPr>
        <w:t>Education Services for Overseas Students Act 2000</w:t>
      </w:r>
      <w:r w:rsidR="009E0ED8" w:rsidRPr="009E0ED8">
        <w:t xml:space="preserve"> against the registered provider.</w:t>
      </w:r>
    </w:p>
    <w:p w:rsidR="009E0ED8" w:rsidRDefault="009E0ED8" w:rsidP="00F673C9"/>
    <w:p w:rsidR="005F29F2" w:rsidRDefault="00A0363F" w:rsidP="00F673C9">
      <w:r>
        <w:t>Before the TPS Director makes a legislative instrument under subsections 9(3) and 10(2)</w:t>
      </w:r>
      <w:r w:rsidR="00926DB9">
        <w:t xml:space="preserve"> of the Act</w:t>
      </w:r>
      <w:r>
        <w:t xml:space="preserve">, the Treasurer must approve the legislative instrument in writing, </w:t>
      </w:r>
      <w:r w:rsidR="00926DB9">
        <w:t xml:space="preserve">under sub </w:t>
      </w:r>
      <w:r>
        <w:t xml:space="preserve">section 11(4) of the Act. </w:t>
      </w:r>
      <w:r w:rsidR="00A60A77">
        <w:t>The Treas</w:t>
      </w:r>
      <w:r w:rsidR="00857E20">
        <w:t xml:space="preserve">urer approved the </w:t>
      </w:r>
      <w:r w:rsidR="00857E20" w:rsidRPr="004064DA">
        <w:t xml:space="preserve">instrument on </w:t>
      </w:r>
      <w:r w:rsidR="004064DA" w:rsidRPr="004064DA">
        <w:t>19</w:t>
      </w:r>
      <w:r w:rsidR="00857E20" w:rsidRPr="004064DA">
        <w:t xml:space="preserve"> December 2013</w:t>
      </w:r>
      <w:r w:rsidR="00A60A77">
        <w:t>.</w:t>
      </w:r>
    </w:p>
    <w:p w:rsidR="00AC5FF5" w:rsidRDefault="00AC5FF5" w:rsidP="00F673C9"/>
    <w:p w:rsidR="00AC5FF5" w:rsidRDefault="005F6D33" w:rsidP="00F673C9">
      <w:pPr>
        <w:rPr>
          <w:i/>
        </w:rPr>
      </w:pPr>
      <w:r>
        <w:rPr>
          <w:i/>
        </w:rPr>
        <w:t>Provider National Registration P</w:t>
      </w:r>
      <w:r w:rsidR="00AC5FF5" w:rsidRPr="00AC5FF5">
        <w:rPr>
          <w:i/>
        </w:rPr>
        <w:t>rocess</w:t>
      </w:r>
    </w:p>
    <w:p w:rsidR="005F6D33" w:rsidRPr="005F6D33" w:rsidRDefault="005F6D33" w:rsidP="005F6D33">
      <w:pPr>
        <w:spacing w:before="180" w:line="260" w:lineRule="exact"/>
        <w:rPr>
          <w:color w:val="000000"/>
          <w:szCs w:val="24"/>
        </w:rPr>
      </w:pPr>
      <w:r w:rsidRPr="005F6D33">
        <w:rPr>
          <w:color w:val="000000"/>
          <w:szCs w:val="24"/>
        </w:rPr>
        <w:t>The Provider National Registration process provides an option for providers to request an amalgamation of all of the provider’s registrations into a single, master CRICO</w:t>
      </w:r>
      <w:bookmarkStart w:id="2" w:name="_GoBack"/>
      <w:bookmarkEnd w:id="2"/>
      <w:r w:rsidRPr="005F6D33">
        <w:rPr>
          <w:color w:val="000000"/>
          <w:szCs w:val="24"/>
        </w:rPr>
        <w:t>S registration. This process allows seamless re-alignment of registered courses under a single master registration, with access still available for all users and contacts. The excess course registrations will ultimately be cancelled as part of the consolidation.</w:t>
      </w:r>
      <w:r w:rsidR="007A259F">
        <w:rPr>
          <w:color w:val="000000"/>
          <w:szCs w:val="24"/>
        </w:rPr>
        <w:t xml:space="preserve"> </w:t>
      </w:r>
    </w:p>
    <w:p w:rsidR="007A259F" w:rsidRDefault="007A259F" w:rsidP="007A259F">
      <w:pPr>
        <w:spacing w:before="180" w:line="260" w:lineRule="exact"/>
        <w:rPr>
          <w:szCs w:val="24"/>
          <w:lang w:eastAsia="en-AU"/>
        </w:rPr>
      </w:pPr>
      <w:r>
        <w:rPr>
          <w:szCs w:val="24"/>
          <w:lang w:eastAsia="en-AU"/>
        </w:rPr>
        <w:t xml:space="preserve">The following approach, ensuring no disadvantage to providers, is utilised </w:t>
      </w:r>
      <w:r w:rsidRPr="007A259F">
        <w:rPr>
          <w:szCs w:val="24"/>
          <w:lang w:eastAsia="en-AU"/>
        </w:rPr>
        <w:t>for the calculation of the risk</w:t>
      </w:r>
      <w:r>
        <w:rPr>
          <w:szCs w:val="24"/>
          <w:lang w:eastAsia="en-AU"/>
        </w:rPr>
        <w:t xml:space="preserve"> rated premium component of the </w:t>
      </w:r>
      <w:r w:rsidRPr="007A259F">
        <w:rPr>
          <w:szCs w:val="24"/>
          <w:lang w:eastAsia="en-AU"/>
        </w:rPr>
        <w:t>TPS Levy 2014, in the context of Provider National Registration process and in accordance with the legislative instrument</w:t>
      </w:r>
      <w:r>
        <w:rPr>
          <w:szCs w:val="24"/>
          <w:lang w:eastAsia="en-AU"/>
        </w:rPr>
        <w:t>:</w:t>
      </w:r>
    </w:p>
    <w:p w:rsidR="007A259F" w:rsidRDefault="007A259F" w:rsidP="007A259F">
      <w:pPr>
        <w:spacing w:before="180" w:line="260" w:lineRule="exact"/>
        <w:rPr>
          <w:szCs w:val="24"/>
          <w:lang w:eastAsia="en-AU"/>
        </w:rPr>
      </w:pPr>
    </w:p>
    <w:p w:rsidR="007A259F" w:rsidRPr="007A259F" w:rsidRDefault="007A259F" w:rsidP="007A259F">
      <w:pPr>
        <w:numPr>
          <w:ilvl w:val="0"/>
          <w:numId w:val="15"/>
        </w:numPr>
        <w:rPr>
          <w:i/>
        </w:rPr>
      </w:pPr>
      <w:r w:rsidRPr="007A259F">
        <w:rPr>
          <w:i/>
          <w:u w:val="single"/>
        </w:rPr>
        <w:t xml:space="preserve">Payment in arrears </w:t>
      </w:r>
      <w:r w:rsidRPr="007A259F">
        <w:t>– no change is expected as universally all of the registrants accept payment in advance</w:t>
      </w:r>
      <w:r>
        <w:rPr>
          <w:i/>
        </w:rPr>
        <w:t xml:space="preserve">; </w:t>
      </w:r>
    </w:p>
    <w:p w:rsidR="007A259F" w:rsidRPr="007A259F" w:rsidRDefault="007A259F" w:rsidP="007A259F">
      <w:pPr>
        <w:ind w:left="720"/>
      </w:pPr>
    </w:p>
    <w:p w:rsidR="007A259F" w:rsidRPr="007A259F" w:rsidRDefault="007A259F" w:rsidP="007A259F">
      <w:pPr>
        <w:numPr>
          <w:ilvl w:val="0"/>
          <w:numId w:val="15"/>
        </w:numPr>
      </w:pPr>
      <w:r w:rsidRPr="007A259F">
        <w:rPr>
          <w:i/>
          <w:u w:val="single"/>
        </w:rPr>
        <w:t>Length of operation</w:t>
      </w:r>
      <w:r w:rsidRPr="007A259F">
        <w:t xml:space="preserve"> – will be calculated for the resultant merged entity (or registration) as operating for the same period as the oldest registration which has been amalgamated, commencing from the oldest registration and ending on 31 December 2013.</w:t>
      </w:r>
    </w:p>
    <w:p w:rsidR="007A259F" w:rsidRPr="007A259F" w:rsidRDefault="007A259F" w:rsidP="007A259F">
      <w:pPr>
        <w:ind w:left="567"/>
      </w:pPr>
    </w:p>
    <w:p w:rsidR="007A259F" w:rsidRPr="007A259F" w:rsidRDefault="007A259F" w:rsidP="007A259F">
      <w:pPr>
        <w:keepLines/>
        <w:numPr>
          <w:ilvl w:val="0"/>
          <w:numId w:val="15"/>
        </w:numPr>
        <w:jc w:val="both"/>
        <w:rPr>
          <w:szCs w:val="24"/>
        </w:rPr>
      </w:pPr>
      <w:r w:rsidRPr="007A259F">
        <w:rPr>
          <w:i/>
          <w:u w:val="single"/>
        </w:rPr>
        <w:lastRenderedPageBreak/>
        <w:t>Growth in overseas</w:t>
      </w:r>
      <w:r w:rsidRPr="007A259F">
        <w:rPr>
          <w:i/>
        </w:rPr>
        <w:t xml:space="preserve"> - </w:t>
      </w:r>
      <w:r w:rsidRPr="007A259F">
        <w:t xml:space="preserve">will be calculated for the resultant merged entity (or registration) as the sum of student enrolments for all registrations that were amalgamated into the single </w:t>
      </w:r>
      <w:r>
        <w:t>registration;</w:t>
      </w:r>
    </w:p>
    <w:p w:rsidR="007A259F" w:rsidRPr="007A259F" w:rsidRDefault="007A259F" w:rsidP="007A259F">
      <w:pPr>
        <w:keepLines/>
        <w:jc w:val="both"/>
        <w:rPr>
          <w:szCs w:val="24"/>
        </w:rPr>
      </w:pPr>
    </w:p>
    <w:p w:rsidR="007A259F" w:rsidRPr="007A259F" w:rsidRDefault="007A259F" w:rsidP="007A259F">
      <w:pPr>
        <w:keepLines/>
        <w:numPr>
          <w:ilvl w:val="0"/>
          <w:numId w:val="14"/>
        </w:numPr>
      </w:pPr>
      <w:r w:rsidRPr="007A259F">
        <w:rPr>
          <w:i/>
          <w:szCs w:val="24"/>
          <w:u w:val="single"/>
        </w:rPr>
        <w:t>Maximum overseas students source country concentration</w:t>
      </w:r>
      <w:r w:rsidRPr="007A259F">
        <w:rPr>
          <w:szCs w:val="24"/>
        </w:rPr>
        <w:t xml:space="preserve"> – will be calculated for the resultant merged entity (or registration) on as the sum of all nationalities for all registrations that were amalgamate</w:t>
      </w:r>
      <w:r>
        <w:rPr>
          <w:szCs w:val="24"/>
        </w:rPr>
        <w:t>d into the single registration;</w:t>
      </w:r>
      <w:r w:rsidRPr="007A259F">
        <w:rPr>
          <w:szCs w:val="24"/>
        </w:rPr>
        <w:t xml:space="preserve"> </w:t>
      </w:r>
    </w:p>
    <w:p w:rsidR="007A259F" w:rsidRPr="007A259F" w:rsidRDefault="007A259F" w:rsidP="007A259F">
      <w:pPr>
        <w:keepLines/>
        <w:ind w:left="720"/>
      </w:pPr>
    </w:p>
    <w:p w:rsidR="007A259F" w:rsidRPr="007A259F" w:rsidRDefault="007A259F" w:rsidP="007A259F">
      <w:pPr>
        <w:keepLines/>
        <w:numPr>
          <w:ilvl w:val="0"/>
          <w:numId w:val="14"/>
        </w:numPr>
      </w:pPr>
      <w:r w:rsidRPr="007A259F">
        <w:rPr>
          <w:i/>
          <w:u w:val="single"/>
        </w:rPr>
        <w:t>Non-compliance history</w:t>
      </w:r>
      <w:r w:rsidRPr="007A259F">
        <w:rPr>
          <w:i/>
        </w:rPr>
        <w:t xml:space="preserve"> – </w:t>
      </w:r>
      <w:r w:rsidRPr="007A259F">
        <w:t xml:space="preserve">will be calculated for the resultant merged entity (or registration), including late payment measure and the sanctions for non-compliance under Division 1 of Subdivision A of section 83 of the Education Services for Overseas Students Act 2000, in the year 2013.  </w:t>
      </w:r>
    </w:p>
    <w:p w:rsidR="007A259F" w:rsidRPr="007A259F" w:rsidRDefault="007A259F" w:rsidP="007A259F">
      <w:pPr>
        <w:ind w:left="567"/>
      </w:pPr>
    </w:p>
    <w:p w:rsidR="007A259F" w:rsidRPr="007A259F" w:rsidRDefault="007A259F" w:rsidP="007A259F">
      <w:pPr>
        <w:keepLines/>
      </w:pPr>
      <w:r w:rsidRPr="007A259F">
        <w:t>Overseas students tuition fee income for the calendar year 2013 will be calculated as the sum of all amalgamated registrations</w:t>
      </w:r>
      <w:r>
        <w:t>.</w:t>
      </w:r>
    </w:p>
    <w:p w:rsidR="003E584D" w:rsidRPr="00AC5FF5" w:rsidRDefault="003E584D" w:rsidP="00F673C9">
      <w:pPr>
        <w:rPr>
          <w:i/>
        </w:rPr>
      </w:pPr>
    </w:p>
    <w:p w:rsidR="005F29F2" w:rsidRDefault="005F29F2" w:rsidP="00F673C9">
      <w:pPr>
        <w:rPr>
          <w:u w:val="single"/>
        </w:rPr>
      </w:pPr>
    </w:p>
    <w:p w:rsidR="00A0363F" w:rsidRDefault="003C4973" w:rsidP="00F673C9">
      <w:pPr>
        <w:rPr>
          <w:u w:val="single"/>
        </w:rPr>
      </w:pPr>
      <w:r w:rsidRPr="003C4973">
        <w:rPr>
          <w:u w:val="single"/>
        </w:rPr>
        <w:t>Consultation</w:t>
      </w:r>
    </w:p>
    <w:p w:rsidR="003C4973" w:rsidRPr="003C4973" w:rsidRDefault="003C4973" w:rsidP="00F673C9">
      <w:pPr>
        <w:rPr>
          <w:u w:val="single"/>
        </w:rPr>
      </w:pPr>
      <w:r w:rsidRPr="003C4973">
        <w:rPr>
          <w:u w:val="single"/>
        </w:rPr>
        <w:t xml:space="preserve"> </w:t>
      </w:r>
    </w:p>
    <w:p w:rsidR="00F27CE6" w:rsidRDefault="00692C3C" w:rsidP="00F673C9">
      <w:r>
        <w:t xml:space="preserve">Under section 11(2) of the Act, in making a legislative instrument, the TPS Director must have regard to any advice of the </w:t>
      </w:r>
      <w:r w:rsidR="003C4973">
        <w:t xml:space="preserve">TPS Advisory </w:t>
      </w:r>
      <w:r>
        <w:t>Board in relation to the legislative instrument, and the sustainability of the</w:t>
      </w:r>
      <w:r w:rsidR="00186509">
        <w:t xml:space="preserve"> OSTF</w:t>
      </w:r>
      <w:r>
        <w:t>.</w:t>
      </w:r>
      <w:r w:rsidR="004660A4">
        <w:t xml:space="preserve"> </w:t>
      </w:r>
    </w:p>
    <w:p w:rsidR="00F27CE6" w:rsidRDefault="00F27CE6" w:rsidP="00F673C9"/>
    <w:p w:rsidR="00A0363F" w:rsidRDefault="00DB326C" w:rsidP="00F673C9">
      <w:r>
        <w:t xml:space="preserve">The TPS Advisory Board was appointed by the Minister </w:t>
      </w:r>
      <w:r w:rsidRPr="00DB326C">
        <w:rPr>
          <w:i/>
        </w:rPr>
        <w:t>(</w:t>
      </w:r>
      <w:r w:rsidRPr="00186509">
        <w:t>Part 5A, Division 4 of the</w:t>
      </w:r>
      <w:r w:rsidR="00186509" w:rsidRPr="00186509">
        <w:t xml:space="preserve"> ESOS Act</w:t>
      </w:r>
      <w:r w:rsidRPr="00186509">
        <w:t>)</w:t>
      </w:r>
      <w:r>
        <w:t>, and comprises 12 government and non-government sector representatives, selected</w:t>
      </w:r>
      <w:r w:rsidRPr="00DB326C">
        <w:t xml:space="preserve"> on the basis of their qualifications and experience in the sector.</w:t>
      </w:r>
    </w:p>
    <w:p w:rsidR="00692C3C" w:rsidRDefault="00692C3C" w:rsidP="00F673C9"/>
    <w:p w:rsidR="00DB326C" w:rsidRDefault="00A0363F" w:rsidP="00A0363F">
      <w:r w:rsidRPr="00A0363F">
        <w:t xml:space="preserve">In addition to considering any advice of the TPS Advisory Board, in determining the risk rated </w:t>
      </w:r>
      <w:r w:rsidR="007D2BF3">
        <w:t>premium and special tuition protection</w:t>
      </w:r>
      <w:r w:rsidRPr="00A0363F">
        <w:t xml:space="preserve"> components of the TPS Levy, </w:t>
      </w:r>
      <w:r w:rsidR="009E7D02">
        <w:t>u</w:t>
      </w:r>
      <w:r w:rsidR="004660A4">
        <w:t xml:space="preserve">nder </w:t>
      </w:r>
      <w:r w:rsidR="00786254">
        <w:t xml:space="preserve">sub </w:t>
      </w:r>
      <w:r w:rsidR="004660A4">
        <w:t xml:space="preserve">section 11(3) of the Act, </w:t>
      </w:r>
      <w:r w:rsidRPr="00A0363F">
        <w:t>the TPS Director may have regard to any other matters he or she considers appropriate</w:t>
      </w:r>
      <w:r w:rsidR="009E7D02">
        <w:t>.</w:t>
      </w:r>
      <w:r w:rsidRPr="00A0363F">
        <w:t xml:space="preserve"> </w:t>
      </w:r>
    </w:p>
    <w:p w:rsidR="00DB326C" w:rsidRDefault="00DB326C" w:rsidP="00A0363F"/>
    <w:p w:rsidR="00AA74AC" w:rsidRDefault="00DE3E1A" w:rsidP="00A0363F">
      <w:r>
        <w:t xml:space="preserve">The TPS Director has worked </w:t>
      </w:r>
      <w:r w:rsidR="00DB326C">
        <w:t>extensively</w:t>
      </w:r>
      <w:r>
        <w:t xml:space="preserve"> with the</w:t>
      </w:r>
      <w:r w:rsidR="00D93F2F">
        <w:t xml:space="preserve"> Australian Government Actuary </w:t>
      </w:r>
      <w:r>
        <w:t xml:space="preserve">in determining </w:t>
      </w:r>
      <w:r w:rsidR="00DB326C">
        <w:t>the risk factors and increase factors of the risk rated premium component of the TPS Levy. In addition, t</w:t>
      </w:r>
      <w:r w:rsidR="00A0363F" w:rsidRPr="00A0363F">
        <w:t xml:space="preserve">he TPS Director </w:t>
      </w:r>
      <w:r w:rsidR="00B4610B">
        <w:t xml:space="preserve">has </w:t>
      </w:r>
      <w:r w:rsidR="00A0363F" w:rsidRPr="00A0363F">
        <w:t>consulted with industry stakeholders</w:t>
      </w:r>
      <w:r w:rsidR="00C46684">
        <w:t>,</w:t>
      </w:r>
      <w:r w:rsidR="00A0363F" w:rsidRPr="00A0363F">
        <w:t xml:space="preserve"> </w:t>
      </w:r>
      <w:r w:rsidR="007D2BF3">
        <w:t>and representatives of the two national regulatory bodies Australian Skills Quality Authority and Tertiary Education Quality Standards Agency.</w:t>
      </w:r>
      <w:r w:rsidR="00266FE4">
        <w:t xml:space="preserve"> </w:t>
      </w:r>
      <w:r w:rsidR="00266FE4" w:rsidRPr="00266FE4">
        <w:t xml:space="preserve">On 19 November 2013 the TPS Director wrote to peak stakeholders inviting feedback and comments regarding the recommended settings for the TPS Levy 2014. </w:t>
      </w:r>
      <w:r w:rsidR="00AA74AC">
        <w:t>In addition, the TPS Advisory Board advice and recommendations for the TPS Levy 2014 settings were posted on the TPS website, inviting feedback from feedback from all</w:t>
      </w:r>
      <w:r w:rsidR="00266FE4" w:rsidRPr="00266FE4">
        <w:t xml:space="preserve"> CRICOS provider on the</w:t>
      </w:r>
      <w:r w:rsidR="00AA74AC">
        <w:t xml:space="preserve"> proposed setting of</w:t>
      </w:r>
      <w:r w:rsidR="00266FE4" w:rsidRPr="00266FE4">
        <w:t xml:space="preserve"> the </w:t>
      </w:r>
      <w:r w:rsidR="00AA74AC">
        <w:t xml:space="preserve">levy. From 25 November 2013 to 3 December 2013 the TPS Director also undertook focused consultations with key stakeholders. The feedback was taken into consideration in finalising the settings for the TPS Levy 2014. </w:t>
      </w:r>
    </w:p>
    <w:p w:rsidR="003E1C86" w:rsidRDefault="003E1C86" w:rsidP="00DB326C"/>
    <w:p w:rsidR="00266FE4" w:rsidRDefault="00266FE4">
      <w:pPr>
        <w:rPr>
          <w:u w:val="single"/>
        </w:rPr>
      </w:pPr>
    </w:p>
    <w:p w:rsidR="00765CAD" w:rsidRDefault="00266FE4" w:rsidP="00765CAD">
      <w:pPr>
        <w:rPr>
          <w:u w:val="single"/>
        </w:rPr>
      </w:pPr>
      <w:r>
        <w:rPr>
          <w:u w:val="single"/>
        </w:rPr>
        <w:t>Regulatory</w:t>
      </w:r>
      <w:r w:rsidR="00C63F0E" w:rsidRPr="00012097">
        <w:rPr>
          <w:u w:val="single"/>
        </w:rPr>
        <w:t xml:space="preserve"> Impact Statement</w:t>
      </w:r>
    </w:p>
    <w:p w:rsidR="00765CAD" w:rsidRDefault="00765CAD" w:rsidP="00765CAD">
      <w:pPr>
        <w:rPr>
          <w:u w:val="single"/>
        </w:rPr>
      </w:pPr>
    </w:p>
    <w:p w:rsidR="00C63F0E" w:rsidRPr="00765CAD" w:rsidRDefault="00765CAD" w:rsidP="00765CAD">
      <w:pPr>
        <w:rPr>
          <w:u w:val="single"/>
        </w:rPr>
      </w:pPr>
      <w:r w:rsidRPr="00765CAD">
        <w:t>T</w:t>
      </w:r>
      <w:r w:rsidR="00C63F0E" w:rsidRPr="00765CAD">
        <w:t>h</w:t>
      </w:r>
      <w:r w:rsidR="00C63F0E" w:rsidRPr="00012097">
        <w:t xml:space="preserve">e regulatory impact of the introduction of </w:t>
      </w:r>
      <w:r w:rsidR="00DB326C">
        <w:t>the TPS Levy</w:t>
      </w:r>
      <w:r w:rsidR="00D61A84">
        <w:t xml:space="preserve"> and its four components</w:t>
      </w:r>
      <w:r w:rsidR="00C63F0E" w:rsidRPr="00012097">
        <w:t>, to which this determination relates, was considered in the ESOS (Tuition Protection Service and other related measures) Regulatory Impact Statement assessed as adequate by the O</w:t>
      </w:r>
      <w:r w:rsidR="00186509">
        <w:t xml:space="preserve">ffice of </w:t>
      </w:r>
      <w:r w:rsidR="00C63F0E" w:rsidRPr="00012097">
        <w:t>B</w:t>
      </w:r>
      <w:r w:rsidR="00186509">
        <w:t xml:space="preserve">est </w:t>
      </w:r>
      <w:r w:rsidR="00C63F0E" w:rsidRPr="00012097">
        <w:t>P</w:t>
      </w:r>
      <w:r w:rsidR="00186509">
        <w:t xml:space="preserve">ractice </w:t>
      </w:r>
      <w:r w:rsidR="00C63F0E" w:rsidRPr="00012097">
        <w:t>R</w:t>
      </w:r>
      <w:r w:rsidR="00186509">
        <w:t>egulation</w:t>
      </w:r>
      <w:r w:rsidR="00C63F0E" w:rsidRPr="00012097">
        <w:t xml:space="preserve"> on 2 February 2012. </w:t>
      </w:r>
    </w:p>
    <w:p w:rsidR="00C63F0E" w:rsidRPr="00012097" w:rsidRDefault="00C63F0E">
      <w:pPr>
        <w:keepNext/>
        <w:keepLines/>
        <w:autoSpaceDE w:val="0"/>
        <w:autoSpaceDN w:val="0"/>
        <w:adjustRightInd w:val="0"/>
      </w:pPr>
    </w:p>
    <w:p w:rsidR="00C63F0E" w:rsidRPr="00012097" w:rsidRDefault="00C63F0E">
      <w:pPr>
        <w:keepNext/>
        <w:keepLines/>
        <w:autoSpaceDE w:val="0"/>
        <w:autoSpaceDN w:val="0"/>
        <w:adjustRightInd w:val="0"/>
      </w:pPr>
      <w:r w:rsidRPr="00012097">
        <w:t>A post-implementation review of this and other measures related to the Tuition Protection Service is also required within one to two years of implementation.</w:t>
      </w:r>
    </w:p>
    <w:p w:rsidR="00C63F0E" w:rsidRPr="00012097" w:rsidRDefault="00C63F0E">
      <w:pPr>
        <w:keepNext/>
        <w:keepLines/>
        <w:autoSpaceDE w:val="0"/>
        <w:autoSpaceDN w:val="0"/>
        <w:adjustRightInd w:val="0"/>
      </w:pPr>
    </w:p>
    <w:p w:rsidR="00C63F0E" w:rsidRPr="00012097" w:rsidRDefault="00C63F0E" w:rsidP="002228AD">
      <w:pPr>
        <w:ind w:right="91"/>
        <w:jc w:val="center"/>
        <w:rPr>
          <w:rFonts w:cs="Arial"/>
          <w:b/>
          <w:u w:val="single"/>
        </w:rPr>
      </w:pPr>
      <w:r w:rsidRPr="00012097">
        <w:rPr>
          <w:bCs/>
          <w:u w:val="single"/>
        </w:rPr>
        <w:br w:type="page"/>
      </w:r>
      <w:r w:rsidRPr="00012097">
        <w:rPr>
          <w:rFonts w:cs="Arial"/>
          <w:b/>
          <w:u w:val="single"/>
        </w:rPr>
        <w:lastRenderedPageBreak/>
        <w:t>Statement of Compatibility with Human Rights</w:t>
      </w:r>
    </w:p>
    <w:p w:rsidR="00C63F0E" w:rsidRPr="00012097" w:rsidRDefault="00C63F0E" w:rsidP="002228AD">
      <w:pPr>
        <w:ind w:right="91"/>
      </w:pPr>
    </w:p>
    <w:p w:rsidR="00C63F0E" w:rsidRPr="00012097" w:rsidRDefault="00C63F0E" w:rsidP="002228AD">
      <w:pPr>
        <w:ind w:right="91"/>
        <w:jc w:val="center"/>
        <w:rPr>
          <w:rFonts w:ascii="Calibri" w:hAnsi="Calibri" w:cs="Calibri"/>
          <w:i/>
        </w:rPr>
      </w:pPr>
      <w:r w:rsidRPr="00012097">
        <w:t xml:space="preserve">Prepared in accordance with Part 3 of the </w:t>
      </w:r>
      <w:r w:rsidRPr="00012097">
        <w:rPr>
          <w:i/>
        </w:rPr>
        <w:t>Human Rights (Parliamentary Scrutiny) Act 2011</w:t>
      </w:r>
      <w:r w:rsidRPr="00012097">
        <w:t>.</w:t>
      </w:r>
    </w:p>
    <w:p w:rsidR="00C63F0E" w:rsidRPr="00012097" w:rsidRDefault="00C63F0E" w:rsidP="00810D8B">
      <w:pPr>
        <w:keepNext/>
        <w:keepLines/>
        <w:autoSpaceDE w:val="0"/>
        <w:autoSpaceDN w:val="0"/>
        <w:adjustRightInd w:val="0"/>
        <w:rPr>
          <w:b/>
          <w:bCs/>
        </w:rPr>
      </w:pPr>
    </w:p>
    <w:p w:rsidR="00D61A84" w:rsidRPr="00012097" w:rsidRDefault="00D61A84" w:rsidP="00D61A84">
      <w:pPr>
        <w:jc w:val="center"/>
        <w:rPr>
          <w:b/>
          <w:szCs w:val="24"/>
          <w:u w:val="single"/>
        </w:rPr>
      </w:pPr>
      <w:r w:rsidRPr="00012097">
        <w:rPr>
          <w:b/>
          <w:szCs w:val="24"/>
          <w:u w:val="single"/>
        </w:rPr>
        <w:t>Education Services for Overseas Students</w:t>
      </w:r>
      <w:r>
        <w:rPr>
          <w:b/>
          <w:szCs w:val="24"/>
          <w:u w:val="single"/>
        </w:rPr>
        <w:t xml:space="preserve"> (TPS Levies) (Risk Rated Premium and Special Tuition Protection Components) </w:t>
      </w:r>
      <w:r w:rsidRPr="00012097">
        <w:rPr>
          <w:b/>
          <w:szCs w:val="24"/>
          <w:u w:val="single"/>
        </w:rPr>
        <w:t xml:space="preserve"> </w:t>
      </w:r>
    </w:p>
    <w:p w:rsidR="00D61A84" w:rsidRDefault="001A1DCC" w:rsidP="00D61A84">
      <w:pPr>
        <w:jc w:val="center"/>
        <w:rPr>
          <w:b/>
          <w:szCs w:val="24"/>
          <w:u w:val="single"/>
        </w:rPr>
      </w:pPr>
      <w:r>
        <w:rPr>
          <w:b/>
          <w:szCs w:val="24"/>
          <w:u w:val="single"/>
        </w:rPr>
        <w:t>Determination 2013</w:t>
      </w:r>
      <w:r w:rsidR="00D61A84" w:rsidRPr="00012097">
        <w:rPr>
          <w:b/>
          <w:szCs w:val="24"/>
          <w:u w:val="single"/>
        </w:rPr>
        <w:t xml:space="preserve"> </w:t>
      </w:r>
    </w:p>
    <w:p w:rsidR="00D61A84" w:rsidRPr="00012097" w:rsidRDefault="00D61A84" w:rsidP="00D61A84">
      <w:pPr>
        <w:jc w:val="center"/>
        <w:rPr>
          <w:b/>
          <w:szCs w:val="24"/>
          <w:u w:val="single"/>
        </w:rPr>
      </w:pPr>
    </w:p>
    <w:p w:rsidR="00C63F0E" w:rsidRPr="00012097" w:rsidRDefault="00C63F0E" w:rsidP="00BC7761">
      <w:pPr>
        <w:jc w:val="center"/>
      </w:pPr>
      <w:r w:rsidRPr="00012097">
        <w:t xml:space="preserve">This determination is compatible with the human rights and freedoms recognised or declared in the international instruments listed in section 3 of the </w:t>
      </w:r>
      <w:r w:rsidRPr="00012097">
        <w:rPr>
          <w:i/>
        </w:rPr>
        <w:t>Human Rights (Parliamentary Scrutiny) Act 2011</w:t>
      </w:r>
      <w:r w:rsidRPr="00012097">
        <w:t>.</w:t>
      </w:r>
    </w:p>
    <w:p w:rsidR="00C63F0E" w:rsidRPr="00012097" w:rsidRDefault="00C63F0E" w:rsidP="00BC7761">
      <w:pPr>
        <w:keepNext/>
        <w:keepLines/>
        <w:autoSpaceDE w:val="0"/>
        <w:autoSpaceDN w:val="0"/>
        <w:adjustRightInd w:val="0"/>
        <w:jc w:val="center"/>
        <w:rPr>
          <w:iCs/>
        </w:rPr>
      </w:pPr>
    </w:p>
    <w:p w:rsidR="00C63F0E" w:rsidRPr="00012097" w:rsidRDefault="00C63F0E" w:rsidP="00BC7761">
      <w:pPr>
        <w:keepNext/>
        <w:keepLines/>
        <w:autoSpaceDE w:val="0"/>
        <w:autoSpaceDN w:val="0"/>
        <w:adjustRightInd w:val="0"/>
        <w:spacing w:after="120"/>
        <w:rPr>
          <w:b/>
          <w:iCs/>
        </w:rPr>
      </w:pPr>
      <w:r w:rsidRPr="00012097">
        <w:rPr>
          <w:b/>
          <w:iCs/>
        </w:rPr>
        <w:t>Overview of the Determination</w:t>
      </w:r>
    </w:p>
    <w:p w:rsidR="00841892" w:rsidRDefault="00841892" w:rsidP="00841892">
      <w:pPr>
        <w:spacing w:before="240" w:after="60"/>
      </w:pPr>
      <w:r w:rsidRPr="00F93DC1">
        <w:rPr>
          <w:i/>
        </w:rPr>
        <w:t>The</w:t>
      </w:r>
      <w:r w:rsidRPr="00012097">
        <w:t xml:space="preserve"> </w:t>
      </w:r>
      <w:r w:rsidRPr="00012097">
        <w:rPr>
          <w:i/>
        </w:rPr>
        <w:t>Education Services for Overseas Students</w:t>
      </w:r>
      <w:r w:rsidR="009B03DF">
        <w:rPr>
          <w:i/>
        </w:rPr>
        <w:t xml:space="preserve"> (TPS Levies) </w:t>
      </w:r>
      <w:r w:rsidRPr="00012097">
        <w:rPr>
          <w:i/>
        </w:rPr>
        <w:t>(</w:t>
      </w:r>
      <w:r>
        <w:rPr>
          <w:i/>
        </w:rPr>
        <w:t>Risk Rated Premium and Special Tuition Protection Components,</w:t>
      </w:r>
      <w:r w:rsidRPr="00012097">
        <w:rPr>
          <w:i/>
        </w:rPr>
        <w:t xml:space="preserve"> Determination 201</w:t>
      </w:r>
      <w:r w:rsidR="00654950">
        <w:rPr>
          <w:i/>
        </w:rPr>
        <w:t>3</w:t>
      </w:r>
      <w:r w:rsidRPr="00012097">
        <w:rPr>
          <w:i/>
        </w:rPr>
        <w:t xml:space="preserve"> </w:t>
      </w:r>
      <w:r w:rsidRPr="00012097">
        <w:t xml:space="preserve">is made by the </w:t>
      </w:r>
      <w:r>
        <w:t xml:space="preserve">Tuition Protection Service (TPS) Director, pursuant to subsection 5 </w:t>
      </w:r>
      <w:r w:rsidRPr="00D94AE7">
        <w:t xml:space="preserve">of the </w:t>
      </w:r>
      <w:r w:rsidRPr="00D94AE7">
        <w:rPr>
          <w:i/>
        </w:rPr>
        <w:t xml:space="preserve">Education Services for Overseas Students </w:t>
      </w:r>
      <w:r>
        <w:rPr>
          <w:i/>
        </w:rPr>
        <w:t xml:space="preserve">(TPS Levies) Act 2012 </w:t>
      </w:r>
      <w:r>
        <w:t>(the Act), and specify</w:t>
      </w:r>
      <w:r>
        <w:rPr>
          <w:i/>
        </w:rPr>
        <w:t xml:space="preserve"> </w:t>
      </w:r>
      <w:r>
        <w:t>the components for the purposes of subsections 9(3) and 10(2) of the Act</w:t>
      </w:r>
      <w:r w:rsidRPr="00D94AE7">
        <w:t>.</w:t>
      </w:r>
    </w:p>
    <w:p w:rsidR="00841892" w:rsidRDefault="00841892" w:rsidP="00841892"/>
    <w:p w:rsidR="00841892" w:rsidRDefault="00841892" w:rsidP="00841892">
      <w:r>
        <w:t xml:space="preserve">The TPS </w:t>
      </w:r>
      <w:r w:rsidRPr="00721AD8">
        <w:t>protection</w:t>
      </w:r>
      <w:r>
        <w:t xml:space="preserve"> arrangements </w:t>
      </w:r>
      <w:r w:rsidRPr="00721AD8">
        <w:t xml:space="preserve">commenced on 1 July 2012, </w:t>
      </w:r>
      <w:r>
        <w:t xml:space="preserve">and </w:t>
      </w:r>
      <w:r w:rsidRPr="00721AD8">
        <w:t>are designed to establish a universal tuition protection framework</w:t>
      </w:r>
      <w:r>
        <w:t xml:space="preserve"> which will benefit</w:t>
      </w:r>
      <w:r w:rsidRPr="00721AD8">
        <w:t xml:space="preserve"> </w:t>
      </w:r>
      <w:r>
        <w:t xml:space="preserve">overseas </w:t>
      </w:r>
      <w:r w:rsidRPr="00721AD8">
        <w:t xml:space="preserve">students affected by a </w:t>
      </w:r>
      <w:r>
        <w:t xml:space="preserve">provider </w:t>
      </w:r>
      <w:r w:rsidRPr="00721AD8">
        <w:t xml:space="preserve">closure by providing </w:t>
      </w:r>
      <w:r>
        <w:t>placement options or refunds where placement is not available.</w:t>
      </w:r>
      <w:r w:rsidRPr="00721AD8">
        <w:t xml:space="preserve"> </w:t>
      </w:r>
      <w:r>
        <w:t>The arrangements are also designed to</w:t>
      </w:r>
      <w:r w:rsidRPr="00012097">
        <w:t xml:space="preserve"> protect the considerable investment international students make in an Australian education and to protect and enhance Australia’s reputation as a destination of choice for international students. </w:t>
      </w:r>
    </w:p>
    <w:p w:rsidR="00841892" w:rsidRDefault="00841892" w:rsidP="00841892"/>
    <w:p w:rsidR="00841892" w:rsidRDefault="00841892" w:rsidP="00841892">
      <w:r w:rsidRPr="00012097">
        <w:t>The purpose of this determination is to specify a metho</w:t>
      </w:r>
      <w:r>
        <w:t xml:space="preserve">d for working out the amount payable by all </w:t>
      </w:r>
      <w:r w:rsidRPr="00A0363F">
        <w:rPr>
          <w:i/>
        </w:rPr>
        <w:t>non-exempt</w:t>
      </w:r>
      <w:r>
        <w:t xml:space="preserve"> Commonwealth Register of Institutions and Courses for Overseas Students (CRICOS) registered p</w:t>
      </w:r>
      <w:r w:rsidRPr="006928C2">
        <w:t>rovider</w:t>
      </w:r>
      <w:r>
        <w:t>s</w:t>
      </w:r>
      <w:r w:rsidRPr="006928C2">
        <w:t xml:space="preserve"> </w:t>
      </w:r>
      <w:r>
        <w:t xml:space="preserve">for the risk rated premium and special tuition protection component of the TPS Levy. </w:t>
      </w:r>
    </w:p>
    <w:p w:rsidR="00841892" w:rsidRDefault="00841892" w:rsidP="009C007B">
      <w:pPr>
        <w:keepNext/>
        <w:keepLines/>
        <w:autoSpaceDE w:val="0"/>
        <w:autoSpaceDN w:val="0"/>
        <w:adjustRightInd w:val="0"/>
        <w:rPr>
          <w:b/>
          <w:iCs/>
        </w:rPr>
      </w:pPr>
    </w:p>
    <w:p w:rsidR="00C63F0E" w:rsidRPr="00012097" w:rsidRDefault="00C63F0E" w:rsidP="009C007B">
      <w:pPr>
        <w:keepNext/>
        <w:keepLines/>
        <w:autoSpaceDE w:val="0"/>
        <w:autoSpaceDN w:val="0"/>
        <w:adjustRightInd w:val="0"/>
        <w:rPr>
          <w:b/>
          <w:iCs/>
        </w:rPr>
      </w:pPr>
      <w:r w:rsidRPr="00012097">
        <w:rPr>
          <w:b/>
          <w:iCs/>
        </w:rPr>
        <w:t>Human rights implications</w:t>
      </w:r>
    </w:p>
    <w:p w:rsidR="00C63F0E" w:rsidRPr="00012097" w:rsidRDefault="00C63F0E" w:rsidP="00810D8B">
      <w:pPr>
        <w:keepNext/>
        <w:keepLines/>
        <w:autoSpaceDE w:val="0"/>
        <w:autoSpaceDN w:val="0"/>
        <w:adjustRightInd w:val="0"/>
        <w:rPr>
          <w:i/>
          <w:iCs/>
        </w:rPr>
      </w:pPr>
    </w:p>
    <w:p w:rsidR="00C63F0E" w:rsidRPr="00012097" w:rsidRDefault="00C63F0E" w:rsidP="00810D8B">
      <w:pPr>
        <w:keepNext/>
        <w:keepLines/>
        <w:autoSpaceDE w:val="0"/>
        <w:autoSpaceDN w:val="0"/>
        <w:adjustRightInd w:val="0"/>
        <w:rPr>
          <w:i/>
          <w:iCs/>
        </w:rPr>
      </w:pPr>
      <w:r w:rsidRPr="00012097">
        <w:rPr>
          <w:i/>
          <w:iCs/>
        </w:rPr>
        <w:t>Right to education</w:t>
      </w:r>
    </w:p>
    <w:p w:rsidR="00C63F0E" w:rsidRPr="00012097" w:rsidRDefault="00C63F0E" w:rsidP="00810D8B">
      <w:pPr>
        <w:keepNext/>
        <w:keepLines/>
        <w:autoSpaceDE w:val="0"/>
        <w:autoSpaceDN w:val="0"/>
        <w:adjustRightInd w:val="0"/>
        <w:rPr>
          <w:i/>
          <w:iCs/>
        </w:rPr>
      </w:pPr>
    </w:p>
    <w:p w:rsidR="00C63F0E" w:rsidRPr="00012097" w:rsidRDefault="00C63F0E" w:rsidP="00810D8B">
      <w:pPr>
        <w:keepNext/>
        <w:keepLines/>
        <w:autoSpaceDE w:val="0"/>
        <w:autoSpaceDN w:val="0"/>
        <w:adjustRightInd w:val="0"/>
      </w:pPr>
      <w:r w:rsidRPr="00012097">
        <w:t>This determination engages the right to education, contained in Article 13 of the International Covenant on Economic, Social, and Cultural Rights. In particular, this determination has an effect on the provision of education services to international students by bodies corporate registered on the CRICOS.</w:t>
      </w:r>
    </w:p>
    <w:p w:rsidR="00C63F0E" w:rsidRPr="00012097" w:rsidRDefault="00C63F0E" w:rsidP="00810D8B">
      <w:pPr>
        <w:keepNext/>
        <w:keepLines/>
        <w:autoSpaceDE w:val="0"/>
        <w:autoSpaceDN w:val="0"/>
        <w:adjustRightInd w:val="0"/>
      </w:pPr>
    </w:p>
    <w:p w:rsidR="00C63F0E" w:rsidRPr="00012097" w:rsidRDefault="00C63F0E" w:rsidP="00810D8B">
      <w:pPr>
        <w:keepNext/>
        <w:keepLines/>
        <w:autoSpaceDE w:val="0"/>
        <w:autoSpaceDN w:val="0"/>
        <w:adjustRightInd w:val="0"/>
      </w:pPr>
      <w:r w:rsidRPr="00012097">
        <w:t>To the extent that the right to education is engaged, this right is promoted by the determination.</w:t>
      </w:r>
    </w:p>
    <w:p w:rsidR="00C63F0E" w:rsidRPr="00012097" w:rsidRDefault="00C63F0E" w:rsidP="00810D8B">
      <w:pPr>
        <w:keepNext/>
        <w:keepLines/>
        <w:autoSpaceDE w:val="0"/>
        <w:autoSpaceDN w:val="0"/>
        <w:adjustRightInd w:val="0"/>
      </w:pPr>
    </w:p>
    <w:p w:rsidR="00C63F0E" w:rsidRPr="00012097" w:rsidRDefault="00C63F0E" w:rsidP="00810D8B">
      <w:pPr>
        <w:keepNext/>
        <w:keepLines/>
        <w:autoSpaceDE w:val="0"/>
        <w:autoSpaceDN w:val="0"/>
        <w:adjustRightInd w:val="0"/>
        <w:rPr>
          <w:bCs/>
          <w:i/>
        </w:rPr>
      </w:pPr>
      <w:r w:rsidRPr="00012097">
        <w:rPr>
          <w:bCs/>
          <w:i/>
        </w:rPr>
        <w:t>Conclusion</w:t>
      </w:r>
    </w:p>
    <w:p w:rsidR="00C63F0E" w:rsidRPr="00012097" w:rsidRDefault="00C63F0E" w:rsidP="00810D8B">
      <w:pPr>
        <w:keepNext/>
        <w:keepLines/>
        <w:autoSpaceDE w:val="0"/>
        <w:autoSpaceDN w:val="0"/>
        <w:adjustRightInd w:val="0"/>
        <w:rPr>
          <w:b/>
          <w:bCs/>
        </w:rPr>
      </w:pPr>
    </w:p>
    <w:p w:rsidR="00C63F0E" w:rsidRDefault="00C63F0E">
      <w:pPr>
        <w:keepNext/>
        <w:keepLines/>
        <w:autoSpaceDE w:val="0"/>
        <w:autoSpaceDN w:val="0"/>
        <w:adjustRightInd w:val="0"/>
      </w:pPr>
      <w:r w:rsidRPr="00012097">
        <w:t>This determination is compatible with human rights because it advances the protection of human rights.</w:t>
      </w:r>
      <w:r>
        <w:t xml:space="preserve"> </w:t>
      </w:r>
    </w:p>
    <w:sectPr w:rsidR="00C63F0E" w:rsidSect="009A16C0">
      <w:headerReference w:type="default" r:id="rId10"/>
      <w:footerReference w:type="default" r:id="rId11"/>
      <w:pgSz w:w="11906" w:h="16838" w:code="9"/>
      <w:pgMar w:top="1418" w:right="1134" w:bottom="1222"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59" w:rsidRDefault="00380A59" w:rsidP="00D8584E">
      <w:r>
        <w:separator/>
      </w:r>
    </w:p>
  </w:endnote>
  <w:endnote w:type="continuationSeparator" w:id="0">
    <w:p w:rsidR="00380A59" w:rsidRDefault="00380A59" w:rsidP="00D8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536040"/>
      <w:docPartObj>
        <w:docPartGallery w:val="Page Numbers (Bottom of Page)"/>
        <w:docPartUnique/>
      </w:docPartObj>
    </w:sdtPr>
    <w:sdtEndPr>
      <w:rPr>
        <w:noProof/>
      </w:rPr>
    </w:sdtEndPr>
    <w:sdtContent>
      <w:p w:rsidR="001746B8" w:rsidRDefault="0029231C">
        <w:pPr>
          <w:pStyle w:val="Footer"/>
          <w:jc w:val="right"/>
        </w:pPr>
        <w:r>
          <w:fldChar w:fldCharType="begin"/>
        </w:r>
        <w:r w:rsidR="001746B8">
          <w:instrText xml:space="preserve"> PAGE   \* MERGEFORMAT </w:instrText>
        </w:r>
        <w:r>
          <w:fldChar w:fldCharType="separate"/>
        </w:r>
        <w:r w:rsidR="004064DA">
          <w:rPr>
            <w:noProof/>
          </w:rPr>
          <w:t>4</w:t>
        </w:r>
        <w:r>
          <w:rPr>
            <w:noProof/>
          </w:rPr>
          <w:fldChar w:fldCharType="end"/>
        </w:r>
      </w:p>
    </w:sdtContent>
  </w:sdt>
  <w:p w:rsidR="00380A59" w:rsidRDefault="00380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59" w:rsidRDefault="00380A59" w:rsidP="00D8584E">
      <w:r>
        <w:separator/>
      </w:r>
    </w:p>
  </w:footnote>
  <w:footnote w:type="continuationSeparator" w:id="0">
    <w:p w:rsidR="00380A59" w:rsidRDefault="00380A59" w:rsidP="00D8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B5C" w:rsidRDefault="00844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29653181"/>
    <w:multiLevelType w:val="hybridMultilevel"/>
    <w:tmpl w:val="3B1E6082"/>
    <w:lvl w:ilvl="0" w:tplc="B77A4D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8514847"/>
    <w:multiLevelType w:val="hybridMultilevel"/>
    <w:tmpl w:val="8DA8E01A"/>
    <w:lvl w:ilvl="0" w:tplc="000E8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47D754EA"/>
    <w:multiLevelType w:val="hybridMultilevel"/>
    <w:tmpl w:val="68064C46"/>
    <w:lvl w:ilvl="0" w:tplc="27A8A67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8EC28A8"/>
    <w:multiLevelType w:val="hybridMultilevel"/>
    <w:tmpl w:val="0FCC667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8F0B97"/>
    <w:multiLevelType w:val="hybridMultilevel"/>
    <w:tmpl w:val="0C1C0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7"/>
  </w:num>
  <w:num w:numId="5">
    <w:abstractNumId w:val="11"/>
  </w:num>
  <w:num w:numId="6">
    <w:abstractNumId w:val="5"/>
  </w:num>
  <w:num w:numId="7">
    <w:abstractNumId w:val="12"/>
  </w:num>
  <w:num w:numId="8">
    <w:abstractNumId w:val="0"/>
  </w:num>
  <w:num w:numId="9">
    <w:abstractNumId w:val="10"/>
  </w:num>
  <w:num w:numId="10">
    <w:abstractNumId w:val="2"/>
  </w:num>
  <w:num w:numId="11">
    <w:abstractNumId w:val="8"/>
  </w:num>
  <w:num w:numId="12">
    <w:abstractNumId w:val="13"/>
  </w:num>
  <w:num w:numId="13">
    <w:abstractNumId w:val="9"/>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46"/>
    <w:rsid w:val="000004DD"/>
    <w:rsid w:val="0000403E"/>
    <w:rsid w:val="000069B2"/>
    <w:rsid w:val="000069C4"/>
    <w:rsid w:val="000103CB"/>
    <w:rsid w:val="00010FFA"/>
    <w:rsid w:val="00012097"/>
    <w:rsid w:val="00014524"/>
    <w:rsid w:val="00014704"/>
    <w:rsid w:val="00015D30"/>
    <w:rsid w:val="0002308D"/>
    <w:rsid w:val="000260E9"/>
    <w:rsid w:val="00027C86"/>
    <w:rsid w:val="00036404"/>
    <w:rsid w:val="00042156"/>
    <w:rsid w:val="00045249"/>
    <w:rsid w:val="00050EFB"/>
    <w:rsid w:val="00051130"/>
    <w:rsid w:val="000522C0"/>
    <w:rsid w:val="00052D53"/>
    <w:rsid w:val="0005378B"/>
    <w:rsid w:val="0006476D"/>
    <w:rsid w:val="000712F3"/>
    <w:rsid w:val="00072A59"/>
    <w:rsid w:val="00075420"/>
    <w:rsid w:val="00075DF6"/>
    <w:rsid w:val="00082B5C"/>
    <w:rsid w:val="00083AE5"/>
    <w:rsid w:val="00083C13"/>
    <w:rsid w:val="00084654"/>
    <w:rsid w:val="00093D56"/>
    <w:rsid w:val="00093E37"/>
    <w:rsid w:val="0009441F"/>
    <w:rsid w:val="000977AB"/>
    <w:rsid w:val="000A19B4"/>
    <w:rsid w:val="000A6FD1"/>
    <w:rsid w:val="000B0FB3"/>
    <w:rsid w:val="000B2857"/>
    <w:rsid w:val="000B2EA7"/>
    <w:rsid w:val="000B398E"/>
    <w:rsid w:val="000C6378"/>
    <w:rsid w:val="000D2925"/>
    <w:rsid w:val="000E049E"/>
    <w:rsid w:val="000E1263"/>
    <w:rsid w:val="000E2961"/>
    <w:rsid w:val="000E38FD"/>
    <w:rsid w:val="000E5FCA"/>
    <w:rsid w:val="000F032B"/>
    <w:rsid w:val="000F733C"/>
    <w:rsid w:val="000F77B8"/>
    <w:rsid w:val="00103224"/>
    <w:rsid w:val="00103AFD"/>
    <w:rsid w:val="00103F01"/>
    <w:rsid w:val="0011072F"/>
    <w:rsid w:val="00111810"/>
    <w:rsid w:val="001124D1"/>
    <w:rsid w:val="001168DC"/>
    <w:rsid w:val="0011701D"/>
    <w:rsid w:val="00122D7C"/>
    <w:rsid w:val="00125D84"/>
    <w:rsid w:val="00130C73"/>
    <w:rsid w:val="00134676"/>
    <w:rsid w:val="00134829"/>
    <w:rsid w:val="001349FF"/>
    <w:rsid w:val="00137D66"/>
    <w:rsid w:val="00140E93"/>
    <w:rsid w:val="00141943"/>
    <w:rsid w:val="00143924"/>
    <w:rsid w:val="00144CC4"/>
    <w:rsid w:val="00146117"/>
    <w:rsid w:val="0015597D"/>
    <w:rsid w:val="00155D78"/>
    <w:rsid w:val="00160519"/>
    <w:rsid w:val="0016140A"/>
    <w:rsid w:val="001746B8"/>
    <w:rsid w:val="001771F4"/>
    <w:rsid w:val="001775C7"/>
    <w:rsid w:val="00183D67"/>
    <w:rsid w:val="00186509"/>
    <w:rsid w:val="001868DA"/>
    <w:rsid w:val="00190F2F"/>
    <w:rsid w:val="00194A5D"/>
    <w:rsid w:val="00196CFD"/>
    <w:rsid w:val="001A1B62"/>
    <w:rsid w:val="001A1B7B"/>
    <w:rsid w:val="001A1DCC"/>
    <w:rsid w:val="001A4118"/>
    <w:rsid w:val="001A438A"/>
    <w:rsid w:val="001A4492"/>
    <w:rsid w:val="001A5185"/>
    <w:rsid w:val="001B01C3"/>
    <w:rsid w:val="001B342B"/>
    <w:rsid w:val="001B4165"/>
    <w:rsid w:val="001B7C53"/>
    <w:rsid w:val="001C191D"/>
    <w:rsid w:val="001C2830"/>
    <w:rsid w:val="001C63D0"/>
    <w:rsid w:val="001C73FD"/>
    <w:rsid w:val="001D66A9"/>
    <w:rsid w:val="001E1038"/>
    <w:rsid w:val="001E4BC5"/>
    <w:rsid w:val="001E6979"/>
    <w:rsid w:val="001E7E14"/>
    <w:rsid w:val="001F0132"/>
    <w:rsid w:val="001F0C99"/>
    <w:rsid w:val="001F22DE"/>
    <w:rsid w:val="0020405C"/>
    <w:rsid w:val="00205BC4"/>
    <w:rsid w:val="00206EC0"/>
    <w:rsid w:val="00210259"/>
    <w:rsid w:val="00210B84"/>
    <w:rsid w:val="00212DD6"/>
    <w:rsid w:val="00213D10"/>
    <w:rsid w:val="00214638"/>
    <w:rsid w:val="002228AD"/>
    <w:rsid w:val="002262E3"/>
    <w:rsid w:val="0023003D"/>
    <w:rsid w:val="0023396B"/>
    <w:rsid w:val="00237192"/>
    <w:rsid w:val="00241119"/>
    <w:rsid w:val="002412B4"/>
    <w:rsid w:val="00245A6A"/>
    <w:rsid w:val="002466F4"/>
    <w:rsid w:val="00246D4C"/>
    <w:rsid w:val="00247657"/>
    <w:rsid w:val="00250827"/>
    <w:rsid w:val="00252C53"/>
    <w:rsid w:val="00255B62"/>
    <w:rsid w:val="00264240"/>
    <w:rsid w:val="0026586F"/>
    <w:rsid w:val="00266FE4"/>
    <w:rsid w:val="002711CB"/>
    <w:rsid w:val="00271CA7"/>
    <w:rsid w:val="00274D4F"/>
    <w:rsid w:val="00276F2A"/>
    <w:rsid w:val="00281F73"/>
    <w:rsid w:val="002852DA"/>
    <w:rsid w:val="00290480"/>
    <w:rsid w:val="00291FCF"/>
    <w:rsid w:val="0029231C"/>
    <w:rsid w:val="00293152"/>
    <w:rsid w:val="00293C2F"/>
    <w:rsid w:val="00295973"/>
    <w:rsid w:val="002A3D7D"/>
    <w:rsid w:val="002A5754"/>
    <w:rsid w:val="002A7601"/>
    <w:rsid w:val="002B0742"/>
    <w:rsid w:val="002B43F7"/>
    <w:rsid w:val="002B49D3"/>
    <w:rsid w:val="002B4F94"/>
    <w:rsid w:val="002B7BA3"/>
    <w:rsid w:val="002C4A28"/>
    <w:rsid w:val="002C7724"/>
    <w:rsid w:val="002D4C0B"/>
    <w:rsid w:val="002D5D85"/>
    <w:rsid w:val="002D75BF"/>
    <w:rsid w:val="002E7376"/>
    <w:rsid w:val="002F1E91"/>
    <w:rsid w:val="002F2837"/>
    <w:rsid w:val="003008BD"/>
    <w:rsid w:val="003023AF"/>
    <w:rsid w:val="00302522"/>
    <w:rsid w:val="003028E4"/>
    <w:rsid w:val="003051FF"/>
    <w:rsid w:val="0031026D"/>
    <w:rsid w:val="003108D5"/>
    <w:rsid w:val="00312A21"/>
    <w:rsid w:val="00312BF1"/>
    <w:rsid w:val="00316144"/>
    <w:rsid w:val="00316CEF"/>
    <w:rsid w:val="00317D5B"/>
    <w:rsid w:val="00320F1A"/>
    <w:rsid w:val="00321A59"/>
    <w:rsid w:val="00325933"/>
    <w:rsid w:val="0033523C"/>
    <w:rsid w:val="00340301"/>
    <w:rsid w:val="003464B4"/>
    <w:rsid w:val="003520DC"/>
    <w:rsid w:val="00352FCA"/>
    <w:rsid w:val="00353BB0"/>
    <w:rsid w:val="00353BE7"/>
    <w:rsid w:val="00354E6B"/>
    <w:rsid w:val="0035634E"/>
    <w:rsid w:val="00357D92"/>
    <w:rsid w:val="00361860"/>
    <w:rsid w:val="00366813"/>
    <w:rsid w:val="00372F30"/>
    <w:rsid w:val="003755DF"/>
    <w:rsid w:val="00380A59"/>
    <w:rsid w:val="003816B6"/>
    <w:rsid w:val="00382B44"/>
    <w:rsid w:val="00385201"/>
    <w:rsid w:val="00387B53"/>
    <w:rsid w:val="003925E6"/>
    <w:rsid w:val="003A1A37"/>
    <w:rsid w:val="003A46D6"/>
    <w:rsid w:val="003B5C40"/>
    <w:rsid w:val="003C4857"/>
    <w:rsid w:val="003C4973"/>
    <w:rsid w:val="003C7978"/>
    <w:rsid w:val="003C7C66"/>
    <w:rsid w:val="003E04DE"/>
    <w:rsid w:val="003E1C86"/>
    <w:rsid w:val="003E30B9"/>
    <w:rsid w:val="003E584D"/>
    <w:rsid w:val="003E58D8"/>
    <w:rsid w:val="003E69E4"/>
    <w:rsid w:val="003F1A05"/>
    <w:rsid w:val="003F5773"/>
    <w:rsid w:val="003F6A43"/>
    <w:rsid w:val="003F6DBB"/>
    <w:rsid w:val="003F7075"/>
    <w:rsid w:val="004033AA"/>
    <w:rsid w:val="00405D56"/>
    <w:rsid w:val="004064DA"/>
    <w:rsid w:val="004069DC"/>
    <w:rsid w:val="004125CC"/>
    <w:rsid w:val="004149F8"/>
    <w:rsid w:val="00415BBA"/>
    <w:rsid w:val="00417FE0"/>
    <w:rsid w:val="0042060F"/>
    <w:rsid w:val="004208BA"/>
    <w:rsid w:val="00422B59"/>
    <w:rsid w:val="00424819"/>
    <w:rsid w:val="004265D5"/>
    <w:rsid w:val="00427D0C"/>
    <w:rsid w:val="00427D77"/>
    <w:rsid w:val="00430C71"/>
    <w:rsid w:val="00441ED1"/>
    <w:rsid w:val="0044347D"/>
    <w:rsid w:val="00443AC4"/>
    <w:rsid w:val="00453019"/>
    <w:rsid w:val="004546D0"/>
    <w:rsid w:val="00461066"/>
    <w:rsid w:val="00461793"/>
    <w:rsid w:val="00462F6C"/>
    <w:rsid w:val="004660A4"/>
    <w:rsid w:val="004731D3"/>
    <w:rsid w:val="00482935"/>
    <w:rsid w:val="00490018"/>
    <w:rsid w:val="00490063"/>
    <w:rsid w:val="00490255"/>
    <w:rsid w:val="00491482"/>
    <w:rsid w:val="0049440F"/>
    <w:rsid w:val="004A1AAB"/>
    <w:rsid w:val="004A1C96"/>
    <w:rsid w:val="004A3089"/>
    <w:rsid w:val="004B017A"/>
    <w:rsid w:val="004B28E6"/>
    <w:rsid w:val="004B4502"/>
    <w:rsid w:val="004B5D09"/>
    <w:rsid w:val="004C17B8"/>
    <w:rsid w:val="004C5152"/>
    <w:rsid w:val="004C72EF"/>
    <w:rsid w:val="004C796A"/>
    <w:rsid w:val="004D039B"/>
    <w:rsid w:val="004D0D67"/>
    <w:rsid w:val="004D2C46"/>
    <w:rsid w:val="004D2FB2"/>
    <w:rsid w:val="004E7202"/>
    <w:rsid w:val="004F3AC5"/>
    <w:rsid w:val="004F4704"/>
    <w:rsid w:val="00503690"/>
    <w:rsid w:val="005103DA"/>
    <w:rsid w:val="005139C6"/>
    <w:rsid w:val="00517658"/>
    <w:rsid w:val="0052219E"/>
    <w:rsid w:val="0052384C"/>
    <w:rsid w:val="00530CB3"/>
    <w:rsid w:val="00534C78"/>
    <w:rsid w:val="005412B6"/>
    <w:rsid w:val="005454B4"/>
    <w:rsid w:val="00547877"/>
    <w:rsid w:val="00550F4A"/>
    <w:rsid w:val="00554F58"/>
    <w:rsid w:val="005603E6"/>
    <w:rsid w:val="00560578"/>
    <w:rsid w:val="00566270"/>
    <w:rsid w:val="00571400"/>
    <w:rsid w:val="00573E4C"/>
    <w:rsid w:val="005764D6"/>
    <w:rsid w:val="0057652A"/>
    <w:rsid w:val="0057745E"/>
    <w:rsid w:val="00581FF5"/>
    <w:rsid w:val="0058300A"/>
    <w:rsid w:val="00583176"/>
    <w:rsid w:val="00586CC7"/>
    <w:rsid w:val="005872BC"/>
    <w:rsid w:val="005915EC"/>
    <w:rsid w:val="00592094"/>
    <w:rsid w:val="00595786"/>
    <w:rsid w:val="005A117C"/>
    <w:rsid w:val="005A3429"/>
    <w:rsid w:val="005A48AF"/>
    <w:rsid w:val="005A48ED"/>
    <w:rsid w:val="005C3223"/>
    <w:rsid w:val="005C5B8B"/>
    <w:rsid w:val="005C5DF7"/>
    <w:rsid w:val="005D2C22"/>
    <w:rsid w:val="005D5CCD"/>
    <w:rsid w:val="005D6AB1"/>
    <w:rsid w:val="005D6E74"/>
    <w:rsid w:val="005D726C"/>
    <w:rsid w:val="005E0EF9"/>
    <w:rsid w:val="005E2925"/>
    <w:rsid w:val="005E49D6"/>
    <w:rsid w:val="005E4C33"/>
    <w:rsid w:val="005E5B2B"/>
    <w:rsid w:val="005F296A"/>
    <w:rsid w:val="005F29F2"/>
    <w:rsid w:val="005F385F"/>
    <w:rsid w:val="005F4989"/>
    <w:rsid w:val="005F5617"/>
    <w:rsid w:val="005F65DC"/>
    <w:rsid w:val="005F6D33"/>
    <w:rsid w:val="005F7872"/>
    <w:rsid w:val="00600D76"/>
    <w:rsid w:val="006066CC"/>
    <w:rsid w:val="00607AC8"/>
    <w:rsid w:val="006114A1"/>
    <w:rsid w:val="00612C19"/>
    <w:rsid w:val="00613F36"/>
    <w:rsid w:val="00616C06"/>
    <w:rsid w:val="006176B9"/>
    <w:rsid w:val="006179BB"/>
    <w:rsid w:val="00623554"/>
    <w:rsid w:val="00627387"/>
    <w:rsid w:val="006304AE"/>
    <w:rsid w:val="00632308"/>
    <w:rsid w:val="00633F27"/>
    <w:rsid w:val="0063402C"/>
    <w:rsid w:val="006370F7"/>
    <w:rsid w:val="00640A9B"/>
    <w:rsid w:val="00640BBD"/>
    <w:rsid w:val="00641784"/>
    <w:rsid w:val="00654950"/>
    <w:rsid w:val="00657E91"/>
    <w:rsid w:val="00661DC1"/>
    <w:rsid w:val="00663DE9"/>
    <w:rsid w:val="00670E96"/>
    <w:rsid w:val="006767CD"/>
    <w:rsid w:val="00676E45"/>
    <w:rsid w:val="00677698"/>
    <w:rsid w:val="00681498"/>
    <w:rsid w:val="006823BA"/>
    <w:rsid w:val="006828AE"/>
    <w:rsid w:val="00691D36"/>
    <w:rsid w:val="006928C2"/>
    <w:rsid w:val="00692C3C"/>
    <w:rsid w:val="006C0F90"/>
    <w:rsid w:val="006C10C7"/>
    <w:rsid w:val="006C3E9B"/>
    <w:rsid w:val="006D059A"/>
    <w:rsid w:val="006D0923"/>
    <w:rsid w:val="006D46E3"/>
    <w:rsid w:val="006E25BA"/>
    <w:rsid w:val="006E69AD"/>
    <w:rsid w:val="006E6C03"/>
    <w:rsid w:val="006F0D07"/>
    <w:rsid w:val="006F3CC3"/>
    <w:rsid w:val="006F647D"/>
    <w:rsid w:val="006F7EBA"/>
    <w:rsid w:val="0070568D"/>
    <w:rsid w:val="0070743F"/>
    <w:rsid w:val="00712F87"/>
    <w:rsid w:val="007158B1"/>
    <w:rsid w:val="00715CFA"/>
    <w:rsid w:val="00720FFE"/>
    <w:rsid w:val="00721AD8"/>
    <w:rsid w:val="0072584C"/>
    <w:rsid w:val="00725DDE"/>
    <w:rsid w:val="0072702D"/>
    <w:rsid w:val="00731EDA"/>
    <w:rsid w:val="007323F3"/>
    <w:rsid w:val="00734425"/>
    <w:rsid w:val="0074164E"/>
    <w:rsid w:val="007441C3"/>
    <w:rsid w:val="007448CC"/>
    <w:rsid w:val="00745885"/>
    <w:rsid w:val="00751EC6"/>
    <w:rsid w:val="00752B2F"/>
    <w:rsid w:val="007617B0"/>
    <w:rsid w:val="00761A2E"/>
    <w:rsid w:val="007626B1"/>
    <w:rsid w:val="00765CAD"/>
    <w:rsid w:val="007665A0"/>
    <w:rsid w:val="007701A3"/>
    <w:rsid w:val="00771633"/>
    <w:rsid w:val="00771639"/>
    <w:rsid w:val="0077370B"/>
    <w:rsid w:val="00773BF7"/>
    <w:rsid w:val="00774375"/>
    <w:rsid w:val="007746AC"/>
    <w:rsid w:val="00774996"/>
    <w:rsid w:val="00774B25"/>
    <w:rsid w:val="00776921"/>
    <w:rsid w:val="0077742E"/>
    <w:rsid w:val="00786254"/>
    <w:rsid w:val="00786919"/>
    <w:rsid w:val="007A0682"/>
    <w:rsid w:val="007A1BD9"/>
    <w:rsid w:val="007A259F"/>
    <w:rsid w:val="007B37D1"/>
    <w:rsid w:val="007B4586"/>
    <w:rsid w:val="007B74FB"/>
    <w:rsid w:val="007C3F94"/>
    <w:rsid w:val="007C4D7E"/>
    <w:rsid w:val="007C7B3C"/>
    <w:rsid w:val="007D0F32"/>
    <w:rsid w:val="007D230E"/>
    <w:rsid w:val="007D2BF3"/>
    <w:rsid w:val="007D66B7"/>
    <w:rsid w:val="007E57F9"/>
    <w:rsid w:val="007F2193"/>
    <w:rsid w:val="007F24E3"/>
    <w:rsid w:val="007F2996"/>
    <w:rsid w:val="007F3A9D"/>
    <w:rsid w:val="007F4C12"/>
    <w:rsid w:val="0080122C"/>
    <w:rsid w:val="008053B3"/>
    <w:rsid w:val="00806D4A"/>
    <w:rsid w:val="0081051B"/>
    <w:rsid w:val="00810D8B"/>
    <w:rsid w:val="00811936"/>
    <w:rsid w:val="008119D5"/>
    <w:rsid w:val="00816DD5"/>
    <w:rsid w:val="00820F20"/>
    <w:rsid w:val="0082510C"/>
    <w:rsid w:val="00825ED2"/>
    <w:rsid w:val="008260E3"/>
    <w:rsid w:val="0082728C"/>
    <w:rsid w:val="00830E94"/>
    <w:rsid w:val="0083373E"/>
    <w:rsid w:val="0083416A"/>
    <w:rsid w:val="0083515E"/>
    <w:rsid w:val="00841892"/>
    <w:rsid w:val="00844A85"/>
    <w:rsid w:val="00844B5C"/>
    <w:rsid w:val="00847FE9"/>
    <w:rsid w:val="008506BA"/>
    <w:rsid w:val="0085292F"/>
    <w:rsid w:val="00857E12"/>
    <w:rsid w:val="00857E20"/>
    <w:rsid w:val="0086058F"/>
    <w:rsid w:val="008619ED"/>
    <w:rsid w:val="00862673"/>
    <w:rsid w:val="00872CB9"/>
    <w:rsid w:val="00875B7D"/>
    <w:rsid w:val="00876554"/>
    <w:rsid w:val="008777B1"/>
    <w:rsid w:val="00882023"/>
    <w:rsid w:val="008836EE"/>
    <w:rsid w:val="00885CDC"/>
    <w:rsid w:val="0089114A"/>
    <w:rsid w:val="008919CF"/>
    <w:rsid w:val="00891C63"/>
    <w:rsid w:val="00895236"/>
    <w:rsid w:val="00895AD0"/>
    <w:rsid w:val="00895FCB"/>
    <w:rsid w:val="00896CEF"/>
    <w:rsid w:val="008A0FB3"/>
    <w:rsid w:val="008A21E7"/>
    <w:rsid w:val="008A6E90"/>
    <w:rsid w:val="008A7BCF"/>
    <w:rsid w:val="008B00D8"/>
    <w:rsid w:val="008B2A56"/>
    <w:rsid w:val="008B4456"/>
    <w:rsid w:val="008B6E17"/>
    <w:rsid w:val="008B7CBC"/>
    <w:rsid w:val="008C193C"/>
    <w:rsid w:val="008C598B"/>
    <w:rsid w:val="008C6D79"/>
    <w:rsid w:val="008D0098"/>
    <w:rsid w:val="008D0107"/>
    <w:rsid w:val="008E229B"/>
    <w:rsid w:val="008E44CE"/>
    <w:rsid w:val="008F0A30"/>
    <w:rsid w:val="008F1FFD"/>
    <w:rsid w:val="008F62BC"/>
    <w:rsid w:val="008F6B77"/>
    <w:rsid w:val="00900FB3"/>
    <w:rsid w:val="00901F93"/>
    <w:rsid w:val="00904A4B"/>
    <w:rsid w:val="00904C9C"/>
    <w:rsid w:val="00911229"/>
    <w:rsid w:val="00911D62"/>
    <w:rsid w:val="00914585"/>
    <w:rsid w:val="0091603C"/>
    <w:rsid w:val="0091639D"/>
    <w:rsid w:val="00916CCA"/>
    <w:rsid w:val="00917800"/>
    <w:rsid w:val="00921253"/>
    <w:rsid w:val="0092364B"/>
    <w:rsid w:val="0092436E"/>
    <w:rsid w:val="00926DB9"/>
    <w:rsid w:val="00940441"/>
    <w:rsid w:val="00942BE7"/>
    <w:rsid w:val="00943896"/>
    <w:rsid w:val="0094660E"/>
    <w:rsid w:val="0095368E"/>
    <w:rsid w:val="00957B3F"/>
    <w:rsid w:val="00961C9B"/>
    <w:rsid w:val="00964587"/>
    <w:rsid w:val="00967B8B"/>
    <w:rsid w:val="00972204"/>
    <w:rsid w:val="009724E3"/>
    <w:rsid w:val="00974432"/>
    <w:rsid w:val="009747A9"/>
    <w:rsid w:val="00983B70"/>
    <w:rsid w:val="00983B7B"/>
    <w:rsid w:val="0099365D"/>
    <w:rsid w:val="00994A99"/>
    <w:rsid w:val="00995A7C"/>
    <w:rsid w:val="009966BC"/>
    <w:rsid w:val="009A16C0"/>
    <w:rsid w:val="009A266D"/>
    <w:rsid w:val="009A471F"/>
    <w:rsid w:val="009A473D"/>
    <w:rsid w:val="009A7D68"/>
    <w:rsid w:val="009B03DF"/>
    <w:rsid w:val="009B4324"/>
    <w:rsid w:val="009B7933"/>
    <w:rsid w:val="009C007B"/>
    <w:rsid w:val="009D7A1F"/>
    <w:rsid w:val="009E0ED8"/>
    <w:rsid w:val="009E4859"/>
    <w:rsid w:val="009E76E2"/>
    <w:rsid w:val="009E7CD1"/>
    <w:rsid w:val="009E7D02"/>
    <w:rsid w:val="009F371A"/>
    <w:rsid w:val="009F4D7A"/>
    <w:rsid w:val="009F6B8E"/>
    <w:rsid w:val="00A0112B"/>
    <w:rsid w:val="00A014E3"/>
    <w:rsid w:val="00A0363F"/>
    <w:rsid w:val="00A0518B"/>
    <w:rsid w:val="00A079AC"/>
    <w:rsid w:val="00A1062C"/>
    <w:rsid w:val="00A1332D"/>
    <w:rsid w:val="00A16D60"/>
    <w:rsid w:val="00A17D58"/>
    <w:rsid w:val="00A20F32"/>
    <w:rsid w:val="00A22272"/>
    <w:rsid w:val="00A22A13"/>
    <w:rsid w:val="00A2397D"/>
    <w:rsid w:val="00A24960"/>
    <w:rsid w:val="00A24BC1"/>
    <w:rsid w:val="00A34676"/>
    <w:rsid w:val="00A348DA"/>
    <w:rsid w:val="00A3619B"/>
    <w:rsid w:val="00A4232E"/>
    <w:rsid w:val="00A46E9B"/>
    <w:rsid w:val="00A51C05"/>
    <w:rsid w:val="00A53B41"/>
    <w:rsid w:val="00A54357"/>
    <w:rsid w:val="00A60A77"/>
    <w:rsid w:val="00A61E2F"/>
    <w:rsid w:val="00A62380"/>
    <w:rsid w:val="00A630D9"/>
    <w:rsid w:val="00A668B3"/>
    <w:rsid w:val="00A706F7"/>
    <w:rsid w:val="00A7117E"/>
    <w:rsid w:val="00A72078"/>
    <w:rsid w:val="00A733BE"/>
    <w:rsid w:val="00A76CFF"/>
    <w:rsid w:val="00A7726D"/>
    <w:rsid w:val="00A83EB7"/>
    <w:rsid w:val="00A8518C"/>
    <w:rsid w:val="00A86EE8"/>
    <w:rsid w:val="00A940E5"/>
    <w:rsid w:val="00A96C03"/>
    <w:rsid w:val="00AA36E6"/>
    <w:rsid w:val="00AA5DAC"/>
    <w:rsid w:val="00AA6B1E"/>
    <w:rsid w:val="00AA74AC"/>
    <w:rsid w:val="00AA7BF8"/>
    <w:rsid w:val="00AB3846"/>
    <w:rsid w:val="00AC1F40"/>
    <w:rsid w:val="00AC4127"/>
    <w:rsid w:val="00AC4F7B"/>
    <w:rsid w:val="00AC5A89"/>
    <w:rsid w:val="00AC5FF5"/>
    <w:rsid w:val="00AD48F1"/>
    <w:rsid w:val="00AD5DF6"/>
    <w:rsid w:val="00AD74BF"/>
    <w:rsid w:val="00AD7EF2"/>
    <w:rsid w:val="00AE289E"/>
    <w:rsid w:val="00AE30ED"/>
    <w:rsid w:val="00AE4863"/>
    <w:rsid w:val="00AE5846"/>
    <w:rsid w:val="00AE77A8"/>
    <w:rsid w:val="00AF184B"/>
    <w:rsid w:val="00AF262F"/>
    <w:rsid w:val="00AF49E1"/>
    <w:rsid w:val="00AF7A69"/>
    <w:rsid w:val="00B03435"/>
    <w:rsid w:val="00B03F57"/>
    <w:rsid w:val="00B04800"/>
    <w:rsid w:val="00B06BC3"/>
    <w:rsid w:val="00B10F5A"/>
    <w:rsid w:val="00B112E8"/>
    <w:rsid w:val="00B1392D"/>
    <w:rsid w:val="00B140BA"/>
    <w:rsid w:val="00B141C2"/>
    <w:rsid w:val="00B21651"/>
    <w:rsid w:val="00B21A41"/>
    <w:rsid w:val="00B23516"/>
    <w:rsid w:val="00B247CC"/>
    <w:rsid w:val="00B2657A"/>
    <w:rsid w:val="00B37FEA"/>
    <w:rsid w:val="00B40C6B"/>
    <w:rsid w:val="00B4183D"/>
    <w:rsid w:val="00B451FE"/>
    <w:rsid w:val="00B4610B"/>
    <w:rsid w:val="00B50449"/>
    <w:rsid w:val="00B514FB"/>
    <w:rsid w:val="00B545C6"/>
    <w:rsid w:val="00B654EC"/>
    <w:rsid w:val="00B65CA1"/>
    <w:rsid w:val="00B71932"/>
    <w:rsid w:val="00B72461"/>
    <w:rsid w:val="00B76F5C"/>
    <w:rsid w:val="00B77656"/>
    <w:rsid w:val="00B77D30"/>
    <w:rsid w:val="00B81EEB"/>
    <w:rsid w:val="00B9006B"/>
    <w:rsid w:val="00B923F7"/>
    <w:rsid w:val="00BA05A8"/>
    <w:rsid w:val="00BA4136"/>
    <w:rsid w:val="00BA51CE"/>
    <w:rsid w:val="00BB1347"/>
    <w:rsid w:val="00BB6275"/>
    <w:rsid w:val="00BB678A"/>
    <w:rsid w:val="00BC2B37"/>
    <w:rsid w:val="00BC490C"/>
    <w:rsid w:val="00BC56C1"/>
    <w:rsid w:val="00BC7761"/>
    <w:rsid w:val="00BD06F0"/>
    <w:rsid w:val="00BD132B"/>
    <w:rsid w:val="00BD181B"/>
    <w:rsid w:val="00BD5C3A"/>
    <w:rsid w:val="00BD752F"/>
    <w:rsid w:val="00BD7A44"/>
    <w:rsid w:val="00BE0B01"/>
    <w:rsid w:val="00BE22C6"/>
    <w:rsid w:val="00BE7191"/>
    <w:rsid w:val="00BF280D"/>
    <w:rsid w:val="00BF4210"/>
    <w:rsid w:val="00BF4E52"/>
    <w:rsid w:val="00C01B85"/>
    <w:rsid w:val="00C10C30"/>
    <w:rsid w:val="00C111F3"/>
    <w:rsid w:val="00C12ACB"/>
    <w:rsid w:val="00C174D9"/>
    <w:rsid w:val="00C21326"/>
    <w:rsid w:val="00C23410"/>
    <w:rsid w:val="00C33F0B"/>
    <w:rsid w:val="00C355AB"/>
    <w:rsid w:val="00C3682A"/>
    <w:rsid w:val="00C43386"/>
    <w:rsid w:val="00C464AA"/>
    <w:rsid w:val="00C46684"/>
    <w:rsid w:val="00C467D0"/>
    <w:rsid w:val="00C5263A"/>
    <w:rsid w:val="00C539FE"/>
    <w:rsid w:val="00C546AA"/>
    <w:rsid w:val="00C547C9"/>
    <w:rsid w:val="00C547E0"/>
    <w:rsid w:val="00C55E1B"/>
    <w:rsid w:val="00C57FFA"/>
    <w:rsid w:val="00C603DE"/>
    <w:rsid w:val="00C62A62"/>
    <w:rsid w:val="00C63F0E"/>
    <w:rsid w:val="00C6581E"/>
    <w:rsid w:val="00C66654"/>
    <w:rsid w:val="00C72B0A"/>
    <w:rsid w:val="00C74E43"/>
    <w:rsid w:val="00C751AB"/>
    <w:rsid w:val="00C772A3"/>
    <w:rsid w:val="00C80AA2"/>
    <w:rsid w:val="00C84089"/>
    <w:rsid w:val="00C86844"/>
    <w:rsid w:val="00C870AB"/>
    <w:rsid w:val="00C875B7"/>
    <w:rsid w:val="00C9033E"/>
    <w:rsid w:val="00CA1E8D"/>
    <w:rsid w:val="00CA4CD8"/>
    <w:rsid w:val="00CB1AEC"/>
    <w:rsid w:val="00CB32B4"/>
    <w:rsid w:val="00CB531F"/>
    <w:rsid w:val="00CC0A07"/>
    <w:rsid w:val="00CC15A4"/>
    <w:rsid w:val="00CC173C"/>
    <w:rsid w:val="00CC1F9B"/>
    <w:rsid w:val="00CC2CCA"/>
    <w:rsid w:val="00CC46FB"/>
    <w:rsid w:val="00CD255C"/>
    <w:rsid w:val="00CD3B3A"/>
    <w:rsid w:val="00CD5BBC"/>
    <w:rsid w:val="00CD7793"/>
    <w:rsid w:val="00CE266E"/>
    <w:rsid w:val="00CE332F"/>
    <w:rsid w:val="00CE4F6E"/>
    <w:rsid w:val="00CE51EB"/>
    <w:rsid w:val="00CE5897"/>
    <w:rsid w:val="00CE58A1"/>
    <w:rsid w:val="00CF7250"/>
    <w:rsid w:val="00D0145F"/>
    <w:rsid w:val="00D053BD"/>
    <w:rsid w:val="00D05A31"/>
    <w:rsid w:val="00D07B54"/>
    <w:rsid w:val="00D11A08"/>
    <w:rsid w:val="00D15A4B"/>
    <w:rsid w:val="00D15F28"/>
    <w:rsid w:val="00D16953"/>
    <w:rsid w:val="00D2284D"/>
    <w:rsid w:val="00D24173"/>
    <w:rsid w:val="00D254F2"/>
    <w:rsid w:val="00D2566B"/>
    <w:rsid w:val="00D30582"/>
    <w:rsid w:val="00D30A99"/>
    <w:rsid w:val="00D36564"/>
    <w:rsid w:val="00D4035D"/>
    <w:rsid w:val="00D45DD4"/>
    <w:rsid w:val="00D51539"/>
    <w:rsid w:val="00D51E51"/>
    <w:rsid w:val="00D57034"/>
    <w:rsid w:val="00D60E4F"/>
    <w:rsid w:val="00D613BB"/>
    <w:rsid w:val="00D61A84"/>
    <w:rsid w:val="00D61C71"/>
    <w:rsid w:val="00D62C7A"/>
    <w:rsid w:val="00D65AE2"/>
    <w:rsid w:val="00D668AF"/>
    <w:rsid w:val="00D72BCB"/>
    <w:rsid w:val="00D74F1A"/>
    <w:rsid w:val="00D76CB8"/>
    <w:rsid w:val="00D77A06"/>
    <w:rsid w:val="00D81371"/>
    <w:rsid w:val="00D83A3B"/>
    <w:rsid w:val="00D8584E"/>
    <w:rsid w:val="00D85B46"/>
    <w:rsid w:val="00D90179"/>
    <w:rsid w:val="00D92937"/>
    <w:rsid w:val="00D9335B"/>
    <w:rsid w:val="00D933B7"/>
    <w:rsid w:val="00D93F2F"/>
    <w:rsid w:val="00DA0A4B"/>
    <w:rsid w:val="00DA11C6"/>
    <w:rsid w:val="00DA1A7C"/>
    <w:rsid w:val="00DA6DFA"/>
    <w:rsid w:val="00DB2919"/>
    <w:rsid w:val="00DB326C"/>
    <w:rsid w:val="00DB4F5C"/>
    <w:rsid w:val="00DC456D"/>
    <w:rsid w:val="00DD01C3"/>
    <w:rsid w:val="00DD1173"/>
    <w:rsid w:val="00DD17C4"/>
    <w:rsid w:val="00DD5952"/>
    <w:rsid w:val="00DD6BA6"/>
    <w:rsid w:val="00DE1997"/>
    <w:rsid w:val="00DE3E1A"/>
    <w:rsid w:val="00DE422B"/>
    <w:rsid w:val="00DE5C19"/>
    <w:rsid w:val="00DE7448"/>
    <w:rsid w:val="00DE7946"/>
    <w:rsid w:val="00DF0951"/>
    <w:rsid w:val="00DF274B"/>
    <w:rsid w:val="00DF402B"/>
    <w:rsid w:val="00DF4170"/>
    <w:rsid w:val="00E00411"/>
    <w:rsid w:val="00E02C45"/>
    <w:rsid w:val="00E055C5"/>
    <w:rsid w:val="00E06134"/>
    <w:rsid w:val="00E07128"/>
    <w:rsid w:val="00E0777E"/>
    <w:rsid w:val="00E07885"/>
    <w:rsid w:val="00E127F6"/>
    <w:rsid w:val="00E177B1"/>
    <w:rsid w:val="00E20821"/>
    <w:rsid w:val="00E222EF"/>
    <w:rsid w:val="00E23ABE"/>
    <w:rsid w:val="00E24C96"/>
    <w:rsid w:val="00E257BA"/>
    <w:rsid w:val="00E32A95"/>
    <w:rsid w:val="00E348EF"/>
    <w:rsid w:val="00E37722"/>
    <w:rsid w:val="00E41FA1"/>
    <w:rsid w:val="00E420DB"/>
    <w:rsid w:val="00E4315C"/>
    <w:rsid w:val="00E444BB"/>
    <w:rsid w:val="00E47539"/>
    <w:rsid w:val="00E53EA3"/>
    <w:rsid w:val="00E6029A"/>
    <w:rsid w:val="00E60D35"/>
    <w:rsid w:val="00E71601"/>
    <w:rsid w:val="00E71838"/>
    <w:rsid w:val="00E74C2F"/>
    <w:rsid w:val="00E808A0"/>
    <w:rsid w:val="00E82975"/>
    <w:rsid w:val="00E82C57"/>
    <w:rsid w:val="00E837EA"/>
    <w:rsid w:val="00E90BEE"/>
    <w:rsid w:val="00E96054"/>
    <w:rsid w:val="00EA22DF"/>
    <w:rsid w:val="00EA3F3C"/>
    <w:rsid w:val="00EA533B"/>
    <w:rsid w:val="00EB55B6"/>
    <w:rsid w:val="00EC5C40"/>
    <w:rsid w:val="00ED2F94"/>
    <w:rsid w:val="00ED704E"/>
    <w:rsid w:val="00ED7863"/>
    <w:rsid w:val="00EE1C32"/>
    <w:rsid w:val="00EE216A"/>
    <w:rsid w:val="00EE4AB9"/>
    <w:rsid w:val="00EF2474"/>
    <w:rsid w:val="00EF2E6D"/>
    <w:rsid w:val="00EF660E"/>
    <w:rsid w:val="00F01723"/>
    <w:rsid w:val="00F02A39"/>
    <w:rsid w:val="00F10075"/>
    <w:rsid w:val="00F1185D"/>
    <w:rsid w:val="00F136E4"/>
    <w:rsid w:val="00F1415F"/>
    <w:rsid w:val="00F16378"/>
    <w:rsid w:val="00F215EF"/>
    <w:rsid w:val="00F272E0"/>
    <w:rsid w:val="00F27CE6"/>
    <w:rsid w:val="00F32747"/>
    <w:rsid w:val="00F34759"/>
    <w:rsid w:val="00F374F2"/>
    <w:rsid w:val="00F4036E"/>
    <w:rsid w:val="00F445C5"/>
    <w:rsid w:val="00F50B04"/>
    <w:rsid w:val="00F5527B"/>
    <w:rsid w:val="00F60974"/>
    <w:rsid w:val="00F626DE"/>
    <w:rsid w:val="00F673C9"/>
    <w:rsid w:val="00F70487"/>
    <w:rsid w:val="00F71963"/>
    <w:rsid w:val="00F71FEE"/>
    <w:rsid w:val="00F7287C"/>
    <w:rsid w:val="00F73C31"/>
    <w:rsid w:val="00F76B20"/>
    <w:rsid w:val="00F80DA0"/>
    <w:rsid w:val="00F815A8"/>
    <w:rsid w:val="00F821C6"/>
    <w:rsid w:val="00F83B02"/>
    <w:rsid w:val="00F84A6F"/>
    <w:rsid w:val="00F84EBC"/>
    <w:rsid w:val="00F93DC1"/>
    <w:rsid w:val="00F94FAC"/>
    <w:rsid w:val="00F95BE0"/>
    <w:rsid w:val="00F962BD"/>
    <w:rsid w:val="00FA23F9"/>
    <w:rsid w:val="00FA29D7"/>
    <w:rsid w:val="00FA31E8"/>
    <w:rsid w:val="00FA3858"/>
    <w:rsid w:val="00FA5150"/>
    <w:rsid w:val="00FA7435"/>
    <w:rsid w:val="00FA7810"/>
    <w:rsid w:val="00FB05E2"/>
    <w:rsid w:val="00FB0A20"/>
    <w:rsid w:val="00FB7B96"/>
    <w:rsid w:val="00FC23B6"/>
    <w:rsid w:val="00FC2DF3"/>
    <w:rsid w:val="00FC7545"/>
    <w:rsid w:val="00FE0B8C"/>
    <w:rsid w:val="00FE124B"/>
    <w:rsid w:val="00FE3021"/>
    <w:rsid w:val="00FE6D7C"/>
    <w:rsid w:val="00FF206C"/>
    <w:rsid w:val="00FF3A68"/>
    <w:rsid w:val="00FF77D4"/>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5A"/>
    <w:pPr>
      <w:spacing w:after="0" w:line="240" w:lineRule="auto"/>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72440">
      <w:bodyDiv w:val="1"/>
      <w:marLeft w:val="0"/>
      <w:marRight w:val="0"/>
      <w:marTop w:val="0"/>
      <w:marBottom w:val="0"/>
      <w:divBdr>
        <w:top w:val="none" w:sz="0" w:space="0" w:color="auto"/>
        <w:left w:val="none" w:sz="0" w:space="0" w:color="auto"/>
        <w:bottom w:val="none" w:sz="0" w:space="0" w:color="auto"/>
        <w:right w:val="none" w:sz="0" w:space="0" w:color="auto"/>
      </w:divBdr>
    </w:div>
    <w:div w:id="1476802977">
      <w:bodyDiv w:val="1"/>
      <w:marLeft w:val="0"/>
      <w:marRight w:val="0"/>
      <w:marTop w:val="0"/>
      <w:marBottom w:val="0"/>
      <w:divBdr>
        <w:top w:val="none" w:sz="0" w:space="0" w:color="auto"/>
        <w:left w:val="none" w:sz="0" w:space="0" w:color="auto"/>
        <w:bottom w:val="none" w:sz="0" w:space="0" w:color="auto"/>
        <w:right w:val="none" w:sz="0" w:space="0" w:color="auto"/>
      </w:divBdr>
    </w:div>
    <w:div w:id="1547987480">
      <w:bodyDiv w:val="1"/>
      <w:marLeft w:val="0"/>
      <w:marRight w:val="0"/>
      <w:marTop w:val="0"/>
      <w:marBottom w:val="0"/>
      <w:divBdr>
        <w:top w:val="none" w:sz="0" w:space="0" w:color="auto"/>
        <w:left w:val="none" w:sz="0" w:space="0" w:color="auto"/>
        <w:bottom w:val="none" w:sz="0" w:space="0" w:color="auto"/>
        <w:right w:val="none" w:sz="0" w:space="0" w:color="auto"/>
      </w:divBdr>
      <w:divsChild>
        <w:div w:id="1495179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single" w:sz="6" w:space="31" w:color="B3B7B9"/>
                <w:left w:val="single" w:sz="6" w:space="31" w:color="B3B7B9"/>
                <w:bottom w:val="single" w:sz="6" w:space="31" w:color="B3B7B9"/>
                <w:right w:val="single" w:sz="6" w:space="31" w:color="B3B7B9"/>
              </w:divBdr>
              <w:divsChild>
                <w:div w:id="742876519">
                  <w:marLeft w:val="0"/>
                  <w:marRight w:val="0"/>
                  <w:marTop w:val="0"/>
                  <w:marBottom w:val="0"/>
                  <w:divBdr>
                    <w:top w:val="single" w:sz="12" w:space="0" w:color="000000"/>
                    <w:left w:val="none" w:sz="0" w:space="0" w:color="auto"/>
                    <w:bottom w:val="none" w:sz="0" w:space="0" w:color="auto"/>
                    <w:right w:val="none" w:sz="0" w:space="0" w:color="auto"/>
                  </w:divBdr>
                  <w:divsChild>
                    <w:div w:id="2085374792">
                      <w:marLeft w:val="0"/>
                      <w:marRight w:val="0"/>
                      <w:marTop w:val="0"/>
                      <w:marBottom w:val="0"/>
                      <w:divBdr>
                        <w:top w:val="none" w:sz="0" w:space="0" w:color="auto"/>
                        <w:left w:val="none" w:sz="0" w:space="0" w:color="auto"/>
                        <w:bottom w:val="none" w:sz="0" w:space="0" w:color="auto"/>
                        <w:right w:val="none" w:sz="0" w:space="0" w:color="auto"/>
                      </w:divBdr>
                      <w:divsChild>
                        <w:div w:id="2479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256">
      <w:marLeft w:val="0"/>
      <w:marRight w:val="0"/>
      <w:marTop w:val="0"/>
      <w:marBottom w:val="0"/>
      <w:divBdr>
        <w:top w:val="none" w:sz="0" w:space="0" w:color="auto"/>
        <w:left w:val="none" w:sz="0" w:space="0" w:color="auto"/>
        <w:bottom w:val="none" w:sz="0" w:space="0" w:color="auto"/>
        <w:right w:val="none" w:sz="0" w:space="0" w:color="auto"/>
      </w:divBdr>
    </w:div>
    <w:div w:id="1944876257">
      <w:marLeft w:val="0"/>
      <w:marRight w:val="0"/>
      <w:marTop w:val="0"/>
      <w:marBottom w:val="0"/>
      <w:divBdr>
        <w:top w:val="none" w:sz="0" w:space="0" w:color="auto"/>
        <w:left w:val="none" w:sz="0" w:space="0" w:color="auto"/>
        <w:bottom w:val="none" w:sz="0" w:space="0" w:color="auto"/>
        <w:right w:val="none" w:sz="0" w:space="0" w:color="auto"/>
      </w:divBdr>
    </w:div>
    <w:div w:id="1944876258">
      <w:marLeft w:val="0"/>
      <w:marRight w:val="0"/>
      <w:marTop w:val="0"/>
      <w:marBottom w:val="0"/>
      <w:divBdr>
        <w:top w:val="none" w:sz="0" w:space="0" w:color="auto"/>
        <w:left w:val="none" w:sz="0" w:space="0" w:color="auto"/>
        <w:bottom w:val="none" w:sz="0" w:space="0" w:color="auto"/>
        <w:right w:val="none" w:sz="0" w:space="0" w:color="auto"/>
      </w:divBdr>
    </w:div>
    <w:div w:id="1944876259">
      <w:marLeft w:val="0"/>
      <w:marRight w:val="0"/>
      <w:marTop w:val="0"/>
      <w:marBottom w:val="0"/>
      <w:divBdr>
        <w:top w:val="none" w:sz="0" w:space="0" w:color="auto"/>
        <w:left w:val="none" w:sz="0" w:space="0" w:color="auto"/>
        <w:bottom w:val="none" w:sz="0" w:space="0" w:color="auto"/>
        <w:right w:val="none" w:sz="0" w:space="0" w:color="auto"/>
      </w:divBdr>
    </w:div>
    <w:div w:id="1944876260">
      <w:marLeft w:val="0"/>
      <w:marRight w:val="0"/>
      <w:marTop w:val="0"/>
      <w:marBottom w:val="0"/>
      <w:divBdr>
        <w:top w:val="none" w:sz="0" w:space="0" w:color="auto"/>
        <w:left w:val="none" w:sz="0" w:space="0" w:color="auto"/>
        <w:bottom w:val="none" w:sz="0" w:space="0" w:color="auto"/>
        <w:right w:val="none" w:sz="0" w:space="0" w:color="auto"/>
      </w:divBdr>
    </w:div>
    <w:div w:id="1944876261">
      <w:marLeft w:val="0"/>
      <w:marRight w:val="0"/>
      <w:marTop w:val="0"/>
      <w:marBottom w:val="0"/>
      <w:divBdr>
        <w:top w:val="none" w:sz="0" w:space="0" w:color="auto"/>
        <w:left w:val="none" w:sz="0" w:space="0" w:color="auto"/>
        <w:bottom w:val="none" w:sz="0" w:space="0" w:color="auto"/>
        <w:right w:val="none" w:sz="0" w:space="0" w:color="auto"/>
      </w:divBdr>
    </w:div>
    <w:div w:id="1944876262">
      <w:marLeft w:val="0"/>
      <w:marRight w:val="0"/>
      <w:marTop w:val="0"/>
      <w:marBottom w:val="0"/>
      <w:divBdr>
        <w:top w:val="none" w:sz="0" w:space="0" w:color="auto"/>
        <w:left w:val="none" w:sz="0" w:space="0" w:color="auto"/>
        <w:bottom w:val="none" w:sz="0" w:space="0" w:color="auto"/>
        <w:right w:val="none" w:sz="0" w:space="0" w:color="auto"/>
      </w:divBdr>
    </w:div>
    <w:div w:id="194487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2058</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Mirkovic, Dijana</cp:lastModifiedBy>
  <cp:revision>4</cp:revision>
  <cp:lastPrinted>2013-12-05T04:42:00Z</cp:lastPrinted>
  <dcterms:created xsi:type="dcterms:W3CDTF">2013-12-09T03:28:00Z</dcterms:created>
  <dcterms:modified xsi:type="dcterms:W3CDTF">2013-12-20T02:43:00Z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