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2D" w:rsidRDefault="006B3A2D" w:rsidP="0074508B">
      <w:pPr>
        <w:jc w:val="center"/>
        <w:rPr>
          <w:b/>
          <w:sz w:val="28"/>
        </w:rPr>
      </w:pPr>
      <w:r>
        <w:rPr>
          <w:b/>
          <w:sz w:val="28"/>
        </w:rPr>
        <w:t>EXPLANATORY STATEMENT</w:t>
      </w:r>
    </w:p>
    <w:p w:rsidR="0074508B" w:rsidRDefault="0074508B" w:rsidP="0074508B">
      <w:pPr>
        <w:jc w:val="center"/>
        <w:rPr>
          <w:b/>
          <w:sz w:val="28"/>
        </w:rPr>
      </w:pPr>
    </w:p>
    <w:p w:rsidR="006B3A2D" w:rsidRPr="005A29B0" w:rsidRDefault="006B3A2D" w:rsidP="0074508B">
      <w:pPr>
        <w:jc w:val="center"/>
        <w:rPr>
          <w:b/>
          <w:sz w:val="28"/>
          <w:u w:val="single"/>
        </w:rPr>
      </w:pPr>
      <w:r w:rsidRPr="005A29B0">
        <w:rPr>
          <w:b/>
          <w:sz w:val="28"/>
          <w:u w:val="single"/>
        </w:rPr>
        <w:t>Se</w:t>
      </w:r>
      <w:r w:rsidR="001B5CF4" w:rsidRPr="005A29B0">
        <w:rPr>
          <w:b/>
          <w:sz w:val="28"/>
          <w:u w:val="single"/>
        </w:rPr>
        <w:t xml:space="preserve">lect Legislative Instrument </w:t>
      </w:r>
      <w:r w:rsidR="005A29B0">
        <w:rPr>
          <w:b/>
          <w:sz w:val="28"/>
          <w:u w:val="single"/>
        </w:rPr>
        <w:t>No. 283, 2013</w:t>
      </w:r>
      <w:bookmarkStart w:id="0" w:name="_GoBack"/>
      <w:bookmarkEnd w:id="0"/>
    </w:p>
    <w:p w:rsidR="00E047AB" w:rsidRPr="00E047AB" w:rsidRDefault="00E047AB" w:rsidP="0074508B">
      <w:pPr>
        <w:pStyle w:val="Heading3"/>
        <w:rPr>
          <w:b w:val="0"/>
          <w:sz w:val="24"/>
          <w:szCs w:val="24"/>
        </w:rPr>
      </w:pPr>
    </w:p>
    <w:p w:rsidR="006B3A2D" w:rsidRDefault="006B3A2D" w:rsidP="0074508B">
      <w:pPr>
        <w:pStyle w:val="Heading3"/>
        <w:rPr>
          <w:sz w:val="24"/>
          <w:szCs w:val="24"/>
        </w:rPr>
      </w:pPr>
      <w:r w:rsidRPr="00E047AB">
        <w:rPr>
          <w:sz w:val="24"/>
          <w:szCs w:val="24"/>
        </w:rPr>
        <w:t>Issued by the authority of the</w:t>
      </w:r>
      <w:r w:rsidR="00E047AB" w:rsidRPr="00E047AB">
        <w:rPr>
          <w:sz w:val="24"/>
          <w:szCs w:val="24"/>
        </w:rPr>
        <w:t xml:space="preserve"> </w:t>
      </w:r>
      <w:r w:rsidRPr="00E047AB">
        <w:rPr>
          <w:sz w:val="24"/>
          <w:szCs w:val="24"/>
        </w:rPr>
        <w:t>Judges of the Federal Court of Australia</w:t>
      </w:r>
    </w:p>
    <w:p w:rsidR="00E047AB" w:rsidRPr="00E047AB" w:rsidRDefault="00E047AB" w:rsidP="00E047AB">
      <w:pPr>
        <w:rPr>
          <w:b/>
        </w:rPr>
      </w:pPr>
    </w:p>
    <w:p w:rsidR="006B3A2D" w:rsidRPr="00E047AB" w:rsidRDefault="006B3A2D" w:rsidP="0074508B">
      <w:pPr>
        <w:jc w:val="center"/>
        <w:rPr>
          <w:b/>
          <w:szCs w:val="24"/>
        </w:rPr>
      </w:pPr>
      <w:r w:rsidRPr="00E047AB">
        <w:rPr>
          <w:b/>
          <w:szCs w:val="24"/>
        </w:rPr>
        <w:t>Federal C</w:t>
      </w:r>
      <w:r w:rsidR="00DD179D" w:rsidRPr="00E047AB">
        <w:rPr>
          <w:b/>
          <w:szCs w:val="24"/>
        </w:rPr>
        <w:t xml:space="preserve">ourt Amendment </w:t>
      </w:r>
      <w:r w:rsidR="00AF05A3" w:rsidRPr="00E047AB">
        <w:rPr>
          <w:b/>
          <w:szCs w:val="24"/>
        </w:rPr>
        <w:t>(Costs and Other Measures</w:t>
      </w:r>
      <w:r w:rsidR="00E47ED2" w:rsidRPr="00E047AB">
        <w:rPr>
          <w:b/>
          <w:szCs w:val="24"/>
        </w:rPr>
        <w:t xml:space="preserve">) </w:t>
      </w:r>
      <w:r w:rsidR="00DD179D" w:rsidRPr="00E047AB">
        <w:rPr>
          <w:b/>
          <w:szCs w:val="24"/>
        </w:rPr>
        <w:t>Rules 20</w:t>
      </w:r>
      <w:r w:rsidR="003C524A" w:rsidRPr="00E047AB">
        <w:rPr>
          <w:b/>
          <w:szCs w:val="24"/>
        </w:rPr>
        <w:t>1</w:t>
      </w:r>
      <w:r w:rsidR="0008375D" w:rsidRPr="00E047AB">
        <w:rPr>
          <w:b/>
          <w:szCs w:val="24"/>
        </w:rPr>
        <w:t>3</w:t>
      </w:r>
    </w:p>
    <w:p w:rsidR="006B3A2D" w:rsidRPr="00E047AB" w:rsidRDefault="006B3A2D" w:rsidP="006B3A2D"/>
    <w:p w:rsidR="006B3A2D" w:rsidRDefault="006B3A2D" w:rsidP="006B3A2D">
      <w:r>
        <w:t xml:space="preserve">Section 59 of the </w:t>
      </w:r>
      <w:r>
        <w:rPr>
          <w:i/>
        </w:rPr>
        <w:t xml:space="preserve">Federal Court of Australia Act 1976 </w:t>
      </w:r>
      <w:r>
        <w:t xml:space="preserve">permits the Judges of the Court </w:t>
      </w:r>
      <w:r w:rsidR="00752D42">
        <w:t>or a majority of them, to make R</w:t>
      </w:r>
      <w:r>
        <w:t>ules of Court not inconsistent with the Act</w:t>
      </w:r>
      <w:r w:rsidR="00175829">
        <w:t xml:space="preserve">.  </w:t>
      </w:r>
      <w:r>
        <w:t>These rules may provide for the practice and procedure to be followed in the Court and in Registries of the Court</w:t>
      </w:r>
      <w:r w:rsidR="00175829">
        <w:t xml:space="preserve">.  </w:t>
      </w:r>
      <w:r>
        <w:t>They may extend to all matters incidental to any such practice or procedure that are necessary or convenient to be prescribed for the conduct of any business of the Court.</w:t>
      </w:r>
    </w:p>
    <w:p w:rsidR="006B3A2D" w:rsidRDefault="006B3A2D" w:rsidP="006B3A2D"/>
    <w:p w:rsidR="006B3A2D" w:rsidRDefault="006B3A2D" w:rsidP="006B3A2D">
      <w:r>
        <w:t>Under s</w:t>
      </w:r>
      <w:r w:rsidR="00F548F9">
        <w:t>ubsection 59</w:t>
      </w:r>
      <w:r>
        <w:t xml:space="preserve">(4) of the </w:t>
      </w:r>
      <w:r>
        <w:rPr>
          <w:i/>
        </w:rPr>
        <w:t>Federal Court of Australia Act</w:t>
      </w:r>
      <w:r>
        <w:t xml:space="preserve"> </w:t>
      </w:r>
      <w:r>
        <w:rPr>
          <w:i/>
        </w:rPr>
        <w:t>1976</w:t>
      </w:r>
      <w:r>
        <w:t xml:space="preserve">, the </w:t>
      </w:r>
      <w:r>
        <w:rPr>
          <w:i/>
        </w:rPr>
        <w:t xml:space="preserve">Legislative Instruments Act 2003 </w:t>
      </w:r>
      <w:r>
        <w:t>(other than sections 5, 6, 7, 10, 11 and 16 of th</w:t>
      </w:r>
      <w:r w:rsidR="00752D42">
        <w:t>at Act) applies in relation to Rules of C</w:t>
      </w:r>
      <w:r>
        <w:t xml:space="preserve">ourt made by the Court under the </w:t>
      </w:r>
      <w:r>
        <w:rPr>
          <w:i/>
        </w:rPr>
        <w:t>Federal Court of Australia Act</w:t>
      </w:r>
      <w:r>
        <w:t xml:space="preserve"> </w:t>
      </w:r>
      <w:r>
        <w:rPr>
          <w:i/>
        </w:rPr>
        <w:t xml:space="preserve">1976 </w:t>
      </w:r>
      <w:r>
        <w:t xml:space="preserve">or another Act: </w:t>
      </w:r>
    </w:p>
    <w:p w:rsidR="006B3A2D" w:rsidRDefault="006B3A2D" w:rsidP="006B3A2D">
      <w:pPr>
        <w:numPr>
          <w:ilvl w:val="0"/>
          <w:numId w:val="1"/>
        </w:numPr>
      </w:pPr>
      <w:r>
        <w:t xml:space="preserve">as if a reference to a legislative instrument were a reference to a rule of court; and </w:t>
      </w:r>
    </w:p>
    <w:p w:rsidR="006B3A2D" w:rsidRDefault="006B3A2D" w:rsidP="006B3A2D">
      <w:pPr>
        <w:numPr>
          <w:ilvl w:val="0"/>
          <w:numId w:val="1"/>
        </w:numPr>
      </w:pPr>
      <w:r>
        <w:t xml:space="preserve">as if a reference to a rule-maker were a reference to the Chief Justice acting on behalf of the Judges of the Court; and </w:t>
      </w:r>
    </w:p>
    <w:p w:rsidR="006B3A2D" w:rsidRDefault="006B3A2D" w:rsidP="006B3A2D">
      <w:pPr>
        <w:numPr>
          <w:ilvl w:val="0"/>
          <w:numId w:val="1"/>
        </w:numPr>
      </w:pPr>
      <w:r>
        <w:t xml:space="preserve">subject to such further modifications or adaptations as are provided for in regulations made under section 59A of the </w:t>
      </w:r>
      <w:r>
        <w:rPr>
          <w:i/>
        </w:rPr>
        <w:t>Federal Court of Australia Act</w:t>
      </w:r>
      <w:r>
        <w:t xml:space="preserve"> </w:t>
      </w:r>
      <w:r>
        <w:rPr>
          <w:i/>
        </w:rPr>
        <w:t>1976</w:t>
      </w:r>
      <w:r>
        <w:t>.</w:t>
      </w:r>
    </w:p>
    <w:p w:rsidR="006B3A2D" w:rsidRDefault="006B3A2D" w:rsidP="006B3A2D">
      <w:pPr>
        <w:pStyle w:val="Header"/>
        <w:tabs>
          <w:tab w:val="clear" w:pos="8640"/>
          <w:tab w:val="left" w:pos="4320"/>
        </w:tabs>
      </w:pPr>
    </w:p>
    <w:p w:rsidR="006B3A2D" w:rsidRDefault="006B3A2D" w:rsidP="006B3A2D">
      <w:r>
        <w:t xml:space="preserve">The </w:t>
      </w:r>
      <w:r w:rsidR="00501DBE" w:rsidRPr="00010925">
        <w:t>Federal</w:t>
      </w:r>
      <w:r w:rsidR="00501DBE">
        <w:t xml:space="preserve"> </w:t>
      </w:r>
      <w:r w:rsidR="00501DBE" w:rsidRPr="00010925">
        <w:t>Court</w:t>
      </w:r>
      <w:r w:rsidR="00501DBE">
        <w:t xml:space="preserve"> </w:t>
      </w:r>
      <w:r w:rsidR="00501DBE" w:rsidRPr="00010925">
        <w:t>Rules</w:t>
      </w:r>
      <w:r w:rsidR="00501DBE">
        <w:t xml:space="preserve"> 2011 (FCR 2011)</w:t>
      </w:r>
      <w:r w:rsidR="00402097">
        <w:t xml:space="preserve"> </w:t>
      </w:r>
      <w:r>
        <w:t xml:space="preserve">came into operation on 1 August </w:t>
      </w:r>
      <w:r w:rsidR="00402097">
        <w:t>2011</w:t>
      </w:r>
      <w:r w:rsidR="001D42EF">
        <w:t>.  The</w:t>
      </w:r>
      <w:r w:rsidR="004C5609">
        <w:t>se</w:t>
      </w:r>
      <w:r w:rsidR="001D42EF">
        <w:t xml:space="preserve"> rules </w:t>
      </w:r>
      <w:r>
        <w:t>are reviewed regularly.</w:t>
      </w:r>
    </w:p>
    <w:p w:rsidR="006B3A2D" w:rsidRDefault="006B3A2D" w:rsidP="006B3A2D"/>
    <w:p w:rsidR="00D6479E" w:rsidRDefault="00D6479E" w:rsidP="00D6479E">
      <w:r>
        <w:t xml:space="preserve">Section 9 of the </w:t>
      </w:r>
      <w:r w:rsidRPr="001E68DC">
        <w:rPr>
          <w:i/>
        </w:rPr>
        <w:t>Legislative Instruments Act 2003</w:t>
      </w:r>
      <w:r>
        <w:t xml:space="preserve"> provides that Rules of Court made for the Federal Court of Australia are not legislative instruments for the purposes of that Act.  As a result the </w:t>
      </w:r>
      <w:r>
        <w:rPr>
          <w:i/>
        </w:rPr>
        <w:t>Human Rights (Parliamentary Scrutiny) Act 2011</w:t>
      </w:r>
      <w:r>
        <w:t xml:space="preserve"> does not apply to any such Rules of Court and no statement of compatibility for the purposes of that latter Act is included in this Explanatory Statement.</w:t>
      </w:r>
    </w:p>
    <w:p w:rsidR="00D6479E" w:rsidRDefault="00D6479E" w:rsidP="006B3A2D"/>
    <w:p w:rsidR="00AF05A3" w:rsidRDefault="00AF05A3" w:rsidP="00AF05A3">
      <w:r w:rsidRPr="00010925">
        <w:t>The</w:t>
      </w:r>
      <w:r>
        <w:t xml:space="preserve"> </w:t>
      </w:r>
      <w:r w:rsidRPr="00010925">
        <w:t>Judges</w:t>
      </w:r>
      <w:r>
        <w:t xml:space="preserve"> </w:t>
      </w:r>
      <w:r w:rsidRPr="00010925">
        <w:t>have</w:t>
      </w:r>
      <w:r>
        <w:t xml:space="preserve"> </w:t>
      </w:r>
      <w:r w:rsidRPr="00010925">
        <w:t>agreed</w:t>
      </w:r>
      <w:r>
        <w:t xml:space="preserve"> </w:t>
      </w:r>
      <w:r w:rsidRPr="00010925">
        <w:t>to</w:t>
      </w:r>
      <w:r>
        <w:t xml:space="preserve"> </w:t>
      </w:r>
      <w:r w:rsidRPr="00010925">
        <w:t>amend</w:t>
      </w:r>
      <w:r>
        <w:t xml:space="preserve"> </w:t>
      </w:r>
      <w:r w:rsidRPr="00010925">
        <w:t>the</w:t>
      </w:r>
      <w:r>
        <w:t xml:space="preserve"> FCR 2011 </w:t>
      </w:r>
      <w:r w:rsidRPr="00010925">
        <w:t>by:</w:t>
      </w:r>
    </w:p>
    <w:p w:rsidR="00AF05A3" w:rsidRDefault="00AF05A3" w:rsidP="00AF05A3">
      <w:pPr>
        <w:numPr>
          <w:ilvl w:val="0"/>
          <w:numId w:val="13"/>
        </w:numPr>
        <w:tabs>
          <w:tab w:val="num" w:pos="360"/>
        </w:tabs>
        <w:ind w:left="360" w:right="-174" w:hanging="360"/>
        <w:rPr>
          <w:szCs w:val="24"/>
        </w:rPr>
      </w:pPr>
      <w:r>
        <w:rPr>
          <w:szCs w:val="24"/>
        </w:rPr>
        <w:t>limiting the length of an applicant’s genuine steps statement which must be filed under rule 8.02 and a respondent’s genuine steps statement whi</w:t>
      </w:r>
      <w:r w:rsidR="006452ED">
        <w:rPr>
          <w:szCs w:val="24"/>
        </w:rPr>
        <w:t>ch must be filed under rule 5.03</w:t>
      </w:r>
      <w:r>
        <w:rPr>
          <w:szCs w:val="24"/>
        </w:rPr>
        <w:t xml:space="preserve"> to </w:t>
      </w:r>
      <w:r w:rsidR="00F73E44">
        <w:rPr>
          <w:szCs w:val="24"/>
        </w:rPr>
        <w:t>no more than 2 pages;</w:t>
      </w:r>
    </w:p>
    <w:p w:rsidR="00F73E44" w:rsidRDefault="00F73E44" w:rsidP="00AF05A3">
      <w:pPr>
        <w:numPr>
          <w:ilvl w:val="0"/>
          <w:numId w:val="13"/>
        </w:numPr>
        <w:tabs>
          <w:tab w:val="num" w:pos="360"/>
        </w:tabs>
        <w:ind w:left="360" w:right="-174" w:hanging="360"/>
        <w:rPr>
          <w:szCs w:val="24"/>
        </w:rPr>
      </w:pPr>
      <w:r>
        <w:rPr>
          <w:szCs w:val="24"/>
        </w:rPr>
        <w:t>correcting a grammatical error in rule 10.04;</w:t>
      </w:r>
    </w:p>
    <w:p w:rsidR="00AF05A3" w:rsidRDefault="00F73E44" w:rsidP="00AF05A3">
      <w:pPr>
        <w:numPr>
          <w:ilvl w:val="0"/>
          <w:numId w:val="13"/>
        </w:numPr>
        <w:tabs>
          <w:tab w:val="num" w:pos="360"/>
        </w:tabs>
        <w:ind w:left="360" w:hanging="360"/>
        <w:jc w:val="both"/>
        <w:rPr>
          <w:szCs w:val="24"/>
        </w:rPr>
      </w:pPr>
      <w:r>
        <w:rPr>
          <w:szCs w:val="24"/>
        </w:rPr>
        <w:t xml:space="preserve">increasing the rates of costs in </w:t>
      </w:r>
      <w:r w:rsidR="00AF05A3">
        <w:rPr>
          <w:szCs w:val="24"/>
        </w:rPr>
        <w:t>Sche</w:t>
      </w:r>
      <w:r w:rsidR="00AF05A3" w:rsidRPr="00862310">
        <w:rPr>
          <w:szCs w:val="24"/>
        </w:rPr>
        <w:t>du</w:t>
      </w:r>
      <w:r w:rsidR="00AF05A3">
        <w:rPr>
          <w:szCs w:val="24"/>
        </w:rPr>
        <w:t>le 3</w:t>
      </w:r>
      <w:r w:rsidR="00AF05A3" w:rsidRPr="00862310">
        <w:rPr>
          <w:szCs w:val="24"/>
        </w:rPr>
        <w:t xml:space="preserve"> </w:t>
      </w:r>
      <w:r>
        <w:rPr>
          <w:szCs w:val="24"/>
        </w:rPr>
        <w:t xml:space="preserve">for work done and services provided by lawyers on or after 1 January 2014 </w:t>
      </w:r>
      <w:r w:rsidR="00AF05A3">
        <w:rPr>
          <w:szCs w:val="24"/>
        </w:rPr>
        <w:t xml:space="preserve">to give effect </w:t>
      </w:r>
      <w:r w:rsidR="00AF05A3" w:rsidRPr="00CF0A8D">
        <w:rPr>
          <w:szCs w:val="24"/>
        </w:rPr>
        <w:t>to recommendations ma</w:t>
      </w:r>
      <w:r>
        <w:rPr>
          <w:szCs w:val="24"/>
        </w:rPr>
        <w:t>de in the Sixth</w:t>
      </w:r>
      <w:r w:rsidR="00AF05A3" w:rsidRPr="00CF0A8D">
        <w:rPr>
          <w:szCs w:val="24"/>
        </w:rPr>
        <w:t xml:space="preserve"> </w:t>
      </w:r>
      <w:r w:rsidR="00AF05A3">
        <w:rPr>
          <w:szCs w:val="24"/>
        </w:rPr>
        <w:t>R</w:t>
      </w:r>
      <w:r w:rsidR="00AF05A3" w:rsidRPr="00CF0A8D">
        <w:rPr>
          <w:szCs w:val="24"/>
        </w:rPr>
        <w:t>eport of the Joint Costs Advisory Committee.</w:t>
      </w:r>
    </w:p>
    <w:p w:rsidR="00B54B5F" w:rsidRDefault="00B54B5F" w:rsidP="00E154A6"/>
    <w:p w:rsidR="00661250" w:rsidRDefault="00661250" w:rsidP="00661250">
      <w:r>
        <w:t xml:space="preserve">Details of the Rules are in </w:t>
      </w:r>
      <w:r>
        <w:rPr>
          <w:b/>
          <w:bCs/>
        </w:rPr>
        <w:t>Attachment 1</w:t>
      </w:r>
      <w:r w:rsidR="00AE16D2">
        <w:t>.</w:t>
      </w:r>
    </w:p>
    <w:p w:rsidR="00661250" w:rsidRDefault="00661250" w:rsidP="00661250"/>
    <w:p w:rsidR="00E047AB" w:rsidRPr="00CF0A8D" w:rsidRDefault="00E047AB" w:rsidP="00E047AB">
      <w:pPr>
        <w:rPr>
          <w:szCs w:val="24"/>
        </w:rPr>
      </w:pPr>
      <w:r w:rsidRPr="00CF0A8D">
        <w:rPr>
          <w:szCs w:val="24"/>
        </w:rPr>
        <w:t>All of the amendments</w:t>
      </w:r>
      <w:r>
        <w:rPr>
          <w:szCs w:val="24"/>
        </w:rPr>
        <w:t>,</w:t>
      </w:r>
      <w:r w:rsidRPr="00CF0A8D">
        <w:rPr>
          <w:szCs w:val="24"/>
        </w:rPr>
        <w:t xml:space="preserve"> except th</w:t>
      </w:r>
      <w:r>
        <w:rPr>
          <w:szCs w:val="24"/>
        </w:rPr>
        <w:t>ose mentioned in item 3</w:t>
      </w:r>
      <w:r w:rsidRPr="00CF0A8D">
        <w:rPr>
          <w:szCs w:val="24"/>
        </w:rPr>
        <w:t xml:space="preserve"> above</w:t>
      </w:r>
      <w:r>
        <w:rPr>
          <w:szCs w:val="24"/>
        </w:rPr>
        <w:t>,</w:t>
      </w:r>
      <w:r w:rsidRPr="00CF0A8D">
        <w:rPr>
          <w:szCs w:val="24"/>
        </w:rPr>
        <w:t xml:space="preserve"> wil</w:t>
      </w:r>
      <w:r>
        <w:rPr>
          <w:szCs w:val="24"/>
        </w:rPr>
        <w:t>l commence on the day after the Rules</w:t>
      </w:r>
      <w:r w:rsidRPr="00CF0A8D">
        <w:rPr>
          <w:szCs w:val="24"/>
        </w:rPr>
        <w:t xml:space="preserve"> are registered on the Federal Register of Legislative Instruments</w:t>
      </w:r>
      <w:r w:rsidR="00B14C5A">
        <w:rPr>
          <w:szCs w:val="24"/>
        </w:rPr>
        <w:t xml:space="preserve"> (FRLI)</w:t>
      </w:r>
      <w:r w:rsidRPr="00CF0A8D">
        <w:rPr>
          <w:szCs w:val="24"/>
        </w:rPr>
        <w:t xml:space="preserve">.  The amendment mentioned in item </w:t>
      </w:r>
      <w:r>
        <w:rPr>
          <w:szCs w:val="24"/>
        </w:rPr>
        <w:t>3 will commence on 1 January 2014</w:t>
      </w:r>
      <w:r w:rsidRPr="00CF0A8D">
        <w:rPr>
          <w:szCs w:val="24"/>
        </w:rPr>
        <w:t>.</w:t>
      </w:r>
    </w:p>
    <w:p w:rsidR="002F102B" w:rsidRDefault="002F102B" w:rsidP="00661250">
      <w:pPr>
        <w:rPr>
          <w:szCs w:val="24"/>
        </w:rPr>
        <w:sectPr w:rsidR="002F102B" w:rsidSect="00077031">
          <w:footerReference w:type="default" r:id="rId9"/>
          <w:footerReference w:type="first" r:id="rId10"/>
          <w:pgSz w:w="12240" w:h="15840" w:code="1"/>
          <w:pgMar w:top="1134" w:right="1797" w:bottom="1134" w:left="1797" w:header="709" w:footer="709" w:gutter="0"/>
          <w:cols w:space="708"/>
          <w:titlePg/>
          <w:docGrid w:linePitch="360"/>
        </w:sectPr>
      </w:pPr>
    </w:p>
    <w:p w:rsidR="006B3A2D" w:rsidRPr="00CF0A8D" w:rsidRDefault="006B3A2D" w:rsidP="00CF0A8D">
      <w:pPr>
        <w:jc w:val="right"/>
        <w:rPr>
          <w:b/>
        </w:rPr>
      </w:pPr>
      <w:r w:rsidRPr="00CF0A8D">
        <w:rPr>
          <w:b/>
        </w:rPr>
        <w:lastRenderedPageBreak/>
        <w:t>ATTACHMENT 1</w:t>
      </w:r>
    </w:p>
    <w:p w:rsidR="006B3A2D" w:rsidRDefault="006B3A2D" w:rsidP="006B3A2D"/>
    <w:p w:rsidR="00AC65F5" w:rsidRDefault="006B3A2D" w:rsidP="006B3A2D">
      <w:pPr>
        <w:jc w:val="center"/>
        <w:rPr>
          <w:rFonts w:ascii="Arial" w:hAnsi="Arial" w:cs="Arial"/>
          <w:b/>
          <w:bCs/>
        </w:rPr>
      </w:pPr>
      <w:r>
        <w:rPr>
          <w:rFonts w:ascii="Arial" w:hAnsi="Arial" w:cs="Arial"/>
          <w:b/>
          <w:bCs/>
        </w:rPr>
        <w:t xml:space="preserve">Federal Court Amendment </w:t>
      </w:r>
      <w:r w:rsidR="00AC65F5">
        <w:rPr>
          <w:rFonts w:ascii="Arial" w:hAnsi="Arial" w:cs="Arial"/>
          <w:b/>
          <w:bCs/>
        </w:rPr>
        <w:t>(Electronic Court File Measures No. 1)</w:t>
      </w:r>
    </w:p>
    <w:p w:rsidR="006B3A2D" w:rsidRDefault="006B3A2D" w:rsidP="006B3A2D">
      <w:pPr>
        <w:jc w:val="center"/>
        <w:rPr>
          <w:rFonts w:ascii="Arial" w:hAnsi="Arial" w:cs="Arial"/>
          <w:b/>
          <w:bCs/>
        </w:rPr>
      </w:pPr>
      <w:r>
        <w:rPr>
          <w:rFonts w:ascii="Arial" w:hAnsi="Arial" w:cs="Arial"/>
          <w:b/>
          <w:bCs/>
        </w:rPr>
        <w:t>Rul</w:t>
      </w:r>
      <w:r w:rsidR="009F6FE5">
        <w:rPr>
          <w:rFonts w:ascii="Arial" w:hAnsi="Arial" w:cs="Arial"/>
          <w:b/>
          <w:bCs/>
        </w:rPr>
        <w:t>es 20</w:t>
      </w:r>
      <w:r w:rsidR="003C524A">
        <w:rPr>
          <w:rFonts w:ascii="Arial" w:hAnsi="Arial" w:cs="Arial"/>
          <w:b/>
          <w:bCs/>
        </w:rPr>
        <w:t>1</w:t>
      </w:r>
      <w:r w:rsidR="00BA3EBA">
        <w:rPr>
          <w:rFonts w:ascii="Arial" w:hAnsi="Arial" w:cs="Arial"/>
          <w:b/>
          <w:bCs/>
        </w:rPr>
        <w:t>3</w:t>
      </w:r>
    </w:p>
    <w:p w:rsidR="006B3A2D" w:rsidRPr="00E53498" w:rsidRDefault="006B3A2D" w:rsidP="00E53498"/>
    <w:p w:rsidR="006B3A2D" w:rsidRPr="000D1ACF" w:rsidRDefault="006B3A2D" w:rsidP="000D1ACF">
      <w:pPr>
        <w:rPr>
          <w:b/>
        </w:rPr>
      </w:pPr>
      <w:r w:rsidRPr="000D1ACF">
        <w:rPr>
          <w:b/>
        </w:rPr>
        <w:t>RULE 1</w:t>
      </w:r>
      <w:r w:rsidRPr="000D1ACF">
        <w:rPr>
          <w:b/>
        </w:rPr>
        <w:tab/>
        <w:t xml:space="preserve">Name of </w:t>
      </w:r>
      <w:r w:rsidR="00563392">
        <w:rPr>
          <w:b/>
        </w:rPr>
        <w:t>R</w:t>
      </w:r>
      <w:r w:rsidRPr="000D1ACF">
        <w:rPr>
          <w:b/>
        </w:rPr>
        <w:t>ules</w:t>
      </w:r>
    </w:p>
    <w:p w:rsidR="006B3A2D" w:rsidRDefault="006B3A2D" w:rsidP="006B3A2D">
      <w:pPr>
        <w:ind w:left="1560" w:hanging="1560"/>
      </w:pPr>
    </w:p>
    <w:p w:rsidR="006B3A2D" w:rsidRDefault="006B3A2D" w:rsidP="006B3A2D">
      <w:r>
        <w:t xml:space="preserve">This rule provides that the Rules are to be cited as the </w:t>
      </w:r>
      <w:r>
        <w:rPr>
          <w:i/>
        </w:rPr>
        <w:t>Fe</w:t>
      </w:r>
      <w:r w:rsidR="009F6FE5">
        <w:rPr>
          <w:i/>
        </w:rPr>
        <w:t xml:space="preserve">deral Court Amendment </w:t>
      </w:r>
      <w:r w:rsidR="00D27569">
        <w:rPr>
          <w:i/>
        </w:rPr>
        <w:t>(</w:t>
      </w:r>
      <w:r w:rsidR="00F73E44">
        <w:rPr>
          <w:i/>
        </w:rPr>
        <w:t>Costs and Other Measures</w:t>
      </w:r>
      <w:r w:rsidR="00D27569">
        <w:rPr>
          <w:i/>
        </w:rPr>
        <w:t xml:space="preserve">) </w:t>
      </w:r>
      <w:r w:rsidR="009F6FE5">
        <w:rPr>
          <w:i/>
        </w:rPr>
        <w:t>Rules 20</w:t>
      </w:r>
      <w:r w:rsidR="003C524A">
        <w:rPr>
          <w:i/>
        </w:rPr>
        <w:t>1</w:t>
      </w:r>
      <w:r w:rsidR="00BA3EBA">
        <w:rPr>
          <w:i/>
        </w:rPr>
        <w:t>3</w:t>
      </w:r>
      <w:r>
        <w:t>.</w:t>
      </w:r>
    </w:p>
    <w:p w:rsidR="006B3A2D" w:rsidRDefault="006B3A2D" w:rsidP="006B3A2D">
      <w:pPr>
        <w:ind w:left="1560" w:hanging="1560"/>
      </w:pPr>
    </w:p>
    <w:p w:rsidR="006B3A2D" w:rsidRPr="000D1ACF" w:rsidRDefault="006B3A2D" w:rsidP="000D1ACF">
      <w:pPr>
        <w:rPr>
          <w:b/>
        </w:rPr>
      </w:pPr>
      <w:r w:rsidRPr="000D1ACF">
        <w:rPr>
          <w:b/>
        </w:rPr>
        <w:t>RULE 2</w:t>
      </w:r>
      <w:r w:rsidRPr="000D1ACF">
        <w:rPr>
          <w:b/>
        </w:rPr>
        <w:tab/>
        <w:t>Commencement</w:t>
      </w:r>
    </w:p>
    <w:p w:rsidR="006B3A2D" w:rsidRDefault="006B3A2D" w:rsidP="006B3A2D">
      <w:pPr>
        <w:ind w:left="1560" w:hanging="1560"/>
      </w:pPr>
    </w:p>
    <w:p w:rsidR="00E047AB" w:rsidRDefault="00E047AB" w:rsidP="00E047AB">
      <w:pPr>
        <w:ind w:left="1560" w:hanging="1560"/>
      </w:pPr>
      <w:r>
        <w:t>This rule provides that these Rules commence as follows:</w:t>
      </w:r>
    </w:p>
    <w:p w:rsidR="00E047AB" w:rsidRDefault="00E047AB" w:rsidP="00E047AB">
      <w:pPr>
        <w:numPr>
          <w:ilvl w:val="0"/>
          <w:numId w:val="25"/>
        </w:numPr>
        <w:tabs>
          <w:tab w:val="clear" w:pos="1440"/>
          <w:tab w:val="num" w:pos="540"/>
        </w:tabs>
        <w:ind w:left="540" w:hanging="540"/>
      </w:pPr>
      <w:r>
        <w:t xml:space="preserve">Rules 1 to </w:t>
      </w:r>
      <w:r w:rsidR="00266C01">
        <w:t>4</w:t>
      </w:r>
      <w:r>
        <w:t xml:space="preserve"> and Schedule 1, items [1] to [5] – on the day after they are registered; and</w:t>
      </w:r>
    </w:p>
    <w:p w:rsidR="00E047AB" w:rsidRDefault="009871DB" w:rsidP="00E047AB">
      <w:pPr>
        <w:numPr>
          <w:ilvl w:val="0"/>
          <w:numId w:val="25"/>
        </w:numPr>
        <w:tabs>
          <w:tab w:val="clear" w:pos="1440"/>
          <w:tab w:val="num" w:pos="540"/>
        </w:tabs>
        <w:ind w:left="540" w:hanging="540"/>
      </w:pPr>
      <w:r>
        <w:t>Schedule 1, items [6] and [7] – on 1 January 2014</w:t>
      </w:r>
      <w:r w:rsidR="00E047AB">
        <w:t>.</w:t>
      </w:r>
    </w:p>
    <w:p w:rsidR="00E63DD0" w:rsidRDefault="00E63DD0" w:rsidP="006B3A2D">
      <w:pPr>
        <w:ind w:left="1560" w:hanging="1560"/>
      </w:pPr>
    </w:p>
    <w:p w:rsidR="004B4125" w:rsidRDefault="006B3A2D" w:rsidP="000D1ACF">
      <w:r w:rsidRPr="000D1ACF">
        <w:rPr>
          <w:b/>
        </w:rPr>
        <w:t>RULE 3</w:t>
      </w:r>
      <w:r w:rsidR="004B4125">
        <w:rPr>
          <w:b/>
        </w:rPr>
        <w:tab/>
        <w:t>Authority</w:t>
      </w:r>
    </w:p>
    <w:p w:rsidR="004B4125" w:rsidRDefault="004B4125" w:rsidP="000D1ACF"/>
    <w:p w:rsidR="004B4125" w:rsidRDefault="004C5609" w:rsidP="000D1ACF">
      <w:r>
        <w:t>This rule notes</w:t>
      </w:r>
      <w:r w:rsidR="00612ABB">
        <w:t xml:space="preserve"> that t</w:t>
      </w:r>
      <w:r w:rsidR="00563392">
        <w:t>he</w:t>
      </w:r>
      <w:r>
        <w:t xml:space="preserve"> Amendment</w:t>
      </w:r>
      <w:r w:rsidR="00563392">
        <w:t xml:space="preserve"> R</w:t>
      </w:r>
      <w:r w:rsidR="004B4125">
        <w:t xml:space="preserve">ules are made under the </w:t>
      </w:r>
      <w:r w:rsidR="004B4125">
        <w:rPr>
          <w:i/>
        </w:rPr>
        <w:t>Federal Court of Australia Act 1976</w:t>
      </w:r>
      <w:r w:rsidR="004B4125">
        <w:t xml:space="preserve"> (the Act).</w:t>
      </w:r>
    </w:p>
    <w:p w:rsidR="004B4125" w:rsidRPr="004B4125" w:rsidRDefault="004B4125" w:rsidP="000D1ACF"/>
    <w:p w:rsidR="004B4125" w:rsidRDefault="004B4125" w:rsidP="004B4125">
      <w:r w:rsidRPr="000D1ACF">
        <w:rPr>
          <w:b/>
        </w:rPr>
        <w:t xml:space="preserve">RULE </w:t>
      </w:r>
      <w:r w:rsidR="00516618">
        <w:rPr>
          <w:b/>
        </w:rPr>
        <w:t>4</w:t>
      </w:r>
      <w:r>
        <w:rPr>
          <w:b/>
        </w:rPr>
        <w:tab/>
        <w:t>Schedules(s)</w:t>
      </w:r>
    </w:p>
    <w:p w:rsidR="004B4125" w:rsidRDefault="004B4125" w:rsidP="004B4125"/>
    <w:p w:rsidR="004B4125" w:rsidRDefault="004B4125" w:rsidP="004B4125">
      <w:pPr>
        <w:rPr>
          <w:b/>
        </w:rPr>
      </w:pPr>
      <w:r>
        <w:t>Th</w:t>
      </w:r>
      <w:r w:rsidR="00516618">
        <w:t xml:space="preserve">is rule provided that </w:t>
      </w:r>
      <w:r>
        <w:t>e</w:t>
      </w:r>
      <w:r w:rsidR="00516618">
        <w:t>ach</w:t>
      </w:r>
      <w:r>
        <w:t xml:space="preserve"> instrument specified in the Schedule to th</w:t>
      </w:r>
      <w:r w:rsidR="004C5609">
        <w:t>e Amendment Rules</w:t>
      </w:r>
      <w:r>
        <w:t xml:space="preserve"> is amended or repealed as set out in the applicable</w:t>
      </w:r>
      <w:r w:rsidR="004C5609">
        <w:t xml:space="preserve"> items in the Schedule</w:t>
      </w:r>
      <w:r w:rsidR="00516618">
        <w:t>,</w:t>
      </w:r>
      <w:r w:rsidR="00FA49BF">
        <w:t xml:space="preserve"> and </w:t>
      </w:r>
      <w:r w:rsidR="00501DBE">
        <w:t xml:space="preserve">that </w:t>
      </w:r>
      <w:r w:rsidR="00FA49BF">
        <w:t>any other item in a Schedule to th</w:t>
      </w:r>
      <w:r w:rsidR="004C5609">
        <w:t>e Amendment Rule</w:t>
      </w:r>
      <w:r w:rsidR="00FA49BF">
        <w:t xml:space="preserve"> has effect according to its terms.</w:t>
      </w:r>
    </w:p>
    <w:p w:rsidR="004B4125" w:rsidRDefault="004B4125" w:rsidP="000D1ACF">
      <w:pPr>
        <w:rPr>
          <w:b/>
        </w:rPr>
      </w:pPr>
    </w:p>
    <w:p w:rsidR="006B3A2D" w:rsidRPr="000D1ACF" w:rsidRDefault="000D1ACF" w:rsidP="000D1ACF">
      <w:pPr>
        <w:rPr>
          <w:b/>
        </w:rPr>
      </w:pPr>
      <w:bookmarkStart w:id="1" w:name="OLE_LINK9"/>
      <w:bookmarkStart w:id="2" w:name="OLE_LINK10"/>
      <w:r>
        <w:rPr>
          <w:b/>
        </w:rPr>
        <w:t>SCHEDULE 1</w:t>
      </w:r>
    </w:p>
    <w:p w:rsidR="006B3A2D" w:rsidRDefault="006B3A2D" w:rsidP="006B3A2D">
      <w:pPr>
        <w:tabs>
          <w:tab w:val="left" w:pos="567"/>
        </w:tabs>
        <w:rPr>
          <w:u w:val="single"/>
        </w:rPr>
      </w:pPr>
    </w:p>
    <w:p w:rsidR="009871DB" w:rsidRDefault="009871DB" w:rsidP="002B2525">
      <w:pPr>
        <w:tabs>
          <w:tab w:val="left" w:pos="709"/>
        </w:tabs>
        <w:rPr>
          <w:u w:val="single"/>
        </w:rPr>
      </w:pPr>
      <w:bookmarkStart w:id="3" w:name="OLE_LINK3"/>
      <w:bookmarkStart w:id="4" w:name="OLE_LINK4"/>
      <w:r>
        <w:rPr>
          <w:u w:val="single"/>
        </w:rPr>
        <w:t>[1]</w:t>
      </w:r>
      <w:r>
        <w:rPr>
          <w:u w:val="single"/>
        </w:rPr>
        <w:tab/>
      </w:r>
      <w:proofErr w:type="spellStart"/>
      <w:r>
        <w:rPr>
          <w:u w:val="single"/>
        </w:rPr>
        <w:t>Subrule</w:t>
      </w:r>
      <w:proofErr w:type="spellEnd"/>
      <w:r>
        <w:rPr>
          <w:u w:val="single"/>
        </w:rPr>
        <w:t xml:space="preserve"> 5.03(2)</w:t>
      </w:r>
    </w:p>
    <w:p w:rsidR="002B2525" w:rsidRDefault="002B2525" w:rsidP="002B2525">
      <w:pPr>
        <w:tabs>
          <w:tab w:val="left" w:pos="709"/>
        </w:tabs>
        <w:rPr>
          <w:u w:val="single"/>
        </w:rPr>
      </w:pPr>
      <w:r w:rsidRPr="000811FB">
        <w:rPr>
          <w:u w:val="single"/>
        </w:rPr>
        <w:t>[</w:t>
      </w:r>
      <w:r w:rsidR="009871DB">
        <w:rPr>
          <w:u w:val="single"/>
        </w:rPr>
        <w:t>2</w:t>
      </w:r>
      <w:r w:rsidRPr="000811FB">
        <w:rPr>
          <w:u w:val="single"/>
        </w:rPr>
        <w:t>]</w:t>
      </w:r>
      <w:r w:rsidRPr="000811FB">
        <w:rPr>
          <w:u w:val="single"/>
        </w:rPr>
        <w:tab/>
      </w:r>
      <w:r w:rsidR="009871DB">
        <w:rPr>
          <w:u w:val="single"/>
        </w:rPr>
        <w:t xml:space="preserve">After </w:t>
      </w:r>
      <w:proofErr w:type="spellStart"/>
      <w:r w:rsidR="009871DB">
        <w:rPr>
          <w:u w:val="single"/>
        </w:rPr>
        <w:t>s</w:t>
      </w:r>
      <w:r w:rsidR="00B54B5F">
        <w:rPr>
          <w:u w:val="single"/>
        </w:rPr>
        <w:t>ubrule</w:t>
      </w:r>
      <w:proofErr w:type="spellEnd"/>
      <w:r w:rsidR="00F73E44">
        <w:rPr>
          <w:u w:val="single"/>
        </w:rPr>
        <w:t xml:space="preserve"> 5</w:t>
      </w:r>
      <w:r w:rsidR="00B54B5F">
        <w:rPr>
          <w:u w:val="single"/>
        </w:rPr>
        <w:t>.0</w:t>
      </w:r>
      <w:r w:rsidR="006452ED">
        <w:rPr>
          <w:u w:val="single"/>
        </w:rPr>
        <w:t>3</w:t>
      </w:r>
      <w:r w:rsidR="00B54B5F">
        <w:rPr>
          <w:u w:val="single"/>
        </w:rPr>
        <w:t>(2)</w:t>
      </w:r>
      <w:r w:rsidR="009871DB">
        <w:rPr>
          <w:u w:val="single"/>
        </w:rPr>
        <w:t xml:space="preserve"> (before the notes)</w:t>
      </w:r>
    </w:p>
    <w:p w:rsidR="00841549" w:rsidRDefault="009871DB" w:rsidP="00841549">
      <w:pPr>
        <w:tabs>
          <w:tab w:val="left" w:pos="709"/>
        </w:tabs>
      </w:pPr>
      <w:r>
        <w:rPr>
          <w:u w:val="single"/>
        </w:rPr>
        <w:t>[3</w:t>
      </w:r>
      <w:r w:rsidR="00F73E44">
        <w:rPr>
          <w:u w:val="single"/>
        </w:rPr>
        <w:t>]</w:t>
      </w:r>
      <w:r w:rsidR="00F73E44">
        <w:rPr>
          <w:u w:val="single"/>
        </w:rPr>
        <w:tab/>
      </w:r>
      <w:r w:rsidR="00DE3A6A">
        <w:rPr>
          <w:u w:val="single"/>
        </w:rPr>
        <w:t xml:space="preserve">After </w:t>
      </w:r>
      <w:proofErr w:type="spellStart"/>
      <w:r w:rsidR="00DE3A6A">
        <w:rPr>
          <w:u w:val="single"/>
        </w:rPr>
        <w:t>s</w:t>
      </w:r>
      <w:r w:rsidR="00F73E44">
        <w:rPr>
          <w:u w:val="single"/>
        </w:rPr>
        <w:t>ubrule</w:t>
      </w:r>
      <w:proofErr w:type="spellEnd"/>
      <w:r w:rsidR="00F73E44">
        <w:rPr>
          <w:u w:val="single"/>
        </w:rPr>
        <w:t xml:space="preserve"> 8.02(2</w:t>
      </w:r>
      <w:r w:rsidR="00841549">
        <w:rPr>
          <w:u w:val="single"/>
        </w:rPr>
        <w:t>)</w:t>
      </w:r>
      <w:r w:rsidR="00DE3A6A">
        <w:rPr>
          <w:u w:val="single"/>
        </w:rPr>
        <w:t xml:space="preserve"> (before the notes)</w:t>
      </w:r>
    </w:p>
    <w:p w:rsidR="00FA49BF" w:rsidRDefault="00FA49BF" w:rsidP="002B2525">
      <w:pPr>
        <w:tabs>
          <w:tab w:val="left" w:pos="709"/>
        </w:tabs>
      </w:pPr>
    </w:p>
    <w:p w:rsidR="002E5445" w:rsidRDefault="00774F15" w:rsidP="002B2525">
      <w:pPr>
        <w:tabs>
          <w:tab w:val="left" w:pos="709"/>
        </w:tabs>
      </w:pPr>
      <w:r>
        <w:t xml:space="preserve">Section 6 </w:t>
      </w:r>
      <w:r w:rsidR="00F73E44">
        <w:t xml:space="preserve">of the </w:t>
      </w:r>
      <w:r w:rsidR="00F73E44">
        <w:rPr>
          <w:i/>
        </w:rPr>
        <w:t xml:space="preserve">Civil Dispute Resolution Act </w:t>
      </w:r>
      <w:r w:rsidR="00F73E44" w:rsidRPr="00F73E44">
        <w:t>2012</w:t>
      </w:r>
      <w:r w:rsidR="00F73E44">
        <w:t xml:space="preserve"> require</w:t>
      </w:r>
      <w:r>
        <w:t>s</w:t>
      </w:r>
      <w:r w:rsidR="00F73E44">
        <w:t xml:space="preserve"> that</w:t>
      </w:r>
      <w:r>
        <w:t xml:space="preserve">, with some exemptions, </w:t>
      </w:r>
      <w:r w:rsidR="00F73E44" w:rsidRPr="00774F15">
        <w:t>an applicant instituting civil</w:t>
      </w:r>
      <w:r w:rsidRPr="00774F15">
        <w:t xml:space="preserve"> proceedings in the original jurisdiction of the Court must file a genuine steps statement setting out the steps that have been taken to try to resolve the dispute or why no such steps were taken.  Section 7 of that Act requires </w:t>
      </w:r>
      <w:r w:rsidR="002E5445">
        <w:t xml:space="preserve">that </w:t>
      </w:r>
      <w:r w:rsidRPr="00774F15">
        <w:t xml:space="preserve">a respondent who receives an applicant’s genuine steps statement </w:t>
      </w:r>
      <w:r w:rsidR="002E5445">
        <w:t>must also file a genuine steps statement indicating whether the respondent agrees or disagrees (wholly or in part) with the applicant’s statement.  If the respondent disagrees, the reasons why must also be set out.  The respondent’s statement must be filed before the hearing date specified in the application.</w:t>
      </w:r>
    </w:p>
    <w:p w:rsidR="002E5445" w:rsidRDefault="002E5445" w:rsidP="002B2525">
      <w:pPr>
        <w:tabs>
          <w:tab w:val="left" w:pos="709"/>
        </w:tabs>
      </w:pPr>
    </w:p>
    <w:p w:rsidR="00752D42" w:rsidRDefault="00752D42" w:rsidP="002B2525">
      <w:pPr>
        <w:tabs>
          <w:tab w:val="left" w:pos="709"/>
        </w:tabs>
      </w:pPr>
      <w:r>
        <w:lastRenderedPageBreak/>
        <w:t>Section 18 of that Act permit</w:t>
      </w:r>
      <w:r w:rsidR="0049742E">
        <w:t>s</w:t>
      </w:r>
      <w:r>
        <w:t xml:space="preserve"> the Rules of Court to, amongst other things, make provision for the form of genuine steps statements.  Section 8 requires that any genuine steps statement filed must comply with any Rules of Court made under section 18.</w:t>
      </w:r>
    </w:p>
    <w:p w:rsidR="006452ED" w:rsidRDefault="006452ED" w:rsidP="002B2525">
      <w:pPr>
        <w:tabs>
          <w:tab w:val="left" w:pos="709"/>
        </w:tabs>
      </w:pPr>
      <w:proofErr w:type="spellStart"/>
      <w:r>
        <w:t>Subrule</w:t>
      </w:r>
      <w:proofErr w:type="spellEnd"/>
      <w:r>
        <w:t xml:space="preserve"> 8.02(1) specifies that an applicant’s genuine steps statement must be in accordance with Form 16 approved by the Chief Justice under rule 1.52 for the purposes of the FCR 2011.   </w:t>
      </w:r>
      <w:proofErr w:type="spellStart"/>
      <w:r>
        <w:t>Subrule</w:t>
      </w:r>
      <w:proofErr w:type="spellEnd"/>
      <w:r>
        <w:t xml:space="preserve"> 8.02(2) requires that such a statement must comply with section 6 of the Civil Dispute Resolution Act.</w:t>
      </w:r>
    </w:p>
    <w:p w:rsidR="006452ED" w:rsidRDefault="006452ED" w:rsidP="002B2525">
      <w:pPr>
        <w:tabs>
          <w:tab w:val="left" w:pos="709"/>
        </w:tabs>
      </w:pPr>
    </w:p>
    <w:p w:rsidR="00B63297" w:rsidRDefault="006452ED" w:rsidP="002B2525">
      <w:pPr>
        <w:tabs>
          <w:tab w:val="left" w:pos="709"/>
        </w:tabs>
      </w:pPr>
      <w:proofErr w:type="spellStart"/>
      <w:r>
        <w:t>Subrule</w:t>
      </w:r>
      <w:proofErr w:type="spellEnd"/>
      <w:r>
        <w:t xml:space="preserve"> 5.03(1) specifies that a respondent’s genuine steps statement must be in accordance with approved Form 11.  </w:t>
      </w:r>
      <w:proofErr w:type="spellStart"/>
      <w:r>
        <w:t>Subrule</w:t>
      </w:r>
      <w:proofErr w:type="spellEnd"/>
      <w:r>
        <w:t xml:space="preserve"> 5.03(2) requires that such a statement must comply with Section 7 of the </w:t>
      </w:r>
      <w:r w:rsidR="00B63297">
        <w:t>Civil Dispute Resolution Act and include, if the respondent claims that the applicant’s steps were not genuine, the reasons for that claim.</w:t>
      </w:r>
    </w:p>
    <w:p w:rsidR="00B63297" w:rsidRDefault="00B63297" w:rsidP="002B2525">
      <w:pPr>
        <w:tabs>
          <w:tab w:val="left" w:pos="709"/>
        </w:tabs>
      </w:pPr>
    </w:p>
    <w:p w:rsidR="000B6C6A" w:rsidRDefault="00FF341A" w:rsidP="002B2525">
      <w:pPr>
        <w:tabs>
          <w:tab w:val="left" w:pos="709"/>
        </w:tabs>
      </w:pPr>
      <w:r>
        <w:t xml:space="preserve">Section 37M </w:t>
      </w:r>
      <w:r w:rsidR="004E5E39">
        <w:t xml:space="preserve">of the Federal Court of Australian Act </w:t>
      </w:r>
      <w:r>
        <w:t xml:space="preserve">provides that the overarching purpose of the civil and procedural provisions of the Court is to facilitate the just resolution of disputes according to law and as quickly, inexpensively and efficiently as possible.  </w:t>
      </w:r>
      <w:r w:rsidR="000B6C6A">
        <w:t>S</w:t>
      </w:r>
      <w:r>
        <w:t>ubsection 37M(3) requires that the civil and procedure provisions must be interpreted and applied</w:t>
      </w:r>
      <w:r w:rsidR="000B6C6A">
        <w:t>, and any power conferred or duty imposed by them (including the power to make Rules of Court) must be exercised or carried out, in the way that best promotes the overarching purpose.</w:t>
      </w:r>
    </w:p>
    <w:p w:rsidR="000B6C6A" w:rsidRDefault="000B6C6A" w:rsidP="002B2525">
      <w:pPr>
        <w:tabs>
          <w:tab w:val="left" w:pos="709"/>
        </w:tabs>
      </w:pPr>
    </w:p>
    <w:p w:rsidR="000B6C6A" w:rsidRDefault="000B6C6A" w:rsidP="002B2525">
      <w:pPr>
        <w:tabs>
          <w:tab w:val="left" w:pos="709"/>
        </w:tabs>
      </w:pPr>
      <w:r>
        <w:t>For reduced time and cost of preparation and increased efficiency overall</w:t>
      </w:r>
      <w:r w:rsidR="00072965">
        <w:t>,</w:t>
      </w:r>
      <w:r>
        <w:t xml:space="preserve"> consistent with the overarching purpose</w:t>
      </w:r>
      <w:r w:rsidR="00072965">
        <w:t>,</w:t>
      </w:r>
      <w:r>
        <w:t xml:space="preserve"> the</w:t>
      </w:r>
      <w:r w:rsidR="00B63297">
        <w:t xml:space="preserve"> amendments </w:t>
      </w:r>
      <w:r w:rsidR="00DE3A6A">
        <w:t xml:space="preserve">insert </w:t>
      </w:r>
      <w:proofErr w:type="spellStart"/>
      <w:r w:rsidR="009871DB">
        <w:t>subrules</w:t>
      </w:r>
      <w:proofErr w:type="spellEnd"/>
      <w:r w:rsidR="009871DB">
        <w:t xml:space="preserve"> 8.02</w:t>
      </w:r>
      <w:r w:rsidR="00DE3A6A">
        <w:t>(3</w:t>
      </w:r>
      <w:r w:rsidR="009871DB">
        <w:t>) and 5.03</w:t>
      </w:r>
      <w:r w:rsidR="00DE3A6A">
        <w:t>(3</w:t>
      </w:r>
      <w:r w:rsidR="009871DB">
        <w:t xml:space="preserve">) respectively </w:t>
      </w:r>
      <w:r w:rsidR="00DE3A6A">
        <w:t xml:space="preserve">to </w:t>
      </w:r>
      <w:r w:rsidR="004E5E39">
        <w:t>introduce a limit of 2 pages</w:t>
      </w:r>
      <w:r>
        <w:t xml:space="preserve"> for any genuine steps statement filed by either an applicant or a respondent.</w:t>
      </w:r>
    </w:p>
    <w:p w:rsidR="00072965" w:rsidRDefault="00072965" w:rsidP="002B2525">
      <w:pPr>
        <w:tabs>
          <w:tab w:val="left" w:pos="709"/>
        </w:tabs>
      </w:pPr>
    </w:p>
    <w:p w:rsidR="00072965" w:rsidRDefault="00072965" w:rsidP="002B2525">
      <w:pPr>
        <w:tabs>
          <w:tab w:val="left" w:pos="709"/>
        </w:tabs>
      </w:pPr>
      <w:r>
        <w:t xml:space="preserve">In addition, the amendment to </w:t>
      </w:r>
      <w:proofErr w:type="spellStart"/>
      <w:r>
        <w:t>subrule</w:t>
      </w:r>
      <w:proofErr w:type="spellEnd"/>
      <w:r>
        <w:t xml:space="preserve"> 5.03(2) introduces uniform language to that currently adopted in </w:t>
      </w:r>
      <w:proofErr w:type="spellStart"/>
      <w:r>
        <w:t>subrule</w:t>
      </w:r>
      <w:proofErr w:type="spellEnd"/>
      <w:r>
        <w:t xml:space="preserve"> 8.02(2) to assist court users </w:t>
      </w:r>
      <w:r w:rsidR="00770F9B">
        <w:t>in more clearly understanding and differen</w:t>
      </w:r>
      <w:r w:rsidR="005E7887">
        <w:t>tiating</w:t>
      </w:r>
      <w:r w:rsidR="00770F9B">
        <w:t xml:space="preserve"> the obligations and requirements of each </w:t>
      </w:r>
      <w:proofErr w:type="spellStart"/>
      <w:r w:rsidR="00770F9B">
        <w:t>subrule</w:t>
      </w:r>
      <w:proofErr w:type="spellEnd"/>
      <w:r w:rsidR="00770F9B">
        <w:t>.</w:t>
      </w:r>
    </w:p>
    <w:bookmarkEnd w:id="3"/>
    <w:bookmarkEnd w:id="4"/>
    <w:p w:rsidR="009C55A7" w:rsidRDefault="009C55A7" w:rsidP="002B2525">
      <w:pPr>
        <w:tabs>
          <w:tab w:val="left" w:pos="709"/>
        </w:tabs>
      </w:pPr>
    </w:p>
    <w:p w:rsidR="006B1133" w:rsidRPr="00DF657F" w:rsidRDefault="006B1133" w:rsidP="006B1133">
      <w:pPr>
        <w:tabs>
          <w:tab w:val="left" w:pos="709"/>
        </w:tabs>
        <w:rPr>
          <w:i/>
        </w:rPr>
      </w:pPr>
      <w:r w:rsidRPr="000811FB">
        <w:rPr>
          <w:u w:val="single"/>
        </w:rPr>
        <w:t>[</w:t>
      </w:r>
      <w:r w:rsidR="009871DB">
        <w:rPr>
          <w:u w:val="single"/>
        </w:rPr>
        <w:t>4</w:t>
      </w:r>
      <w:r w:rsidRPr="000811FB">
        <w:rPr>
          <w:u w:val="single"/>
        </w:rPr>
        <w:t>]</w:t>
      </w:r>
      <w:r w:rsidRPr="000811FB">
        <w:rPr>
          <w:u w:val="single"/>
        </w:rPr>
        <w:tab/>
      </w:r>
      <w:bookmarkEnd w:id="1"/>
      <w:bookmarkEnd w:id="2"/>
      <w:r w:rsidR="005931C7">
        <w:rPr>
          <w:u w:val="single"/>
        </w:rPr>
        <w:t>R</w:t>
      </w:r>
      <w:r w:rsidR="00DF657F">
        <w:rPr>
          <w:u w:val="single"/>
        </w:rPr>
        <w:t xml:space="preserve">ule </w:t>
      </w:r>
      <w:r w:rsidR="00770F9B">
        <w:rPr>
          <w:u w:val="single"/>
        </w:rPr>
        <w:t>10.04</w:t>
      </w:r>
    </w:p>
    <w:p w:rsidR="005309FB" w:rsidRDefault="005309FB" w:rsidP="006B1133">
      <w:pPr>
        <w:tabs>
          <w:tab w:val="left" w:pos="709"/>
        </w:tabs>
        <w:rPr>
          <w:u w:val="single"/>
        </w:rPr>
      </w:pPr>
    </w:p>
    <w:p w:rsidR="00590C64" w:rsidRDefault="007859C4" w:rsidP="00770F9B">
      <w:pPr>
        <w:tabs>
          <w:tab w:val="left" w:pos="709"/>
        </w:tabs>
      </w:pPr>
      <w:bookmarkStart w:id="5" w:name="OLE_LINK1"/>
      <w:bookmarkStart w:id="6" w:name="OLE_LINK2"/>
      <w:r>
        <w:t xml:space="preserve">Rule </w:t>
      </w:r>
      <w:r w:rsidR="00770F9B">
        <w:t xml:space="preserve">10.04 provides for service on an organisation </w:t>
      </w:r>
      <w:r w:rsidR="00590C64">
        <w:t xml:space="preserve">registered under the </w:t>
      </w:r>
      <w:r w:rsidR="00590C64">
        <w:rPr>
          <w:i/>
        </w:rPr>
        <w:t xml:space="preserve">Fair Work (Registered Organisations) Act </w:t>
      </w:r>
      <w:r w:rsidR="00590C64" w:rsidRPr="00590C64">
        <w:rPr>
          <w:i/>
        </w:rPr>
        <w:t>2009</w:t>
      </w:r>
      <w:r w:rsidR="00770F9B">
        <w:t xml:space="preserve">.  It provides that a document that is to be served personally on </w:t>
      </w:r>
      <w:r w:rsidR="00590C64">
        <w:t xml:space="preserve">such </w:t>
      </w:r>
      <w:r w:rsidR="00770F9B">
        <w:t xml:space="preserve">an organisation </w:t>
      </w:r>
      <w:r w:rsidR="00590C64">
        <w:t xml:space="preserve">must be </w:t>
      </w:r>
      <w:r w:rsidR="00770F9B">
        <w:t xml:space="preserve">served at the office of the organisation </w:t>
      </w:r>
      <w:r w:rsidR="00D91693">
        <w:t xml:space="preserve">shown in the records </w:t>
      </w:r>
      <w:r w:rsidR="00590C64">
        <w:t xml:space="preserve">kept </w:t>
      </w:r>
      <w:r w:rsidR="00D91693">
        <w:t xml:space="preserve">by the Fair Work Commission </w:t>
      </w:r>
      <w:r w:rsidR="00590C64">
        <w:t>in accordance with section 233 of that Act</w:t>
      </w:r>
      <w:r w:rsidR="00D91693">
        <w:t>.</w:t>
      </w:r>
    </w:p>
    <w:p w:rsidR="00590C64" w:rsidRDefault="00590C64" w:rsidP="00770F9B">
      <w:pPr>
        <w:tabs>
          <w:tab w:val="left" w:pos="709"/>
        </w:tabs>
      </w:pPr>
    </w:p>
    <w:p w:rsidR="00590C64" w:rsidRDefault="00590C64" w:rsidP="00770F9B">
      <w:pPr>
        <w:tabs>
          <w:tab w:val="left" w:pos="709"/>
        </w:tabs>
      </w:pPr>
      <w:r>
        <w:t xml:space="preserve">The rule </w:t>
      </w:r>
      <w:r w:rsidR="00D91693">
        <w:t>w</w:t>
      </w:r>
      <w:r>
        <w:t xml:space="preserve">as amended, with effect from 9 May 2013, by the Federal Court Amendment Rules 2013 </w:t>
      </w:r>
      <w:r w:rsidR="00D91693">
        <w:t xml:space="preserve">following the change of name of Fair Work Australia to </w:t>
      </w:r>
      <w:r>
        <w:t>the Fair Work Commission</w:t>
      </w:r>
      <w:r w:rsidR="00D91693">
        <w:t xml:space="preserve"> on 1 January 2013</w:t>
      </w:r>
      <w:r>
        <w:t>.</w:t>
      </w:r>
    </w:p>
    <w:p w:rsidR="00590C64" w:rsidRDefault="00590C64" w:rsidP="00770F9B">
      <w:pPr>
        <w:tabs>
          <w:tab w:val="left" w:pos="709"/>
        </w:tabs>
      </w:pPr>
    </w:p>
    <w:p w:rsidR="00D91693" w:rsidRDefault="00D91693" w:rsidP="00770F9B">
      <w:pPr>
        <w:tabs>
          <w:tab w:val="left" w:pos="709"/>
        </w:tabs>
      </w:pPr>
      <w:r>
        <w:t>The amendment corrects a grammatical error introduced into the rule by the earlier amendment in the omission of the definite article before “Fair Work Commission”.</w:t>
      </w:r>
    </w:p>
    <w:p w:rsidR="009871DB" w:rsidRDefault="009871DB" w:rsidP="00770F9B">
      <w:pPr>
        <w:tabs>
          <w:tab w:val="left" w:pos="709"/>
        </w:tabs>
      </w:pPr>
    </w:p>
    <w:p w:rsidR="00BE61F3" w:rsidRDefault="00BE61F3">
      <w:pPr>
        <w:rPr>
          <w:u w:val="single"/>
        </w:rPr>
      </w:pPr>
      <w:r>
        <w:rPr>
          <w:u w:val="single"/>
        </w:rPr>
        <w:br w:type="page"/>
      </w:r>
    </w:p>
    <w:p w:rsidR="009871DB" w:rsidRPr="009871DB" w:rsidRDefault="009871DB" w:rsidP="00770F9B">
      <w:pPr>
        <w:tabs>
          <w:tab w:val="left" w:pos="709"/>
        </w:tabs>
        <w:rPr>
          <w:u w:val="single"/>
        </w:rPr>
      </w:pPr>
      <w:r w:rsidRPr="009871DB">
        <w:rPr>
          <w:u w:val="single"/>
        </w:rPr>
        <w:t>[5]</w:t>
      </w:r>
      <w:r w:rsidRPr="009871DB">
        <w:rPr>
          <w:u w:val="single"/>
        </w:rPr>
        <w:tab/>
        <w:t>After Chapter 6</w:t>
      </w:r>
    </w:p>
    <w:p w:rsidR="00D91693" w:rsidRDefault="00D91693" w:rsidP="00770F9B">
      <w:pPr>
        <w:tabs>
          <w:tab w:val="left" w:pos="709"/>
        </w:tabs>
      </w:pPr>
    </w:p>
    <w:p w:rsidR="00C700F1" w:rsidRDefault="00FD6077" w:rsidP="00770F9B">
      <w:pPr>
        <w:tabs>
          <w:tab w:val="left" w:pos="709"/>
        </w:tabs>
      </w:pPr>
      <w:r>
        <w:t xml:space="preserve">To allow litigants and their lawyers sufficient lead time in the preparation of applicant’s or respondent’s genuine steps statements for filing in the Court in compliance with the new length limitation mentioned in items [2] and [3] above, </w:t>
      </w:r>
      <w:proofErr w:type="spellStart"/>
      <w:r w:rsidR="00C700F1">
        <w:t>subrules</w:t>
      </w:r>
      <w:proofErr w:type="spellEnd"/>
      <w:r w:rsidR="00C700F1">
        <w:t xml:space="preserve"> 8.02(3</w:t>
      </w:r>
      <w:r w:rsidR="00DE3A6A">
        <w:t>) and 5.03(3</w:t>
      </w:r>
      <w:r w:rsidR="00C700F1">
        <w:t>) respectively will apply only in relation to proceedings commenced on or after 3 February 2014.</w:t>
      </w:r>
    </w:p>
    <w:p w:rsidR="00C700F1" w:rsidRDefault="00C700F1" w:rsidP="00770F9B">
      <w:pPr>
        <w:tabs>
          <w:tab w:val="left" w:pos="709"/>
        </w:tabs>
      </w:pPr>
    </w:p>
    <w:p w:rsidR="00B532E3" w:rsidRDefault="00B532E3" w:rsidP="00B532E3">
      <w:r w:rsidRPr="00B532E3">
        <w:t>To comply with Commonwealth drafting policy</w:t>
      </w:r>
      <w:r w:rsidR="0049742E">
        <w:t>,</w:t>
      </w:r>
      <w:r w:rsidRPr="00B532E3">
        <w:t xml:space="preserve"> </w:t>
      </w:r>
      <w:r w:rsidR="008B7BDD">
        <w:t xml:space="preserve">that </w:t>
      </w:r>
      <w:r w:rsidRPr="00B532E3">
        <w:t xml:space="preserve">application, saving or transition provisions that relate to </w:t>
      </w:r>
      <w:r w:rsidR="008B7BDD">
        <w:t xml:space="preserve">the </w:t>
      </w:r>
      <w:r w:rsidRPr="00B532E3">
        <w:t xml:space="preserve">amendment of an instrument should be included, by amendment, in the principal </w:t>
      </w:r>
      <w:r w:rsidR="0049742E">
        <w:t>instrument to which they relate</w:t>
      </w:r>
      <w:r w:rsidR="008B7BDD">
        <w:t>, t</w:t>
      </w:r>
      <w:r w:rsidRPr="00B532E3">
        <w:t xml:space="preserve">he </w:t>
      </w:r>
      <w:r w:rsidR="0049742E">
        <w:t>A</w:t>
      </w:r>
      <w:r w:rsidRPr="00B532E3">
        <w:t xml:space="preserve">mendment </w:t>
      </w:r>
      <w:r w:rsidR="0049742E">
        <w:t xml:space="preserve">Rules </w:t>
      </w:r>
      <w:r w:rsidRPr="00B532E3">
        <w:t xml:space="preserve">insert a new Chapter 7 into the FCR 2011 to contain </w:t>
      </w:r>
      <w:r w:rsidR="0049742E">
        <w:t>all</w:t>
      </w:r>
      <w:r w:rsidRPr="00B532E3">
        <w:t xml:space="preserve"> such provisions.</w:t>
      </w:r>
    </w:p>
    <w:p w:rsidR="00B532E3" w:rsidRDefault="00B532E3" w:rsidP="00B532E3"/>
    <w:p w:rsidR="00B532E3" w:rsidRPr="00B532E3" w:rsidRDefault="00B532E3" w:rsidP="00B532E3">
      <w:r w:rsidRPr="00B532E3">
        <w:t xml:space="preserve">The amendment </w:t>
      </w:r>
      <w:r w:rsidR="00BE61F3">
        <w:t>then</w:t>
      </w:r>
      <w:r>
        <w:t xml:space="preserve"> </w:t>
      </w:r>
      <w:r w:rsidRPr="00B532E3">
        <w:t xml:space="preserve">inserts </w:t>
      </w:r>
      <w:r w:rsidR="00BE61F3">
        <w:t xml:space="preserve">into Chapter 7 </w:t>
      </w:r>
      <w:r w:rsidRPr="00B532E3">
        <w:t>Division 43.1</w:t>
      </w:r>
      <w:r w:rsidR="00BE61F3">
        <w:t>,</w:t>
      </w:r>
      <w:r w:rsidRPr="00B532E3">
        <w:t xml:space="preserve"> which contains an appropriate application provision (rule 43.01) clarifying that the two subclauses only apply in relation to proceedings commenced on or after 3 February 2014.</w:t>
      </w:r>
    </w:p>
    <w:p w:rsidR="00B532E3" w:rsidRDefault="00B532E3" w:rsidP="00B532E3"/>
    <w:p w:rsidR="00B532E3" w:rsidRPr="00B532E3" w:rsidRDefault="00B532E3" w:rsidP="00B532E3">
      <w:r w:rsidRPr="00B532E3">
        <w:t>It is also Commonwealth drafting policy to repeal instruments, and provisions of instruments, that have no continuing operation or effect</w:t>
      </w:r>
      <w:r w:rsidR="00BE61F3">
        <w:t xml:space="preserve">. </w:t>
      </w:r>
      <w:r w:rsidRPr="00B532E3">
        <w:t xml:space="preserve"> The guidance provided by rule 43.01 </w:t>
      </w:r>
      <w:r w:rsidR="00BE61F3">
        <w:t xml:space="preserve">is </w:t>
      </w:r>
      <w:r w:rsidRPr="00B532E3">
        <w:t>necessary only</w:t>
      </w:r>
      <w:r w:rsidR="00BE61F3">
        <w:t xml:space="preserve"> during a period of transition. </w:t>
      </w:r>
      <w:r w:rsidRPr="00B532E3">
        <w:t xml:space="preserve"> To ensure (consistent with that policy about spent provisions) that rule 43.01 is repealed once </w:t>
      </w:r>
      <w:r w:rsidR="00BE61F3">
        <w:t xml:space="preserve">it is </w:t>
      </w:r>
      <w:r w:rsidRPr="00B532E3">
        <w:t>no longer needed, Division 43.1 also contains an expiry provision (rule 43.02) providing that the Division will expire on 3 February 2015 as if it had been repealed.</w:t>
      </w:r>
    </w:p>
    <w:p w:rsidR="009871DB" w:rsidRDefault="009871DB" w:rsidP="00770F9B">
      <w:pPr>
        <w:tabs>
          <w:tab w:val="left" w:pos="709"/>
        </w:tabs>
      </w:pPr>
    </w:p>
    <w:p w:rsidR="00183A69" w:rsidRDefault="009871DB" w:rsidP="00183A69">
      <w:pPr>
        <w:tabs>
          <w:tab w:val="left" w:pos="567"/>
        </w:tabs>
        <w:rPr>
          <w:u w:val="single"/>
        </w:rPr>
      </w:pPr>
      <w:bookmarkStart w:id="7" w:name="OLE_LINK6"/>
      <w:bookmarkEnd w:id="5"/>
      <w:bookmarkEnd w:id="6"/>
      <w:r>
        <w:rPr>
          <w:u w:val="single"/>
        </w:rPr>
        <w:t>[6</w:t>
      </w:r>
      <w:r w:rsidR="00183A69" w:rsidRPr="0029032A">
        <w:rPr>
          <w:u w:val="single"/>
        </w:rPr>
        <w:t>]</w:t>
      </w:r>
      <w:r w:rsidR="00183A69" w:rsidRPr="0029032A">
        <w:rPr>
          <w:u w:val="single"/>
        </w:rPr>
        <w:tab/>
      </w:r>
      <w:r w:rsidR="00183A69">
        <w:rPr>
          <w:u w:val="single"/>
        </w:rPr>
        <w:t xml:space="preserve">Before </w:t>
      </w:r>
      <w:r w:rsidR="00862D05">
        <w:rPr>
          <w:u w:val="single"/>
        </w:rPr>
        <w:t>i</w:t>
      </w:r>
      <w:r w:rsidR="00183A69">
        <w:rPr>
          <w:u w:val="single"/>
        </w:rPr>
        <w:t xml:space="preserve">tem 1 of </w:t>
      </w:r>
      <w:r w:rsidR="00183A69" w:rsidRPr="0029032A">
        <w:rPr>
          <w:u w:val="single"/>
        </w:rPr>
        <w:t>Sched</w:t>
      </w:r>
      <w:r w:rsidR="00183A69">
        <w:rPr>
          <w:u w:val="single"/>
        </w:rPr>
        <w:t>ule 3</w:t>
      </w:r>
    </w:p>
    <w:p w:rsidR="00183A69" w:rsidRPr="0029032A" w:rsidRDefault="009871DB" w:rsidP="00183A69">
      <w:pPr>
        <w:tabs>
          <w:tab w:val="left" w:pos="567"/>
        </w:tabs>
        <w:rPr>
          <w:u w:val="single"/>
        </w:rPr>
      </w:pPr>
      <w:r>
        <w:rPr>
          <w:u w:val="single"/>
        </w:rPr>
        <w:t>[7</w:t>
      </w:r>
      <w:r w:rsidR="00183A69">
        <w:rPr>
          <w:u w:val="single"/>
        </w:rPr>
        <w:t>]</w:t>
      </w:r>
      <w:r w:rsidR="00183A69">
        <w:rPr>
          <w:u w:val="single"/>
        </w:rPr>
        <w:tab/>
        <w:t>Amendment of listed provisions – Schedule 3</w:t>
      </w:r>
    </w:p>
    <w:p w:rsidR="00183A69" w:rsidRDefault="00183A69" w:rsidP="00183A69">
      <w:pPr>
        <w:tabs>
          <w:tab w:val="left" w:pos="567"/>
        </w:tabs>
      </w:pPr>
    </w:p>
    <w:p w:rsidR="00183A69" w:rsidRDefault="00183A69" w:rsidP="00183A69">
      <w:pPr>
        <w:tabs>
          <w:tab w:val="left" w:pos="709"/>
        </w:tabs>
      </w:pPr>
      <w:r>
        <w:t>Schedule 3 sets out the costs that solicitors are allowed in respect of work done and services performed by lawyers in proceedings in the Court.</w:t>
      </w:r>
    </w:p>
    <w:bookmarkEnd w:id="7"/>
    <w:p w:rsidR="00183A69" w:rsidRPr="003F40CD" w:rsidRDefault="00183A69" w:rsidP="00183A69">
      <w:pPr>
        <w:rPr>
          <w:u w:val="single"/>
        </w:rPr>
      </w:pPr>
    </w:p>
    <w:p w:rsidR="00183A69" w:rsidRDefault="00183A69" w:rsidP="00183A69">
      <w:pPr>
        <w:tabs>
          <w:tab w:val="left" w:pos="709"/>
        </w:tabs>
      </w:pPr>
      <w:r>
        <w:t>These amendments</w:t>
      </w:r>
      <w:r w:rsidR="00A22BA3">
        <w:t xml:space="preserve"> </w:t>
      </w:r>
      <w:r>
        <w:t xml:space="preserve">replace in Schedule 3 the amounts mentioned in each of </w:t>
      </w:r>
      <w:proofErr w:type="spellStart"/>
      <w:r>
        <w:t>subitems</w:t>
      </w:r>
      <w:proofErr w:type="spellEnd"/>
      <w:r>
        <w:t xml:space="preserve"> 1.1, 1.2, </w:t>
      </w:r>
      <w:r w:rsidR="00F039EE">
        <w:t xml:space="preserve">1.3, 2.1, 2.2, </w:t>
      </w:r>
      <w:r>
        <w:t>2.3</w:t>
      </w:r>
      <w:r w:rsidR="00F039EE">
        <w:t>, 3.2, 3.3, 10.1, 13.1, 14.1, 14.2, 15.1(a), (b), (c) and (d) and 17.1</w:t>
      </w:r>
      <w:r>
        <w:t xml:space="preserve"> in that Schedule with an amount increased by 2.7% in each case</w:t>
      </w:r>
      <w:r w:rsidR="00F039EE">
        <w:t xml:space="preserve"> rou</w:t>
      </w:r>
      <w:r w:rsidR="003930F3">
        <w:t xml:space="preserve">nded to the nearest </w:t>
      </w:r>
      <w:r w:rsidR="0049742E">
        <w:t>whole</w:t>
      </w:r>
      <w:r w:rsidR="003930F3">
        <w:t xml:space="preserve"> dollar</w:t>
      </w:r>
      <w:r w:rsidR="0049742E">
        <w:t>.  That rounding calculation t</w:t>
      </w:r>
      <w:r w:rsidR="008B7BDD">
        <w:t>a</w:t>
      </w:r>
      <w:r w:rsidR="0049742E">
        <w:t>k</w:t>
      </w:r>
      <w:r w:rsidR="008B7BDD">
        <w:t>es</w:t>
      </w:r>
      <w:r w:rsidR="0049742E">
        <w:t xml:space="preserve"> account of the</w:t>
      </w:r>
      <w:r w:rsidR="003930F3">
        <w:t xml:space="preserve"> rounding adjustments made to some of these items when previous similar adjustments </w:t>
      </w:r>
      <w:r w:rsidR="0049742E">
        <w:t>were</w:t>
      </w:r>
      <w:r w:rsidR="003930F3">
        <w:t xml:space="preserve"> made</w:t>
      </w:r>
      <w:r>
        <w:t>.</w:t>
      </w:r>
    </w:p>
    <w:p w:rsidR="00183A69" w:rsidRDefault="00183A69" w:rsidP="00183A69">
      <w:pPr>
        <w:tabs>
          <w:tab w:val="left" w:pos="709"/>
        </w:tabs>
      </w:pPr>
    </w:p>
    <w:p w:rsidR="00183A69" w:rsidRDefault="00183A69" w:rsidP="00183A69">
      <w:pPr>
        <w:tabs>
          <w:tab w:val="left" w:pos="709"/>
        </w:tabs>
      </w:pPr>
      <w:r>
        <w:t>The</w:t>
      </w:r>
      <w:r w:rsidR="00A22BA3">
        <w:t>se</w:t>
      </w:r>
      <w:r>
        <w:t xml:space="preserve"> adjustments have been determined having regard to the recommendation made by the Joint Costs Advisory Committee (JCAC) in its </w:t>
      </w:r>
      <w:r w:rsidR="00F039EE">
        <w:t>Six</w:t>
      </w:r>
      <w:r>
        <w:t>th Report on Legal Practitioners’ Costs (September 201</w:t>
      </w:r>
      <w:r w:rsidR="00F039EE">
        <w:t>3</w:t>
      </w:r>
      <w:r>
        <w:t>) for a 2.7% increase in costs specified in the rules of the Court.</w:t>
      </w:r>
    </w:p>
    <w:p w:rsidR="00183A69" w:rsidRDefault="00183A69" w:rsidP="00183A69">
      <w:pPr>
        <w:tabs>
          <w:tab w:val="left" w:pos="709"/>
        </w:tabs>
      </w:pPr>
    </w:p>
    <w:p w:rsidR="00183A69" w:rsidRDefault="00183A69" w:rsidP="00183A69">
      <w:pPr>
        <w:tabs>
          <w:tab w:val="left" w:pos="709"/>
        </w:tabs>
      </w:pPr>
      <w:r>
        <w:t>JCAC was established by the Attorney-General in 2007 following the abolition of the Federal Costs Advisory Committee (FCAC).  It comprises representatives of the four federal courts: High Court of Australia, Federal Court of Australia, Family Court of Australia and Federal Circuit Court of Australia; and must include a judicial officer.  It is required to inquire and make recommendations to the federal courts annually on variations in the quantum of costs contained in the rules made by the federal courts.  It must inform itself having regard to previous decisions of FCAC, a formula used by FCAC based on data provided by the Australian Bureau of Statistics and written submissions from the Law Council of Australia and other interested parties.</w:t>
      </w:r>
    </w:p>
    <w:p w:rsidR="00183A69" w:rsidRDefault="00183A69" w:rsidP="00183A69">
      <w:pPr>
        <w:tabs>
          <w:tab w:val="left" w:pos="709"/>
        </w:tabs>
      </w:pPr>
    </w:p>
    <w:p w:rsidR="00183A69" w:rsidRDefault="003930F3" w:rsidP="00183A69">
      <w:r>
        <w:t xml:space="preserve">The </w:t>
      </w:r>
      <w:r w:rsidR="00A22BA3">
        <w:t xml:space="preserve">amended </w:t>
      </w:r>
      <w:r>
        <w:t xml:space="preserve">rates apply to work done or services performed on or after 1 January 2014.  </w:t>
      </w:r>
      <w:r w:rsidR="00A22BA3">
        <w:t>The addition</w:t>
      </w:r>
      <w:r w:rsidR="0081402D">
        <w:t>,</w:t>
      </w:r>
      <w:r w:rsidR="00A22BA3">
        <w:t xml:space="preserve"> by the amendments</w:t>
      </w:r>
      <w:r w:rsidR="0081402D">
        <w:t>,</w:t>
      </w:r>
      <w:r w:rsidR="00A22BA3">
        <w:t xml:space="preserve"> of item 1A.1 to the Schedule clarifies </w:t>
      </w:r>
      <w:r w:rsidR="007B1861">
        <w:t>this</w:t>
      </w:r>
      <w:r w:rsidR="00A22BA3">
        <w:t>.</w:t>
      </w:r>
    </w:p>
    <w:p w:rsidR="00A22BA3" w:rsidRDefault="00A22BA3" w:rsidP="00183A69"/>
    <w:p w:rsidR="00A22BA3" w:rsidRDefault="00A22BA3" w:rsidP="00183A69">
      <w:r>
        <w:t xml:space="preserve">The rates in </w:t>
      </w:r>
      <w:r w:rsidR="0081402D">
        <w:t xml:space="preserve">some of the </w:t>
      </w:r>
      <w:proofErr w:type="spellStart"/>
      <w:r w:rsidR="0081402D">
        <w:t>sub</w:t>
      </w:r>
      <w:r>
        <w:t>items</w:t>
      </w:r>
      <w:proofErr w:type="spellEnd"/>
      <w:r>
        <w:t xml:space="preserve"> </w:t>
      </w:r>
      <w:r w:rsidR="0081402D">
        <w:t xml:space="preserve">mentioned above </w:t>
      </w:r>
      <w:r>
        <w:t>were previously adjusted, with effect from 9 May 2013, having regard to the recommendation made by the JCAC in its Fifth Report on Legal practitioners’ Costs (Septemb</w:t>
      </w:r>
      <w:r w:rsidR="0081402D">
        <w:t>er 2012</w:t>
      </w:r>
      <w:r>
        <w:t xml:space="preserve">) </w:t>
      </w:r>
      <w:r w:rsidR="0081402D">
        <w:t>by the Federal Court Amendment Rules 2013.</w:t>
      </w:r>
    </w:p>
    <w:p w:rsidR="0081402D" w:rsidRDefault="0081402D" w:rsidP="00183A69"/>
    <w:p w:rsidR="0081402D" w:rsidRPr="003930F3" w:rsidRDefault="0081402D" w:rsidP="00183A69">
      <w:r>
        <w:t xml:space="preserve">The rates set out in Schedule 3 as originally registered in the FRLI on </w:t>
      </w:r>
      <w:r w:rsidR="00292125">
        <w:t xml:space="preserve">28 July 2011 </w:t>
      </w:r>
      <w:r w:rsidR="007B1861">
        <w:t xml:space="preserve">will continue to </w:t>
      </w:r>
      <w:r w:rsidR="00292125">
        <w:t xml:space="preserve">apply to work done or services performed from 1 August 2011 to 8 May 2013.  The rates as set out in Schedule 3 as amended by the Federal Court Amendment Rules 2013 </w:t>
      </w:r>
      <w:r w:rsidR="007B1861">
        <w:t xml:space="preserve">will continue to </w:t>
      </w:r>
      <w:r w:rsidR="00292125">
        <w:t>apply to work done or services performed from 9 May 2013 to 31 December 2013.</w:t>
      </w:r>
    </w:p>
    <w:sectPr w:rsidR="0081402D" w:rsidRPr="003930F3" w:rsidSect="00BE61F3">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00" w:rsidRDefault="004D3C00">
      <w:r>
        <w:separator/>
      </w:r>
    </w:p>
  </w:endnote>
  <w:endnote w:type="continuationSeparator" w:id="0">
    <w:p w:rsidR="004D3C00" w:rsidRDefault="004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B1" w:rsidRPr="00211A41" w:rsidRDefault="00D165B1" w:rsidP="009A0F78">
    <w:pPr>
      <w:pStyle w:val="Footer"/>
      <w:jc w:val="center"/>
      <w:rPr>
        <w:sz w:val="18"/>
        <w:szCs w:val="18"/>
      </w:rPr>
    </w:pPr>
    <w:r w:rsidRPr="00211A41">
      <w:rPr>
        <w:sz w:val="18"/>
        <w:szCs w:val="18"/>
      </w:rPr>
      <w:t xml:space="preserve">Page </w:t>
    </w:r>
    <w:r w:rsidRPr="00211A41">
      <w:rPr>
        <w:rStyle w:val="PageNumber"/>
        <w:sz w:val="18"/>
        <w:szCs w:val="18"/>
      </w:rPr>
      <w:fldChar w:fldCharType="begin"/>
    </w:r>
    <w:r w:rsidRPr="00211A41">
      <w:rPr>
        <w:rStyle w:val="PageNumber"/>
        <w:sz w:val="18"/>
        <w:szCs w:val="18"/>
      </w:rPr>
      <w:instrText xml:space="preserve"> PAGE </w:instrText>
    </w:r>
    <w:r w:rsidRPr="00211A41">
      <w:rPr>
        <w:rStyle w:val="PageNumber"/>
        <w:sz w:val="18"/>
        <w:szCs w:val="18"/>
      </w:rPr>
      <w:fldChar w:fldCharType="separate"/>
    </w:r>
    <w:r w:rsidR="005A29B0">
      <w:rPr>
        <w:rStyle w:val="PageNumber"/>
        <w:noProof/>
        <w:sz w:val="18"/>
        <w:szCs w:val="18"/>
      </w:rPr>
      <w:t>5</w:t>
    </w:r>
    <w:r w:rsidRPr="00211A41">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FB" w:rsidRDefault="00063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00" w:rsidRDefault="004D3C00">
      <w:r>
        <w:separator/>
      </w:r>
    </w:p>
  </w:footnote>
  <w:footnote w:type="continuationSeparator" w:id="0">
    <w:p w:rsidR="004D3C00" w:rsidRDefault="004D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55C"/>
    <w:multiLevelType w:val="hybridMultilevel"/>
    <w:tmpl w:val="8DACA4A4"/>
    <w:lvl w:ilvl="0" w:tplc="EB5E23B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6F7AED"/>
    <w:multiLevelType w:val="hybridMultilevel"/>
    <w:tmpl w:val="D512A798"/>
    <w:lvl w:ilvl="0" w:tplc="8AD44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D82328"/>
    <w:multiLevelType w:val="hybridMultilevel"/>
    <w:tmpl w:val="091A8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E194F"/>
    <w:multiLevelType w:val="hybridMultilevel"/>
    <w:tmpl w:val="4C4C5CF6"/>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CFE1115"/>
    <w:multiLevelType w:val="hybridMultilevel"/>
    <w:tmpl w:val="1180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9031A5"/>
    <w:multiLevelType w:val="hybridMultilevel"/>
    <w:tmpl w:val="5230722E"/>
    <w:lvl w:ilvl="0" w:tplc="DB909B6E">
      <w:start w:val="1"/>
      <w:numFmt w:val="lowerLetter"/>
      <w:lvlText w:val="(%1)"/>
      <w:lvlJc w:val="left"/>
      <w:pPr>
        <w:tabs>
          <w:tab w:val="num" w:pos="1065"/>
        </w:tabs>
        <w:ind w:left="1065" w:hanging="70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F303E0"/>
    <w:multiLevelType w:val="hybridMultilevel"/>
    <w:tmpl w:val="A290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687EE5"/>
    <w:multiLevelType w:val="hybridMultilevel"/>
    <w:tmpl w:val="E87EED8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2D361A93"/>
    <w:multiLevelType w:val="hybridMultilevel"/>
    <w:tmpl w:val="EFD683F8"/>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D554C91"/>
    <w:multiLevelType w:val="hybridMultilevel"/>
    <w:tmpl w:val="26FCD536"/>
    <w:lvl w:ilvl="0" w:tplc="1FA0C5D6">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3934D3"/>
    <w:multiLevelType w:val="hybridMultilevel"/>
    <w:tmpl w:val="8452AD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32B258A"/>
    <w:multiLevelType w:val="hybridMultilevel"/>
    <w:tmpl w:val="91586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6527AA"/>
    <w:multiLevelType w:val="hybridMultilevel"/>
    <w:tmpl w:val="CAF0CCCE"/>
    <w:lvl w:ilvl="0" w:tplc="4E045516">
      <w:start w:val="1"/>
      <w:numFmt w:val="bullet"/>
      <w:lvlText w:val=""/>
      <w:lvlJc w:val="left"/>
      <w:pPr>
        <w:tabs>
          <w:tab w:val="num" w:pos="1440"/>
        </w:tabs>
        <w:ind w:left="144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B95783A"/>
    <w:multiLevelType w:val="hybridMultilevel"/>
    <w:tmpl w:val="1D3AA136"/>
    <w:lvl w:ilvl="0" w:tplc="21A0807A">
      <w:start w:val="1"/>
      <w:numFmt w:val="lowerLetter"/>
      <w:lvlText w:val="(%1)"/>
      <w:lvlJc w:val="left"/>
      <w:pPr>
        <w:tabs>
          <w:tab w:val="num" w:pos="567"/>
        </w:tabs>
        <w:ind w:left="567" w:hanging="567"/>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DF0AC9"/>
    <w:multiLevelType w:val="hybridMultilevel"/>
    <w:tmpl w:val="DDD0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E81C0A"/>
    <w:multiLevelType w:val="hybridMultilevel"/>
    <w:tmpl w:val="CB842232"/>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F1E19AD"/>
    <w:multiLevelType w:val="hybridMultilevel"/>
    <w:tmpl w:val="92B6DDE8"/>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EB0ED6"/>
    <w:multiLevelType w:val="hybridMultilevel"/>
    <w:tmpl w:val="B6BCFFF0"/>
    <w:lvl w:ilvl="0" w:tplc="4E045516">
      <w:start w:val="1"/>
      <w:numFmt w:val="bullet"/>
      <w:lvlText w:val=""/>
      <w:lvlJc w:val="left"/>
      <w:pPr>
        <w:tabs>
          <w:tab w:val="num" w:pos="1440"/>
        </w:tabs>
        <w:ind w:left="144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F257FAD"/>
    <w:multiLevelType w:val="hybridMultilevel"/>
    <w:tmpl w:val="06D4353A"/>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678767E"/>
    <w:multiLevelType w:val="multilevel"/>
    <w:tmpl w:val="06D4353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D41C59"/>
    <w:multiLevelType w:val="hybridMultilevel"/>
    <w:tmpl w:val="72300AC0"/>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035230C"/>
    <w:multiLevelType w:val="hybridMultilevel"/>
    <w:tmpl w:val="8BB4F0DA"/>
    <w:lvl w:ilvl="0" w:tplc="59D4781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nsid w:val="6F4A387D"/>
    <w:multiLevelType w:val="hybridMultilevel"/>
    <w:tmpl w:val="C4383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2266976"/>
    <w:multiLevelType w:val="hybridMultilevel"/>
    <w:tmpl w:val="48B0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num w:numId="1">
    <w:abstractNumId w:val="13"/>
  </w:num>
  <w:num w:numId="2">
    <w:abstractNumId w:val="7"/>
  </w:num>
  <w:num w:numId="3">
    <w:abstractNumId w:val="23"/>
  </w:num>
  <w:num w:numId="4">
    <w:abstractNumId w:val="10"/>
  </w:num>
  <w:num w:numId="5">
    <w:abstractNumId w:val="20"/>
  </w:num>
  <w:num w:numId="6">
    <w:abstractNumId w:val="16"/>
  </w:num>
  <w:num w:numId="7">
    <w:abstractNumId w:val="15"/>
  </w:num>
  <w:num w:numId="8">
    <w:abstractNumId w:val="18"/>
  </w:num>
  <w:num w:numId="9">
    <w:abstractNumId w:val="19"/>
  </w:num>
  <w:num w:numId="10">
    <w:abstractNumId w:val="3"/>
  </w:num>
  <w:num w:numId="11">
    <w:abstractNumId w:val="0"/>
  </w:num>
  <w:num w:numId="12">
    <w:abstractNumId w:val="8"/>
  </w:num>
  <w:num w:numId="13">
    <w:abstractNumId w:val="24"/>
  </w:num>
  <w:num w:numId="14">
    <w:abstractNumId w:val="22"/>
  </w:num>
  <w:num w:numId="15">
    <w:abstractNumId w:val="17"/>
  </w:num>
  <w:num w:numId="16">
    <w:abstractNumId w:val="5"/>
  </w:num>
  <w:num w:numId="17">
    <w:abstractNumId w:val="12"/>
  </w:num>
  <w:num w:numId="18">
    <w:abstractNumId w:val="21"/>
  </w:num>
  <w:num w:numId="19">
    <w:abstractNumId w:val="1"/>
  </w:num>
  <w:num w:numId="20">
    <w:abstractNumId w:val="2"/>
  </w:num>
  <w:num w:numId="21">
    <w:abstractNumId w:val="6"/>
  </w:num>
  <w:num w:numId="22">
    <w:abstractNumId w:val="11"/>
  </w:num>
  <w:num w:numId="23">
    <w:abstractNumId w:val="14"/>
  </w:num>
  <w:num w:numId="24">
    <w:abstractNumId w:val="4"/>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2D"/>
    <w:rsid w:val="00000830"/>
    <w:rsid w:val="00001766"/>
    <w:rsid w:val="000019AF"/>
    <w:rsid w:val="000035A3"/>
    <w:rsid w:val="00003A94"/>
    <w:rsid w:val="00003E0F"/>
    <w:rsid w:val="00004B24"/>
    <w:rsid w:val="00005AB1"/>
    <w:rsid w:val="00006A26"/>
    <w:rsid w:val="00006F66"/>
    <w:rsid w:val="000075EA"/>
    <w:rsid w:val="000100DB"/>
    <w:rsid w:val="00011041"/>
    <w:rsid w:val="000129E4"/>
    <w:rsid w:val="000131EA"/>
    <w:rsid w:val="000155C5"/>
    <w:rsid w:val="000166E4"/>
    <w:rsid w:val="00021149"/>
    <w:rsid w:val="0002178C"/>
    <w:rsid w:val="00022651"/>
    <w:rsid w:val="00023239"/>
    <w:rsid w:val="00024603"/>
    <w:rsid w:val="000255C9"/>
    <w:rsid w:val="000265EE"/>
    <w:rsid w:val="000266DA"/>
    <w:rsid w:val="00026BE2"/>
    <w:rsid w:val="00032340"/>
    <w:rsid w:val="00035365"/>
    <w:rsid w:val="0003599F"/>
    <w:rsid w:val="00040506"/>
    <w:rsid w:val="000419A4"/>
    <w:rsid w:val="0004474B"/>
    <w:rsid w:val="000461E4"/>
    <w:rsid w:val="00050DA1"/>
    <w:rsid w:val="0005124B"/>
    <w:rsid w:val="0005250A"/>
    <w:rsid w:val="00052A3F"/>
    <w:rsid w:val="00053B30"/>
    <w:rsid w:val="000549A7"/>
    <w:rsid w:val="00060660"/>
    <w:rsid w:val="00060CB7"/>
    <w:rsid w:val="0006306E"/>
    <w:rsid w:val="00063516"/>
    <w:rsid w:val="000638FB"/>
    <w:rsid w:val="00064B88"/>
    <w:rsid w:val="0006582D"/>
    <w:rsid w:val="000674A2"/>
    <w:rsid w:val="000676A6"/>
    <w:rsid w:val="0007072D"/>
    <w:rsid w:val="000721C1"/>
    <w:rsid w:val="00072965"/>
    <w:rsid w:val="00073C31"/>
    <w:rsid w:val="000746A5"/>
    <w:rsid w:val="00074B60"/>
    <w:rsid w:val="00077031"/>
    <w:rsid w:val="00080E3A"/>
    <w:rsid w:val="00081834"/>
    <w:rsid w:val="00081B8C"/>
    <w:rsid w:val="0008375D"/>
    <w:rsid w:val="0008563E"/>
    <w:rsid w:val="00090B28"/>
    <w:rsid w:val="00091CFE"/>
    <w:rsid w:val="0009283C"/>
    <w:rsid w:val="00094B65"/>
    <w:rsid w:val="00096FDF"/>
    <w:rsid w:val="000A0D8A"/>
    <w:rsid w:val="000A0F8A"/>
    <w:rsid w:val="000A23D2"/>
    <w:rsid w:val="000A2807"/>
    <w:rsid w:val="000A3FBE"/>
    <w:rsid w:val="000A5ECE"/>
    <w:rsid w:val="000B185C"/>
    <w:rsid w:val="000B3C9C"/>
    <w:rsid w:val="000B3F76"/>
    <w:rsid w:val="000B4446"/>
    <w:rsid w:val="000B630D"/>
    <w:rsid w:val="000B6C6A"/>
    <w:rsid w:val="000C3936"/>
    <w:rsid w:val="000C4C75"/>
    <w:rsid w:val="000C4F63"/>
    <w:rsid w:val="000C5080"/>
    <w:rsid w:val="000C5AB7"/>
    <w:rsid w:val="000C6B47"/>
    <w:rsid w:val="000D1ACF"/>
    <w:rsid w:val="000D4245"/>
    <w:rsid w:val="000D636B"/>
    <w:rsid w:val="000D6AF9"/>
    <w:rsid w:val="000E06A4"/>
    <w:rsid w:val="000E20BB"/>
    <w:rsid w:val="000E4A0C"/>
    <w:rsid w:val="000E4CA3"/>
    <w:rsid w:val="000E6745"/>
    <w:rsid w:val="000E6C3F"/>
    <w:rsid w:val="000E7EDE"/>
    <w:rsid w:val="000F052F"/>
    <w:rsid w:val="001031C4"/>
    <w:rsid w:val="001037AB"/>
    <w:rsid w:val="00104B25"/>
    <w:rsid w:val="00105983"/>
    <w:rsid w:val="001078E1"/>
    <w:rsid w:val="00107C41"/>
    <w:rsid w:val="00107F4E"/>
    <w:rsid w:val="00110306"/>
    <w:rsid w:val="00110CDA"/>
    <w:rsid w:val="001124BC"/>
    <w:rsid w:val="00112B07"/>
    <w:rsid w:val="001158EF"/>
    <w:rsid w:val="00117242"/>
    <w:rsid w:val="00120458"/>
    <w:rsid w:val="001225DF"/>
    <w:rsid w:val="00122C54"/>
    <w:rsid w:val="00124584"/>
    <w:rsid w:val="00125A57"/>
    <w:rsid w:val="00126984"/>
    <w:rsid w:val="00130A54"/>
    <w:rsid w:val="00134441"/>
    <w:rsid w:val="0013500D"/>
    <w:rsid w:val="00136394"/>
    <w:rsid w:val="0014027D"/>
    <w:rsid w:val="001417B2"/>
    <w:rsid w:val="001419D6"/>
    <w:rsid w:val="00141F7D"/>
    <w:rsid w:val="0014288B"/>
    <w:rsid w:val="00142BDD"/>
    <w:rsid w:val="00142EDA"/>
    <w:rsid w:val="00144EB8"/>
    <w:rsid w:val="00146542"/>
    <w:rsid w:val="00146924"/>
    <w:rsid w:val="00150A64"/>
    <w:rsid w:val="00151E90"/>
    <w:rsid w:val="00155894"/>
    <w:rsid w:val="0015686B"/>
    <w:rsid w:val="00157255"/>
    <w:rsid w:val="00157BE4"/>
    <w:rsid w:val="00160D0A"/>
    <w:rsid w:val="00164F23"/>
    <w:rsid w:val="00166B1B"/>
    <w:rsid w:val="00174364"/>
    <w:rsid w:val="00174AF2"/>
    <w:rsid w:val="00175829"/>
    <w:rsid w:val="001765AF"/>
    <w:rsid w:val="00177775"/>
    <w:rsid w:val="00177DAA"/>
    <w:rsid w:val="00182399"/>
    <w:rsid w:val="00182FEA"/>
    <w:rsid w:val="00183A69"/>
    <w:rsid w:val="00184DB3"/>
    <w:rsid w:val="001854F5"/>
    <w:rsid w:val="00192CB4"/>
    <w:rsid w:val="0019361E"/>
    <w:rsid w:val="0019710B"/>
    <w:rsid w:val="001A2473"/>
    <w:rsid w:val="001A3177"/>
    <w:rsid w:val="001A42D7"/>
    <w:rsid w:val="001A5A7F"/>
    <w:rsid w:val="001A6C6B"/>
    <w:rsid w:val="001A7B1D"/>
    <w:rsid w:val="001B09D3"/>
    <w:rsid w:val="001B2E46"/>
    <w:rsid w:val="001B5744"/>
    <w:rsid w:val="001B5CF4"/>
    <w:rsid w:val="001B6D6C"/>
    <w:rsid w:val="001B6D90"/>
    <w:rsid w:val="001B6F77"/>
    <w:rsid w:val="001C210A"/>
    <w:rsid w:val="001C387A"/>
    <w:rsid w:val="001C3BCB"/>
    <w:rsid w:val="001C4397"/>
    <w:rsid w:val="001C5C23"/>
    <w:rsid w:val="001D0ED1"/>
    <w:rsid w:val="001D1BD2"/>
    <w:rsid w:val="001D3BD4"/>
    <w:rsid w:val="001D42EF"/>
    <w:rsid w:val="001D48BB"/>
    <w:rsid w:val="001D6730"/>
    <w:rsid w:val="001D76F8"/>
    <w:rsid w:val="001E2204"/>
    <w:rsid w:val="001E349E"/>
    <w:rsid w:val="001E4F1B"/>
    <w:rsid w:val="001E54B7"/>
    <w:rsid w:val="001E65FB"/>
    <w:rsid w:val="001E7249"/>
    <w:rsid w:val="001F114D"/>
    <w:rsid w:val="001F1A29"/>
    <w:rsid w:val="001F3ACD"/>
    <w:rsid w:val="001F52C1"/>
    <w:rsid w:val="001F7841"/>
    <w:rsid w:val="00201C7A"/>
    <w:rsid w:val="0020232D"/>
    <w:rsid w:val="00203604"/>
    <w:rsid w:val="0020411C"/>
    <w:rsid w:val="002042B7"/>
    <w:rsid w:val="002045F1"/>
    <w:rsid w:val="002054EF"/>
    <w:rsid w:val="00205C41"/>
    <w:rsid w:val="00210FF0"/>
    <w:rsid w:val="00214E61"/>
    <w:rsid w:val="002173AC"/>
    <w:rsid w:val="002209EC"/>
    <w:rsid w:val="002223D9"/>
    <w:rsid w:val="00222BBC"/>
    <w:rsid w:val="00225747"/>
    <w:rsid w:val="002320EB"/>
    <w:rsid w:val="002363AB"/>
    <w:rsid w:val="00237362"/>
    <w:rsid w:val="0023778B"/>
    <w:rsid w:val="00243F63"/>
    <w:rsid w:val="00244DF6"/>
    <w:rsid w:val="00245962"/>
    <w:rsid w:val="002515DC"/>
    <w:rsid w:val="00254390"/>
    <w:rsid w:val="002544A0"/>
    <w:rsid w:val="00255F4E"/>
    <w:rsid w:val="00260528"/>
    <w:rsid w:val="00260C22"/>
    <w:rsid w:val="002617E5"/>
    <w:rsid w:val="00261FD3"/>
    <w:rsid w:val="00262950"/>
    <w:rsid w:val="002636E7"/>
    <w:rsid w:val="00264BE5"/>
    <w:rsid w:val="002663B6"/>
    <w:rsid w:val="00266C01"/>
    <w:rsid w:val="002673B6"/>
    <w:rsid w:val="00267751"/>
    <w:rsid w:val="00272171"/>
    <w:rsid w:val="0027552C"/>
    <w:rsid w:val="00275559"/>
    <w:rsid w:val="0028240C"/>
    <w:rsid w:val="00283491"/>
    <w:rsid w:val="002855AC"/>
    <w:rsid w:val="00287045"/>
    <w:rsid w:val="00287734"/>
    <w:rsid w:val="0029032A"/>
    <w:rsid w:val="002910F2"/>
    <w:rsid w:val="00291D21"/>
    <w:rsid w:val="00292125"/>
    <w:rsid w:val="002957D5"/>
    <w:rsid w:val="00296D06"/>
    <w:rsid w:val="002979C3"/>
    <w:rsid w:val="00297EF2"/>
    <w:rsid w:val="002A0AD2"/>
    <w:rsid w:val="002A1189"/>
    <w:rsid w:val="002A2810"/>
    <w:rsid w:val="002A3ECB"/>
    <w:rsid w:val="002B220F"/>
    <w:rsid w:val="002B2525"/>
    <w:rsid w:val="002B2E1B"/>
    <w:rsid w:val="002B3FDD"/>
    <w:rsid w:val="002B4C8A"/>
    <w:rsid w:val="002B5743"/>
    <w:rsid w:val="002B626C"/>
    <w:rsid w:val="002B6299"/>
    <w:rsid w:val="002B7D3C"/>
    <w:rsid w:val="002C20D1"/>
    <w:rsid w:val="002C3323"/>
    <w:rsid w:val="002C6C1F"/>
    <w:rsid w:val="002D1584"/>
    <w:rsid w:val="002D227A"/>
    <w:rsid w:val="002D3FF0"/>
    <w:rsid w:val="002D56AF"/>
    <w:rsid w:val="002D610B"/>
    <w:rsid w:val="002D6426"/>
    <w:rsid w:val="002D6573"/>
    <w:rsid w:val="002D665E"/>
    <w:rsid w:val="002E1417"/>
    <w:rsid w:val="002E24AF"/>
    <w:rsid w:val="002E4C3A"/>
    <w:rsid w:val="002E5445"/>
    <w:rsid w:val="002E72CC"/>
    <w:rsid w:val="002F102B"/>
    <w:rsid w:val="002F2EC4"/>
    <w:rsid w:val="002F3336"/>
    <w:rsid w:val="002F42D3"/>
    <w:rsid w:val="002F4E1D"/>
    <w:rsid w:val="002F55F5"/>
    <w:rsid w:val="002F63B1"/>
    <w:rsid w:val="002F6916"/>
    <w:rsid w:val="0030112C"/>
    <w:rsid w:val="00304B56"/>
    <w:rsid w:val="00305AF9"/>
    <w:rsid w:val="00310867"/>
    <w:rsid w:val="003116B1"/>
    <w:rsid w:val="00312CC5"/>
    <w:rsid w:val="003154A0"/>
    <w:rsid w:val="003167D5"/>
    <w:rsid w:val="003207F4"/>
    <w:rsid w:val="00321B94"/>
    <w:rsid w:val="00322E05"/>
    <w:rsid w:val="00323C60"/>
    <w:rsid w:val="003260F7"/>
    <w:rsid w:val="00326285"/>
    <w:rsid w:val="003262BF"/>
    <w:rsid w:val="003307A0"/>
    <w:rsid w:val="00332705"/>
    <w:rsid w:val="00332BCB"/>
    <w:rsid w:val="00333A7E"/>
    <w:rsid w:val="00333AAF"/>
    <w:rsid w:val="003343D6"/>
    <w:rsid w:val="003354BB"/>
    <w:rsid w:val="00337DA9"/>
    <w:rsid w:val="00341CB9"/>
    <w:rsid w:val="00343870"/>
    <w:rsid w:val="003439D0"/>
    <w:rsid w:val="003478AA"/>
    <w:rsid w:val="0035096C"/>
    <w:rsid w:val="00351AFF"/>
    <w:rsid w:val="00353D4A"/>
    <w:rsid w:val="0035569A"/>
    <w:rsid w:val="003559E8"/>
    <w:rsid w:val="00361071"/>
    <w:rsid w:val="00361DD8"/>
    <w:rsid w:val="003641E6"/>
    <w:rsid w:val="003700B2"/>
    <w:rsid w:val="003708E4"/>
    <w:rsid w:val="00372FD6"/>
    <w:rsid w:val="00374876"/>
    <w:rsid w:val="00375AFA"/>
    <w:rsid w:val="00375DE8"/>
    <w:rsid w:val="00376778"/>
    <w:rsid w:val="00380244"/>
    <w:rsid w:val="00380C32"/>
    <w:rsid w:val="003810DF"/>
    <w:rsid w:val="00381CAB"/>
    <w:rsid w:val="00382283"/>
    <w:rsid w:val="00387092"/>
    <w:rsid w:val="00392B48"/>
    <w:rsid w:val="003930F3"/>
    <w:rsid w:val="00393773"/>
    <w:rsid w:val="00397A39"/>
    <w:rsid w:val="003A0A70"/>
    <w:rsid w:val="003A292E"/>
    <w:rsid w:val="003A30F7"/>
    <w:rsid w:val="003A3141"/>
    <w:rsid w:val="003A3BFA"/>
    <w:rsid w:val="003A448E"/>
    <w:rsid w:val="003B2768"/>
    <w:rsid w:val="003B40A9"/>
    <w:rsid w:val="003B42A5"/>
    <w:rsid w:val="003B5CBA"/>
    <w:rsid w:val="003B6256"/>
    <w:rsid w:val="003B7C2A"/>
    <w:rsid w:val="003C2E88"/>
    <w:rsid w:val="003C3150"/>
    <w:rsid w:val="003C524A"/>
    <w:rsid w:val="003C5349"/>
    <w:rsid w:val="003C53C6"/>
    <w:rsid w:val="003C540F"/>
    <w:rsid w:val="003C7021"/>
    <w:rsid w:val="003C7B0F"/>
    <w:rsid w:val="003D05C4"/>
    <w:rsid w:val="003D238A"/>
    <w:rsid w:val="003D299B"/>
    <w:rsid w:val="003D3F0D"/>
    <w:rsid w:val="003D7CE6"/>
    <w:rsid w:val="003D7DB9"/>
    <w:rsid w:val="003E07FB"/>
    <w:rsid w:val="003E0C98"/>
    <w:rsid w:val="003E144D"/>
    <w:rsid w:val="003E293F"/>
    <w:rsid w:val="003E5D80"/>
    <w:rsid w:val="003E6D26"/>
    <w:rsid w:val="003E73EA"/>
    <w:rsid w:val="003E7FAD"/>
    <w:rsid w:val="003F18A8"/>
    <w:rsid w:val="003F1D68"/>
    <w:rsid w:val="003F1FDD"/>
    <w:rsid w:val="003F285E"/>
    <w:rsid w:val="003F2E37"/>
    <w:rsid w:val="003F376F"/>
    <w:rsid w:val="003F40CD"/>
    <w:rsid w:val="003F41F7"/>
    <w:rsid w:val="003F47B0"/>
    <w:rsid w:val="003F4C80"/>
    <w:rsid w:val="003F4DE7"/>
    <w:rsid w:val="003F5866"/>
    <w:rsid w:val="003F6CB2"/>
    <w:rsid w:val="003F6F19"/>
    <w:rsid w:val="00400158"/>
    <w:rsid w:val="004001FE"/>
    <w:rsid w:val="00401F15"/>
    <w:rsid w:val="00402097"/>
    <w:rsid w:val="00402175"/>
    <w:rsid w:val="00402320"/>
    <w:rsid w:val="004039E2"/>
    <w:rsid w:val="00403D4B"/>
    <w:rsid w:val="00405033"/>
    <w:rsid w:val="004062F9"/>
    <w:rsid w:val="004104DC"/>
    <w:rsid w:val="00410CD1"/>
    <w:rsid w:val="0041252E"/>
    <w:rsid w:val="004145E8"/>
    <w:rsid w:val="00415AA1"/>
    <w:rsid w:val="00416CA9"/>
    <w:rsid w:val="00420217"/>
    <w:rsid w:val="00427D13"/>
    <w:rsid w:val="004305E5"/>
    <w:rsid w:val="00430C1F"/>
    <w:rsid w:val="00434C60"/>
    <w:rsid w:val="00435861"/>
    <w:rsid w:val="00436FD2"/>
    <w:rsid w:val="00440C3E"/>
    <w:rsid w:val="00442E58"/>
    <w:rsid w:val="004431CF"/>
    <w:rsid w:val="00443406"/>
    <w:rsid w:val="0044364E"/>
    <w:rsid w:val="00443664"/>
    <w:rsid w:val="0044499D"/>
    <w:rsid w:val="00444FC9"/>
    <w:rsid w:val="00445A1D"/>
    <w:rsid w:val="00445DD6"/>
    <w:rsid w:val="00447588"/>
    <w:rsid w:val="0045275D"/>
    <w:rsid w:val="00453239"/>
    <w:rsid w:val="00454CD5"/>
    <w:rsid w:val="004601A8"/>
    <w:rsid w:val="00460215"/>
    <w:rsid w:val="004603B5"/>
    <w:rsid w:val="00460C61"/>
    <w:rsid w:val="00463A20"/>
    <w:rsid w:val="00464D58"/>
    <w:rsid w:val="0046692C"/>
    <w:rsid w:val="00470634"/>
    <w:rsid w:val="00470846"/>
    <w:rsid w:val="00470B6A"/>
    <w:rsid w:val="00471C0A"/>
    <w:rsid w:val="0047282E"/>
    <w:rsid w:val="004759B9"/>
    <w:rsid w:val="004812E8"/>
    <w:rsid w:val="00484DF4"/>
    <w:rsid w:val="0048656E"/>
    <w:rsid w:val="004902FE"/>
    <w:rsid w:val="004907CA"/>
    <w:rsid w:val="004947A6"/>
    <w:rsid w:val="0049491C"/>
    <w:rsid w:val="00496CC0"/>
    <w:rsid w:val="0049742E"/>
    <w:rsid w:val="00497718"/>
    <w:rsid w:val="004A096A"/>
    <w:rsid w:val="004A15C7"/>
    <w:rsid w:val="004A219B"/>
    <w:rsid w:val="004A3253"/>
    <w:rsid w:val="004B0AAF"/>
    <w:rsid w:val="004B1E0C"/>
    <w:rsid w:val="004B24C5"/>
    <w:rsid w:val="004B26CF"/>
    <w:rsid w:val="004B27A9"/>
    <w:rsid w:val="004B34D5"/>
    <w:rsid w:val="004B4125"/>
    <w:rsid w:val="004B451E"/>
    <w:rsid w:val="004B4A4B"/>
    <w:rsid w:val="004B4D91"/>
    <w:rsid w:val="004B78FE"/>
    <w:rsid w:val="004B7C83"/>
    <w:rsid w:val="004C02EE"/>
    <w:rsid w:val="004C23C1"/>
    <w:rsid w:val="004C289B"/>
    <w:rsid w:val="004C2B40"/>
    <w:rsid w:val="004C2C52"/>
    <w:rsid w:val="004C3C6D"/>
    <w:rsid w:val="004C44BD"/>
    <w:rsid w:val="004C5609"/>
    <w:rsid w:val="004C6B6D"/>
    <w:rsid w:val="004C6CC8"/>
    <w:rsid w:val="004D0623"/>
    <w:rsid w:val="004D2816"/>
    <w:rsid w:val="004D3518"/>
    <w:rsid w:val="004D3C00"/>
    <w:rsid w:val="004D4B64"/>
    <w:rsid w:val="004D5FDB"/>
    <w:rsid w:val="004D7426"/>
    <w:rsid w:val="004E1BE6"/>
    <w:rsid w:val="004E4C4B"/>
    <w:rsid w:val="004E5D9D"/>
    <w:rsid w:val="004E5E39"/>
    <w:rsid w:val="004E7350"/>
    <w:rsid w:val="004E7C7D"/>
    <w:rsid w:val="004F0ABB"/>
    <w:rsid w:val="004F1291"/>
    <w:rsid w:val="004F1365"/>
    <w:rsid w:val="004F143F"/>
    <w:rsid w:val="004F4329"/>
    <w:rsid w:val="004F665A"/>
    <w:rsid w:val="004F71E4"/>
    <w:rsid w:val="00501DBE"/>
    <w:rsid w:val="00503021"/>
    <w:rsid w:val="005041EF"/>
    <w:rsid w:val="0050421A"/>
    <w:rsid w:val="00506268"/>
    <w:rsid w:val="00506BDC"/>
    <w:rsid w:val="005108AE"/>
    <w:rsid w:val="00510ABB"/>
    <w:rsid w:val="005134F6"/>
    <w:rsid w:val="00514B44"/>
    <w:rsid w:val="00514E88"/>
    <w:rsid w:val="00515C98"/>
    <w:rsid w:val="00516618"/>
    <w:rsid w:val="00524CCF"/>
    <w:rsid w:val="0052586A"/>
    <w:rsid w:val="00525C29"/>
    <w:rsid w:val="00526883"/>
    <w:rsid w:val="005309FB"/>
    <w:rsid w:val="00531EC8"/>
    <w:rsid w:val="00542D9E"/>
    <w:rsid w:val="00542F82"/>
    <w:rsid w:val="0054399E"/>
    <w:rsid w:val="00550686"/>
    <w:rsid w:val="005511B4"/>
    <w:rsid w:val="00553B04"/>
    <w:rsid w:val="005543BA"/>
    <w:rsid w:val="0055732E"/>
    <w:rsid w:val="005576EE"/>
    <w:rsid w:val="005600EA"/>
    <w:rsid w:val="00561FA4"/>
    <w:rsid w:val="00563392"/>
    <w:rsid w:val="00564CE1"/>
    <w:rsid w:val="00571797"/>
    <w:rsid w:val="00572134"/>
    <w:rsid w:val="0057268B"/>
    <w:rsid w:val="00574B2B"/>
    <w:rsid w:val="00577F56"/>
    <w:rsid w:val="00584505"/>
    <w:rsid w:val="00584617"/>
    <w:rsid w:val="00585118"/>
    <w:rsid w:val="00585594"/>
    <w:rsid w:val="005865F9"/>
    <w:rsid w:val="00586DAA"/>
    <w:rsid w:val="00590C64"/>
    <w:rsid w:val="00592963"/>
    <w:rsid w:val="005931C7"/>
    <w:rsid w:val="00593F76"/>
    <w:rsid w:val="00594E3E"/>
    <w:rsid w:val="0059550D"/>
    <w:rsid w:val="005955FB"/>
    <w:rsid w:val="00595D5F"/>
    <w:rsid w:val="0059647E"/>
    <w:rsid w:val="00597522"/>
    <w:rsid w:val="005A02A2"/>
    <w:rsid w:val="005A11E9"/>
    <w:rsid w:val="005A29B0"/>
    <w:rsid w:val="005A346D"/>
    <w:rsid w:val="005A43CA"/>
    <w:rsid w:val="005A43E5"/>
    <w:rsid w:val="005A4BB1"/>
    <w:rsid w:val="005A5BDB"/>
    <w:rsid w:val="005A6A3D"/>
    <w:rsid w:val="005A769D"/>
    <w:rsid w:val="005A7C03"/>
    <w:rsid w:val="005B04BE"/>
    <w:rsid w:val="005B0853"/>
    <w:rsid w:val="005B2733"/>
    <w:rsid w:val="005B3F5C"/>
    <w:rsid w:val="005B408D"/>
    <w:rsid w:val="005B448B"/>
    <w:rsid w:val="005B53E8"/>
    <w:rsid w:val="005B5EE3"/>
    <w:rsid w:val="005B6226"/>
    <w:rsid w:val="005C2AD6"/>
    <w:rsid w:val="005C70F4"/>
    <w:rsid w:val="005D0183"/>
    <w:rsid w:val="005D0958"/>
    <w:rsid w:val="005D0D41"/>
    <w:rsid w:val="005D18A5"/>
    <w:rsid w:val="005D2A14"/>
    <w:rsid w:val="005D3C62"/>
    <w:rsid w:val="005D4E9D"/>
    <w:rsid w:val="005D5506"/>
    <w:rsid w:val="005E0900"/>
    <w:rsid w:val="005E1ADC"/>
    <w:rsid w:val="005E1E14"/>
    <w:rsid w:val="005E5382"/>
    <w:rsid w:val="005E60F4"/>
    <w:rsid w:val="005E6244"/>
    <w:rsid w:val="005E6510"/>
    <w:rsid w:val="005E7887"/>
    <w:rsid w:val="005F334A"/>
    <w:rsid w:val="005F532B"/>
    <w:rsid w:val="00601A64"/>
    <w:rsid w:val="00610D38"/>
    <w:rsid w:val="006110B9"/>
    <w:rsid w:val="00611E76"/>
    <w:rsid w:val="00612ABB"/>
    <w:rsid w:val="00614BA2"/>
    <w:rsid w:val="00620503"/>
    <w:rsid w:val="006210CB"/>
    <w:rsid w:val="00623206"/>
    <w:rsid w:val="006234C9"/>
    <w:rsid w:val="006235F6"/>
    <w:rsid w:val="006236AC"/>
    <w:rsid w:val="006239E8"/>
    <w:rsid w:val="00625D76"/>
    <w:rsid w:val="00626C78"/>
    <w:rsid w:val="00631109"/>
    <w:rsid w:val="00633B49"/>
    <w:rsid w:val="006351E9"/>
    <w:rsid w:val="00635A5C"/>
    <w:rsid w:val="00635DFB"/>
    <w:rsid w:val="00637A1B"/>
    <w:rsid w:val="006438EE"/>
    <w:rsid w:val="00644BC0"/>
    <w:rsid w:val="006452ED"/>
    <w:rsid w:val="00646C84"/>
    <w:rsid w:val="00653E17"/>
    <w:rsid w:val="00655431"/>
    <w:rsid w:val="006579FE"/>
    <w:rsid w:val="00661250"/>
    <w:rsid w:val="006632FA"/>
    <w:rsid w:val="00664B85"/>
    <w:rsid w:val="00664E4C"/>
    <w:rsid w:val="006651ED"/>
    <w:rsid w:val="00665DEA"/>
    <w:rsid w:val="006668AF"/>
    <w:rsid w:val="006707FA"/>
    <w:rsid w:val="00672C47"/>
    <w:rsid w:val="00677924"/>
    <w:rsid w:val="00686C8E"/>
    <w:rsid w:val="00687BFB"/>
    <w:rsid w:val="0069390A"/>
    <w:rsid w:val="006948F7"/>
    <w:rsid w:val="00695A4D"/>
    <w:rsid w:val="00695F90"/>
    <w:rsid w:val="00697C24"/>
    <w:rsid w:val="006A03F0"/>
    <w:rsid w:val="006A07B3"/>
    <w:rsid w:val="006A438A"/>
    <w:rsid w:val="006A5D5A"/>
    <w:rsid w:val="006B1133"/>
    <w:rsid w:val="006B1EC7"/>
    <w:rsid w:val="006B2402"/>
    <w:rsid w:val="006B33C8"/>
    <w:rsid w:val="006B3A2D"/>
    <w:rsid w:val="006B4370"/>
    <w:rsid w:val="006B45E9"/>
    <w:rsid w:val="006B712E"/>
    <w:rsid w:val="006C3D1D"/>
    <w:rsid w:val="006C3ED2"/>
    <w:rsid w:val="006C7098"/>
    <w:rsid w:val="006C7EE4"/>
    <w:rsid w:val="006D2A9C"/>
    <w:rsid w:val="006D2D6F"/>
    <w:rsid w:val="006D53C1"/>
    <w:rsid w:val="006E0B29"/>
    <w:rsid w:val="006E29A1"/>
    <w:rsid w:val="006E2A75"/>
    <w:rsid w:val="006E3934"/>
    <w:rsid w:val="006E4EE9"/>
    <w:rsid w:val="006E7788"/>
    <w:rsid w:val="006F00AA"/>
    <w:rsid w:val="006F1878"/>
    <w:rsid w:val="006F4268"/>
    <w:rsid w:val="006F459A"/>
    <w:rsid w:val="006F5A64"/>
    <w:rsid w:val="00702744"/>
    <w:rsid w:val="00702DD0"/>
    <w:rsid w:val="0070354E"/>
    <w:rsid w:val="00703BBF"/>
    <w:rsid w:val="00705C1C"/>
    <w:rsid w:val="00705D1F"/>
    <w:rsid w:val="0070655C"/>
    <w:rsid w:val="0070725C"/>
    <w:rsid w:val="00707BCE"/>
    <w:rsid w:val="00712185"/>
    <w:rsid w:val="00712AAE"/>
    <w:rsid w:val="00714E60"/>
    <w:rsid w:val="007225AB"/>
    <w:rsid w:val="007245A4"/>
    <w:rsid w:val="00730908"/>
    <w:rsid w:val="00731074"/>
    <w:rsid w:val="00732553"/>
    <w:rsid w:val="007376D3"/>
    <w:rsid w:val="0074508B"/>
    <w:rsid w:val="00745886"/>
    <w:rsid w:val="00746814"/>
    <w:rsid w:val="0074721A"/>
    <w:rsid w:val="007476E6"/>
    <w:rsid w:val="007502F5"/>
    <w:rsid w:val="00750963"/>
    <w:rsid w:val="00751C11"/>
    <w:rsid w:val="00752D42"/>
    <w:rsid w:val="00753EEC"/>
    <w:rsid w:val="00754835"/>
    <w:rsid w:val="0075490E"/>
    <w:rsid w:val="00755DBC"/>
    <w:rsid w:val="007612BF"/>
    <w:rsid w:val="00761C34"/>
    <w:rsid w:val="00765A5E"/>
    <w:rsid w:val="0077097C"/>
    <w:rsid w:val="00770F9B"/>
    <w:rsid w:val="00771CF3"/>
    <w:rsid w:val="007734BA"/>
    <w:rsid w:val="00774A5F"/>
    <w:rsid w:val="00774F15"/>
    <w:rsid w:val="00774FE4"/>
    <w:rsid w:val="007753C3"/>
    <w:rsid w:val="007768BF"/>
    <w:rsid w:val="00780BB6"/>
    <w:rsid w:val="00780D6A"/>
    <w:rsid w:val="00782335"/>
    <w:rsid w:val="007830B4"/>
    <w:rsid w:val="00783EBA"/>
    <w:rsid w:val="00784E1C"/>
    <w:rsid w:val="007859C4"/>
    <w:rsid w:val="00787685"/>
    <w:rsid w:val="007902DF"/>
    <w:rsid w:val="007904D4"/>
    <w:rsid w:val="00790AB0"/>
    <w:rsid w:val="00791278"/>
    <w:rsid w:val="0079175B"/>
    <w:rsid w:val="00792549"/>
    <w:rsid w:val="00793066"/>
    <w:rsid w:val="00794C87"/>
    <w:rsid w:val="00795BBC"/>
    <w:rsid w:val="00795EB5"/>
    <w:rsid w:val="0079798E"/>
    <w:rsid w:val="007A0721"/>
    <w:rsid w:val="007A15E4"/>
    <w:rsid w:val="007A463F"/>
    <w:rsid w:val="007A54B4"/>
    <w:rsid w:val="007A5FD6"/>
    <w:rsid w:val="007A707B"/>
    <w:rsid w:val="007B0233"/>
    <w:rsid w:val="007B1861"/>
    <w:rsid w:val="007B33E3"/>
    <w:rsid w:val="007B4C4A"/>
    <w:rsid w:val="007B5705"/>
    <w:rsid w:val="007B6A92"/>
    <w:rsid w:val="007B7CB1"/>
    <w:rsid w:val="007B7E86"/>
    <w:rsid w:val="007C1BBB"/>
    <w:rsid w:val="007C1EC5"/>
    <w:rsid w:val="007C2507"/>
    <w:rsid w:val="007C3864"/>
    <w:rsid w:val="007C6446"/>
    <w:rsid w:val="007C6DF8"/>
    <w:rsid w:val="007C72CC"/>
    <w:rsid w:val="007C78FC"/>
    <w:rsid w:val="007D187A"/>
    <w:rsid w:val="007D2D21"/>
    <w:rsid w:val="007D2DD4"/>
    <w:rsid w:val="007D3076"/>
    <w:rsid w:val="007D45AD"/>
    <w:rsid w:val="007D5524"/>
    <w:rsid w:val="007D567A"/>
    <w:rsid w:val="007D64B4"/>
    <w:rsid w:val="007D6B89"/>
    <w:rsid w:val="007D74F8"/>
    <w:rsid w:val="007D7879"/>
    <w:rsid w:val="007D7B75"/>
    <w:rsid w:val="007E0426"/>
    <w:rsid w:val="007E1753"/>
    <w:rsid w:val="007E42A2"/>
    <w:rsid w:val="007E5A39"/>
    <w:rsid w:val="007E611F"/>
    <w:rsid w:val="007E687D"/>
    <w:rsid w:val="007E7CAA"/>
    <w:rsid w:val="007F15AD"/>
    <w:rsid w:val="007F3AEA"/>
    <w:rsid w:val="007F3B31"/>
    <w:rsid w:val="007F46BA"/>
    <w:rsid w:val="007F4AAC"/>
    <w:rsid w:val="007F5698"/>
    <w:rsid w:val="007F70AF"/>
    <w:rsid w:val="00801320"/>
    <w:rsid w:val="00801482"/>
    <w:rsid w:val="00801F5B"/>
    <w:rsid w:val="00803889"/>
    <w:rsid w:val="00803D8B"/>
    <w:rsid w:val="00810CC6"/>
    <w:rsid w:val="00811278"/>
    <w:rsid w:val="00811AD4"/>
    <w:rsid w:val="008124EB"/>
    <w:rsid w:val="00812523"/>
    <w:rsid w:val="0081402D"/>
    <w:rsid w:val="00814713"/>
    <w:rsid w:val="00815A98"/>
    <w:rsid w:val="00816290"/>
    <w:rsid w:val="00816961"/>
    <w:rsid w:val="00816A00"/>
    <w:rsid w:val="00821439"/>
    <w:rsid w:val="00821646"/>
    <w:rsid w:val="0082167E"/>
    <w:rsid w:val="00821DEA"/>
    <w:rsid w:val="0082230A"/>
    <w:rsid w:val="0082687F"/>
    <w:rsid w:val="00827922"/>
    <w:rsid w:val="00831282"/>
    <w:rsid w:val="00832FF2"/>
    <w:rsid w:val="008339E4"/>
    <w:rsid w:val="00833E72"/>
    <w:rsid w:val="00836359"/>
    <w:rsid w:val="00840E40"/>
    <w:rsid w:val="00841549"/>
    <w:rsid w:val="00841FDA"/>
    <w:rsid w:val="008421AD"/>
    <w:rsid w:val="008438FD"/>
    <w:rsid w:val="0084486D"/>
    <w:rsid w:val="008455B6"/>
    <w:rsid w:val="00845F5C"/>
    <w:rsid w:val="008501AF"/>
    <w:rsid w:val="00850AC6"/>
    <w:rsid w:val="00850E97"/>
    <w:rsid w:val="008524CC"/>
    <w:rsid w:val="00853606"/>
    <w:rsid w:val="00854AAB"/>
    <w:rsid w:val="008554E5"/>
    <w:rsid w:val="008604B9"/>
    <w:rsid w:val="00862D05"/>
    <w:rsid w:val="00863EDD"/>
    <w:rsid w:val="0086564E"/>
    <w:rsid w:val="00867F01"/>
    <w:rsid w:val="008710F3"/>
    <w:rsid w:val="00874D70"/>
    <w:rsid w:val="00877B5B"/>
    <w:rsid w:val="008801AB"/>
    <w:rsid w:val="00881716"/>
    <w:rsid w:val="008878BA"/>
    <w:rsid w:val="00891106"/>
    <w:rsid w:val="00891801"/>
    <w:rsid w:val="00893C7B"/>
    <w:rsid w:val="008A0909"/>
    <w:rsid w:val="008A3FC3"/>
    <w:rsid w:val="008A4A49"/>
    <w:rsid w:val="008A680B"/>
    <w:rsid w:val="008A7438"/>
    <w:rsid w:val="008B13CD"/>
    <w:rsid w:val="008B2523"/>
    <w:rsid w:val="008B4281"/>
    <w:rsid w:val="008B6312"/>
    <w:rsid w:val="008B7BDD"/>
    <w:rsid w:val="008C1847"/>
    <w:rsid w:val="008C1B3F"/>
    <w:rsid w:val="008C2A7C"/>
    <w:rsid w:val="008C30F8"/>
    <w:rsid w:val="008C34E7"/>
    <w:rsid w:val="008C3625"/>
    <w:rsid w:val="008C43AE"/>
    <w:rsid w:val="008C4537"/>
    <w:rsid w:val="008C4872"/>
    <w:rsid w:val="008C5EFD"/>
    <w:rsid w:val="008C68AE"/>
    <w:rsid w:val="008D2294"/>
    <w:rsid w:val="008D30EB"/>
    <w:rsid w:val="008D336A"/>
    <w:rsid w:val="008D3BC0"/>
    <w:rsid w:val="008D4798"/>
    <w:rsid w:val="008D562C"/>
    <w:rsid w:val="008D601B"/>
    <w:rsid w:val="008D6B71"/>
    <w:rsid w:val="008E2826"/>
    <w:rsid w:val="008E53D4"/>
    <w:rsid w:val="008E59AF"/>
    <w:rsid w:val="008E5A8B"/>
    <w:rsid w:val="008F0107"/>
    <w:rsid w:val="008F03AE"/>
    <w:rsid w:val="008F17EF"/>
    <w:rsid w:val="008F23BA"/>
    <w:rsid w:val="008F29E0"/>
    <w:rsid w:val="008F2EF0"/>
    <w:rsid w:val="00902D1A"/>
    <w:rsid w:val="00906BC1"/>
    <w:rsid w:val="0091012A"/>
    <w:rsid w:val="009148AB"/>
    <w:rsid w:val="00914A27"/>
    <w:rsid w:val="00917021"/>
    <w:rsid w:val="00923F11"/>
    <w:rsid w:val="0092431D"/>
    <w:rsid w:val="0092472A"/>
    <w:rsid w:val="00924F0F"/>
    <w:rsid w:val="00931B2F"/>
    <w:rsid w:val="00931C9F"/>
    <w:rsid w:val="009325FB"/>
    <w:rsid w:val="00934322"/>
    <w:rsid w:val="009418A1"/>
    <w:rsid w:val="0094260E"/>
    <w:rsid w:val="00942A70"/>
    <w:rsid w:val="009468DB"/>
    <w:rsid w:val="00946D58"/>
    <w:rsid w:val="0095142E"/>
    <w:rsid w:val="00955714"/>
    <w:rsid w:val="009648F7"/>
    <w:rsid w:val="00967230"/>
    <w:rsid w:val="00971085"/>
    <w:rsid w:val="00971373"/>
    <w:rsid w:val="009739E3"/>
    <w:rsid w:val="00974EAF"/>
    <w:rsid w:val="009756DF"/>
    <w:rsid w:val="00975FDF"/>
    <w:rsid w:val="00976BD0"/>
    <w:rsid w:val="00976E24"/>
    <w:rsid w:val="00976EA4"/>
    <w:rsid w:val="009771F2"/>
    <w:rsid w:val="009818E9"/>
    <w:rsid w:val="00982675"/>
    <w:rsid w:val="00983740"/>
    <w:rsid w:val="0098430F"/>
    <w:rsid w:val="009871DB"/>
    <w:rsid w:val="00987C7A"/>
    <w:rsid w:val="0099083B"/>
    <w:rsid w:val="00990E71"/>
    <w:rsid w:val="0099551D"/>
    <w:rsid w:val="009A0F78"/>
    <w:rsid w:val="009A4F9E"/>
    <w:rsid w:val="009A6580"/>
    <w:rsid w:val="009A6C5D"/>
    <w:rsid w:val="009B1B8A"/>
    <w:rsid w:val="009B5062"/>
    <w:rsid w:val="009B6A86"/>
    <w:rsid w:val="009B7ABD"/>
    <w:rsid w:val="009C038F"/>
    <w:rsid w:val="009C24FC"/>
    <w:rsid w:val="009C3950"/>
    <w:rsid w:val="009C3D9E"/>
    <w:rsid w:val="009C4DAE"/>
    <w:rsid w:val="009C54BA"/>
    <w:rsid w:val="009C55A7"/>
    <w:rsid w:val="009D31D5"/>
    <w:rsid w:val="009D4803"/>
    <w:rsid w:val="009D4CD9"/>
    <w:rsid w:val="009D627C"/>
    <w:rsid w:val="009E132C"/>
    <w:rsid w:val="009E172F"/>
    <w:rsid w:val="009E1FA6"/>
    <w:rsid w:val="009E2CA7"/>
    <w:rsid w:val="009E2FB3"/>
    <w:rsid w:val="009E3950"/>
    <w:rsid w:val="009E462A"/>
    <w:rsid w:val="009E5E64"/>
    <w:rsid w:val="009E679A"/>
    <w:rsid w:val="009F0F5B"/>
    <w:rsid w:val="009F0FCA"/>
    <w:rsid w:val="009F16F3"/>
    <w:rsid w:val="009F3B88"/>
    <w:rsid w:val="009F473E"/>
    <w:rsid w:val="009F6FE5"/>
    <w:rsid w:val="00A00B31"/>
    <w:rsid w:val="00A02092"/>
    <w:rsid w:val="00A04198"/>
    <w:rsid w:val="00A0444D"/>
    <w:rsid w:val="00A04867"/>
    <w:rsid w:val="00A10B51"/>
    <w:rsid w:val="00A1154D"/>
    <w:rsid w:val="00A13838"/>
    <w:rsid w:val="00A164FF"/>
    <w:rsid w:val="00A174FC"/>
    <w:rsid w:val="00A203B3"/>
    <w:rsid w:val="00A22BA3"/>
    <w:rsid w:val="00A23FE7"/>
    <w:rsid w:val="00A2447B"/>
    <w:rsid w:val="00A2649A"/>
    <w:rsid w:val="00A30427"/>
    <w:rsid w:val="00A3069A"/>
    <w:rsid w:val="00A30BCF"/>
    <w:rsid w:val="00A31A07"/>
    <w:rsid w:val="00A31FB1"/>
    <w:rsid w:val="00A335A8"/>
    <w:rsid w:val="00A33EBA"/>
    <w:rsid w:val="00A3776F"/>
    <w:rsid w:val="00A400DE"/>
    <w:rsid w:val="00A4026E"/>
    <w:rsid w:val="00A4612E"/>
    <w:rsid w:val="00A4702D"/>
    <w:rsid w:val="00A47426"/>
    <w:rsid w:val="00A5063A"/>
    <w:rsid w:val="00A54F2D"/>
    <w:rsid w:val="00A5631C"/>
    <w:rsid w:val="00A61740"/>
    <w:rsid w:val="00A648B6"/>
    <w:rsid w:val="00A65E40"/>
    <w:rsid w:val="00A67E9F"/>
    <w:rsid w:val="00A7280E"/>
    <w:rsid w:val="00A730C2"/>
    <w:rsid w:val="00A73E2C"/>
    <w:rsid w:val="00A821C9"/>
    <w:rsid w:val="00A83BF4"/>
    <w:rsid w:val="00A87805"/>
    <w:rsid w:val="00A87BB9"/>
    <w:rsid w:val="00A952C2"/>
    <w:rsid w:val="00A969F5"/>
    <w:rsid w:val="00A97A68"/>
    <w:rsid w:val="00AA3A67"/>
    <w:rsid w:val="00AA3C0A"/>
    <w:rsid w:val="00AA6887"/>
    <w:rsid w:val="00AA78BD"/>
    <w:rsid w:val="00AA7ACA"/>
    <w:rsid w:val="00AB0424"/>
    <w:rsid w:val="00AB0883"/>
    <w:rsid w:val="00AB08C1"/>
    <w:rsid w:val="00AB5653"/>
    <w:rsid w:val="00AB5953"/>
    <w:rsid w:val="00AB5C8E"/>
    <w:rsid w:val="00AB7C12"/>
    <w:rsid w:val="00AC02B0"/>
    <w:rsid w:val="00AC4B81"/>
    <w:rsid w:val="00AC65F5"/>
    <w:rsid w:val="00AC6BFE"/>
    <w:rsid w:val="00AC6C5B"/>
    <w:rsid w:val="00AD26D8"/>
    <w:rsid w:val="00AD48B3"/>
    <w:rsid w:val="00AD5558"/>
    <w:rsid w:val="00AE16D2"/>
    <w:rsid w:val="00AE18E6"/>
    <w:rsid w:val="00AE1D20"/>
    <w:rsid w:val="00AE223B"/>
    <w:rsid w:val="00AE5C5B"/>
    <w:rsid w:val="00AF05A3"/>
    <w:rsid w:val="00AF09F1"/>
    <w:rsid w:val="00AF1FA2"/>
    <w:rsid w:val="00AF40B8"/>
    <w:rsid w:val="00AF479D"/>
    <w:rsid w:val="00AF67B3"/>
    <w:rsid w:val="00AF693F"/>
    <w:rsid w:val="00AF6E97"/>
    <w:rsid w:val="00B016A2"/>
    <w:rsid w:val="00B01E0F"/>
    <w:rsid w:val="00B0203D"/>
    <w:rsid w:val="00B02BB8"/>
    <w:rsid w:val="00B07525"/>
    <w:rsid w:val="00B11143"/>
    <w:rsid w:val="00B11CA8"/>
    <w:rsid w:val="00B1494C"/>
    <w:rsid w:val="00B14C5A"/>
    <w:rsid w:val="00B17E00"/>
    <w:rsid w:val="00B2088D"/>
    <w:rsid w:val="00B22487"/>
    <w:rsid w:val="00B2407C"/>
    <w:rsid w:val="00B246E2"/>
    <w:rsid w:val="00B24829"/>
    <w:rsid w:val="00B260FD"/>
    <w:rsid w:val="00B267A4"/>
    <w:rsid w:val="00B273A0"/>
    <w:rsid w:val="00B36225"/>
    <w:rsid w:val="00B378FE"/>
    <w:rsid w:val="00B404F5"/>
    <w:rsid w:val="00B4171E"/>
    <w:rsid w:val="00B4356E"/>
    <w:rsid w:val="00B46213"/>
    <w:rsid w:val="00B462BB"/>
    <w:rsid w:val="00B5210C"/>
    <w:rsid w:val="00B5316B"/>
    <w:rsid w:val="00B532E3"/>
    <w:rsid w:val="00B54B5F"/>
    <w:rsid w:val="00B556F6"/>
    <w:rsid w:val="00B560B3"/>
    <w:rsid w:val="00B56614"/>
    <w:rsid w:val="00B570E0"/>
    <w:rsid w:val="00B61360"/>
    <w:rsid w:val="00B63297"/>
    <w:rsid w:val="00B63CFD"/>
    <w:rsid w:val="00B64C6A"/>
    <w:rsid w:val="00B6747B"/>
    <w:rsid w:val="00B7092D"/>
    <w:rsid w:val="00B70B56"/>
    <w:rsid w:val="00B71CC4"/>
    <w:rsid w:val="00B74A1A"/>
    <w:rsid w:val="00B755EB"/>
    <w:rsid w:val="00B7694D"/>
    <w:rsid w:val="00B813AF"/>
    <w:rsid w:val="00B8187C"/>
    <w:rsid w:val="00B81D82"/>
    <w:rsid w:val="00B85491"/>
    <w:rsid w:val="00B867C6"/>
    <w:rsid w:val="00B86A71"/>
    <w:rsid w:val="00B87489"/>
    <w:rsid w:val="00B91000"/>
    <w:rsid w:val="00B92D0A"/>
    <w:rsid w:val="00B93498"/>
    <w:rsid w:val="00B935ED"/>
    <w:rsid w:val="00B94A51"/>
    <w:rsid w:val="00B95825"/>
    <w:rsid w:val="00B95864"/>
    <w:rsid w:val="00BA24F8"/>
    <w:rsid w:val="00BA3EBA"/>
    <w:rsid w:val="00BA6490"/>
    <w:rsid w:val="00BB356F"/>
    <w:rsid w:val="00BB53E5"/>
    <w:rsid w:val="00BC0105"/>
    <w:rsid w:val="00BC0A29"/>
    <w:rsid w:val="00BC36A6"/>
    <w:rsid w:val="00BC3E6B"/>
    <w:rsid w:val="00BC5CE2"/>
    <w:rsid w:val="00BC7505"/>
    <w:rsid w:val="00BD0289"/>
    <w:rsid w:val="00BD25CD"/>
    <w:rsid w:val="00BE41DF"/>
    <w:rsid w:val="00BE5C84"/>
    <w:rsid w:val="00BE61F3"/>
    <w:rsid w:val="00BE7DF9"/>
    <w:rsid w:val="00BF7448"/>
    <w:rsid w:val="00C0062D"/>
    <w:rsid w:val="00C03253"/>
    <w:rsid w:val="00C039CC"/>
    <w:rsid w:val="00C04A14"/>
    <w:rsid w:val="00C06F99"/>
    <w:rsid w:val="00C103D3"/>
    <w:rsid w:val="00C12BE4"/>
    <w:rsid w:val="00C12C40"/>
    <w:rsid w:val="00C157C0"/>
    <w:rsid w:val="00C162CB"/>
    <w:rsid w:val="00C1781B"/>
    <w:rsid w:val="00C21A46"/>
    <w:rsid w:val="00C21FF7"/>
    <w:rsid w:val="00C22ABA"/>
    <w:rsid w:val="00C240A5"/>
    <w:rsid w:val="00C24D2B"/>
    <w:rsid w:val="00C27E63"/>
    <w:rsid w:val="00C27FB6"/>
    <w:rsid w:val="00C3103A"/>
    <w:rsid w:val="00C316CF"/>
    <w:rsid w:val="00C3198E"/>
    <w:rsid w:val="00C32536"/>
    <w:rsid w:val="00C326E9"/>
    <w:rsid w:val="00C346F4"/>
    <w:rsid w:val="00C34A1C"/>
    <w:rsid w:val="00C35BA1"/>
    <w:rsid w:val="00C3643D"/>
    <w:rsid w:val="00C36E9D"/>
    <w:rsid w:val="00C4138A"/>
    <w:rsid w:val="00C435E8"/>
    <w:rsid w:val="00C43B02"/>
    <w:rsid w:val="00C43CB2"/>
    <w:rsid w:val="00C4584D"/>
    <w:rsid w:val="00C475DD"/>
    <w:rsid w:val="00C47BD1"/>
    <w:rsid w:val="00C517D9"/>
    <w:rsid w:val="00C55789"/>
    <w:rsid w:val="00C55A1D"/>
    <w:rsid w:val="00C55B6B"/>
    <w:rsid w:val="00C604EF"/>
    <w:rsid w:val="00C60569"/>
    <w:rsid w:val="00C63621"/>
    <w:rsid w:val="00C63B47"/>
    <w:rsid w:val="00C700F1"/>
    <w:rsid w:val="00C709A6"/>
    <w:rsid w:val="00C71296"/>
    <w:rsid w:val="00C71775"/>
    <w:rsid w:val="00C723DF"/>
    <w:rsid w:val="00C7287B"/>
    <w:rsid w:val="00C72DDF"/>
    <w:rsid w:val="00C74A56"/>
    <w:rsid w:val="00C75623"/>
    <w:rsid w:val="00C75780"/>
    <w:rsid w:val="00C76151"/>
    <w:rsid w:val="00C76E46"/>
    <w:rsid w:val="00C8122C"/>
    <w:rsid w:val="00C83BA5"/>
    <w:rsid w:val="00C860DB"/>
    <w:rsid w:val="00C906A4"/>
    <w:rsid w:val="00C9076C"/>
    <w:rsid w:val="00C93234"/>
    <w:rsid w:val="00C93293"/>
    <w:rsid w:val="00C95BC5"/>
    <w:rsid w:val="00C96DA0"/>
    <w:rsid w:val="00CA12C5"/>
    <w:rsid w:val="00CA2243"/>
    <w:rsid w:val="00CA2CF1"/>
    <w:rsid w:val="00CA6962"/>
    <w:rsid w:val="00CA7391"/>
    <w:rsid w:val="00CB1A3D"/>
    <w:rsid w:val="00CB26C7"/>
    <w:rsid w:val="00CB3AAF"/>
    <w:rsid w:val="00CB3D0E"/>
    <w:rsid w:val="00CB5843"/>
    <w:rsid w:val="00CB6415"/>
    <w:rsid w:val="00CB7157"/>
    <w:rsid w:val="00CB7F29"/>
    <w:rsid w:val="00CC175A"/>
    <w:rsid w:val="00CC23D1"/>
    <w:rsid w:val="00CC415D"/>
    <w:rsid w:val="00CC518E"/>
    <w:rsid w:val="00CD350C"/>
    <w:rsid w:val="00CE02D6"/>
    <w:rsid w:val="00CE32FE"/>
    <w:rsid w:val="00CE5A0D"/>
    <w:rsid w:val="00CE6566"/>
    <w:rsid w:val="00CE6682"/>
    <w:rsid w:val="00CF0A8D"/>
    <w:rsid w:val="00CF0D8D"/>
    <w:rsid w:val="00CF2309"/>
    <w:rsid w:val="00CF461C"/>
    <w:rsid w:val="00CF4DBD"/>
    <w:rsid w:val="00D0025C"/>
    <w:rsid w:val="00D014E5"/>
    <w:rsid w:val="00D02F2C"/>
    <w:rsid w:val="00D0343C"/>
    <w:rsid w:val="00D035E0"/>
    <w:rsid w:val="00D039C9"/>
    <w:rsid w:val="00D03BFC"/>
    <w:rsid w:val="00D0644A"/>
    <w:rsid w:val="00D1222B"/>
    <w:rsid w:val="00D1365A"/>
    <w:rsid w:val="00D13708"/>
    <w:rsid w:val="00D145CB"/>
    <w:rsid w:val="00D165B1"/>
    <w:rsid w:val="00D17A98"/>
    <w:rsid w:val="00D21D23"/>
    <w:rsid w:val="00D22961"/>
    <w:rsid w:val="00D2312A"/>
    <w:rsid w:val="00D236C6"/>
    <w:rsid w:val="00D24F88"/>
    <w:rsid w:val="00D27569"/>
    <w:rsid w:val="00D342C3"/>
    <w:rsid w:val="00D34895"/>
    <w:rsid w:val="00D36C07"/>
    <w:rsid w:val="00D40000"/>
    <w:rsid w:val="00D40A44"/>
    <w:rsid w:val="00D42806"/>
    <w:rsid w:val="00D447F8"/>
    <w:rsid w:val="00D4569C"/>
    <w:rsid w:val="00D45B1D"/>
    <w:rsid w:val="00D46B47"/>
    <w:rsid w:val="00D471FD"/>
    <w:rsid w:val="00D478FD"/>
    <w:rsid w:val="00D47BE3"/>
    <w:rsid w:val="00D52032"/>
    <w:rsid w:val="00D525AA"/>
    <w:rsid w:val="00D5380D"/>
    <w:rsid w:val="00D538F0"/>
    <w:rsid w:val="00D5411F"/>
    <w:rsid w:val="00D609E0"/>
    <w:rsid w:val="00D6479E"/>
    <w:rsid w:val="00D64E98"/>
    <w:rsid w:val="00D663AC"/>
    <w:rsid w:val="00D66836"/>
    <w:rsid w:val="00D66FED"/>
    <w:rsid w:val="00D70527"/>
    <w:rsid w:val="00D71175"/>
    <w:rsid w:val="00D7214C"/>
    <w:rsid w:val="00D72F47"/>
    <w:rsid w:val="00D732BA"/>
    <w:rsid w:val="00D763CD"/>
    <w:rsid w:val="00D800F7"/>
    <w:rsid w:val="00D803D7"/>
    <w:rsid w:val="00D8044A"/>
    <w:rsid w:val="00D8109C"/>
    <w:rsid w:val="00D81550"/>
    <w:rsid w:val="00D8393F"/>
    <w:rsid w:val="00D84406"/>
    <w:rsid w:val="00D85E69"/>
    <w:rsid w:val="00D8745A"/>
    <w:rsid w:val="00D87EBF"/>
    <w:rsid w:val="00D912FD"/>
    <w:rsid w:val="00D91693"/>
    <w:rsid w:val="00D930D9"/>
    <w:rsid w:val="00D94684"/>
    <w:rsid w:val="00D954F1"/>
    <w:rsid w:val="00D96DD0"/>
    <w:rsid w:val="00D974F1"/>
    <w:rsid w:val="00DA1820"/>
    <w:rsid w:val="00DA3BC4"/>
    <w:rsid w:val="00DA4AD7"/>
    <w:rsid w:val="00DA6C21"/>
    <w:rsid w:val="00DA761F"/>
    <w:rsid w:val="00DA7F33"/>
    <w:rsid w:val="00DB169D"/>
    <w:rsid w:val="00DB2C5C"/>
    <w:rsid w:val="00DB5090"/>
    <w:rsid w:val="00DC02FC"/>
    <w:rsid w:val="00DC0656"/>
    <w:rsid w:val="00DC0ABC"/>
    <w:rsid w:val="00DC0C93"/>
    <w:rsid w:val="00DC0E28"/>
    <w:rsid w:val="00DC1901"/>
    <w:rsid w:val="00DC1B17"/>
    <w:rsid w:val="00DC36D8"/>
    <w:rsid w:val="00DC3BBC"/>
    <w:rsid w:val="00DC3FC4"/>
    <w:rsid w:val="00DC486C"/>
    <w:rsid w:val="00DC5572"/>
    <w:rsid w:val="00DC71BC"/>
    <w:rsid w:val="00DD126D"/>
    <w:rsid w:val="00DD157C"/>
    <w:rsid w:val="00DD1749"/>
    <w:rsid w:val="00DD179D"/>
    <w:rsid w:val="00DD1EAF"/>
    <w:rsid w:val="00DD1F9F"/>
    <w:rsid w:val="00DD40DD"/>
    <w:rsid w:val="00DD4AF8"/>
    <w:rsid w:val="00DD6085"/>
    <w:rsid w:val="00DE3A6A"/>
    <w:rsid w:val="00DF270E"/>
    <w:rsid w:val="00DF3D6F"/>
    <w:rsid w:val="00DF62F7"/>
    <w:rsid w:val="00DF657F"/>
    <w:rsid w:val="00E020E1"/>
    <w:rsid w:val="00E047AB"/>
    <w:rsid w:val="00E048B3"/>
    <w:rsid w:val="00E05330"/>
    <w:rsid w:val="00E0706A"/>
    <w:rsid w:val="00E1001D"/>
    <w:rsid w:val="00E139C9"/>
    <w:rsid w:val="00E13A98"/>
    <w:rsid w:val="00E14578"/>
    <w:rsid w:val="00E14D5F"/>
    <w:rsid w:val="00E14DB8"/>
    <w:rsid w:val="00E153BF"/>
    <w:rsid w:val="00E154A6"/>
    <w:rsid w:val="00E15B7E"/>
    <w:rsid w:val="00E179EA"/>
    <w:rsid w:val="00E23364"/>
    <w:rsid w:val="00E23D06"/>
    <w:rsid w:val="00E25736"/>
    <w:rsid w:val="00E2587F"/>
    <w:rsid w:val="00E26C78"/>
    <w:rsid w:val="00E30FF3"/>
    <w:rsid w:val="00E3584E"/>
    <w:rsid w:val="00E36E59"/>
    <w:rsid w:val="00E403C4"/>
    <w:rsid w:val="00E40E19"/>
    <w:rsid w:val="00E41165"/>
    <w:rsid w:val="00E46C97"/>
    <w:rsid w:val="00E47ED2"/>
    <w:rsid w:val="00E50694"/>
    <w:rsid w:val="00E52837"/>
    <w:rsid w:val="00E5348D"/>
    <w:rsid w:val="00E53498"/>
    <w:rsid w:val="00E53E7B"/>
    <w:rsid w:val="00E554FA"/>
    <w:rsid w:val="00E56FA9"/>
    <w:rsid w:val="00E60ACD"/>
    <w:rsid w:val="00E61AB9"/>
    <w:rsid w:val="00E622A6"/>
    <w:rsid w:val="00E622B0"/>
    <w:rsid w:val="00E62D6F"/>
    <w:rsid w:val="00E6398F"/>
    <w:rsid w:val="00E63DD0"/>
    <w:rsid w:val="00E70453"/>
    <w:rsid w:val="00E72DEC"/>
    <w:rsid w:val="00E74D99"/>
    <w:rsid w:val="00E74FE9"/>
    <w:rsid w:val="00E8061A"/>
    <w:rsid w:val="00E81831"/>
    <w:rsid w:val="00E84B33"/>
    <w:rsid w:val="00E8680C"/>
    <w:rsid w:val="00E904DE"/>
    <w:rsid w:val="00E9557A"/>
    <w:rsid w:val="00E9751C"/>
    <w:rsid w:val="00EA0A90"/>
    <w:rsid w:val="00EA1100"/>
    <w:rsid w:val="00EA1BC0"/>
    <w:rsid w:val="00EA2145"/>
    <w:rsid w:val="00EA71EB"/>
    <w:rsid w:val="00EA7833"/>
    <w:rsid w:val="00EB0D34"/>
    <w:rsid w:val="00EB1041"/>
    <w:rsid w:val="00EB23F6"/>
    <w:rsid w:val="00EB2CBE"/>
    <w:rsid w:val="00EB479D"/>
    <w:rsid w:val="00EB58B6"/>
    <w:rsid w:val="00EB5EF7"/>
    <w:rsid w:val="00EB6629"/>
    <w:rsid w:val="00EB687F"/>
    <w:rsid w:val="00EB7D4C"/>
    <w:rsid w:val="00EC0A47"/>
    <w:rsid w:val="00EC1568"/>
    <w:rsid w:val="00EC402F"/>
    <w:rsid w:val="00EC6529"/>
    <w:rsid w:val="00EC6B86"/>
    <w:rsid w:val="00ED038F"/>
    <w:rsid w:val="00ED333E"/>
    <w:rsid w:val="00ED3ABE"/>
    <w:rsid w:val="00ED4795"/>
    <w:rsid w:val="00ED6345"/>
    <w:rsid w:val="00ED757D"/>
    <w:rsid w:val="00ED7BDD"/>
    <w:rsid w:val="00EE0145"/>
    <w:rsid w:val="00EE01B5"/>
    <w:rsid w:val="00EE0489"/>
    <w:rsid w:val="00EE0758"/>
    <w:rsid w:val="00EE2EFF"/>
    <w:rsid w:val="00EE36B0"/>
    <w:rsid w:val="00EE72C4"/>
    <w:rsid w:val="00EE7F3E"/>
    <w:rsid w:val="00EF0CAA"/>
    <w:rsid w:val="00EF38C0"/>
    <w:rsid w:val="00EF5F0B"/>
    <w:rsid w:val="00F0026E"/>
    <w:rsid w:val="00F01BC1"/>
    <w:rsid w:val="00F039EE"/>
    <w:rsid w:val="00F04AD2"/>
    <w:rsid w:val="00F070EE"/>
    <w:rsid w:val="00F076DA"/>
    <w:rsid w:val="00F11555"/>
    <w:rsid w:val="00F12146"/>
    <w:rsid w:val="00F12650"/>
    <w:rsid w:val="00F140C4"/>
    <w:rsid w:val="00F15FDB"/>
    <w:rsid w:val="00F20436"/>
    <w:rsid w:val="00F22D1A"/>
    <w:rsid w:val="00F23B29"/>
    <w:rsid w:val="00F24368"/>
    <w:rsid w:val="00F24E7D"/>
    <w:rsid w:val="00F25B95"/>
    <w:rsid w:val="00F318B2"/>
    <w:rsid w:val="00F33D9B"/>
    <w:rsid w:val="00F33EFE"/>
    <w:rsid w:val="00F34DF0"/>
    <w:rsid w:val="00F378F1"/>
    <w:rsid w:val="00F425E4"/>
    <w:rsid w:val="00F42B9C"/>
    <w:rsid w:val="00F4372E"/>
    <w:rsid w:val="00F44548"/>
    <w:rsid w:val="00F44A5C"/>
    <w:rsid w:val="00F45CEE"/>
    <w:rsid w:val="00F471C2"/>
    <w:rsid w:val="00F47994"/>
    <w:rsid w:val="00F47B7F"/>
    <w:rsid w:val="00F50690"/>
    <w:rsid w:val="00F50FFC"/>
    <w:rsid w:val="00F52712"/>
    <w:rsid w:val="00F54074"/>
    <w:rsid w:val="00F546AC"/>
    <w:rsid w:val="00F5475A"/>
    <w:rsid w:val="00F548F9"/>
    <w:rsid w:val="00F56CAA"/>
    <w:rsid w:val="00F56F6F"/>
    <w:rsid w:val="00F576B2"/>
    <w:rsid w:val="00F6176D"/>
    <w:rsid w:val="00F63DBB"/>
    <w:rsid w:val="00F648A0"/>
    <w:rsid w:val="00F668F2"/>
    <w:rsid w:val="00F66AEF"/>
    <w:rsid w:val="00F672D9"/>
    <w:rsid w:val="00F71CE1"/>
    <w:rsid w:val="00F71E8C"/>
    <w:rsid w:val="00F73E44"/>
    <w:rsid w:val="00F7598F"/>
    <w:rsid w:val="00F77FDC"/>
    <w:rsid w:val="00F80DFF"/>
    <w:rsid w:val="00F8288E"/>
    <w:rsid w:val="00F8332D"/>
    <w:rsid w:val="00F843AE"/>
    <w:rsid w:val="00F84F87"/>
    <w:rsid w:val="00F86FB4"/>
    <w:rsid w:val="00F878F4"/>
    <w:rsid w:val="00F90A3E"/>
    <w:rsid w:val="00F90D58"/>
    <w:rsid w:val="00F923B1"/>
    <w:rsid w:val="00F938CE"/>
    <w:rsid w:val="00F948C6"/>
    <w:rsid w:val="00F957BD"/>
    <w:rsid w:val="00F95E53"/>
    <w:rsid w:val="00FA2D3D"/>
    <w:rsid w:val="00FA49BF"/>
    <w:rsid w:val="00FA7161"/>
    <w:rsid w:val="00FA7C1B"/>
    <w:rsid w:val="00FC343F"/>
    <w:rsid w:val="00FC369B"/>
    <w:rsid w:val="00FC4A00"/>
    <w:rsid w:val="00FC60BF"/>
    <w:rsid w:val="00FD4274"/>
    <w:rsid w:val="00FD4659"/>
    <w:rsid w:val="00FD50AD"/>
    <w:rsid w:val="00FD5917"/>
    <w:rsid w:val="00FD6077"/>
    <w:rsid w:val="00FD6599"/>
    <w:rsid w:val="00FE0DC6"/>
    <w:rsid w:val="00FE2FE0"/>
    <w:rsid w:val="00FE43D5"/>
    <w:rsid w:val="00FE5490"/>
    <w:rsid w:val="00FE55D3"/>
    <w:rsid w:val="00FE66BD"/>
    <w:rsid w:val="00FF1A71"/>
    <w:rsid w:val="00FF1A9E"/>
    <w:rsid w:val="00FF341A"/>
    <w:rsid w:val="00FF3666"/>
    <w:rsid w:val="00FF3D3C"/>
    <w:rsid w:val="00FF419C"/>
    <w:rsid w:val="00FF46A5"/>
    <w:rsid w:val="00FF6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141"/>
    <w:rPr>
      <w:sz w:val="24"/>
      <w:lang w:eastAsia="en-US"/>
    </w:rPr>
  </w:style>
  <w:style w:type="paragraph" w:styleId="Heading1">
    <w:name w:val="heading 1"/>
    <w:aliases w:val="h1,c"/>
    <w:basedOn w:val="Normal"/>
    <w:next w:val="Normal"/>
    <w:qFormat/>
    <w:rsid w:val="006B3A2D"/>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b/>
      <w:spacing w:val="-3"/>
    </w:rPr>
  </w:style>
  <w:style w:type="paragraph" w:styleId="Heading2">
    <w:name w:val="heading 2"/>
    <w:aliases w:val="p,h2"/>
    <w:basedOn w:val="Normal"/>
    <w:next w:val="Normal"/>
    <w:qFormat/>
    <w:rsid w:val="006B3A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b/>
    </w:rPr>
  </w:style>
  <w:style w:type="paragraph" w:styleId="Heading3">
    <w:name w:val="heading 3"/>
    <w:basedOn w:val="Normal"/>
    <w:next w:val="Normal"/>
    <w:qFormat/>
    <w:rsid w:val="006B3A2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2D"/>
    <w:pPr>
      <w:tabs>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jc w:val="both"/>
    </w:pPr>
  </w:style>
  <w:style w:type="paragraph" w:styleId="EndnoteText">
    <w:name w:val="endnote text"/>
    <w:basedOn w:val="Normal"/>
    <w:semiHidden/>
    <w:rsid w:val="006B3A2D"/>
    <w:pPr>
      <w:suppressAutoHyphens/>
    </w:pPr>
  </w:style>
  <w:style w:type="paragraph" w:styleId="Footer">
    <w:name w:val="footer"/>
    <w:basedOn w:val="Normal"/>
    <w:link w:val="FooterChar"/>
    <w:rsid w:val="006B3A2D"/>
    <w:pPr>
      <w:tabs>
        <w:tab w:val="center" w:pos="4320"/>
        <w:tab w:val="right" w:pos="8640"/>
      </w:tabs>
    </w:pPr>
  </w:style>
  <w:style w:type="character" w:styleId="PageNumber">
    <w:name w:val="page number"/>
    <w:basedOn w:val="DefaultParagraphFont"/>
    <w:rsid w:val="006B3A2D"/>
  </w:style>
  <w:style w:type="paragraph" w:customStyle="1" w:styleId="Char">
    <w:name w:val="Char"/>
    <w:basedOn w:val="Normal"/>
    <w:rsid w:val="00AF1FA2"/>
    <w:pPr>
      <w:spacing w:after="160" w:line="240" w:lineRule="exact"/>
    </w:pPr>
    <w:rPr>
      <w:sz w:val="20"/>
      <w:lang w:val="en-US"/>
    </w:rPr>
  </w:style>
  <w:style w:type="paragraph" w:customStyle="1" w:styleId="P1">
    <w:name w:val="P1"/>
    <w:aliases w:val="(a)"/>
    <w:basedOn w:val="Normal"/>
    <w:rsid w:val="00801F5B"/>
    <w:pPr>
      <w:keepLines/>
      <w:tabs>
        <w:tab w:val="right" w:pos="1191"/>
      </w:tabs>
      <w:spacing w:before="60" w:line="260" w:lineRule="exact"/>
      <w:ind w:left="1418" w:hanging="1418"/>
      <w:jc w:val="both"/>
    </w:pPr>
    <w:rPr>
      <w:szCs w:val="24"/>
    </w:rPr>
  </w:style>
  <w:style w:type="paragraph" w:customStyle="1" w:styleId="Zdefinition">
    <w:name w:val="Zdefinition"/>
    <w:basedOn w:val="Normal"/>
    <w:rsid w:val="00801F5B"/>
    <w:pPr>
      <w:keepNext/>
      <w:spacing w:before="80" w:line="260" w:lineRule="exact"/>
      <w:ind w:left="964"/>
      <w:jc w:val="both"/>
    </w:pPr>
    <w:rPr>
      <w:szCs w:val="24"/>
    </w:rPr>
  </w:style>
  <w:style w:type="character" w:styleId="CommentReference">
    <w:name w:val="annotation reference"/>
    <w:semiHidden/>
    <w:rsid w:val="009C54BA"/>
    <w:rPr>
      <w:sz w:val="16"/>
      <w:szCs w:val="16"/>
    </w:rPr>
  </w:style>
  <w:style w:type="paragraph" w:styleId="CommentText">
    <w:name w:val="annotation text"/>
    <w:basedOn w:val="Normal"/>
    <w:semiHidden/>
    <w:rsid w:val="009C54BA"/>
    <w:rPr>
      <w:sz w:val="20"/>
    </w:rPr>
  </w:style>
  <w:style w:type="paragraph" w:styleId="CommentSubject">
    <w:name w:val="annotation subject"/>
    <w:basedOn w:val="CommentText"/>
    <w:next w:val="CommentText"/>
    <w:semiHidden/>
    <w:rsid w:val="009C54BA"/>
    <w:rPr>
      <w:b/>
      <w:bCs/>
    </w:rPr>
  </w:style>
  <w:style w:type="paragraph" w:styleId="BalloonText">
    <w:name w:val="Balloon Text"/>
    <w:basedOn w:val="Normal"/>
    <w:semiHidden/>
    <w:rsid w:val="009C54BA"/>
    <w:rPr>
      <w:rFonts w:ascii="Tahoma" w:hAnsi="Tahoma" w:cs="Tahoma"/>
      <w:sz w:val="16"/>
      <w:szCs w:val="16"/>
    </w:rPr>
  </w:style>
  <w:style w:type="paragraph" w:customStyle="1" w:styleId="Default">
    <w:name w:val="Default"/>
    <w:rsid w:val="00816290"/>
    <w:pPr>
      <w:autoSpaceDE w:val="0"/>
      <w:autoSpaceDN w:val="0"/>
      <w:adjustRightInd w:val="0"/>
    </w:pPr>
    <w:rPr>
      <w:rFonts w:ascii="Frutiger 45 Light" w:hAnsi="Frutiger 45 Light" w:cs="Frutiger 45 Light"/>
      <w:color w:val="000000"/>
      <w:sz w:val="24"/>
      <w:szCs w:val="24"/>
    </w:rPr>
  </w:style>
  <w:style w:type="character" w:customStyle="1" w:styleId="FooterChar">
    <w:name w:val="Footer Char"/>
    <w:link w:val="Footer"/>
    <w:rsid w:val="00A00B3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141"/>
    <w:rPr>
      <w:sz w:val="24"/>
      <w:lang w:eastAsia="en-US"/>
    </w:rPr>
  </w:style>
  <w:style w:type="paragraph" w:styleId="Heading1">
    <w:name w:val="heading 1"/>
    <w:aliases w:val="h1,c"/>
    <w:basedOn w:val="Normal"/>
    <w:next w:val="Normal"/>
    <w:qFormat/>
    <w:rsid w:val="006B3A2D"/>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b/>
      <w:spacing w:val="-3"/>
    </w:rPr>
  </w:style>
  <w:style w:type="paragraph" w:styleId="Heading2">
    <w:name w:val="heading 2"/>
    <w:aliases w:val="p,h2"/>
    <w:basedOn w:val="Normal"/>
    <w:next w:val="Normal"/>
    <w:qFormat/>
    <w:rsid w:val="006B3A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b/>
    </w:rPr>
  </w:style>
  <w:style w:type="paragraph" w:styleId="Heading3">
    <w:name w:val="heading 3"/>
    <w:basedOn w:val="Normal"/>
    <w:next w:val="Normal"/>
    <w:qFormat/>
    <w:rsid w:val="006B3A2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2D"/>
    <w:pPr>
      <w:tabs>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jc w:val="both"/>
    </w:pPr>
  </w:style>
  <w:style w:type="paragraph" w:styleId="EndnoteText">
    <w:name w:val="endnote text"/>
    <w:basedOn w:val="Normal"/>
    <w:semiHidden/>
    <w:rsid w:val="006B3A2D"/>
    <w:pPr>
      <w:suppressAutoHyphens/>
    </w:pPr>
  </w:style>
  <w:style w:type="paragraph" w:styleId="Footer">
    <w:name w:val="footer"/>
    <w:basedOn w:val="Normal"/>
    <w:link w:val="FooterChar"/>
    <w:rsid w:val="006B3A2D"/>
    <w:pPr>
      <w:tabs>
        <w:tab w:val="center" w:pos="4320"/>
        <w:tab w:val="right" w:pos="8640"/>
      </w:tabs>
    </w:pPr>
  </w:style>
  <w:style w:type="character" w:styleId="PageNumber">
    <w:name w:val="page number"/>
    <w:basedOn w:val="DefaultParagraphFont"/>
    <w:rsid w:val="006B3A2D"/>
  </w:style>
  <w:style w:type="paragraph" w:customStyle="1" w:styleId="Char">
    <w:name w:val="Char"/>
    <w:basedOn w:val="Normal"/>
    <w:rsid w:val="00AF1FA2"/>
    <w:pPr>
      <w:spacing w:after="160" w:line="240" w:lineRule="exact"/>
    </w:pPr>
    <w:rPr>
      <w:sz w:val="20"/>
      <w:lang w:val="en-US"/>
    </w:rPr>
  </w:style>
  <w:style w:type="paragraph" w:customStyle="1" w:styleId="P1">
    <w:name w:val="P1"/>
    <w:aliases w:val="(a)"/>
    <w:basedOn w:val="Normal"/>
    <w:rsid w:val="00801F5B"/>
    <w:pPr>
      <w:keepLines/>
      <w:tabs>
        <w:tab w:val="right" w:pos="1191"/>
      </w:tabs>
      <w:spacing w:before="60" w:line="260" w:lineRule="exact"/>
      <w:ind w:left="1418" w:hanging="1418"/>
      <w:jc w:val="both"/>
    </w:pPr>
    <w:rPr>
      <w:szCs w:val="24"/>
    </w:rPr>
  </w:style>
  <w:style w:type="paragraph" w:customStyle="1" w:styleId="Zdefinition">
    <w:name w:val="Zdefinition"/>
    <w:basedOn w:val="Normal"/>
    <w:rsid w:val="00801F5B"/>
    <w:pPr>
      <w:keepNext/>
      <w:spacing w:before="80" w:line="260" w:lineRule="exact"/>
      <w:ind w:left="964"/>
      <w:jc w:val="both"/>
    </w:pPr>
    <w:rPr>
      <w:szCs w:val="24"/>
    </w:rPr>
  </w:style>
  <w:style w:type="character" w:styleId="CommentReference">
    <w:name w:val="annotation reference"/>
    <w:semiHidden/>
    <w:rsid w:val="009C54BA"/>
    <w:rPr>
      <w:sz w:val="16"/>
      <w:szCs w:val="16"/>
    </w:rPr>
  </w:style>
  <w:style w:type="paragraph" w:styleId="CommentText">
    <w:name w:val="annotation text"/>
    <w:basedOn w:val="Normal"/>
    <w:semiHidden/>
    <w:rsid w:val="009C54BA"/>
    <w:rPr>
      <w:sz w:val="20"/>
    </w:rPr>
  </w:style>
  <w:style w:type="paragraph" w:styleId="CommentSubject">
    <w:name w:val="annotation subject"/>
    <w:basedOn w:val="CommentText"/>
    <w:next w:val="CommentText"/>
    <w:semiHidden/>
    <w:rsid w:val="009C54BA"/>
    <w:rPr>
      <w:b/>
      <w:bCs/>
    </w:rPr>
  </w:style>
  <w:style w:type="paragraph" w:styleId="BalloonText">
    <w:name w:val="Balloon Text"/>
    <w:basedOn w:val="Normal"/>
    <w:semiHidden/>
    <w:rsid w:val="009C54BA"/>
    <w:rPr>
      <w:rFonts w:ascii="Tahoma" w:hAnsi="Tahoma" w:cs="Tahoma"/>
      <w:sz w:val="16"/>
      <w:szCs w:val="16"/>
    </w:rPr>
  </w:style>
  <w:style w:type="paragraph" w:customStyle="1" w:styleId="Default">
    <w:name w:val="Default"/>
    <w:rsid w:val="00816290"/>
    <w:pPr>
      <w:autoSpaceDE w:val="0"/>
      <w:autoSpaceDN w:val="0"/>
      <w:adjustRightInd w:val="0"/>
    </w:pPr>
    <w:rPr>
      <w:rFonts w:ascii="Frutiger 45 Light" w:hAnsi="Frutiger 45 Light" w:cs="Frutiger 45 Light"/>
      <w:color w:val="000000"/>
      <w:sz w:val="24"/>
      <w:szCs w:val="24"/>
    </w:rPr>
  </w:style>
  <w:style w:type="character" w:customStyle="1" w:styleId="FooterChar">
    <w:name w:val="Footer Char"/>
    <w:link w:val="Footer"/>
    <w:rsid w:val="00A00B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4229">
      <w:bodyDiv w:val="1"/>
      <w:marLeft w:val="0"/>
      <w:marRight w:val="0"/>
      <w:marTop w:val="0"/>
      <w:marBottom w:val="0"/>
      <w:divBdr>
        <w:top w:val="none" w:sz="0" w:space="0" w:color="auto"/>
        <w:left w:val="none" w:sz="0" w:space="0" w:color="auto"/>
        <w:bottom w:val="none" w:sz="0" w:space="0" w:color="auto"/>
        <w:right w:val="none" w:sz="0" w:space="0" w:color="auto"/>
      </w:divBdr>
    </w:div>
    <w:div w:id="584535669">
      <w:bodyDiv w:val="1"/>
      <w:marLeft w:val="0"/>
      <w:marRight w:val="0"/>
      <w:marTop w:val="0"/>
      <w:marBottom w:val="0"/>
      <w:divBdr>
        <w:top w:val="none" w:sz="0" w:space="0" w:color="auto"/>
        <w:left w:val="none" w:sz="0" w:space="0" w:color="auto"/>
        <w:bottom w:val="none" w:sz="0" w:space="0" w:color="auto"/>
        <w:right w:val="none" w:sz="0" w:space="0" w:color="auto"/>
      </w:divBdr>
    </w:div>
    <w:div w:id="722751758">
      <w:bodyDiv w:val="1"/>
      <w:marLeft w:val="0"/>
      <w:marRight w:val="0"/>
      <w:marTop w:val="0"/>
      <w:marBottom w:val="0"/>
      <w:divBdr>
        <w:top w:val="none" w:sz="0" w:space="0" w:color="auto"/>
        <w:left w:val="none" w:sz="0" w:space="0" w:color="auto"/>
        <w:bottom w:val="none" w:sz="0" w:space="0" w:color="auto"/>
        <w:right w:val="none" w:sz="0" w:space="0" w:color="auto"/>
      </w:divBdr>
    </w:div>
    <w:div w:id="969288886">
      <w:bodyDiv w:val="1"/>
      <w:marLeft w:val="0"/>
      <w:marRight w:val="0"/>
      <w:marTop w:val="0"/>
      <w:marBottom w:val="0"/>
      <w:divBdr>
        <w:top w:val="none" w:sz="0" w:space="0" w:color="auto"/>
        <w:left w:val="none" w:sz="0" w:space="0" w:color="auto"/>
        <w:bottom w:val="none" w:sz="0" w:space="0" w:color="auto"/>
        <w:right w:val="none" w:sz="0" w:space="0" w:color="auto"/>
      </w:divBdr>
    </w:div>
    <w:div w:id="20851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40AC-C75B-4AEB-9EA9-72C32D7D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9111</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2013-04-30T04:42:00Z</cp:lastPrinted>
  <dcterms:created xsi:type="dcterms:W3CDTF">2013-12-23T02:10:00Z</dcterms:created>
  <dcterms:modified xsi:type="dcterms:W3CDTF">2013-12-23T02:10:00Z</dcterms:modified>
</cp:coreProperties>
</file>