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2E3" w:rsidRPr="00C242E3" w:rsidRDefault="00C242E3" w:rsidP="00C242E3">
      <w:pPr>
        <w:spacing w:before="100" w:beforeAutospacing="1" w:after="100" w:afterAutospacing="1" w:line="360" w:lineRule="auto"/>
        <w:jc w:val="center"/>
        <w:rPr>
          <w:rFonts w:ascii="Times New Roman" w:eastAsia="Times New Roman" w:hAnsi="Times New Roman" w:cs="Times New Roman"/>
          <w:sz w:val="24"/>
          <w:szCs w:val="24"/>
          <w:lang w:eastAsia="en-AU"/>
        </w:rPr>
      </w:pPr>
      <w:r w:rsidRPr="00C242E3">
        <w:rPr>
          <w:rFonts w:ascii="Arial" w:eastAsia="Times New Roman" w:hAnsi="Arial" w:cs="Arial"/>
          <w:b/>
          <w:bCs/>
          <w:lang w:eastAsia="en-AU"/>
        </w:rPr>
        <w:t>EXPLANATORY STATEMENT</w:t>
      </w:r>
    </w:p>
    <w:p w:rsidR="00417047" w:rsidRDefault="00C242E3">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C242E3">
        <w:rPr>
          <w:rFonts w:ascii="Arial" w:eastAsia="Times New Roman" w:hAnsi="Arial" w:cs="Arial"/>
          <w:i/>
          <w:iCs/>
          <w:lang w:eastAsia="en-AU"/>
        </w:rPr>
        <w:t> </w:t>
      </w:r>
      <w:r w:rsidRPr="00C242E3">
        <w:rPr>
          <w:rFonts w:ascii="Arial" w:eastAsia="Times New Roman" w:hAnsi="Arial" w:cs="Arial"/>
          <w:lang w:eastAsia="en-AU"/>
        </w:rPr>
        <w:t>Issued by the Australian Communications and Media Authority</w:t>
      </w:r>
    </w:p>
    <w:p w:rsidR="00417047" w:rsidRDefault="00C242E3">
      <w:pPr>
        <w:spacing w:before="120" w:after="120" w:line="240" w:lineRule="auto"/>
        <w:jc w:val="center"/>
        <w:rPr>
          <w:rFonts w:ascii="Times New Roman" w:eastAsia="Times New Roman" w:hAnsi="Times New Roman" w:cs="Times New Roman"/>
          <w:sz w:val="24"/>
          <w:szCs w:val="24"/>
          <w:lang w:eastAsia="en-AU"/>
        </w:rPr>
      </w:pPr>
      <w:r w:rsidRPr="00C242E3">
        <w:rPr>
          <w:rFonts w:ascii="Arial" w:eastAsia="Times New Roman" w:hAnsi="Arial" w:cs="Arial"/>
          <w:i/>
          <w:iCs/>
          <w:lang w:eastAsia="en-AU"/>
        </w:rPr>
        <w:t xml:space="preserve"> Radiocommunications (Trading Rules for Spectrum Licences) </w:t>
      </w:r>
      <w:r w:rsidR="00B42748">
        <w:rPr>
          <w:rFonts w:ascii="Arial" w:eastAsia="Times New Roman" w:hAnsi="Arial" w:cs="Arial"/>
          <w:i/>
          <w:iCs/>
          <w:lang w:eastAsia="en-AU"/>
        </w:rPr>
        <w:t xml:space="preserve">Amendment </w:t>
      </w:r>
      <w:r w:rsidRPr="00C242E3">
        <w:rPr>
          <w:rFonts w:ascii="Arial" w:eastAsia="Times New Roman" w:hAnsi="Arial" w:cs="Arial"/>
          <w:i/>
          <w:iCs/>
          <w:lang w:eastAsia="en-AU"/>
        </w:rPr>
        <w:t xml:space="preserve">Determination </w:t>
      </w:r>
      <w:r w:rsidR="00B42748" w:rsidRPr="00C242E3">
        <w:rPr>
          <w:rFonts w:ascii="Arial" w:eastAsia="Times New Roman" w:hAnsi="Arial" w:cs="Arial"/>
          <w:i/>
          <w:iCs/>
          <w:lang w:eastAsia="en-AU"/>
        </w:rPr>
        <w:t>201</w:t>
      </w:r>
      <w:r w:rsidR="00B42748">
        <w:rPr>
          <w:rFonts w:ascii="Arial" w:eastAsia="Times New Roman" w:hAnsi="Arial" w:cs="Arial"/>
          <w:i/>
          <w:iCs/>
          <w:lang w:eastAsia="en-AU"/>
        </w:rPr>
        <w:t>3</w:t>
      </w:r>
    </w:p>
    <w:p w:rsidR="00417047" w:rsidRDefault="00C242E3">
      <w:pPr>
        <w:spacing w:before="120" w:after="120" w:line="240" w:lineRule="auto"/>
        <w:jc w:val="center"/>
        <w:rPr>
          <w:rFonts w:ascii="Times New Roman" w:eastAsia="Times New Roman" w:hAnsi="Times New Roman" w:cs="Times New Roman"/>
          <w:sz w:val="24"/>
          <w:szCs w:val="24"/>
          <w:lang w:eastAsia="en-AU"/>
        </w:rPr>
      </w:pPr>
      <w:r w:rsidRPr="00C242E3">
        <w:rPr>
          <w:rFonts w:ascii="Arial" w:eastAsia="Times New Roman" w:hAnsi="Arial" w:cs="Arial"/>
          <w:lang w:eastAsia="en-AU"/>
        </w:rPr>
        <w:t> </w:t>
      </w:r>
      <w:r w:rsidRPr="00C242E3">
        <w:rPr>
          <w:rFonts w:ascii="Arial" w:eastAsia="Times New Roman" w:hAnsi="Arial" w:cs="Arial"/>
          <w:i/>
          <w:iCs/>
          <w:lang w:eastAsia="en-AU"/>
        </w:rPr>
        <w:t>Radiocommunications Act 1992</w:t>
      </w:r>
      <w:r w:rsidRPr="00C242E3">
        <w:rPr>
          <w:rFonts w:ascii="Arial" w:eastAsia="Times New Roman" w:hAnsi="Arial" w:cs="Arial"/>
          <w:lang w:eastAsia="en-AU"/>
        </w:rPr>
        <w:t> </w:t>
      </w:r>
    </w:p>
    <w:p w:rsidR="00417047" w:rsidRDefault="00C242E3">
      <w:pPr>
        <w:spacing w:before="120" w:after="120" w:line="240" w:lineRule="auto"/>
        <w:rPr>
          <w:rFonts w:ascii="Times New Roman" w:eastAsia="Times New Roman" w:hAnsi="Times New Roman" w:cs="Times New Roman"/>
          <w:sz w:val="24"/>
          <w:szCs w:val="24"/>
          <w:lang w:eastAsia="en-AU"/>
        </w:rPr>
      </w:pPr>
      <w:r w:rsidRPr="00C242E3">
        <w:rPr>
          <w:rFonts w:ascii="Arial" w:eastAsia="Times New Roman" w:hAnsi="Arial" w:cs="Arial"/>
          <w:b/>
          <w:bCs/>
          <w:lang w:eastAsia="en-AU"/>
        </w:rPr>
        <w:t>Purpose</w:t>
      </w:r>
    </w:p>
    <w:p w:rsidR="00BF4F5F" w:rsidRDefault="00C242E3">
      <w:pPr>
        <w:spacing w:before="120" w:after="120" w:line="240" w:lineRule="auto"/>
        <w:rPr>
          <w:rFonts w:ascii="Arial" w:eastAsia="Times New Roman" w:hAnsi="Arial" w:cs="Arial"/>
          <w:lang w:eastAsia="en-AU"/>
        </w:rPr>
      </w:pPr>
      <w:r w:rsidRPr="00C242E3">
        <w:rPr>
          <w:rFonts w:ascii="Arial" w:eastAsia="Times New Roman" w:hAnsi="Arial" w:cs="Arial"/>
          <w:lang w:eastAsia="en-AU"/>
        </w:rPr>
        <w:t xml:space="preserve">The purpose of the </w:t>
      </w:r>
      <w:r w:rsidRPr="00C242E3">
        <w:rPr>
          <w:rFonts w:ascii="Arial" w:eastAsia="Times New Roman" w:hAnsi="Arial" w:cs="Arial"/>
          <w:i/>
          <w:iCs/>
          <w:lang w:eastAsia="en-AU"/>
        </w:rPr>
        <w:t xml:space="preserve">Radiocommunications (Trading Rules for Spectrum Licences) Determination 2012 </w:t>
      </w:r>
      <w:r w:rsidRPr="00C242E3">
        <w:rPr>
          <w:rFonts w:ascii="Arial" w:eastAsia="Times New Roman" w:hAnsi="Arial" w:cs="Arial"/>
          <w:lang w:eastAsia="en-AU"/>
        </w:rPr>
        <w:t xml:space="preserve">(the </w:t>
      </w:r>
      <w:r w:rsidRPr="00C242E3">
        <w:rPr>
          <w:rFonts w:ascii="Arial" w:eastAsia="Times New Roman" w:hAnsi="Arial" w:cs="Arial"/>
          <w:b/>
          <w:bCs/>
          <w:lang w:eastAsia="en-AU"/>
        </w:rPr>
        <w:t>Determination</w:t>
      </w:r>
      <w:r w:rsidRPr="00C242E3">
        <w:rPr>
          <w:rFonts w:ascii="Arial" w:eastAsia="Times New Roman" w:hAnsi="Arial" w:cs="Arial"/>
          <w:lang w:eastAsia="en-AU"/>
        </w:rPr>
        <w:t xml:space="preserve">) is to set out the rules for the trading of spectrum licences.  The </w:t>
      </w:r>
      <w:r w:rsidRPr="00C242E3">
        <w:rPr>
          <w:rFonts w:ascii="Arial" w:eastAsia="Times New Roman" w:hAnsi="Arial" w:cs="Arial"/>
          <w:i/>
          <w:iCs/>
          <w:lang w:eastAsia="en-AU"/>
        </w:rPr>
        <w:t xml:space="preserve">Radiocommunications (Trading Rules for Spectrum Licences) </w:t>
      </w:r>
      <w:r w:rsidR="00C17BD4">
        <w:rPr>
          <w:rFonts w:ascii="Arial" w:eastAsia="Times New Roman" w:hAnsi="Arial" w:cs="Arial"/>
          <w:i/>
          <w:iCs/>
          <w:lang w:eastAsia="en-AU"/>
        </w:rPr>
        <w:t xml:space="preserve">Amendment </w:t>
      </w:r>
      <w:r w:rsidRPr="00C242E3">
        <w:rPr>
          <w:rFonts w:ascii="Arial" w:eastAsia="Times New Roman" w:hAnsi="Arial" w:cs="Arial"/>
          <w:i/>
          <w:iCs/>
          <w:lang w:eastAsia="en-AU"/>
        </w:rPr>
        <w:t xml:space="preserve">Determination </w:t>
      </w:r>
      <w:r w:rsidR="00D919D9">
        <w:rPr>
          <w:rFonts w:ascii="Arial" w:eastAsia="Times New Roman" w:hAnsi="Arial" w:cs="Arial"/>
          <w:i/>
          <w:iCs/>
          <w:lang w:eastAsia="en-AU"/>
        </w:rPr>
        <w:t xml:space="preserve">2013 </w:t>
      </w:r>
      <w:r w:rsidRPr="00C242E3">
        <w:rPr>
          <w:rFonts w:ascii="Arial" w:eastAsia="Times New Roman" w:hAnsi="Arial" w:cs="Arial"/>
          <w:lang w:eastAsia="en-AU"/>
        </w:rPr>
        <w:t xml:space="preserve">(the </w:t>
      </w:r>
      <w:r w:rsidR="00C17BD4">
        <w:rPr>
          <w:rFonts w:ascii="Arial" w:eastAsia="Times New Roman" w:hAnsi="Arial" w:cs="Arial"/>
          <w:b/>
          <w:bCs/>
          <w:lang w:eastAsia="en-AU"/>
        </w:rPr>
        <w:t xml:space="preserve">Amendment </w:t>
      </w:r>
      <w:r w:rsidRPr="00C242E3">
        <w:rPr>
          <w:rFonts w:ascii="Arial" w:eastAsia="Times New Roman" w:hAnsi="Arial" w:cs="Arial"/>
          <w:b/>
          <w:bCs/>
          <w:lang w:eastAsia="en-AU"/>
        </w:rPr>
        <w:t>Determination</w:t>
      </w:r>
      <w:r w:rsidRPr="00C242E3">
        <w:rPr>
          <w:rFonts w:ascii="Arial" w:eastAsia="Times New Roman" w:hAnsi="Arial" w:cs="Arial"/>
          <w:lang w:eastAsia="en-AU"/>
        </w:rPr>
        <w:t>) provides updated rules for the trading of spectrum licences which are aimed at providing greater flexibility for spectrum licensees</w:t>
      </w:r>
      <w:r w:rsidR="00D919D9" w:rsidRPr="00D919D9">
        <w:rPr>
          <w:rFonts w:ascii="Arial" w:eastAsia="Times New Roman" w:hAnsi="Arial" w:cs="Arial"/>
          <w:lang w:eastAsia="en-AU"/>
        </w:rPr>
        <w:t xml:space="preserve"> </w:t>
      </w:r>
      <w:r w:rsidR="00D919D9">
        <w:rPr>
          <w:rFonts w:ascii="Arial" w:eastAsia="Times New Roman" w:hAnsi="Arial" w:cs="Arial"/>
          <w:lang w:eastAsia="en-AU"/>
        </w:rPr>
        <w:t>in the 2.3 GHz band in particular</w:t>
      </w:r>
      <w:r w:rsidRPr="00BF4F5F">
        <w:rPr>
          <w:rFonts w:ascii="Arial" w:eastAsia="Times New Roman" w:hAnsi="Arial" w:cs="Arial"/>
          <w:lang w:eastAsia="en-AU"/>
        </w:rPr>
        <w:t>.  </w:t>
      </w:r>
    </w:p>
    <w:p w:rsidR="00417047" w:rsidRPr="00BF4F5F" w:rsidRDefault="00BF4F5F">
      <w:pPr>
        <w:spacing w:before="120" w:after="120" w:line="240" w:lineRule="auto"/>
        <w:rPr>
          <w:rFonts w:ascii="Arial" w:eastAsia="Times New Roman" w:hAnsi="Arial" w:cs="Arial"/>
          <w:lang w:eastAsia="en-AU"/>
        </w:rPr>
      </w:pPr>
      <w:r w:rsidRPr="00BF4F5F">
        <w:rPr>
          <w:rFonts w:ascii="Arial" w:hAnsi="Arial" w:cs="Arial"/>
        </w:rPr>
        <w:t xml:space="preserve">Subsection 33(3) of the </w:t>
      </w:r>
      <w:r w:rsidRPr="00BF4F5F">
        <w:rPr>
          <w:rFonts w:ascii="Arial" w:hAnsi="Arial" w:cs="Arial"/>
          <w:i/>
          <w:iCs/>
        </w:rPr>
        <w:t>Acts Interpretation Act 1901</w:t>
      </w:r>
      <w:r w:rsidRPr="00BF4F5F">
        <w:rPr>
          <w:rFonts w:ascii="Arial" w:hAnsi="Arial" w:cs="Arial"/>
        </w:rPr>
        <w:t xml:space="preserve"> provides that when an Act confers a power to make an instrument, that power shall, unless the contrary intention appears, be construed as including a power exercisable in a like manner and subject to like conditions, to amend that instrument.</w:t>
      </w:r>
      <w:r w:rsidR="00C242E3" w:rsidRPr="00BF4F5F">
        <w:rPr>
          <w:rFonts w:ascii="Arial" w:eastAsia="Times New Roman" w:hAnsi="Arial" w:cs="Arial"/>
          <w:lang w:eastAsia="en-AU"/>
        </w:rPr>
        <w:t> </w:t>
      </w:r>
    </w:p>
    <w:p w:rsidR="00417047" w:rsidRDefault="00C242E3">
      <w:pPr>
        <w:spacing w:before="120" w:after="120" w:line="240" w:lineRule="auto"/>
        <w:rPr>
          <w:rFonts w:ascii="Times New Roman" w:eastAsia="Times New Roman" w:hAnsi="Times New Roman" w:cs="Times New Roman"/>
          <w:sz w:val="24"/>
          <w:szCs w:val="24"/>
          <w:lang w:eastAsia="en-AU"/>
        </w:rPr>
      </w:pPr>
      <w:r w:rsidRPr="00C242E3">
        <w:rPr>
          <w:rFonts w:ascii="Arial" w:eastAsia="Times New Roman" w:hAnsi="Arial" w:cs="Arial"/>
          <w:b/>
          <w:bCs/>
          <w:lang w:eastAsia="en-AU"/>
        </w:rPr>
        <w:t>Legislative Provisions</w:t>
      </w:r>
    </w:p>
    <w:p w:rsidR="00417047" w:rsidRDefault="00C242E3">
      <w:pPr>
        <w:spacing w:before="120" w:after="0" w:line="240" w:lineRule="auto"/>
        <w:rPr>
          <w:rFonts w:ascii="Times New Roman" w:eastAsia="Times New Roman" w:hAnsi="Times New Roman" w:cs="Times New Roman"/>
          <w:sz w:val="24"/>
          <w:szCs w:val="24"/>
          <w:lang w:eastAsia="en-AU"/>
        </w:rPr>
      </w:pPr>
      <w:r w:rsidRPr="00C242E3">
        <w:rPr>
          <w:rFonts w:ascii="Arial" w:eastAsia="Times New Roman" w:hAnsi="Arial" w:cs="Arial"/>
          <w:lang w:eastAsia="en-AU"/>
        </w:rPr>
        <w:t>The</w:t>
      </w:r>
      <w:r w:rsidR="00D919D9">
        <w:rPr>
          <w:rFonts w:ascii="Arial" w:eastAsia="Times New Roman" w:hAnsi="Arial" w:cs="Arial"/>
          <w:lang w:eastAsia="en-AU"/>
        </w:rPr>
        <w:t xml:space="preserve"> </w:t>
      </w:r>
      <w:r w:rsidR="00C17BD4">
        <w:rPr>
          <w:rFonts w:ascii="Arial" w:eastAsia="Times New Roman" w:hAnsi="Arial" w:cs="Arial"/>
          <w:lang w:eastAsia="en-AU"/>
        </w:rPr>
        <w:t>Amendment</w:t>
      </w:r>
      <w:r w:rsidR="00D919D9">
        <w:rPr>
          <w:rFonts w:ascii="Arial" w:eastAsia="Times New Roman" w:hAnsi="Arial" w:cs="Arial"/>
          <w:lang w:eastAsia="en-AU"/>
        </w:rPr>
        <w:t xml:space="preserve"> </w:t>
      </w:r>
      <w:r w:rsidRPr="00C242E3">
        <w:rPr>
          <w:rFonts w:ascii="Arial" w:eastAsia="Times New Roman" w:hAnsi="Arial" w:cs="Arial"/>
          <w:lang w:eastAsia="en-AU"/>
        </w:rPr>
        <w:t xml:space="preserve">Determination is made under section 88 of </w:t>
      </w:r>
      <w:r w:rsidRPr="00C242E3">
        <w:rPr>
          <w:rFonts w:ascii="Arial" w:eastAsia="Times New Roman" w:hAnsi="Arial" w:cs="Arial"/>
          <w:i/>
          <w:iCs/>
          <w:lang w:eastAsia="en-AU"/>
        </w:rPr>
        <w:t>the Radiocommunications Act 1992</w:t>
      </w:r>
      <w:r w:rsidRPr="00C242E3">
        <w:rPr>
          <w:rFonts w:ascii="Arial" w:eastAsia="Times New Roman" w:hAnsi="Arial" w:cs="Arial"/>
          <w:lang w:eastAsia="en-AU"/>
        </w:rPr>
        <w:t xml:space="preserve"> (the </w:t>
      </w:r>
      <w:r w:rsidRPr="00C242E3">
        <w:rPr>
          <w:rFonts w:ascii="Arial" w:eastAsia="Times New Roman" w:hAnsi="Arial" w:cs="Arial"/>
          <w:b/>
          <w:bCs/>
          <w:lang w:eastAsia="en-AU"/>
        </w:rPr>
        <w:t>Act</w:t>
      </w:r>
      <w:r w:rsidRPr="00C242E3">
        <w:rPr>
          <w:rFonts w:ascii="Arial" w:eastAsia="Times New Roman" w:hAnsi="Arial" w:cs="Arial"/>
          <w:lang w:eastAsia="en-AU"/>
        </w:rPr>
        <w:t xml:space="preserve">) which provides that the Australian Communications and Media Authority (the </w:t>
      </w:r>
      <w:r w:rsidRPr="00C242E3">
        <w:rPr>
          <w:rFonts w:ascii="Arial" w:eastAsia="Times New Roman" w:hAnsi="Arial" w:cs="Arial"/>
          <w:b/>
          <w:bCs/>
          <w:lang w:eastAsia="en-AU"/>
        </w:rPr>
        <w:t>ACMA</w:t>
      </w:r>
      <w:r w:rsidRPr="00C242E3">
        <w:rPr>
          <w:rFonts w:ascii="Arial" w:eastAsia="Times New Roman" w:hAnsi="Arial" w:cs="Arial"/>
          <w:lang w:eastAsia="en-AU"/>
        </w:rPr>
        <w:t>) may determine rules for the assignment of spectrum licences and the circumstances in which licences can be varied, issued or cancelled as the result of an assignment.</w:t>
      </w:r>
    </w:p>
    <w:p w:rsidR="00417047" w:rsidRDefault="00C242E3">
      <w:pPr>
        <w:spacing w:before="120" w:after="0" w:line="240" w:lineRule="auto"/>
        <w:rPr>
          <w:rFonts w:ascii="Arial" w:eastAsia="Times New Roman" w:hAnsi="Arial" w:cs="Arial"/>
          <w:lang w:eastAsia="en-AU"/>
        </w:rPr>
      </w:pPr>
      <w:r w:rsidRPr="00C242E3">
        <w:rPr>
          <w:rFonts w:ascii="Arial" w:eastAsia="Times New Roman" w:hAnsi="Arial" w:cs="Arial"/>
          <w:lang w:eastAsia="en-AU"/>
        </w:rPr>
        <w:t xml:space="preserve">The </w:t>
      </w:r>
      <w:r w:rsidR="00C17BD4">
        <w:rPr>
          <w:rFonts w:ascii="Arial" w:eastAsia="Times New Roman" w:hAnsi="Arial" w:cs="Arial"/>
          <w:lang w:eastAsia="en-AU"/>
        </w:rPr>
        <w:t xml:space="preserve">Amendment </w:t>
      </w:r>
      <w:r w:rsidRPr="00C242E3">
        <w:rPr>
          <w:rFonts w:ascii="Arial" w:eastAsia="Times New Roman" w:hAnsi="Arial" w:cs="Arial"/>
          <w:lang w:eastAsia="en-AU"/>
        </w:rPr>
        <w:t xml:space="preserve">Determination is a legislative instrument for the purposes of the </w:t>
      </w:r>
      <w:r w:rsidRPr="00C242E3">
        <w:rPr>
          <w:rFonts w:ascii="Arial" w:eastAsia="Times New Roman" w:hAnsi="Arial" w:cs="Arial"/>
          <w:i/>
          <w:iCs/>
          <w:lang w:eastAsia="en-AU"/>
        </w:rPr>
        <w:t>Legislative Instruments Act 2003</w:t>
      </w:r>
      <w:r w:rsidRPr="00C242E3">
        <w:rPr>
          <w:rFonts w:ascii="Arial" w:eastAsia="Times New Roman" w:hAnsi="Arial" w:cs="Arial"/>
          <w:lang w:eastAsia="en-AU"/>
        </w:rPr>
        <w:t>.</w:t>
      </w:r>
    </w:p>
    <w:p w:rsidR="00981259" w:rsidRPr="00981259" w:rsidRDefault="00403DFF">
      <w:pPr>
        <w:spacing w:before="120" w:after="0" w:line="240" w:lineRule="auto"/>
        <w:rPr>
          <w:rFonts w:ascii="Arial" w:eastAsia="Times New Roman" w:hAnsi="Arial" w:cs="Arial"/>
          <w:sz w:val="24"/>
          <w:szCs w:val="24"/>
          <w:lang w:eastAsia="en-AU"/>
        </w:rPr>
      </w:pPr>
      <w:r w:rsidRPr="00403DFF">
        <w:rPr>
          <w:rFonts w:ascii="Arial" w:hAnsi="Arial" w:cs="Arial"/>
        </w:rPr>
        <w:t xml:space="preserve">Subsection 33(3) of the </w:t>
      </w:r>
      <w:r w:rsidRPr="00403DFF">
        <w:rPr>
          <w:rFonts w:ascii="Arial" w:hAnsi="Arial" w:cs="Arial"/>
          <w:i/>
          <w:iCs/>
        </w:rPr>
        <w:t>Acts Interpretation Act 1901</w:t>
      </w:r>
      <w:r w:rsidRPr="00403DFF">
        <w:rPr>
          <w:rFonts w:ascii="Arial" w:hAnsi="Arial" w:cs="Arial"/>
        </w:rPr>
        <w:t xml:space="preserve"> provides that when an Act confers a power to make an instrument, that power shall, unless the contrary intention appears, be construed as including a power exercisable in a like manner and subject to like conditions, to amend that instrument.</w:t>
      </w:r>
    </w:p>
    <w:p w:rsidR="00417047" w:rsidRDefault="00C242E3">
      <w:pPr>
        <w:spacing w:before="120" w:after="120" w:line="240" w:lineRule="auto"/>
        <w:rPr>
          <w:rFonts w:ascii="Times New Roman" w:eastAsia="Times New Roman" w:hAnsi="Times New Roman" w:cs="Times New Roman"/>
          <w:sz w:val="24"/>
          <w:szCs w:val="24"/>
          <w:lang w:eastAsia="en-AU"/>
        </w:rPr>
      </w:pPr>
      <w:r w:rsidRPr="00C242E3">
        <w:rPr>
          <w:rFonts w:ascii="Arial" w:eastAsia="Times New Roman" w:hAnsi="Arial" w:cs="Arial"/>
          <w:b/>
          <w:bCs/>
          <w:lang w:eastAsia="en-AU"/>
        </w:rPr>
        <w:t>Background</w:t>
      </w:r>
    </w:p>
    <w:p w:rsidR="00417047" w:rsidRDefault="007B75F2">
      <w:pPr>
        <w:spacing w:after="120" w:line="240" w:lineRule="auto"/>
        <w:rPr>
          <w:rFonts w:ascii="Arial" w:hAnsi="Arial" w:cs="Arial"/>
        </w:rPr>
      </w:pPr>
      <w:r w:rsidRPr="007B75F2">
        <w:rPr>
          <w:rFonts w:ascii="Arial" w:hAnsi="Arial" w:cs="Arial"/>
        </w:rPr>
        <w:t xml:space="preserve">The frequency range 2302-2400 MHz (‘the </w:t>
      </w:r>
      <w:r w:rsidRPr="00BF4F5F">
        <w:rPr>
          <w:rFonts w:ascii="Arial" w:hAnsi="Arial" w:cs="Arial"/>
          <w:b/>
        </w:rPr>
        <w:t>2.3 GHz band</w:t>
      </w:r>
      <w:r w:rsidRPr="007B75F2">
        <w:rPr>
          <w:rFonts w:ascii="Arial" w:hAnsi="Arial" w:cs="Arial"/>
        </w:rPr>
        <w:t xml:space="preserve">’) is currently allocated Australia-wide via the issue of spectrum licences. Existing spectrum licences in the band are due to expire on 24 July 2015. The ACMA reviews the technical frameworks for a spectrum-licensed band as licences approach expiry. This helps to ensure the framework remains current and can manage interference across the tenure period of a spectrum licences in a particular band, which may </w:t>
      </w:r>
      <w:r w:rsidR="003E6F3E" w:rsidRPr="00805C94">
        <w:rPr>
          <w:rFonts w:ascii="Arial" w:hAnsi="Arial" w:cs="Arial"/>
        </w:rPr>
        <w:t xml:space="preserve">be </w:t>
      </w:r>
      <w:r w:rsidRPr="007B75F2">
        <w:rPr>
          <w:rFonts w:ascii="Arial" w:hAnsi="Arial" w:cs="Arial"/>
        </w:rPr>
        <w:t xml:space="preserve">up to 15 years. </w:t>
      </w:r>
    </w:p>
    <w:p w:rsidR="00417047" w:rsidRDefault="008D6CA8">
      <w:pPr>
        <w:spacing w:after="80" w:line="240" w:lineRule="auto"/>
        <w:rPr>
          <w:rFonts w:ascii="Arial" w:hAnsi="Arial" w:cs="Arial"/>
          <w:iCs/>
        </w:rPr>
      </w:pPr>
      <w:r>
        <w:rPr>
          <w:rFonts w:ascii="Arial" w:hAnsi="Arial" w:cs="Arial"/>
          <w:iCs/>
        </w:rPr>
        <w:t>T</w:t>
      </w:r>
      <w:r w:rsidRPr="00805C94">
        <w:rPr>
          <w:rFonts w:ascii="Arial" w:hAnsi="Arial" w:cs="Arial"/>
          <w:iCs/>
        </w:rPr>
        <w:t xml:space="preserve">he ACMA established a Technical Liaison Group </w:t>
      </w:r>
      <w:r w:rsidR="004E69A9" w:rsidRPr="00BF4F5F">
        <w:rPr>
          <w:rFonts w:ascii="Arial" w:hAnsi="Arial" w:cs="Arial"/>
          <w:b/>
          <w:iCs/>
        </w:rPr>
        <w:t>(TLG)</w:t>
      </w:r>
      <w:r w:rsidR="004E69A9">
        <w:rPr>
          <w:rFonts w:ascii="Arial" w:hAnsi="Arial" w:cs="Arial"/>
          <w:iCs/>
        </w:rPr>
        <w:t xml:space="preserve"> </w:t>
      </w:r>
      <w:r w:rsidRPr="00805C94">
        <w:rPr>
          <w:rFonts w:ascii="Arial" w:hAnsi="Arial" w:cs="Arial"/>
          <w:iCs/>
        </w:rPr>
        <w:t xml:space="preserve">to assist in the review of the </w:t>
      </w:r>
      <w:r>
        <w:rPr>
          <w:rFonts w:ascii="Arial" w:hAnsi="Arial" w:cs="Arial"/>
          <w:iCs/>
        </w:rPr>
        <w:t xml:space="preserve">technical framework for the 2.3 GHz </w:t>
      </w:r>
      <w:r w:rsidRPr="00805C94">
        <w:rPr>
          <w:rFonts w:ascii="Arial" w:hAnsi="Arial" w:cs="Arial"/>
          <w:iCs/>
        </w:rPr>
        <w:t>band</w:t>
      </w:r>
      <w:r>
        <w:rPr>
          <w:rFonts w:ascii="Arial" w:hAnsi="Arial" w:cs="Arial"/>
          <w:iCs/>
        </w:rPr>
        <w:t xml:space="preserve"> in August 2012</w:t>
      </w:r>
      <w:r w:rsidRPr="00805C94">
        <w:rPr>
          <w:rFonts w:ascii="Arial" w:hAnsi="Arial" w:cs="Arial"/>
          <w:iCs/>
        </w:rPr>
        <w:t xml:space="preserve">. </w:t>
      </w:r>
      <w:r>
        <w:rPr>
          <w:rFonts w:ascii="Arial" w:hAnsi="Arial" w:cs="Arial"/>
          <w:iCs/>
        </w:rPr>
        <w:t xml:space="preserve">The TLG process involved consideration by the TLG of several iterations of proposed changes to the technical conditions that spectrum licensed devices would operate under in accordance with the Act. </w:t>
      </w:r>
    </w:p>
    <w:p w:rsidR="00417047" w:rsidRDefault="008D6CA8">
      <w:pPr>
        <w:spacing w:after="80" w:line="240" w:lineRule="auto"/>
        <w:rPr>
          <w:rFonts w:ascii="Arial" w:eastAsia="Times New Roman" w:hAnsi="Arial" w:cs="Arial"/>
          <w:lang w:eastAsia="en-AU"/>
        </w:rPr>
      </w:pPr>
      <w:r>
        <w:rPr>
          <w:rFonts w:ascii="Arial" w:hAnsi="Arial" w:cs="Arial"/>
          <w:iCs/>
        </w:rPr>
        <w:t xml:space="preserve">One of the regulatory issues considered by the TLG was the technical parameters of technologies and the need for updated trading rules to reflect the newer technologies capable of operating in the </w:t>
      </w:r>
      <w:r w:rsidR="00BF4F5F">
        <w:rPr>
          <w:rFonts w:ascii="Arial" w:hAnsi="Arial" w:cs="Arial"/>
          <w:iCs/>
        </w:rPr>
        <w:t xml:space="preserve">2.3 GHz </w:t>
      </w:r>
      <w:r>
        <w:rPr>
          <w:rFonts w:ascii="Arial" w:hAnsi="Arial" w:cs="Arial"/>
          <w:iCs/>
        </w:rPr>
        <w:t xml:space="preserve">band. </w:t>
      </w:r>
      <w:r w:rsidRPr="00805C94">
        <w:rPr>
          <w:rFonts w:ascii="Arial" w:hAnsi="Arial" w:cs="Arial"/>
          <w:iCs/>
        </w:rPr>
        <w:t xml:space="preserve"> </w:t>
      </w:r>
      <w:r>
        <w:rPr>
          <w:rFonts w:ascii="Arial" w:hAnsi="Arial" w:cs="Arial"/>
          <w:iCs/>
        </w:rPr>
        <w:t xml:space="preserve">As a result, the TLG recommended that the </w:t>
      </w:r>
      <w:r w:rsidR="00BF4F5F">
        <w:rPr>
          <w:rFonts w:ascii="Arial" w:hAnsi="Arial" w:cs="Arial"/>
          <w:iCs/>
        </w:rPr>
        <w:t xml:space="preserve">minimum contiguous bandwidth </w:t>
      </w:r>
      <w:r w:rsidR="00BF4F5F" w:rsidRPr="00BF4F5F">
        <w:rPr>
          <w:rFonts w:ascii="Arial" w:hAnsi="Arial" w:cs="Arial"/>
          <w:b/>
          <w:iCs/>
        </w:rPr>
        <w:t>(</w:t>
      </w:r>
      <w:r w:rsidRPr="00BF4F5F">
        <w:rPr>
          <w:rFonts w:ascii="Arial" w:hAnsi="Arial" w:cs="Arial"/>
          <w:b/>
          <w:iCs/>
        </w:rPr>
        <w:t>MCB</w:t>
      </w:r>
      <w:r w:rsidR="00BF4F5F" w:rsidRPr="00BF4F5F">
        <w:rPr>
          <w:rFonts w:ascii="Arial" w:hAnsi="Arial" w:cs="Arial"/>
          <w:b/>
          <w:iCs/>
        </w:rPr>
        <w:t>)</w:t>
      </w:r>
      <w:r>
        <w:rPr>
          <w:rFonts w:ascii="Arial" w:hAnsi="Arial" w:cs="Arial"/>
          <w:iCs/>
        </w:rPr>
        <w:t xml:space="preserve"> be increased from 3.5 MHz to 5 MHz to better align with the bandwidth of both existing and expected technologies. </w:t>
      </w:r>
    </w:p>
    <w:p w:rsidR="00417047" w:rsidRDefault="00C242E3">
      <w:pPr>
        <w:spacing w:before="120" w:after="120" w:line="240" w:lineRule="auto"/>
        <w:rPr>
          <w:rFonts w:ascii="Times New Roman" w:eastAsia="Times New Roman" w:hAnsi="Times New Roman" w:cs="Times New Roman"/>
          <w:sz w:val="24"/>
          <w:szCs w:val="24"/>
          <w:lang w:eastAsia="en-AU"/>
        </w:rPr>
      </w:pPr>
      <w:r w:rsidRPr="00C242E3">
        <w:rPr>
          <w:rFonts w:ascii="Arial" w:eastAsia="Times New Roman" w:hAnsi="Arial" w:cs="Arial"/>
          <w:b/>
          <w:bCs/>
          <w:lang w:eastAsia="en-AU"/>
        </w:rPr>
        <w:t>Operation</w:t>
      </w:r>
    </w:p>
    <w:p w:rsidR="00417047" w:rsidRDefault="008D6CA8">
      <w:pPr>
        <w:spacing w:before="120" w:after="120" w:line="240" w:lineRule="auto"/>
        <w:rPr>
          <w:rFonts w:ascii="Arial" w:hAnsi="Arial" w:cs="Arial"/>
          <w:iCs/>
        </w:rPr>
      </w:pPr>
      <w:r w:rsidRPr="001F2AD8">
        <w:rPr>
          <w:rFonts w:ascii="Arial" w:eastAsia="Times New Roman" w:hAnsi="Arial" w:cs="Arial"/>
          <w:lang w:eastAsia="en-AU"/>
        </w:rPr>
        <w:t xml:space="preserve">The Amendment Determination sets out the rules for the trading of spectrum licences. </w:t>
      </w:r>
      <w:r w:rsidR="002659F3">
        <w:rPr>
          <w:rFonts w:ascii="Arial" w:hAnsi="Arial" w:cs="Arial"/>
          <w:iCs/>
        </w:rPr>
        <w:t xml:space="preserve">The ACMA specifies the MCB in the Determination as it is </w:t>
      </w:r>
      <w:r w:rsidR="002659F3" w:rsidRPr="007B75F2">
        <w:rPr>
          <w:rFonts w:ascii="Arial" w:hAnsi="Arial" w:cs="Arial"/>
          <w:iCs/>
        </w:rPr>
        <w:t xml:space="preserve">the smallest contiguous bandwidth </w:t>
      </w:r>
      <w:r w:rsidR="002659F3" w:rsidRPr="007B75F2">
        <w:rPr>
          <w:rFonts w:ascii="Arial" w:hAnsi="Arial" w:cs="Arial"/>
          <w:iCs/>
        </w:rPr>
        <w:lastRenderedPageBreak/>
        <w:t xml:space="preserve">that can generally be licensed, and </w:t>
      </w:r>
      <w:r w:rsidR="002659F3">
        <w:rPr>
          <w:rFonts w:ascii="Arial" w:hAnsi="Arial" w:cs="Arial"/>
          <w:iCs/>
        </w:rPr>
        <w:t xml:space="preserve">ensures that </w:t>
      </w:r>
      <w:r w:rsidR="002659F3" w:rsidRPr="007B75F2">
        <w:rPr>
          <w:rFonts w:ascii="Arial" w:hAnsi="Arial" w:cs="Arial"/>
          <w:iCs/>
        </w:rPr>
        <w:t>the potential for fragmentation in the band</w:t>
      </w:r>
      <w:r w:rsidR="002659F3">
        <w:rPr>
          <w:rFonts w:ascii="Arial" w:hAnsi="Arial" w:cs="Arial"/>
          <w:iCs/>
        </w:rPr>
        <w:t xml:space="preserve"> is reduced.</w:t>
      </w:r>
    </w:p>
    <w:p w:rsidR="00417047" w:rsidRDefault="008D6CA8">
      <w:pPr>
        <w:spacing w:before="120" w:after="120" w:line="240" w:lineRule="auto"/>
        <w:rPr>
          <w:rFonts w:ascii="Arial" w:hAnsi="Arial" w:cs="Arial"/>
        </w:rPr>
      </w:pPr>
      <w:r w:rsidRPr="001F2AD8">
        <w:rPr>
          <w:rFonts w:ascii="Arial" w:hAnsi="Arial" w:cs="Arial"/>
        </w:rPr>
        <w:t xml:space="preserve">When spectrum licences were first issued in July 2000, the MCB defined for the 2.3 GHz band was set at 7 MHz. This aligned with the main technology used in the band at the time – Multipoint Distribution Systems (MDS) for the delivery of </w:t>
      </w:r>
      <w:r w:rsidR="002659F3">
        <w:rPr>
          <w:rFonts w:ascii="Arial" w:hAnsi="Arial" w:cs="Arial"/>
        </w:rPr>
        <w:t>television services</w:t>
      </w:r>
      <w:r w:rsidRPr="001F2AD8">
        <w:rPr>
          <w:rFonts w:ascii="Arial" w:hAnsi="Arial" w:cs="Arial"/>
        </w:rPr>
        <w:t xml:space="preserve">. </w:t>
      </w:r>
    </w:p>
    <w:p w:rsidR="00417047" w:rsidRDefault="002659F3">
      <w:pPr>
        <w:spacing w:before="120" w:after="120" w:line="240" w:lineRule="auto"/>
        <w:rPr>
          <w:rFonts w:ascii="Arial" w:hAnsi="Arial" w:cs="Arial"/>
        </w:rPr>
      </w:pPr>
      <w:r>
        <w:rPr>
          <w:rFonts w:ascii="Arial" w:hAnsi="Arial" w:cs="Arial"/>
        </w:rPr>
        <w:t>The ACMA amended the MCB to</w:t>
      </w:r>
      <w:r w:rsidR="008D6CA8" w:rsidRPr="001F2AD8">
        <w:rPr>
          <w:rFonts w:ascii="Arial" w:hAnsi="Arial" w:cs="Arial"/>
        </w:rPr>
        <w:t xml:space="preserve"> 3.5 MHz</w:t>
      </w:r>
      <w:r>
        <w:rPr>
          <w:rFonts w:ascii="Arial" w:hAnsi="Arial" w:cs="Arial"/>
        </w:rPr>
        <w:t xml:space="preserve"> in 2009</w:t>
      </w:r>
      <w:r w:rsidR="008D6CA8" w:rsidRPr="001F2AD8">
        <w:rPr>
          <w:rFonts w:ascii="Arial" w:hAnsi="Arial" w:cs="Arial"/>
        </w:rPr>
        <w:t xml:space="preserve">. This change was made to create a finer resolution in the MCB so it would be more representative of bandwidths used by </w:t>
      </w:r>
      <w:r>
        <w:rPr>
          <w:rFonts w:ascii="Arial" w:hAnsi="Arial" w:cs="Arial"/>
        </w:rPr>
        <w:t>fixed w</w:t>
      </w:r>
      <w:r w:rsidR="008D6CA8" w:rsidRPr="001F2AD8">
        <w:rPr>
          <w:rFonts w:ascii="Arial" w:hAnsi="Arial" w:cs="Arial"/>
        </w:rPr>
        <w:t xml:space="preserve">ireless </w:t>
      </w:r>
      <w:r>
        <w:rPr>
          <w:rFonts w:ascii="Arial" w:hAnsi="Arial" w:cs="Arial"/>
        </w:rPr>
        <w:t>a</w:t>
      </w:r>
      <w:r w:rsidR="008D6CA8" w:rsidRPr="001F2AD8">
        <w:rPr>
          <w:rFonts w:ascii="Arial" w:hAnsi="Arial" w:cs="Arial"/>
        </w:rPr>
        <w:t xml:space="preserve">ccess </w:t>
      </w:r>
      <w:r>
        <w:rPr>
          <w:rFonts w:ascii="Arial" w:hAnsi="Arial" w:cs="Arial"/>
        </w:rPr>
        <w:t>s</w:t>
      </w:r>
      <w:r w:rsidR="008D6CA8" w:rsidRPr="001F2AD8">
        <w:rPr>
          <w:rFonts w:ascii="Arial" w:hAnsi="Arial" w:cs="Arial"/>
        </w:rPr>
        <w:t xml:space="preserve">ervices </w:t>
      </w:r>
      <w:r>
        <w:rPr>
          <w:rFonts w:ascii="Arial" w:hAnsi="Arial" w:cs="Arial"/>
        </w:rPr>
        <w:t>technologies (broadband)</w:t>
      </w:r>
      <w:r w:rsidR="008D6CA8" w:rsidRPr="001F2AD8">
        <w:rPr>
          <w:rFonts w:ascii="Arial" w:hAnsi="Arial" w:cs="Arial"/>
        </w:rPr>
        <w:t xml:space="preserve"> while still supporting </w:t>
      </w:r>
      <w:r>
        <w:rPr>
          <w:rFonts w:ascii="Arial" w:hAnsi="Arial" w:cs="Arial"/>
        </w:rPr>
        <w:t xml:space="preserve">legacy </w:t>
      </w:r>
      <w:r w:rsidR="008D6CA8" w:rsidRPr="001F2AD8">
        <w:rPr>
          <w:rFonts w:ascii="Arial" w:hAnsi="Arial" w:cs="Arial"/>
        </w:rPr>
        <w:t>MDS</w:t>
      </w:r>
      <w:r>
        <w:rPr>
          <w:rFonts w:ascii="Arial" w:hAnsi="Arial" w:cs="Arial"/>
        </w:rPr>
        <w:t xml:space="preserve"> services</w:t>
      </w:r>
      <w:r w:rsidR="008D6CA8" w:rsidRPr="001F2AD8">
        <w:rPr>
          <w:rFonts w:ascii="Arial" w:hAnsi="Arial" w:cs="Arial"/>
        </w:rPr>
        <w:t xml:space="preserve">. </w:t>
      </w:r>
    </w:p>
    <w:p w:rsidR="00417047" w:rsidRDefault="008D6CA8">
      <w:pPr>
        <w:spacing w:before="120" w:after="120" w:line="240" w:lineRule="auto"/>
        <w:rPr>
          <w:rFonts w:ascii="Arial" w:hAnsi="Arial" w:cs="Arial"/>
        </w:rPr>
      </w:pPr>
      <w:r w:rsidRPr="001F2AD8">
        <w:rPr>
          <w:rFonts w:ascii="Arial" w:hAnsi="Arial" w:cs="Arial"/>
        </w:rPr>
        <w:t xml:space="preserve">MDS services are no longer operational in the 2.3 GHz band. Consequently, </w:t>
      </w:r>
      <w:r>
        <w:rPr>
          <w:rFonts w:ascii="Arial" w:hAnsi="Arial" w:cs="Arial"/>
        </w:rPr>
        <w:t xml:space="preserve">one of </w:t>
      </w:r>
      <w:r w:rsidRPr="001F2AD8">
        <w:rPr>
          <w:rFonts w:ascii="Arial" w:hAnsi="Arial" w:cs="Arial"/>
        </w:rPr>
        <w:t xml:space="preserve">the </w:t>
      </w:r>
      <w:r>
        <w:rPr>
          <w:rFonts w:ascii="Arial" w:hAnsi="Arial" w:cs="Arial"/>
        </w:rPr>
        <w:t>outcomes of the ACMA’s review of the technical framework for the 2.3 GHz band is to</w:t>
      </w:r>
      <w:r w:rsidR="002659F3">
        <w:rPr>
          <w:rFonts w:ascii="Arial" w:hAnsi="Arial" w:cs="Arial"/>
        </w:rPr>
        <w:t xml:space="preserve"> optimise the MCB for fixed wireless access services and fixed point-to-point services</w:t>
      </w:r>
      <w:r w:rsidRPr="001F2AD8">
        <w:rPr>
          <w:rFonts w:ascii="Arial" w:hAnsi="Arial" w:cs="Arial"/>
        </w:rPr>
        <w:t xml:space="preserve">, which </w:t>
      </w:r>
      <w:r w:rsidR="002659F3">
        <w:rPr>
          <w:rFonts w:ascii="Arial" w:hAnsi="Arial" w:cs="Arial"/>
        </w:rPr>
        <w:t>use technologies that operate in bandwidths using</w:t>
      </w:r>
      <w:r w:rsidRPr="001F2AD8">
        <w:rPr>
          <w:rFonts w:ascii="Arial" w:hAnsi="Arial" w:cs="Arial"/>
        </w:rPr>
        <w:t xml:space="preserve"> multiples of 5 MHz.</w:t>
      </w:r>
    </w:p>
    <w:p w:rsidR="00417047" w:rsidRDefault="002659F3">
      <w:pPr>
        <w:spacing w:before="120" w:after="120" w:line="240" w:lineRule="auto"/>
        <w:rPr>
          <w:rFonts w:ascii="Arial" w:hAnsi="Arial" w:cs="Arial"/>
        </w:rPr>
      </w:pPr>
      <w:r>
        <w:rPr>
          <w:rFonts w:ascii="Arial" w:hAnsi="Arial" w:cs="Arial"/>
          <w:iCs/>
        </w:rPr>
        <w:t>The Amendment</w:t>
      </w:r>
      <w:r w:rsidR="008D6CA8" w:rsidRPr="001F2AD8">
        <w:rPr>
          <w:rFonts w:ascii="Arial" w:hAnsi="Arial" w:cs="Arial"/>
          <w:iCs/>
        </w:rPr>
        <w:t xml:space="preserve"> Determination </w:t>
      </w:r>
      <w:r>
        <w:rPr>
          <w:rFonts w:ascii="Arial" w:hAnsi="Arial" w:cs="Arial"/>
          <w:iCs/>
        </w:rPr>
        <w:t>changes</w:t>
      </w:r>
      <w:r w:rsidR="008D6CA8" w:rsidRPr="001F2AD8">
        <w:rPr>
          <w:rFonts w:ascii="Arial" w:hAnsi="Arial" w:cs="Arial"/>
        </w:rPr>
        <w:t xml:space="preserve"> the</w:t>
      </w:r>
      <w:r>
        <w:rPr>
          <w:rFonts w:ascii="Arial" w:hAnsi="Arial" w:cs="Arial"/>
        </w:rPr>
        <w:t xml:space="preserve"> MCB for the 2</w:t>
      </w:r>
      <w:r w:rsidR="00BF4F5F">
        <w:rPr>
          <w:rFonts w:ascii="Arial" w:hAnsi="Arial" w:cs="Arial"/>
        </w:rPr>
        <w:t>.</w:t>
      </w:r>
      <w:r>
        <w:rPr>
          <w:rFonts w:ascii="Arial" w:hAnsi="Arial" w:cs="Arial"/>
        </w:rPr>
        <w:t xml:space="preserve">3 </w:t>
      </w:r>
      <w:r w:rsidR="00BF4F5F">
        <w:rPr>
          <w:rFonts w:ascii="Arial" w:hAnsi="Arial" w:cs="Arial"/>
        </w:rPr>
        <w:t xml:space="preserve">GHz </w:t>
      </w:r>
      <w:r>
        <w:rPr>
          <w:rFonts w:ascii="Arial" w:hAnsi="Arial" w:cs="Arial"/>
        </w:rPr>
        <w:t>band from 3.5 </w:t>
      </w:r>
      <w:r w:rsidR="008D6CA8" w:rsidRPr="001F2AD8">
        <w:rPr>
          <w:rFonts w:ascii="Arial" w:hAnsi="Arial" w:cs="Arial"/>
        </w:rPr>
        <w:t xml:space="preserve">MHz to 5 MHz. </w:t>
      </w:r>
    </w:p>
    <w:p w:rsidR="00417047" w:rsidRDefault="00623830">
      <w:pPr>
        <w:spacing w:before="120" w:after="120" w:line="240" w:lineRule="auto"/>
        <w:rPr>
          <w:rFonts w:ascii="Times New Roman" w:eastAsia="Times New Roman" w:hAnsi="Times New Roman" w:cs="Times New Roman"/>
          <w:sz w:val="24"/>
          <w:szCs w:val="24"/>
          <w:lang w:eastAsia="en-AU"/>
        </w:rPr>
      </w:pPr>
      <w:r w:rsidRPr="007A19B0">
        <w:rPr>
          <w:rFonts w:ascii="Arial" w:eastAsia="Times New Roman" w:hAnsi="Arial" w:cs="Arial"/>
          <w:b/>
          <w:bCs/>
          <w:lang w:eastAsia="en-AU"/>
        </w:rPr>
        <w:t>Consultation</w:t>
      </w:r>
    </w:p>
    <w:p w:rsidR="00417047" w:rsidRDefault="00623830">
      <w:pPr>
        <w:spacing w:before="120" w:after="120" w:line="240" w:lineRule="auto"/>
        <w:rPr>
          <w:rFonts w:ascii="Arial" w:hAnsi="Arial" w:cs="Arial"/>
        </w:rPr>
      </w:pPr>
      <w:r w:rsidRPr="007A19B0">
        <w:rPr>
          <w:rFonts w:ascii="Arial" w:eastAsia="Times New Roman" w:hAnsi="Arial" w:cs="Arial"/>
          <w:lang w:eastAsia="en-AU"/>
        </w:rPr>
        <w:t xml:space="preserve">The ACMA has consulted extensively with stakeholders about its plans to update the spectrum licensed technical framework for the 2.3 GHz band. </w:t>
      </w:r>
      <w:r w:rsidRPr="007A19B0">
        <w:rPr>
          <w:rFonts w:ascii="Arial" w:hAnsi="Arial" w:cs="Arial"/>
        </w:rPr>
        <w:t xml:space="preserve">The ACMA received </w:t>
      </w:r>
      <w:r w:rsidR="007A19B0">
        <w:rPr>
          <w:rFonts w:ascii="Arial" w:hAnsi="Arial" w:cs="Arial"/>
        </w:rPr>
        <w:t xml:space="preserve">two </w:t>
      </w:r>
      <w:r w:rsidRPr="007A19B0">
        <w:rPr>
          <w:rFonts w:ascii="Arial" w:hAnsi="Arial" w:cs="Arial"/>
        </w:rPr>
        <w:t xml:space="preserve">submissions in response to its consultation process. </w:t>
      </w:r>
      <w:r w:rsidR="007A19B0">
        <w:rPr>
          <w:rFonts w:ascii="Arial" w:hAnsi="Arial" w:cs="Arial"/>
        </w:rPr>
        <w:t>Neither respondent</w:t>
      </w:r>
      <w:r w:rsidRPr="007A19B0">
        <w:rPr>
          <w:rFonts w:ascii="Arial" w:hAnsi="Arial" w:cs="Arial"/>
        </w:rPr>
        <w:t xml:space="preserve"> commented on the proposed amendment to the MCB specified in the Determination. </w:t>
      </w:r>
    </w:p>
    <w:p w:rsidR="00417047" w:rsidRDefault="00623830">
      <w:pPr>
        <w:spacing w:line="240" w:lineRule="auto"/>
        <w:rPr>
          <w:rFonts w:ascii="Arial" w:eastAsia="Times New Roman" w:hAnsi="Arial" w:cs="Arial"/>
          <w:sz w:val="24"/>
          <w:szCs w:val="24"/>
          <w:lang w:eastAsia="en-AU"/>
        </w:rPr>
      </w:pPr>
      <w:r w:rsidRPr="007A19B0">
        <w:rPr>
          <w:rFonts w:ascii="Arial" w:eastAsia="Times New Roman" w:hAnsi="Arial" w:cs="Arial"/>
          <w:lang w:eastAsia="en-AU"/>
        </w:rPr>
        <w:t xml:space="preserve">All written submissions from this consultation process are available on the ACMA’s website at </w:t>
      </w:r>
      <w:hyperlink r:id="rId9" w:history="1">
        <w:r w:rsidRPr="007A19B0">
          <w:rPr>
            <w:rFonts w:ascii="Arial" w:eastAsia="Times New Roman" w:hAnsi="Arial" w:cs="Arial"/>
            <w:color w:val="0000FF"/>
            <w:u w:val="single"/>
            <w:lang w:eastAsia="en-AU"/>
          </w:rPr>
          <w:t>www.acma.gov.au</w:t>
        </w:r>
      </w:hyperlink>
      <w:r w:rsidRPr="007A19B0">
        <w:rPr>
          <w:rFonts w:ascii="Arial" w:eastAsia="Times New Roman" w:hAnsi="Arial" w:cs="Arial"/>
          <w:lang w:eastAsia="en-AU"/>
        </w:rPr>
        <w:t>.</w:t>
      </w:r>
    </w:p>
    <w:p w:rsidR="00417047" w:rsidRDefault="00C242E3">
      <w:pPr>
        <w:spacing w:before="120" w:after="120" w:line="240" w:lineRule="auto"/>
        <w:rPr>
          <w:rFonts w:ascii="Times New Roman" w:eastAsia="Times New Roman" w:hAnsi="Times New Roman" w:cs="Times New Roman"/>
          <w:sz w:val="24"/>
          <w:szCs w:val="24"/>
          <w:lang w:eastAsia="en-AU"/>
        </w:rPr>
      </w:pPr>
      <w:r w:rsidRPr="00C242E3">
        <w:rPr>
          <w:rFonts w:ascii="Arial" w:eastAsia="Times New Roman" w:hAnsi="Arial" w:cs="Arial"/>
          <w:b/>
          <w:bCs/>
          <w:lang w:eastAsia="en-AU"/>
        </w:rPr>
        <w:t>Statement of compatibility with human rights</w:t>
      </w:r>
    </w:p>
    <w:p w:rsidR="00417047" w:rsidRDefault="00C242E3">
      <w:pPr>
        <w:spacing w:before="120" w:after="120" w:line="240" w:lineRule="auto"/>
        <w:rPr>
          <w:rFonts w:ascii="Times New Roman" w:eastAsia="Times New Roman" w:hAnsi="Times New Roman" w:cs="Times New Roman"/>
          <w:sz w:val="24"/>
          <w:szCs w:val="24"/>
          <w:lang w:eastAsia="en-AU"/>
        </w:rPr>
      </w:pPr>
      <w:r w:rsidRPr="00C242E3">
        <w:rPr>
          <w:rFonts w:ascii="Arial" w:eastAsia="Times New Roman" w:hAnsi="Arial" w:cs="Arial"/>
          <w:lang w:eastAsia="en-AU"/>
        </w:rPr>
        <w:t xml:space="preserve">Subsection 9 (1) of the </w:t>
      </w:r>
      <w:r w:rsidRPr="00C242E3">
        <w:rPr>
          <w:rFonts w:ascii="Arial" w:eastAsia="Times New Roman" w:hAnsi="Arial" w:cs="Arial"/>
          <w:i/>
          <w:iCs/>
          <w:lang w:eastAsia="en-AU"/>
        </w:rPr>
        <w:t>Human Rights (Parliamentary Scrutiny) Act 2011</w:t>
      </w:r>
      <w:r w:rsidRPr="00C242E3">
        <w:rPr>
          <w:rFonts w:ascii="Arial" w:eastAsia="Times New Roman" w:hAnsi="Arial" w:cs="Arial"/>
          <w:lang w:eastAsia="en-AU"/>
        </w:rPr>
        <w:t xml:space="preserve"> requires the rule maker in relation to a legislative instrument to which section 42 (disallowance) of the </w:t>
      </w:r>
      <w:r w:rsidRPr="00C242E3">
        <w:rPr>
          <w:rFonts w:ascii="Arial" w:eastAsia="Times New Roman" w:hAnsi="Arial" w:cs="Arial"/>
          <w:i/>
          <w:iCs/>
          <w:lang w:eastAsia="en-AU"/>
        </w:rPr>
        <w:t>Legislative Instruments Act 2003</w:t>
      </w:r>
      <w:r w:rsidRPr="00C242E3">
        <w:rPr>
          <w:rFonts w:ascii="Arial" w:eastAsia="Times New Roman" w:hAnsi="Arial" w:cs="Arial"/>
          <w:lang w:eastAsia="en-AU"/>
        </w:rPr>
        <w:t xml:space="preserve"> applies to cause a statement of compatibility to be prepared in respect of that legislative instrument. This statement is in </w:t>
      </w:r>
      <w:r w:rsidRPr="00C242E3">
        <w:rPr>
          <w:rFonts w:ascii="Arial" w:eastAsia="Times New Roman" w:hAnsi="Arial" w:cs="Arial"/>
          <w:b/>
          <w:bCs/>
          <w:lang w:eastAsia="en-AU"/>
        </w:rPr>
        <w:t>Attachment B</w:t>
      </w:r>
      <w:r w:rsidRPr="00C242E3">
        <w:rPr>
          <w:rFonts w:ascii="Arial" w:eastAsia="Times New Roman" w:hAnsi="Arial" w:cs="Arial"/>
          <w:lang w:eastAsia="en-AU"/>
        </w:rPr>
        <w:t>.</w:t>
      </w:r>
    </w:p>
    <w:p w:rsidR="00417047" w:rsidRDefault="00C242E3">
      <w:pPr>
        <w:spacing w:before="120" w:after="120" w:line="240" w:lineRule="auto"/>
        <w:rPr>
          <w:rFonts w:ascii="Times New Roman" w:eastAsia="Times New Roman" w:hAnsi="Times New Roman" w:cs="Times New Roman"/>
          <w:sz w:val="24"/>
          <w:szCs w:val="24"/>
          <w:lang w:eastAsia="en-AU"/>
        </w:rPr>
      </w:pPr>
      <w:r w:rsidRPr="00C242E3">
        <w:rPr>
          <w:rFonts w:ascii="Arial" w:eastAsia="Times New Roman" w:hAnsi="Arial" w:cs="Arial"/>
          <w:b/>
          <w:bCs/>
          <w:lang w:eastAsia="en-AU"/>
        </w:rPr>
        <w:t xml:space="preserve">Regulatory Impact </w:t>
      </w:r>
    </w:p>
    <w:p w:rsidR="00BF4F5F" w:rsidRDefault="00C242E3">
      <w:pPr>
        <w:spacing w:before="120" w:after="120" w:line="240" w:lineRule="auto"/>
        <w:rPr>
          <w:rFonts w:ascii="Arial" w:eastAsia="Times New Roman" w:hAnsi="Arial" w:cs="Arial"/>
          <w:lang w:eastAsia="en-AU"/>
        </w:rPr>
      </w:pPr>
      <w:r w:rsidRPr="00C242E3">
        <w:rPr>
          <w:rFonts w:ascii="Arial" w:eastAsia="Times New Roman" w:hAnsi="Arial" w:cs="Arial"/>
          <w:lang w:eastAsia="en-AU"/>
        </w:rPr>
        <w:t xml:space="preserve">The ACMA consulted with the Office of Best Practice Regulation (the </w:t>
      </w:r>
      <w:r w:rsidRPr="00C242E3">
        <w:rPr>
          <w:rFonts w:ascii="Arial" w:eastAsia="Times New Roman" w:hAnsi="Arial" w:cs="Arial"/>
          <w:b/>
          <w:bCs/>
          <w:lang w:eastAsia="en-AU"/>
        </w:rPr>
        <w:t>OBPR</w:t>
      </w:r>
      <w:r w:rsidRPr="00C242E3">
        <w:rPr>
          <w:rFonts w:ascii="Arial" w:eastAsia="Times New Roman" w:hAnsi="Arial" w:cs="Arial"/>
          <w:lang w:eastAsia="en-AU"/>
        </w:rPr>
        <w:t>) on the requirement for a Regulation Impact Statement (</w:t>
      </w:r>
      <w:r w:rsidRPr="00C242E3">
        <w:rPr>
          <w:rFonts w:ascii="Arial" w:eastAsia="Times New Roman" w:hAnsi="Arial" w:cs="Arial"/>
          <w:b/>
          <w:bCs/>
          <w:lang w:eastAsia="en-AU"/>
        </w:rPr>
        <w:t>RIS</w:t>
      </w:r>
      <w:r w:rsidRPr="00C242E3">
        <w:rPr>
          <w:rFonts w:ascii="Arial" w:eastAsia="Times New Roman" w:hAnsi="Arial" w:cs="Arial"/>
          <w:lang w:eastAsia="en-AU"/>
        </w:rPr>
        <w:t xml:space="preserve">) for this legislative instrument. The OBPR advised that this Determination does not warrant the preparation of a RIS as it will only have minor impacts – OBPR reference </w:t>
      </w:r>
      <w:r w:rsidR="005E656A" w:rsidRPr="00C242E3">
        <w:rPr>
          <w:rFonts w:ascii="Arial" w:eastAsia="Times New Roman" w:hAnsi="Arial" w:cs="Arial"/>
          <w:lang w:eastAsia="en-AU"/>
        </w:rPr>
        <w:t>ID</w:t>
      </w:r>
      <w:r w:rsidR="005E656A">
        <w:rPr>
          <w:rFonts w:ascii="Arial" w:eastAsia="Times New Roman" w:hAnsi="Arial" w:cs="Arial"/>
          <w:lang w:eastAsia="en-AU"/>
        </w:rPr>
        <w:t>16044</w:t>
      </w:r>
      <w:r w:rsidRPr="00C242E3">
        <w:rPr>
          <w:rFonts w:ascii="Arial" w:eastAsia="Times New Roman" w:hAnsi="Arial" w:cs="Arial"/>
          <w:lang w:eastAsia="en-AU"/>
        </w:rPr>
        <w:t>.</w:t>
      </w:r>
    </w:p>
    <w:p w:rsidR="00BF4F5F" w:rsidRDefault="00BF4F5F">
      <w:pPr>
        <w:spacing w:before="120" w:after="120" w:line="240" w:lineRule="auto"/>
        <w:rPr>
          <w:rFonts w:ascii="Arial" w:eastAsia="Times New Roman" w:hAnsi="Arial" w:cs="Arial"/>
          <w:lang w:eastAsia="en-AU"/>
        </w:rPr>
      </w:pPr>
    </w:p>
    <w:p w:rsidR="00417047" w:rsidRDefault="00C242E3">
      <w:pPr>
        <w:spacing w:before="120" w:after="120" w:line="240" w:lineRule="auto"/>
        <w:rPr>
          <w:rFonts w:ascii="Times New Roman" w:eastAsia="Times New Roman" w:hAnsi="Times New Roman" w:cs="Times New Roman"/>
          <w:sz w:val="24"/>
          <w:szCs w:val="24"/>
          <w:lang w:eastAsia="en-AU"/>
        </w:rPr>
      </w:pPr>
      <w:r w:rsidRPr="00C242E3">
        <w:rPr>
          <w:rFonts w:ascii="Arial" w:eastAsia="Times New Roman" w:hAnsi="Arial" w:cs="Arial"/>
          <w:b/>
          <w:bCs/>
          <w:lang w:eastAsia="en-AU"/>
        </w:rPr>
        <w:t>Detailed Description of the</w:t>
      </w:r>
      <w:r w:rsidR="00BF4F5F">
        <w:rPr>
          <w:rFonts w:ascii="Arial" w:eastAsia="Times New Roman" w:hAnsi="Arial" w:cs="Arial"/>
          <w:b/>
          <w:bCs/>
          <w:lang w:eastAsia="en-AU"/>
        </w:rPr>
        <w:t xml:space="preserve"> Amendment</w:t>
      </w:r>
      <w:r w:rsidRPr="00C242E3">
        <w:rPr>
          <w:rFonts w:ascii="Arial" w:eastAsia="Times New Roman" w:hAnsi="Arial" w:cs="Arial"/>
          <w:b/>
          <w:bCs/>
          <w:lang w:eastAsia="en-AU"/>
        </w:rPr>
        <w:t xml:space="preserve"> Determination</w:t>
      </w:r>
    </w:p>
    <w:p w:rsidR="00417047" w:rsidRDefault="00C242E3">
      <w:pPr>
        <w:spacing w:before="120" w:after="120" w:line="240" w:lineRule="auto"/>
        <w:rPr>
          <w:rFonts w:ascii="Times New Roman" w:eastAsia="Times New Roman" w:hAnsi="Times New Roman" w:cs="Times New Roman"/>
          <w:sz w:val="24"/>
          <w:szCs w:val="24"/>
          <w:lang w:eastAsia="en-AU"/>
        </w:rPr>
      </w:pPr>
      <w:r w:rsidRPr="00C242E3">
        <w:rPr>
          <w:rFonts w:ascii="Arial" w:eastAsia="Times New Roman" w:hAnsi="Arial" w:cs="Arial"/>
          <w:lang w:eastAsia="en-AU"/>
        </w:rPr>
        <w:t xml:space="preserve">Details of the </w:t>
      </w:r>
      <w:r w:rsidR="00BF4F5F">
        <w:rPr>
          <w:rFonts w:ascii="Arial" w:eastAsia="Times New Roman" w:hAnsi="Arial" w:cs="Arial"/>
          <w:b/>
          <w:bCs/>
          <w:lang w:eastAsia="en-AU"/>
        </w:rPr>
        <w:t>Amendment</w:t>
      </w:r>
      <w:r w:rsidR="00BF4F5F" w:rsidRPr="00C242E3">
        <w:rPr>
          <w:rFonts w:ascii="Arial" w:eastAsia="Times New Roman" w:hAnsi="Arial" w:cs="Arial"/>
          <w:lang w:eastAsia="en-AU"/>
        </w:rPr>
        <w:t xml:space="preserve"> </w:t>
      </w:r>
      <w:r w:rsidRPr="00C242E3">
        <w:rPr>
          <w:rFonts w:ascii="Arial" w:eastAsia="Times New Roman" w:hAnsi="Arial" w:cs="Arial"/>
          <w:lang w:eastAsia="en-AU"/>
        </w:rPr>
        <w:t xml:space="preserve">Determination are set out in </w:t>
      </w:r>
      <w:r w:rsidRPr="00C242E3">
        <w:rPr>
          <w:rFonts w:ascii="Arial" w:eastAsia="Times New Roman" w:hAnsi="Arial" w:cs="Arial"/>
          <w:b/>
          <w:bCs/>
          <w:lang w:eastAsia="en-AU"/>
        </w:rPr>
        <w:t>Attachment A</w:t>
      </w:r>
      <w:r w:rsidRPr="00C242E3">
        <w:rPr>
          <w:rFonts w:ascii="Arial" w:eastAsia="Times New Roman" w:hAnsi="Arial" w:cs="Arial"/>
          <w:lang w:eastAsia="en-AU"/>
        </w:rPr>
        <w:t>.</w:t>
      </w:r>
    </w:p>
    <w:p w:rsidR="00417047" w:rsidRDefault="00C242E3" w:rsidP="00BF4F5F">
      <w:pPr>
        <w:spacing w:before="120" w:after="120" w:line="240" w:lineRule="auto"/>
        <w:rPr>
          <w:rFonts w:ascii="Times New Roman" w:eastAsia="Times New Roman" w:hAnsi="Times New Roman" w:cs="Times New Roman"/>
          <w:sz w:val="24"/>
          <w:szCs w:val="24"/>
          <w:lang w:eastAsia="en-AU"/>
        </w:rPr>
      </w:pPr>
      <w:r w:rsidRPr="00C242E3">
        <w:rPr>
          <w:rFonts w:ascii="Arial" w:eastAsia="Times New Roman" w:hAnsi="Arial" w:cs="Arial"/>
          <w:b/>
          <w:bCs/>
          <w:lang w:eastAsia="en-AU"/>
        </w:rPr>
        <w:t>ATTACHMENT A</w:t>
      </w:r>
    </w:p>
    <w:p w:rsidR="00417047" w:rsidRDefault="00C242E3">
      <w:pPr>
        <w:spacing w:before="120" w:after="120" w:line="240" w:lineRule="auto"/>
        <w:rPr>
          <w:rFonts w:ascii="Times New Roman" w:eastAsia="Times New Roman" w:hAnsi="Times New Roman" w:cs="Times New Roman"/>
          <w:sz w:val="24"/>
          <w:szCs w:val="24"/>
          <w:lang w:eastAsia="en-AU"/>
        </w:rPr>
      </w:pPr>
      <w:r w:rsidRPr="00C242E3">
        <w:rPr>
          <w:rFonts w:ascii="Arial" w:eastAsia="Times New Roman" w:hAnsi="Arial" w:cs="Arial"/>
          <w:b/>
          <w:bCs/>
          <w:lang w:eastAsia="en-AU"/>
        </w:rPr>
        <w:t xml:space="preserve">DETAILS OF THE RADIOCOMMUNICATIONS (TRADING RULES FOR SPECTRUM LICENCES) </w:t>
      </w:r>
      <w:r w:rsidR="00C17BD4">
        <w:rPr>
          <w:rFonts w:ascii="Arial" w:eastAsia="Times New Roman" w:hAnsi="Arial" w:cs="Arial"/>
          <w:b/>
          <w:bCs/>
          <w:lang w:eastAsia="en-AU"/>
        </w:rPr>
        <w:t xml:space="preserve">AMENDMENT </w:t>
      </w:r>
      <w:r w:rsidRPr="00C242E3">
        <w:rPr>
          <w:rFonts w:ascii="Arial" w:eastAsia="Times New Roman" w:hAnsi="Arial" w:cs="Arial"/>
          <w:b/>
          <w:bCs/>
          <w:lang w:eastAsia="en-AU"/>
        </w:rPr>
        <w:t>DETERMINATION 201</w:t>
      </w:r>
      <w:r w:rsidR="00C17BD4">
        <w:rPr>
          <w:rFonts w:ascii="Arial" w:eastAsia="Times New Roman" w:hAnsi="Arial" w:cs="Arial"/>
          <w:b/>
          <w:bCs/>
          <w:lang w:eastAsia="en-AU"/>
        </w:rPr>
        <w:t>3</w:t>
      </w:r>
    </w:p>
    <w:p w:rsidR="00417047" w:rsidRDefault="00C242E3">
      <w:pPr>
        <w:spacing w:before="120" w:after="120" w:line="240" w:lineRule="auto"/>
        <w:rPr>
          <w:rFonts w:ascii="Times New Roman" w:eastAsia="Times New Roman" w:hAnsi="Times New Roman" w:cs="Times New Roman"/>
          <w:sz w:val="24"/>
          <w:szCs w:val="24"/>
          <w:lang w:eastAsia="en-AU"/>
        </w:rPr>
      </w:pPr>
      <w:r w:rsidRPr="00C242E3">
        <w:rPr>
          <w:rFonts w:ascii="Arial" w:eastAsia="Times New Roman" w:hAnsi="Arial" w:cs="Arial"/>
          <w:b/>
          <w:bCs/>
          <w:lang w:eastAsia="en-AU"/>
        </w:rPr>
        <w:t>Section 1 – Title</w:t>
      </w:r>
    </w:p>
    <w:p w:rsidR="00417047" w:rsidRDefault="00C242E3">
      <w:pPr>
        <w:spacing w:before="120" w:after="120" w:line="240" w:lineRule="auto"/>
        <w:rPr>
          <w:rFonts w:ascii="Times New Roman" w:eastAsia="Times New Roman" w:hAnsi="Times New Roman" w:cs="Times New Roman"/>
          <w:sz w:val="24"/>
          <w:szCs w:val="24"/>
          <w:lang w:eastAsia="en-AU"/>
        </w:rPr>
      </w:pPr>
      <w:r w:rsidRPr="00C242E3">
        <w:rPr>
          <w:rFonts w:ascii="Arial" w:eastAsia="Times New Roman" w:hAnsi="Arial" w:cs="Arial"/>
          <w:lang w:eastAsia="en-AU"/>
        </w:rPr>
        <w:t xml:space="preserve">This section provides that the name of the </w:t>
      </w:r>
      <w:r w:rsidR="00BF4F5F">
        <w:rPr>
          <w:rFonts w:ascii="Arial" w:eastAsia="Times New Roman" w:hAnsi="Arial" w:cs="Arial"/>
          <w:b/>
          <w:bCs/>
          <w:lang w:eastAsia="en-AU"/>
        </w:rPr>
        <w:t>Amendment</w:t>
      </w:r>
      <w:r w:rsidR="00BF4F5F" w:rsidRPr="00C242E3">
        <w:rPr>
          <w:rFonts w:ascii="Arial" w:eastAsia="Times New Roman" w:hAnsi="Arial" w:cs="Arial"/>
          <w:lang w:eastAsia="en-AU"/>
        </w:rPr>
        <w:t xml:space="preserve"> </w:t>
      </w:r>
      <w:r w:rsidRPr="00C242E3">
        <w:rPr>
          <w:rFonts w:ascii="Arial" w:eastAsia="Times New Roman" w:hAnsi="Arial" w:cs="Arial"/>
          <w:lang w:eastAsia="en-AU"/>
        </w:rPr>
        <w:t xml:space="preserve">Determination is the </w:t>
      </w:r>
      <w:r w:rsidRPr="00C242E3">
        <w:rPr>
          <w:rFonts w:ascii="Arial" w:eastAsia="Times New Roman" w:hAnsi="Arial" w:cs="Arial"/>
          <w:i/>
          <w:iCs/>
          <w:lang w:eastAsia="en-AU"/>
        </w:rPr>
        <w:t xml:space="preserve">Radiocommunications (Trading Rules for Spectrum Licences) </w:t>
      </w:r>
      <w:r w:rsidR="00C17BD4">
        <w:rPr>
          <w:rFonts w:ascii="Arial" w:eastAsia="Times New Roman" w:hAnsi="Arial" w:cs="Arial"/>
          <w:i/>
          <w:iCs/>
          <w:lang w:eastAsia="en-AU"/>
        </w:rPr>
        <w:t xml:space="preserve">Amendment </w:t>
      </w:r>
      <w:r w:rsidRPr="00C242E3">
        <w:rPr>
          <w:rFonts w:ascii="Arial" w:eastAsia="Times New Roman" w:hAnsi="Arial" w:cs="Arial"/>
          <w:i/>
          <w:iCs/>
          <w:lang w:eastAsia="en-AU"/>
        </w:rPr>
        <w:t>Determination 201</w:t>
      </w:r>
      <w:r w:rsidR="00C17BD4">
        <w:rPr>
          <w:rFonts w:ascii="Arial" w:eastAsia="Times New Roman" w:hAnsi="Arial" w:cs="Arial"/>
          <w:i/>
          <w:iCs/>
          <w:lang w:eastAsia="en-AU"/>
        </w:rPr>
        <w:t>3</w:t>
      </w:r>
      <w:r w:rsidRPr="00C242E3">
        <w:rPr>
          <w:rFonts w:ascii="Arial" w:eastAsia="Times New Roman" w:hAnsi="Arial" w:cs="Arial"/>
          <w:i/>
          <w:iCs/>
          <w:lang w:eastAsia="en-AU"/>
        </w:rPr>
        <w:t xml:space="preserve">. </w:t>
      </w:r>
    </w:p>
    <w:p w:rsidR="00417047" w:rsidRDefault="00C242E3">
      <w:pPr>
        <w:spacing w:before="120" w:after="120" w:line="240" w:lineRule="auto"/>
        <w:rPr>
          <w:rFonts w:ascii="Times New Roman" w:eastAsia="Times New Roman" w:hAnsi="Times New Roman" w:cs="Times New Roman"/>
          <w:sz w:val="24"/>
          <w:szCs w:val="24"/>
          <w:lang w:eastAsia="en-AU"/>
        </w:rPr>
      </w:pPr>
      <w:r w:rsidRPr="00C242E3">
        <w:rPr>
          <w:rFonts w:ascii="Arial" w:eastAsia="Times New Roman" w:hAnsi="Arial" w:cs="Arial"/>
          <w:b/>
          <w:bCs/>
          <w:lang w:eastAsia="en-AU"/>
        </w:rPr>
        <w:t xml:space="preserve">Section 2 - Commencement </w:t>
      </w:r>
    </w:p>
    <w:p w:rsidR="00417047" w:rsidRDefault="00C242E3">
      <w:pPr>
        <w:spacing w:before="120" w:after="100" w:afterAutospacing="1" w:line="240" w:lineRule="auto"/>
        <w:rPr>
          <w:rFonts w:ascii="Arial" w:eastAsia="Times New Roman" w:hAnsi="Arial" w:cs="Arial"/>
          <w:lang w:eastAsia="en-AU"/>
        </w:rPr>
      </w:pPr>
      <w:r w:rsidRPr="00C242E3">
        <w:rPr>
          <w:rFonts w:ascii="Arial" w:eastAsia="Times New Roman" w:hAnsi="Arial" w:cs="Arial"/>
          <w:lang w:eastAsia="en-AU"/>
        </w:rPr>
        <w:t>This section states that the Determination will commence on the day after it is registered on the Federal Register of Legislative Instruments.</w:t>
      </w:r>
      <w:r w:rsidR="00B42748" w:rsidRPr="00B42748">
        <w:rPr>
          <w:rFonts w:ascii="Arial" w:eastAsia="Times New Roman" w:hAnsi="Arial" w:cs="Arial"/>
          <w:lang w:eastAsia="en-AU"/>
        </w:rPr>
        <w:t xml:space="preserve"> </w:t>
      </w:r>
    </w:p>
    <w:p w:rsidR="00417047" w:rsidRDefault="00C242E3">
      <w:pPr>
        <w:spacing w:before="120" w:after="120" w:line="240" w:lineRule="auto"/>
        <w:rPr>
          <w:rFonts w:ascii="Arial" w:eastAsia="Times New Roman" w:hAnsi="Arial" w:cs="Arial"/>
          <w:b/>
          <w:bCs/>
          <w:lang w:eastAsia="en-AU"/>
        </w:rPr>
      </w:pPr>
      <w:r w:rsidRPr="00C242E3">
        <w:rPr>
          <w:rFonts w:ascii="Arial" w:eastAsia="Times New Roman" w:hAnsi="Arial" w:cs="Arial"/>
          <w:b/>
          <w:bCs/>
          <w:lang w:eastAsia="en-AU"/>
        </w:rPr>
        <w:lastRenderedPageBreak/>
        <w:t xml:space="preserve">Section 3 – </w:t>
      </w:r>
      <w:r w:rsidR="002659F3">
        <w:rPr>
          <w:rFonts w:ascii="Arial" w:eastAsia="Times New Roman" w:hAnsi="Arial" w:cs="Arial"/>
          <w:b/>
          <w:bCs/>
          <w:lang w:eastAsia="en-AU"/>
        </w:rPr>
        <w:t xml:space="preserve">Amendment of </w:t>
      </w:r>
      <w:r w:rsidR="008740D8" w:rsidRPr="008740D8">
        <w:rPr>
          <w:rFonts w:ascii="Arial" w:eastAsia="Times New Roman" w:hAnsi="Arial" w:cs="Arial"/>
          <w:b/>
          <w:bCs/>
          <w:i/>
          <w:lang w:eastAsia="en-AU"/>
        </w:rPr>
        <w:t>Radiocommunications (Trading Rules for Spectrum Licences) Determination 2012</w:t>
      </w:r>
    </w:p>
    <w:p w:rsidR="00417047" w:rsidRDefault="00C242E3">
      <w:pPr>
        <w:spacing w:before="120" w:after="120" w:line="240" w:lineRule="auto"/>
        <w:rPr>
          <w:rFonts w:ascii="Times New Roman" w:eastAsia="Times New Roman" w:hAnsi="Times New Roman" w:cs="Times New Roman"/>
          <w:sz w:val="24"/>
          <w:szCs w:val="24"/>
          <w:lang w:eastAsia="en-AU"/>
        </w:rPr>
      </w:pPr>
      <w:r w:rsidRPr="00C242E3">
        <w:rPr>
          <w:rFonts w:ascii="Arial" w:eastAsia="Times New Roman" w:hAnsi="Arial" w:cs="Arial"/>
          <w:lang w:eastAsia="en-AU"/>
        </w:rPr>
        <w:t xml:space="preserve">This section </w:t>
      </w:r>
      <w:r w:rsidR="002659F3">
        <w:rPr>
          <w:rFonts w:ascii="Arial" w:eastAsia="Times New Roman" w:hAnsi="Arial" w:cs="Arial"/>
          <w:lang w:eastAsia="en-AU"/>
        </w:rPr>
        <w:t xml:space="preserve">specifies that Schedule 1 </w:t>
      </w:r>
      <w:r w:rsidR="00BF4F5F">
        <w:rPr>
          <w:rFonts w:ascii="Arial" w:eastAsia="Times New Roman" w:hAnsi="Arial" w:cs="Arial"/>
          <w:lang w:eastAsia="en-AU"/>
        </w:rPr>
        <w:t xml:space="preserve">amends </w:t>
      </w:r>
      <w:r w:rsidR="002659F3">
        <w:rPr>
          <w:rFonts w:ascii="Arial" w:eastAsia="Times New Roman" w:hAnsi="Arial" w:cs="Arial"/>
          <w:lang w:eastAsia="en-AU"/>
        </w:rPr>
        <w:t xml:space="preserve">the </w:t>
      </w:r>
      <w:r w:rsidRPr="00C242E3">
        <w:rPr>
          <w:rFonts w:ascii="Arial" w:eastAsia="Times New Roman" w:hAnsi="Arial" w:cs="Arial"/>
          <w:i/>
          <w:iCs/>
          <w:lang w:eastAsia="en-AU"/>
        </w:rPr>
        <w:t xml:space="preserve">Radiocommunications (Trading Rules for Spectrum Licences) Determination </w:t>
      </w:r>
      <w:r w:rsidR="002659F3">
        <w:rPr>
          <w:rFonts w:ascii="Arial" w:eastAsia="Times New Roman" w:hAnsi="Arial" w:cs="Arial"/>
          <w:i/>
          <w:iCs/>
          <w:lang w:eastAsia="en-AU"/>
        </w:rPr>
        <w:t>2012</w:t>
      </w:r>
      <w:r w:rsidRPr="00C242E3">
        <w:rPr>
          <w:rFonts w:ascii="Arial" w:eastAsia="Times New Roman" w:hAnsi="Arial" w:cs="Arial"/>
          <w:lang w:eastAsia="en-AU"/>
        </w:rPr>
        <w:t xml:space="preserve">.  </w:t>
      </w:r>
    </w:p>
    <w:p w:rsidR="00417047" w:rsidRDefault="00C242E3">
      <w:pPr>
        <w:spacing w:before="120" w:after="120" w:line="240" w:lineRule="auto"/>
        <w:rPr>
          <w:rFonts w:ascii="Times New Roman" w:eastAsia="Times New Roman" w:hAnsi="Times New Roman" w:cs="Times New Roman"/>
          <w:sz w:val="24"/>
          <w:szCs w:val="24"/>
          <w:lang w:eastAsia="en-AU"/>
        </w:rPr>
      </w:pPr>
      <w:r w:rsidRPr="00C242E3">
        <w:rPr>
          <w:rFonts w:ascii="Arial" w:eastAsia="Times New Roman" w:hAnsi="Arial" w:cs="Arial"/>
          <w:b/>
          <w:bCs/>
          <w:color w:val="000000"/>
          <w:lang w:val="en-US" w:eastAsia="en-AU"/>
        </w:rPr>
        <w:t xml:space="preserve">Schedule 1 – </w:t>
      </w:r>
      <w:r w:rsidR="00C17BD4">
        <w:rPr>
          <w:rFonts w:ascii="Arial" w:eastAsia="Times New Roman" w:hAnsi="Arial" w:cs="Arial"/>
          <w:b/>
          <w:bCs/>
          <w:color w:val="000000"/>
          <w:lang w:val="en-US" w:eastAsia="en-AU"/>
        </w:rPr>
        <w:t>Amendments</w:t>
      </w:r>
    </w:p>
    <w:p w:rsidR="00417047" w:rsidRDefault="00C242E3">
      <w:pPr>
        <w:spacing w:before="120" w:after="120" w:line="240" w:lineRule="auto"/>
        <w:rPr>
          <w:rFonts w:ascii="Arial" w:eastAsia="Times New Roman" w:hAnsi="Arial" w:cs="Arial"/>
          <w:color w:val="000000"/>
          <w:lang w:val="en-US" w:eastAsia="en-AU"/>
        </w:rPr>
      </w:pPr>
      <w:r w:rsidRPr="00C242E3">
        <w:rPr>
          <w:rFonts w:ascii="Arial" w:eastAsia="Times New Roman" w:hAnsi="Arial" w:cs="Arial"/>
          <w:color w:val="000000"/>
          <w:lang w:val="en-US" w:eastAsia="en-AU"/>
        </w:rPr>
        <w:t xml:space="preserve">This Schedule sets out </w:t>
      </w:r>
      <w:r w:rsidR="00C17BD4">
        <w:rPr>
          <w:rFonts w:ascii="Arial" w:eastAsia="Times New Roman" w:hAnsi="Arial" w:cs="Arial"/>
          <w:color w:val="000000"/>
          <w:lang w:val="en-US" w:eastAsia="en-AU"/>
        </w:rPr>
        <w:t xml:space="preserve">two </w:t>
      </w:r>
      <w:r w:rsidRPr="00C242E3">
        <w:rPr>
          <w:rFonts w:ascii="Arial" w:eastAsia="Times New Roman" w:hAnsi="Arial" w:cs="Arial"/>
          <w:color w:val="000000"/>
          <w:lang w:val="en-US" w:eastAsia="en-AU"/>
        </w:rPr>
        <w:t>a</w:t>
      </w:r>
      <w:r w:rsidR="00C17BD4">
        <w:rPr>
          <w:rFonts w:ascii="Arial" w:eastAsia="Times New Roman" w:hAnsi="Arial" w:cs="Arial"/>
          <w:color w:val="000000"/>
          <w:lang w:val="en-US" w:eastAsia="en-AU"/>
        </w:rPr>
        <w:t>mendments to the</w:t>
      </w:r>
      <w:r w:rsidRPr="00C242E3">
        <w:rPr>
          <w:rFonts w:ascii="Arial" w:eastAsia="Times New Roman" w:hAnsi="Arial" w:cs="Arial"/>
          <w:color w:val="000000"/>
          <w:lang w:val="en-US" w:eastAsia="en-AU"/>
        </w:rPr>
        <w:t xml:space="preserve"> </w:t>
      </w:r>
      <w:r w:rsidR="002A0F46" w:rsidRPr="002A0F46">
        <w:rPr>
          <w:rFonts w:ascii="Arial" w:eastAsia="Times New Roman" w:hAnsi="Arial" w:cs="Arial"/>
          <w:i/>
          <w:color w:val="000000"/>
          <w:lang w:val="en-US" w:eastAsia="en-AU"/>
        </w:rPr>
        <w:t>Radiocommunications (Trading Rules for Spectrum Licences) Determination 2012</w:t>
      </w:r>
      <w:r w:rsidR="00C17BD4">
        <w:rPr>
          <w:rFonts w:ascii="Arial" w:eastAsia="Times New Roman" w:hAnsi="Arial" w:cs="Arial"/>
          <w:color w:val="000000"/>
          <w:lang w:val="en-US" w:eastAsia="en-AU"/>
        </w:rPr>
        <w:t>. The first of these changes is to remove the table of contents from the instrument</w:t>
      </w:r>
      <w:r w:rsidR="00F1216D">
        <w:rPr>
          <w:rFonts w:ascii="Arial" w:eastAsia="Times New Roman" w:hAnsi="Arial" w:cs="Arial"/>
          <w:color w:val="000000"/>
          <w:lang w:val="en-US" w:eastAsia="en-AU"/>
        </w:rPr>
        <w:t>, which is</w:t>
      </w:r>
      <w:r w:rsidR="00981259">
        <w:rPr>
          <w:rFonts w:ascii="Arial" w:eastAsia="Times New Roman" w:hAnsi="Arial" w:cs="Arial"/>
          <w:color w:val="000000"/>
          <w:lang w:val="en-US" w:eastAsia="en-AU"/>
        </w:rPr>
        <w:t xml:space="preserve"> </w:t>
      </w:r>
      <w:r w:rsidR="00F1216D">
        <w:rPr>
          <w:rFonts w:ascii="Arial" w:eastAsia="Times New Roman" w:hAnsi="Arial" w:cs="Arial"/>
          <w:color w:val="000000"/>
          <w:lang w:val="en-US" w:eastAsia="en-AU"/>
        </w:rPr>
        <w:t xml:space="preserve">unnecessary for </w:t>
      </w:r>
      <w:r w:rsidR="00BF4F5F">
        <w:rPr>
          <w:rFonts w:ascii="Arial" w:eastAsia="Times New Roman" w:hAnsi="Arial" w:cs="Arial"/>
          <w:color w:val="000000"/>
          <w:lang w:val="en-US" w:eastAsia="en-AU"/>
        </w:rPr>
        <w:t xml:space="preserve">a short </w:t>
      </w:r>
      <w:r w:rsidR="00F1216D">
        <w:rPr>
          <w:rFonts w:ascii="Arial" w:eastAsia="Times New Roman" w:hAnsi="Arial" w:cs="Arial"/>
          <w:color w:val="000000"/>
          <w:lang w:val="en-US" w:eastAsia="en-AU"/>
        </w:rPr>
        <w:t xml:space="preserve">instrument </w:t>
      </w:r>
      <w:r w:rsidR="00BF4F5F">
        <w:rPr>
          <w:rFonts w:ascii="Arial" w:eastAsia="Times New Roman" w:hAnsi="Arial" w:cs="Arial"/>
          <w:color w:val="000000"/>
          <w:lang w:val="en-US" w:eastAsia="en-AU"/>
        </w:rPr>
        <w:t>of this kind</w:t>
      </w:r>
      <w:r w:rsidR="00C17BD4">
        <w:rPr>
          <w:rFonts w:ascii="Arial" w:eastAsia="Times New Roman" w:hAnsi="Arial" w:cs="Arial"/>
          <w:color w:val="000000"/>
          <w:lang w:val="en-US" w:eastAsia="en-AU"/>
        </w:rPr>
        <w:t>. The second change is to the number specified under the column “Minimum contiguous bandwidth (MHz)</w:t>
      </w:r>
      <w:r w:rsidR="002659F3">
        <w:rPr>
          <w:rFonts w:ascii="Arial" w:eastAsia="Times New Roman" w:hAnsi="Arial" w:cs="Arial"/>
          <w:color w:val="000000"/>
          <w:lang w:val="en-US" w:eastAsia="en-AU"/>
        </w:rPr>
        <w:t>”</w:t>
      </w:r>
      <w:r w:rsidR="00C17BD4">
        <w:rPr>
          <w:rFonts w:ascii="Arial" w:eastAsia="Times New Roman" w:hAnsi="Arial" w:cs="Arial"/>
          <w:color w:val="000000"/>
          <w:lang w:val="en-US" w:eastAsia="en-AU"/>
        </w:rPr>
        <w:t xml:space="preserve"> for Item 9 in Schedule 1. </w:t>
      </w:r>
    </w:p>
    <w:p w:rsidR="00417047" w:rsidRDefault="00C17BD4">
      <w:pPr>
        <w:spacing w:before="100" w:beforeAutospacing="1" w:after="120" w:line="240" w:lineRule="auto"/>
        <w:rPr>
          <w:rFonts w:ascii="Times New Roman" w:eastAsia="Times New Roman" w:hAnsi="Times New Roman" w:cs="Times New Roman"/>
          <w:sz w:val="24"/>
          <w:szCs w:val="24"/>
          <w:lang w:eastAsia="en-AU"/>
        </w:rPr>
      </w:pPr>
      <w:r w:rsidRPr="00C242E3">
        <w:rPr>
          <w:rFonts w:ascii="Arial" w:eastAsia="Times New Roman" w:hAnsi="Arial" w:cs="Arial"/>
          <w:color w:val="000000"/>
          <w:lang w:val="en-US" w:eastAsia="en-AU"/>
        </w:rPr>
        <w:t xml:space="preserve">The </w:t>
      </w:r>
      <w:r w:rsidR="007A1F3E">
        <w:rPr>
          <w:rFonts w:ascii="Arial" w:eastAsia="Times New Roman" w:hAnsi="Arial" w:cs="Arial"/>
          <w:color w:val="000000"/>
          <w:lang w:val="en-US" w:eastAsia="en-AU"/>
        </w:rPr>
        <w:t>MCB</w:t>
      </w:r>
      <w:r w:rsidRPr="00C242E3">
        <w:rPr>
          <w:rFonts w:ascii="Arial" w:eastAsia="Times New Roman" w:hAnsi="Arial" w:cs="Arial"/>
          <w:color w:val="000000"/>
          <w:lang w:val="en-US" w:eastAsia="en-AU"/>
        </w:rPr>
        <w:t xml:space="preserve"> is the minimum bandwidth required for the provision of services in the relevant frequency band. Subsection 8 (2) of the Determination imposes a restriction on the </w:t>
      </w:r>
      <w:r w:rsidR="002659F3" w:rsidRPr="00C242E3">
        <w:rPr>
          <w:rFonts w:ascii="Arial" w:eastAsia="Times New Roman" w:hAnsi="Arial" w:cs="Arial"/>
          <w:color w:val="000000"/>
          <w:lang w:val="en-US" w:eastAsia="en-AU"/>
        </w:rPr>
        <w:t>trad</w:t>
      </w:r>
      <w:r w:rsidR="002659F3">
        <w:rPr>
          <w:rFonts w:ascii="Arial" w:eastAsia="Times New Roman" w:hAnsi="Arial" w:cs="Arial"/>
          <w:color w:val="000000"/>
          <w:lang w:val="en-US" w:eastAsia="en-AU"/>
        </w:rPr>
        <w:t>ing</w:t>
      </w:r>
      <w:r w:rsidR="002659F3" w:rsidRPr="00C242E3">
        <w:rPr>
          <w:rFonts w:ascii="Arial" w:eastAsia="Times New Roman" w:hAnsi="Arial" w:cs="Arial"/>
          <w:color w:val="000000"/>
          <w:lang w:val="en-US" w:eastAsia="en-AU"/>
        </w:rPr>
        <w:t xml:space="preserve"> </w:t>
      </w:r>
      <w:r w:rsidRPr="00C242E3">
        <w:rPr>
          <w:rFonts w:ascii="Arial" w:eastAsia="Times New Roman" w:hAnsi="Arial" w:cs="Arial"/>
          <w:color w:val="000000"/>
          <w:lang w:val="en-US" w:eastAsia="en-AU"/>
        </w:rPr>
        <w:t xml:space="preserve">of </w:t>
      </w:r>
      <w:r w:rsidR="002659F3">
        <w:rPr>
          <w:rFonts w:ascii="Arial" w:eastAsia="Times New Roman" w:hAnsi="Arial" w:cs="Arial"/>
          <w:color w:val="000000"/>
          <w:lang w:val="en-US" w:eastAsia="en-AU"/>
        </w:rPr>
        <w:t xml:space="preserve">spectrum </w:t>
      </w:r>
      <w:r w:rsidRPr="00C242E3">
        <w:rPr>
          <w:rFonts w:ascii="Arial" w:eastAsia="Times New Roman" w:hAnsi="Arial" w:cs="Arial"/>
          <w:color w:val="000000"/>
          <w:lang w:val="en-US" w:eastAsia="en-AU"/>
        </w:rPr>
        <w:t xml:space="preserve">licences where the resulting licence has a frequency bandwidth that is less than the MCB for the frequency band of the licence as set out in </w:t>
      </w:r>
      <w:r w:rsidR="002659F3">
        <w:rPr>
          <w:rFonts w:ascii="Arial" w:eastAsia="Times New Roman" w:hAnsi="Arial" w:cs="Arial"/>
          <w:color w:val="000000"/>
          <w:lang w:val="en-US" w:eastAsia="en-AU"/>
        </w:rPr>
        <w:t xml:space="preserve">the </w:t>
      </w:r>
      <w:r w:rsidRPr="00C242E3">
        <w:rPr>
          <w:rFonts w:ascii="Arial" w:eastAsia="Times New Roman" w:hAnsi="Arial" w:cs="Arial"/>
          <w:color w:val="000000"/>
          <w:lang w:val="en-US" w:eastAsia="en-AU"/>
        </w:rPr>
        <w:t xml:space="preserve">Schedule. </w:t>
      </w:r>
      <w:r>
        <w:rPr>
          <w:rFonts w:ascii="Arial" w:eastAsia="Times New Roman" w:hAnsi="Arial" w:cs="Arial"/>
          <w:color w:val="000000"/>
          <w:lang w:val="en-US" w:eastAsia="en-AU"/>
        </w:rPr>
        <w:t>The minimum contiguous bandwidth for Item 9 is changed from 3.5 to 5 MHz.</w:t>
      </w:r>
      <w:r w:rsidR="00C242E3" w:rsidRPr="00C242E3">
        <w:rPr>
          <w:rFonts w:ascii="Arial" w:eastAsia="Times New Roman" w:hAnsi="Arial" w:cs="Arial"/>
          <w:b/>
          <w:bCs/>
          <w:color w:val="000000"/>
          <w:lang w:val="en-US" w:eastAsia="en-AU"/>
        </w:rPr>
        <w:t> </w:t>
      </w:r>
    </w:p>
    <w:p w:rsidR="00417047" w:rsidRDefault="00C242E3">
      <w:pPr>
        <w:spacing w:before="100" w:beforeAutospacing="1" w:after="100" w:afterAutospacing="1" w:line="240" w:lineRule="auto"/>
        <w:rPr>
          <w:rFonts w:ascii="Times New Roman" w:eastAsia="Times New Roman" w:hAnsi="Times New Roman" w:cs="Times New Roman"/>
          <w:sz w:val="24"/>
          <w:szCs w:val="24"/>
          <w:lang w:eastAsia="en-AU"/>
        </w:rPr>
      </w:pPr>
      <w:r w:rsidRPr="00C242E3">
        <w:rPr>
          <w:rFonts w:ascii="Arial" w:eastAsia="Times New Roman" w:hAnsi="Arial" w:cs="Arial"/>
          <w:b/>
          <w:bCs/>
          <w:color w:val="000000"/>
          <w:lang w:val="en-US" w:eastAsia="en-AU"/>
        </w:rPr>
        <w:t> </w:t>
      </w:r>
      <w:r w:rsidRPr="00C242E3">
        <w:rPr>
          <w:rFonts w:ascii="Arial" w:eastAsia="Times New Roman" w:hAnsi="Arial" w:cs="Arial"/>
          <w:b/>
          <w:bCs/>
          <w:lang w:eastAsia="en-AU"/>
        </w:rPr>
        <w:t>ATTACHMENT B</w:t>
      </w:r>
    </w:p>
    <w:p w:rsidR="00417047" w:rsidRDefault="00C242E3">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C242E3">
        <w:rPr>
          <w:rFonts w:ascii="Arial" w:eastAsia="Times New Roman" w:hAnsi="Arial" w:cs="Arial"/>
          <w:b/>
          <w:bCs/>
          <w:lang w:eastAsia="en-AU"/>
        </w:rPr>
        <w:t>Statement of Compatibility with Human Rights</w:t>
      </w:r>
    </w:p>
    <w:p w:rsidR="00C242E3" w:rsidRPr="00C242E3" w:rsidRDefault="00C242E3" w:rsidP="00F1216D">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C242E3">
        <w:rPr>
          <w:rFonts w:ascii="Arial" w:eastAsia="Times New Roman" w:hAnsi="Arial" w:cs="Arial"/>
          <w:lang w:eastAsia="en-AU"/>
        </w:rPr>
        <w:t xml:space="preserve">Prepared in accordance with Part 3 of the </w:t>
      </w:r>
      <w:r w:rsidRPr="00F1216D">
        <w:rPr>
          <w:rFonts w:ascii="Arial" w:eastAsia="Times New Roman" w:hAnsi="Arial" w:cs="Arial"/>
          <w:i/>
          <w:lang w:eastAsia="en-AU"/>
        </w:rPr>
        <w:t>Human Rights (Parliamentary Scrutiny) Act 2011</w:t>
      </w:r>
    </w:p>
    <w:p w:rsidR="00C242E3" w:rsidRPr="00C242E3" w:rsidRDefault="00C242E3" w:rsidP="00F1216D">
      <w:pPr>
        <w:spacing w:before="100" w:beforeAutospacing="1" w:after="120" w:line="240" w:lineRule="auto"/>
        <w:jc w:val="center"/>
        <w:rPr>
          <w:rFonts w:ascii="Times New Roman" w:eastAsia="Times New Roman" w:hAnsi="Times New Roman" w:cs="Times New Roman"/>
          <w:sz w:val="24"/>
          <w:szCs w:val="24"/>
          <w:lang w:eastAsia="en-AU"/>
        </w:rPr>
      </w:pPr>
      <w:r w:rsidRPr="00C242E3">
        <w:rPr>
          <w:rFonts w:ascii="Arial" w:eastAsia="Times New Roman" w:hAnsi="Arial" w:cs="Arial"/>
          <w:i/>
          <w:iCs/>
          <w:lang w:eastAsia="en-AU"/>
        </w:rPr>
        <w:t xml:space="preserve">Radiocommunications (Trading Rules for Spectrum Licences) </w:t>
      </w:r>
      <w:r w:rsidR="0026501C">
        <w:rPr>
          <w:rFonts w:ascii="Arial" w:eastAsia="Times New Roman" w:hAnsi="Arial" w:cs="Arial"/>
          <w:i/>
          <w:iCs/>
          <w:lang w:eastAsia="en-AU"/>
        </w:rPr>
        <w:t xml:space="preserve">Amendment </w:t>
      </w:r>
      <w:r w:rsidRPr="00C242E3">
        <w:rPr>
          <w:rFonts w:ascii="Arial" w:eastAsia="Times New Roman" w:hAnsi="Arial" w:cs="Arial"/>
          <w:i/>
          <w:iCs/>
          <w:lang w:eastAsia="en-AU"/>
        </w:rPr>
        <w:t>Determination 201</w:t>
      </w:r>
      <w:r w:rsidR="0026501C">
        <w:rPr>
          <w:rFonts w:ascii="Arial" w:eastAsia="Times New Roman" w:hAnsi="Arial" w:cs="Arial"/>
          <w:i/>
          <w:iCs/>
          <w:lang w:eastAsia="en-AU"/>
        </w:rPr>
        <w:t>3</w:t>
      </w:r>
    </w:p>
    <w:p w:rsidR="00417047" w:rsidRDefault="00C242E3">
      <w:pPr>
        <w:spacing w:before="120" w:after="120" w:line="240" w:lineRule="auto"/>
        <w:rPr>
          <w:rFonts w:ascii="Times New Roman" w:eastAsia="Times New Roman" w:hAnsi="Times New Roman" w:cs="Times New Roman"/>
          <w:sz w:val="24"/>
          <w:szCs w:val="24"/>
          <w:lang w:eastAsia="en-AU"/>
        </w:rPr>
      </w:pPr>
      <w:r w:rsidRPr="00C242E3">
        <w:rPr>
          <w:rFonts w:ascii="Arial" w:eastAsia="Times New Roman" w:hAnsi="Arial" w:cs="Arial"/>
          <w:lang w:val="en-US" w:eastAsia="en-AU"/>
        </w:rPr>
        <w:t xml:space="preserve">This legislative instrument is compatible with the human rights and freedoms recognised or declared in the international instruments listed in section 3 of the </w:t>
      </w:r>
      <w:r w:rsidRPr="00C242E3">
        <w:rPr>
          <w:rFonts w:ascii="Arial" w:eastAsia="Times New Roman" w:hAnsi="Arial" w:cs="Arial"/>
          <w:i/>
          <w:iCs/>
          <w:lang w:val="en-US" w:eastAsia="en-AU"/>
        </w:rPr>
        <w:t>Human Rights (Parliamentary Scrutiny) Act 2011</w:t>
      </w:r>
      <w:r w:rsidRPr="00C242E3">
        <w:rPr>
          <w:rFonts w:ascii="Arial" w:eastAsia="Times New Roman" w:hAnsi="Arial" w:cs="Arial"/>
          <w:lang w:val="en-US" w:eastAsia="en-AU"/>
        </w:rPr>
        <w:t>.</w:t>
      </w:r>
    </w:p>
    <w:p w:rsidR="00417047" w:rsidRDefault="00C242E3">
      <w:pPr>
        <w:spacing w:before="120" w:after="120" w:line="240" w:lineRule="auto"/>
        <w:rPr>
          <w:rFonts w:ascii="Times New Roman" w:eastAsia="Times New Roman" w:hAnsi="Times New Roman" w:cs="Times New Roman"/>
          <w:sz w:val="24"/>
          <w:szCs w:val="24"/>
          <w:lang w:eastAsia="en-AU"/>
        </w:rPr>
      </w:pPr>
      <w:r w:rsidRPr="00C242E3">
        <w:rPr>
          <w:rFonts w:ascii="Arial" w:eastAsia="Times New Roman" w:hAnsi="Arial" w:cs="Arial"/>
          <w:b/>
          <w:bCs/>
          <w:lang w:val="en-US" w:eastAsia="en-AU"/>
        </w:rPr>
        <w:t>Overview of the Legislative Instrument</w:t>
      </w:r>
    </w:p>
    <w:p w:rsidR="00417047" w:rsidRDefault="00C242E3">
      <w:pPr>
        <w:spacing w:before="120" w:after="0" w:line="240" w:lineRule="auto"/>
        <w:rPr>
          <w:rFonts w:ascii="Times New Roman" w:eastAsia="Times New Roman" w:hAnsi="Times New Roman" w:cs="Times New Roman"/>
          <w:sz w:val="24"/>
          <w:szCs w:val="24"/>
          <w:lang w:eastAsia="en-AU"/>
        </w:rPr>
      </w:pPr>
      <w:r w:rsidRPr="00C242E3">
        <w:rPr>
          <w:rFonts w:ascii="Arial" w:eastAsia="Times New Roman" w:hAnsi="Arial" w:cs="Arial"/>
          <w:lang w:eastAsia="en-AU"/>
        </w:rPr>
        <w:t xml:space="preserve">Section 88 of the </w:t>
      </w:r>
      <w:r w:rsidRPr="00C242E3">
        <w:rPr>
          <w:rFonts w:ascii="Arial" w:eastAsia="Times New Roman" w:hAnsi="Arial" w:cs="Arial"/>
          <w:i/>
          <w:iCs/>
          <w:lang w:eastAsia="en-AU"/>
        </w:rPr>
        <w:t xml:space="preserve">Radiocommunications Act 1992 </w:t>
      </w:r>
      <w:r w:rsidRPr="00C242E3">
        <w:rPr>
          <w:rFonts w:ascii="Arial" w:eastAsia="Times New Roman" w:hAnsi="Arial" w:cs="Arial"/>
          <w:lang w:eastAsia="en-AU"/>
        </w:rPr>
        <w:t xml:space="preserve">(the </w:t>
      </w:r>
      <w:r w:rsidRPr="00170871">
        <w:rPr>
          <w:rFonts w:ascii="Arial" w:eastAsia="Times New Roman" w:hAnsi="Arial" w:cs="Arial"/>
          <w:b/>
          <w:lang w:eastAsia="en-AU"/>
        </w:rPr>
        <w:t>Act</w:t>
      </w:r>
      <w:r w:rsidRPr="00C242E3">
        <w:rPr>
          <w:rFonts w:ascii="Arial" w:eastAsia="Times New Roman" w:hAnsi="Arial" w:cs="Arial"/>
          <w:lang w:eastAsia="en-AU"/>
        </w:rPr>
        <w:t>) provides that the ACMA may determine rules for the assignment of spectrum licences and the circumstances in which licences can be varied, issued or cancelled as the result of an assignment.</w:t>
      </w:r>
    </w:p>
    <w:p w:rsidR="00417047" w:rsidRDefault="00C242E3">
      <w:pPr>
        <w:spacing w:before="120" w:after="120" w:line="240" w:lineRule="auto"/>
        <w:rPr>
          <w:rFonts w:ascii="Times New Roman" w:eastAsia="Times New Roman" w:hAnsi="Times New Roman" w:cs="Times New Roman"/>
          <w:sz w:val="24"/>
          <w:szCs w:val="24"/>
          <w:lang w:eastAsia="en-AU"/>
        </w:rPr>
      </w:pPr>
      <w:r w:rsidRPr="00C242E3">
        <w:rPr>
          <w:rFonts w:ascii="Arial" w:eastAsia="Times New Roman" w:hAnsi="Arial" w:cs="Arial"/>
          <w:lang w:eastAsia="en-AU"/>
        </w:rPr>
        <w:t xml:space="preserve">The purpose of the </w:t>
      </w:r>
      <w:r w:rsidRPr="00C242E3">
        <w:rPr>
          <w:rFonts w:ascii="Arial" w:eastAsia="Times New Roman" w:hAnsi="Arial" w:cs="Arial"/>
          <w:i/>
          <w:iCs/>
          <w:lang w:eastAsia="en-AU"/>
        </w:rPr>
        <w:t xml:space="preserve">Radiocommunications (Trading Rules for Spectrum Licences) </w:t>
      </w:r>
      <w:r w:rsidR="0026501C">
        <w:rPr>
          <w:rFonts w:ascii="Arial" w:eastAsia="Times New Roman" w:hAnsi="Arial" w:cs="Arial"/>
          <w:i/>
          <w:iCs/>
          <w:lang w:eastAsia="en-AU"/>
        </w:rPr>
        <w:t xml:space="preserve">Amendment </w:t>
      </w:r>
      <w:r w:rsidRPr="00C242E3">
        <w:rPr>
          <w:rFonts w:ascii="Arial" w:eastAsia="Times New Roman" w:hAnsi="Arial" w:cs="Arial"/>
          <w:i/>
          <w:iCs/>
          <w:lang w:eastAsia="en-AU"/>
        </w:rPr>
        <w:t>Determination 201</w:t>
      </w:r>
      <w:r w:rsidR="0026501C">
        <w:rPr>
          <w:rFonts w:ascii="Arial" w:eastAsia="Times New Roman" w:hAnsi="Arial" w:cs="Arial"/>
          <w:i/>
          <w:iCs/>
          <w:lang w:eastAsia="en-AU"/>
        </w:rPr>
        <w:t>3</w:t>
      </w:r>
      <w:r w:rsidRPr="00C242E3">
        <w:rPr>
          <w:rFonts w:ascii="Arial" w:eastAsia="Times New Roman" w:hAnsi="Arial" w:cs="Arial"/>
          <w:i/>
          <w:iCs/>
          <w:lang w:eastAsia="en-AU"/>
        </w:rPr>
        <w:t xml:space="preserve"> </w:t>
      </w:r>
      <w:r w:rsidRPr="00C242E3">
        <w:rPr>
          <w:rFonts w:ascii="Arial" w:eastAsia="Times New Roman" w:hAnsi="Arial" w:cs="Arial"/>
          <w:lang w:eastAsia="en-AU"/>
        </w:rPr>
        <w:t xml:space="preserve">(the </w:t>
      </w:r>
      <w:r w:rsidR="0026501C" w:rsidRPr="00170871">
        <w:rPr>
          <w:rFonts w:ascii="Arial" w:eastAsia="Times New Roman" w:hAnsi="Arial" w:cs="Arial"/>
          <w:b/>
          <w:lang w:eastAsia="en-AU"/>
        </w:rPr>
        <w:t xml:space="preserve">Amendment </w:t>
      </w:r>
      <w:r w:rsidRPr="00170871">
        <w:rPr>
          <w:rFonts w:ascii="Arial" w:eastAsia="Times New Roman" w:hAnsi="Arial" w:cs="Arial"/>
          <w:b/>
          <w:lang w:eastAsia="en-AU"/>
        </w:rPr>
        <w:t>Determination</w:t>
      </w:r>
      <w:r w:rsidRPr="00C242E3">
        <w:rPr>
          <w:rFonts w:ascii="Arial" w:eastAsia="Times New Roman" w:hAnsi="Arial" w:cs="Arial"/>
          <w:lang w:eastAsia="en-AU"/>
        </w:rPr>
        <w:t xml:space="preserve">) is to </w:t>
      </w:r>
      <w:r w:rsidR="0026501C">
        <w:rPr>
          <w:rFonts w:ascii="Arial" w:eastAsia="Times New Roman" w:hAnsi="Arial" w:cs="Arial"/>
          <w:lang w:eastAsia="en-AU"/>
        </w:rPr>
        <w:t>update</w:t>
      </w:r>
      <w:r w:rsidRPr="00C242E3">
        <w:rPr>
          <w:rFonts w:ascii="Arial" w:eastAsia="Times New Roman" w:hAnsi="Arial" w:cs="Arial"/>
          <w:lang w:eastAsia="en-AU"/>
        </w:rPr>
        <w:t xml:space="preserve"> the rules for the trading of spectrum licences</w:t>
      </w:r>
      <w:r w:rsidR="0026501C">
        <w:rPr>
          <w:rFonts w:ascii="Arial" w:eastAsia="Times New Roman" w:hAnsi="Arial" w:cs="Arial"/>
          <w:lang w:eastAsia="en-AU"/>
        </w:rPr>
        <w:t xml:space="preserve"> for the 2.3 GHz band</w:t>
      </w:r>
      <w:r w:rsidRPr="00C242E3">
        <w:rPr>
          <w:rFonts w:ascii="Arial" w:eastAsia="Times New Roman" w:hAnsi="Arial" w:cs="Arial"/>
          <w:lang w:eastAsia="en-AU"/>
        </w:rPr>
        <w:t>.  </w:t>
      </w:r>
      <w:r w:rsidRPr="00C242E3">
        <w:rPr>
          <w:rFonts w:ascii="Arial" w:eastAsia="Times New Roman" w:hAnsi="Arial" w:cs="Arial"/>
          <w:lang w:val="en-US" w:eastAsia="en-AU"/>
        </w:rPr>
        <w:t xml:space="preserve">Subsection 9(1) of the </w:t>
      </w:r>
      <w:r w:rsidRPr="00C242E3">
        <w:rPr>
          <w:rFonts w:ascii="Arial" w:eastAsia="Times New Roman" w:hAnsi="Arial" w:cs="Arial"/>
          <w:i/>
          <w:iCs/>
          <w:lang w:val="en-US" w:eastAsia="en-AU"/>
        </w:rPr>
        <w:t>Human Rights (Parliamentary Scrutiny) Act 2011</w:t>
      </w:r>
      <w:r w:rsidRPr="00C242E3">
        <w:rPr>
          <w:rFonts w:ascii="Arial" w:eastAsia="Times New Roman" w:hAnsi="Arial" w:cs="Arial"/>
          <w:lang w:val="en-US" w:eastAsia="en-AU"/>
        </w:rPr>
        <w:t xml:space="preserve"> requires the rule</w:t>
      </w:r>
      <w:r w:rsidRPr="00C242E3">
        <w:rPr>
          <w:rFonts w:ascii="MS Mincho" w:eastAsia="MS Mincho" w:hAnsi="MS Mincho" w:cs="Times New Roman" w:hint="eastAsia"/>
          <w:lang w:val="en-US" w:eastAsia="en-AU"/>
        </w:rPr>
        <w:noBreakHyphen/>
      </w:r>
      <w:r w:rsidRPr="00C242E3">
        <w:rPr>
          <w:rFonts w:ascii="Arial" w:eastAsia="Times New Roman" w:hAnsi="Arial" w:cs="Arial"/>
          <w:lang w:val="en-US" w:eastAsia="en-AU"/>
        </w:rPr>
        <w:t xml:space="preserve">maker in relation to a legislative instrument to which section 42 (disallowance) of the </w:t>
      </w:r>
      <w:r w:rsidRPr="00C242E3">
        <w:rPr>
          <w:rFonts w:ascii="Arial" w:eastAsia="Times New Roman" w:hAnsi="Arial" w:cs="Arial"/>
          <w:i/>
          <w:iCs/>
          <w:lang w:val="en-US" w:eastAsia="en-AU"/>
        </w:rPr>
        <w:t>Legislative Instruments Act 2003</w:t>
      </w:r>
      <w:r w:rsidRPr="00C242E3">
        <w:rPr>
          <w:rFonts w:ascii="Arial" w:eastAsia="Times New Roman" w:hAnsi="Arial" w:cs="Arial"/>
          <w:lang w:val="en-US" w:eastAsia="en-AU"/>
        </w:rPr>
        <w:t xml:space="preserve"> applies, to cause a statement of compatibility to be prepared in respect of that legislative instrument.</w:t>
      </w:r>
    </w:p>
    <w:p w:rsidR="00417047" w:rsidRDefault="00C242E3">
      <w:pPr>
        <w:spacing w:before="120" w:after="120" w:line="240" w:lineRule="auto"/>
        <w:rPr>
          <w:rFonts w:ascii="Times New Roman" w:eastAsia="Times New Roman" w:hAnsi="Times New Roman" w:cs="Times New Roman"/>
          <w:sz w:val="24"/>
          <w:szCs w:val="24"/>
          <w:lang w:eastAsia="en-AU"/>
        </w:rPr>
      </w:pPr>
      <w:r w:rsidRPr="00C242E3">
        <w:rPr>
          <w:rFonts w:ascii="Arial" w:eastAsia="Times New Roman" w:hAnsi="Arial" w:cs="Arial"/>
          <w:lang w:val="en-US" w:eastAsia="en-AU"/>
        </w:rPr>
        <w:t xml:space="preserve">The </w:t>
      </w:r>
      <w:r w:rsidR="00170871">
        <w:rPr>
          <w:rFonts w:ascii="Arial" w:eastAsia="Times New Roman" w:hAnsi="Arial" w:cs="Arial"/>
          <w:lang w:val="en-US" w:eastAsia="en-AU"/>
        </w:rPr>
        <w:t xml:space="preserve">Amendment </w:t>
      </w:r>
      <w:r w:rsidRPr="00C242E3">
        <w:rPr>
          <w:rFonts w:ascii="Arial" w:eastAsia="Times New Roman" w:hAnsi="Arial" w:cs="Arial"/>
          <w:lang w:val="en-US" w:eastAsia="en-AU"/>
        </w:rPr>
        <w:t xml:space="preserve">Determination is a legislative instrument that is subject to disallowance under section 42 of the </w:t>
      </w:r>
      <w:r w:rsidRPr="00C242E3">
        <w:rPr>
          <w:rFonts w:ascii="Arial" w:eastAsia="Times New Roman" w:hAnsi="Arial" w:cs="Arial"/>
          <w:i/>
          <w:iCs/>
          <w:lang w:val="en-US" w:eastAsia="en-AU"/>
        </w:rPr>
        <w:t>Legislative Instruments Act 2003</w:t>
      </w:r>
      <w:r w:rsidRPr="00C242E3">
        <w:rPr>
          <w:rFonts w:ascii="Arial" w:eastAsia="Times New Roman" w:hAnsi="Arial" w:cs="Arial"/>
          <w:lang w:val="en-US" w:eastAsia="en-AU"/>
        </w:rPr>
        <w:t>.</w:t>
      </w:r>
    </w:p>
    <w:p w:rsidR="00417047" w:rsidRDefault="00C242E3">
      <w:pPr>
        <w:spacing w:before="120" w:after="120" w:line="240" w:lineRule="auto"/>
        <w:rPr>
          <w:rFonts w:ascii="Times New Roman" w:eastAsia="Times New Roman" w:hAnsi="Times New Roman" w:cs="Times New Roman"/>
          <w:sz w:val="24"/>
          <w:szCs w:val="24"/>
          <w:lang w:eastAsia="en-AU"/>
        </w:rPr>
      </w:pPr>
      <w:r w:rsidRPr="00C242E3">
        <w:rPr>
          <w:rFonts w:ascii="Arial" w:eastAsia="Times New Roman" w:hAnsi="Arial" w:cs="Arial"/>
          <w:b/>
          <w:bCs/>
          <w:lang w:val="en-US" w:eastAsia="en-AU"/>
        </w:rPr>
        <w:t>Human Rights Implications</w:t>
      </w:r>
    </w:p>
    <w:p w:rsidR="00417047" w:rsidRDefault="00C242E3">
      <w:pPr>
        <w:spacing w:before="120" w:after="120" w:line="240" w:lineRule="auto"/>
        <w:rPr>
          <w:rFonts w:ascii="Times New Roman" w:eastAsia="Times New Roman" w:hAnsi="Times New Roman" w:cs="Times New Roman"/>
          <w:sz w:val="24"/>
          <w:szCs w:val="24"/>
          <w:lang w:eastAsia="en-AU"/>
        </w:rPr>
      </w:pPr>
      <w:r w:rsidRPr="00C242E3">
        <w:rPr>
          <w:rFonts w:ascii="Arial" w:eastAsia="Times New Roman" w:hAnsi="Arial" w:cs="Arial"/>
          <w:lang w:val="en-US" w:eastAsia="en-AU"/>
        </w:rPr>
        <w:t xml:space="preserve">The </w:t>
      </w:r>
      <w:r w:rsidR="00170871">
        <w:rPr>
          <w:rFonts w:ascii="Arial" w:eastAsia="Times New Roman" w:hAnsi="Arial" w:cs="Arial"/>
          <w:lang w:val="en-US" w:eastAsia="en-AU"/>
        </w:rPr>
        <w:t>Amendment</w:t>
      </w:r>
      <w:r w:rsidR="00170871" w:rsidRPr="00C242E3">
        <w:rPr>
          <w:rFonts w:ascii="Arial" w:eastAsia="Times New Roman" w:hAnsi="Arial" w:cs="Arial"/>
          <w:lang w:val="en-US" w:eastAsia="en-AU"/>
        </w:rPr>
        <w:t xml:space="preserve"> </w:t>
      </w:r>
      <w:r w:rsidRPr="00C242E3">
        <w:rPr>
          <w:rFonts w:ascii="Arial" w:eastAsia="Times New Roman" w:hAnsi="Arial" w:cs="Arial"/>
          <w:lang w:val="en-US" w:eastAsia="en-AU"/>
        </w:rPr>
        <w:t>Determination does not engage any of the applicable rights or freedoms.</w:t>
      </w:r>
    </w:p>
    <w:p w:rsidR="00417047" w:rsidRDefault="00C242E3">
      <w:pPr>
        <w:spacing w:before="120" w:after="120" w:line="240" w:lineRule="auto"/>
        <w:rPr>
          <w:rFonts w:ascii="Times New Roman" w:eastAsia="Times New Roman" w:hAnsi="Times New Roman" w:cs="Times New Roman"/>
          <w:sz w:val="24"/>
          <w:szCs w:val="24"/>
          <w:lang w:eastAsia="en-AU"/>
        </w:rPr>
      </w:pPr>
      <w:r w:rsidRPr="00C242E3">
        <w:rPr>
          <w:rFonts w:ascii="Arial" w:eastAsia="Times New Roman" w:hAnsi="Arial" w:cs="Arial"/>
          <w:lang w:val="en-US" w:eastAsia="en-AU"/>
        </w:rPr>
        <w:t> </w:t>
      </w:r>
      <w:r w:rsidRPr="00C242E3">
        <w:rPr>
          <w:rFonts w:ascii="Arial" w:eastAsia="Times New Roman" w:hAnsi="Arial" w:cs="Arial"/>
          <w:b/>
          <w:bCs/>
          <w:lang w:val="en-US" w:eastAsia="en-AU"/>
        </w:rPr>
        <w:t>Conclusion</w:t>
      </w:r>
    </w:p>
    <w:p w:rsidR="00417047" w:rsidRDefault="00C242E3">
      <w:pPr>
        <w:spacing w:before="100" w:beforeAutospacing="1" w:after="120" w:line="240" w:lineRule="auto"/>
        <w:rPr>
          <w:rFonts w:ascii="Arial" w:eastAsia="Times New Roman" w:hAnsi="Arial" w:cs="Arial"/>
          <w:lang w:val="en-US" w:eastAsia="en-AU"/>
        </w:rPr>
      </w:pPr>
      <w:r w:rsidRPr="00C242E3">
        <w:rPr>
          <w:rFonts w:ascii="Arial" w:eastAsia="Times New Roman" w:hAnsi="Arial" w:cs="Arial"/>
          <w:lang w:val="en-US" w:eastAsia="en-AU"/>
        </w:rPr>
        <w:t xml:space="preserve">The </w:t>
      </w:r>
      <w:r w:rsidR="00170871">
        <w:rPr>
          <w:rFonts w:ascii="Arial" w:eastAsia="Times New Roman" w:hAnsi="Arial" w:cs="Arial"/>
          <w:lang w:val="en-US" w:eastAsia="en-AU"/>
        </w:rPr>
        <w:t>Amendment</w:t>
      </w:r>
      <w:r w:rsidR="00170871" w:rsidRPr="00C242E3">
        <w:rPr>
          <w:rFonts w:ascii="Arial" w:eastAsia="Times New Roman" w:hAnsi="Arial" w:cs="Arial"/>
          <w:lang w:val="en-US" w:eastAsia="en-AU"/>
        </w:rPr>
        <w:t xml:space="preserve"> </w:t>
      </w:r>
      <w:r w:rsidRPr="00C242E3">
        <w:rPr>
          <w:rFonts w:ascii="Arial" w:eastAsia="Times New Roman" w:hAnsi="Arial" w:cs="Arial"/>
          <w:lang w:val="en-US" w:eastAsia="en-AU"/>
        </w:rPr>
        <w:t>Determination is compatible with human rights as it does not raise any human rights issues.</w:t>
      </w:r>
    </w:p>
    <w:p w:rsidR="00E85B66" w:rsidRDefault="00E85B66">
      <w:pPr>
        <w:spacing w:before="100" w:beforeAutospacing="1" w:after="120" w:line="240" w:lineRule="auto"/>
      </w:pPr>
    </w:p>
    <w:sectPr w:rsidR="00E85B66" w:rsidSect="00BD5349">
      <w:pgSz w:w="11906" w:h="16838"/>
      <w:pgMar w:top="993"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31247"/>
    <w:multiLevelType w:val="hybridMultilevel"/>
    <w:tmpl w:val="A7607FC6"/>
    <w:lvl w:ilvl="0" w:tplc="857C6AD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trackRevisions/>
  <w:defaultTabStop w:val="720"/>
  <w:characterSpacingControl w:val="doNotCompress"/>
  <w:compat/>
  <w:rsids>
    <w:rsidRoot w:val="00C242E3"/>
    <w:rsid w:val="000162AF"/>
    <w:rsid w:val="00022677"/>
    <w:rsid w:val="00022D5C"/>
    <w:rsid w:val="00050570"/>
    <w:rsid w:val="00071903"/>
    <w:rsid w:val="000B6FA2"/>
    <w:rsid w:val="000F69D9"/>
    <w:rsid w:val="00123380"/>
    <w:rsid w:val="001236CF"/>
    <w:rsid w:val="00170871"/>
    <w:rsid w:val="001758BF"/>
    <w:rsid w:val="001B47E7"/>
    <w:rsid w:val="001F2AD8"/>
    <w:rsid w:val="00222A85"/>
    <w:rsid w:val="00227C44"/>
    <w:rsid w:val="00243529"/>
    <w:rsid w:val="0026501C"/>
    <w:rsid w:val="002659F3"/>
    <w:rsid w:val="002A0F46"/>
    <w:rsid w:val="002D29A4"/>
    <w:rsid w:val="002E5E84"/>
    <w:rsid w:val="003171E5"/>
    <w:rsid w:val="00327ADF"/>
    <w:rsid w:val="00331A72"/>
    <w:rsid w:val="00332640"/>
    <w:rsid w:val="003B1AFB"/>
    <w:rsid w:val="003D0D41"/>
    <w:rsid w:val="003E6F3E"/>
    <w:rsid w:val="00403DFF"/>
    <w:rsid w:val="00417047"/>
    <w:rsid w:val="004C59F5"/>
    <w:rsid w:val="004C74A8"/>
    <w:rsid w:val="004E69A9"/>
    <w:rsid w:val="00505F88"/>
    <w:rsid w:val="00554E0D"/>
    <w:rsid w:val="00564EBA"/>
    <w:rsid w:val="00572E35"/>
    <w:rsid w:val="005944AD"/>
    <w:rsid w:val="005C341D"/>
    <w:rsid w:val="005E656A"/>
    <w:rsid w:val="005F4A9D"/>
    <w:rsid w:val="005F5527"/>
    <w:rsid w:val="00623830"/>
    <w:rsid w:val="00625106"/>
    <w:rsid w:val="00641A23"/>
    <w:rsid w:val="006605A7"/>
    <w:rsid w:val="006637D2"/>
    <w:rsid w:val="00697A1A"/>
    <w:rsid w:val="00735983"/>
    <w:rsid w:val="007404DE"/>
    <w:rsid w:val="00773E4C"/>
    <w:rsid w:val="00780FD4"/>
    <w:rsid w:val="00792304"/>
    <w:rsid w:val="007A19B0"/>
    <w:rsid w:val="007A1F3E"/>
    <w:rsid w:val="007B4FAC"/>
    <w:rsid w:val="007B75F2"/>
    <w:rsid w:val="007C7030"/>
    <w:rsid w:val="007F1B8A"/>
    <w:rsid w:val="00802CD8"/>
    <w:rsid w:val="0080526C"/>
    <w:rsid w:val="00805C94"/>
    <w:rsid w:val="008162FE"/>
    <w:rsid w:val="008740D8"/>
    <w:rsid w:val="008A2782"/>
    <w:rsid w:val="008A27D8"/>
    <w:rsid w:val="008C1608"/>
    <w:rsid w:val="008D6CA8"/>
    <w:rsid w:val="00905771"/>
    <w:rsid w:val="009538E8"/>
    <w:rsid w:val="009540DF"/>
    <w:rsid w:val="00957759"/>
    <w:rsid w:val="00981259"/>
    <w:rsid w:val="009A5424"/>
    <w:rsid w:val="009A591E"/>
    <w:rsid w:val="009C2014"/>
    <w:rsid w:val="009E18DA"/>
    <w:rsid w:val="009E29E8"/>
    <w:rsid w:val="00A911FF"/>
    <w:rsid w:val="00A9435F"/>
    <w:rsid w:val="00AB29C9"/>
    <w:rsid w:val="00AF227F"/>
    <w:rsid w:val="00B06275"/>
    <w:rsid w:val="00B15EDA"/>
    <w:rsid w:val="00B226E0"/>
    <w:rsid w:val="00B2768B"/>
    <w:rsid w:val="00B42748"/>
    <w:rsid w:val="00B46BD2"/>
    <w:rsid w:val="00B61040"/>
    <w:rsid w:val="00B61D96"/>
    <w:rsid w:val="00B76C6E"/>
    <w:rsid w:val="00B8040E"/>
    <w:rsid w:val="00B91417"/>
    <w:rsid w:val="00BD5349"/>
    <w:rsid w:val="00BF4131"/>
    <w:rsid w:val="00BF4F5F"/>
    <w:rsid w:val="00C17BD4"/>
    <w:rsid w:val="00C242E3"/>
    <w:rsid w:val="00C31CCC"/>
    <w:rsid w:val="00C432E9"/>
    <w:rsid w:val="00C62C93"/>
    <w:rsid w:val="00C80325"/>
    <w:rsid w:val="00C84887"/>
    <w:rsid w:val="00CE24E9"/>
    <w:rsid w:val="00D86BD3"/>
    <w:rsid w:val="00D919D9"/>
    <w:rsid w:val="00DB0EC9"/>
    <w:rsid w:val="00E06DC3"/>
    <w:rsid w:val="00E20D0C"/>
    <w:rsid w:val="00E85B66"/>
    <w:rsid w:val="00EF6AB3"/>
    <w:rsid w:val="00F1216D"/>
    <w:rsid w:val="00F356C0"/>
    <w:rsid w:val="00F45C97"/>
    <w:rsid w:val="00F84DBF"/>
    <w:rsid w:val="00F968E8"/>
    <w:rsid w:val="00FE0D9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9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242E3"/>
    <w:rPr>
      <w:color w:val="0000FF"/>
      <w:u w:val="single"/>
    </w:rPr>
  </w:style>
  <w:style w:type="paragraph" w:customStyle="1" w:styleId="definition">
    <w:name w:val="definition"/>
    <w:basedOn w:val="Normal"/>
    <w:rsid w:val="00C242E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Bullet">
    <w:name w:val="List Bullet"/>
    <w:basedOn w:val="Normal"/>
    <w:uiPriority w:val="99"/>
    <w:semiHidden/>
    <w:unhideWhenUsed/>
    <w:rsid w:val="00C242E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242E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C242E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C242E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2">
    <w:name w:val="subsection2"/>
    <w:basedOn w:val="Normal"/>
    <w:rsid w:val="00C242E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3E6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F3E"/>
    <w:rPr>
      <w:rFonts w:ascii="Tahoma" w:hAnsi="Tahoma" w:cs="Tahoma"/>
      <w:sz w:val="16"/>
      <w:szCs w:val="16"/>
    </w:rPr>
  </w:style>
  <w:style w:type="character" w:styleId="CommentReference">
    <w:name w:val="annotation reference"/>
    <w:basedOn w:val="DefaultParagraphFont"/>
    <w:uiPriority w:val="99"/>
    <w:semiHidden/>
    <w:unhideWhenUsed/>
    <w:rsid w:val="00E20D0C"/>
    <w:rPr>
      <w:sz w:val="16"/>
      <w:szCs w:val="16"/>
    </w:rPr>
  </w:style>
  <w:style w:type="paragraph" w:styleId="CommentText">
    <w:name w:val="annotation text"/>
    <w:basedOn w:val="Normal"/>
    <w:link w:val="CommentTextChar"/>
    <w:uiPriority w:val="99"/>
    <w:semiHidden/>
    <w:unhideWhenUsed/>
    <w:rsid w:val="00E20D0C"/>
    <w:pPr>
      <w:spacing w:line="240" w:lineRule="auto"/>
    </w:pPr>
    <w:rPr>
      <w:sz w:val="20"/>
      <w:szCs w:val="20"/>
    </w:rPr>
  </w:style>
  <w:style w:type="character" w:customStyle="1" w:styleId="CommentTextChar">
    <w:name w:val="Comment Text Char"/>
    <w:basedOn w:val="DefaultParagraphFont"/>
    <w:link w:val="CommentText"/>
    <w:uiPriority w:val="99"/>
    <w:semiHidden/>
    <w:rsid w:val="00E20D0C"/>
    <w:rPr>
      <w:sz w:val="20"/>
      <w:szCs w:val="20"/>
    </w:rPr>
  </w:style>
  <w:style w:type="paragraph" w:styleId="CommentSubject">
    <w:name w:val="annotation subject"/>
    <w:basedOn w:val="CommentText"/>
    <w:next w:val="CommentText"/>
    <w:link w:val="CommentSubjectChar"/>
    <w:uiPriority w:val="99"/>
    <w:semiHidden/>
    <w:unhideWhenUsed/>
    <w:rsid w:val="00E20D0C"/>
    <w:rPr>
      <w:b/>
      <w:bCs/>
    </w:rPr>
  </w:style>
  <w:style w:type="character" w:customStyle="1" w:styleId="CommentSubjectChar">
    <w:name w:val="Comment Subject Char"/>
    <w:basedOn w:val="CommentTextChar"/>
    <w:link w:val="CommentSubject"/>
    <w:uiPriority w:val="99"/>
    <w:semiHidden/>
    <w:rsid w:val="00E20D0C"/>
    <w:rPr>
      <w:b/>
      <w:bCs/>
    </w:rPr>
  </w:style>
  <w:style w:type="paragraph" w:customStyle="1" w:styleId="ACMABodyText">
    <w:name w:val="ACMA Body Text"/>
    <w:link w:val="ACMABodyTextChar"/>
    <w:rsid w:val="002D29A4"/>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
    <w:locked/>
    <w:rsid w:val="002D29A4"/>
    <w:rPr>
      <w:rFonts w:ascii="Times New Roman" w:eastAsia="Times New Roman" w:hAnsi="Times New Roman" w:cs="Times New Roman"/>
      <w:snapToGrid w:val="0"/>
      <w:sz w:val="24"/>
      <w:szCs w:val="20"/>
    </w:rPr>
  </w:style>
  <w:style w:type="paragraph" w:styleId="Revision">
    <w:name w:val="Revision"/>
    <w:hidden/>
    <w:uiPriority w:val="99"/>
    <w:semiHidden/>
    <w:rsid w:val="009E29E8"/>
    <w:pPr>
      <w:spacing w:after="0" w:line="240" w:lineRule="auto"/>
    </w:pPr>
  </w:style>
</w:styles>
</file>

<file path=word/webSettings.xml><?xml version="1.0" encoding="utf-8"?>
<w:webSettings xmlns:r="http://schemas.openxmlformats.org/officeDocument/2006/relationships" xmlns:w="http://schemas.openxmlformats.org/wordprocessingml/2006/main">
  <w:divs>
    <w:div w:id="548567422">
      <w:bodyDiv w:val="1"/>
      <w:marLeft w:val="0"/>
      <w:marRight w:val="0"/>
      <w:marTop w:val="0"/>
      <w:marBottom w:val="0"/>
      <w:divBdr>
        <w:top w:val="none" w:sz="0" w:space="0" w:color="auto"/>
        <w:left w:val="none" w:sz="0" w:space="0" w:color="auto"/>
        <w:bottom w:val="none" w:sz="0" w:space="0" w:color="auto"/>
        <w:right w:val="none" w:sz="0" w:space="0" w:color="auto"/>
      </w:divBdr>
      <w:divsChild>
        <w:div w:id="662585613">
          <w:marLeft w:val="0"/>
          <w:marRight w:val="0"/>
          <w:marTop w:val="0"/>
          <w:marBottom w:val="0"/>
          <w:divBdr>
            <w:top w:val="none" w:sz="0" w:space="0" w:color="auto"/>
            <w:left w:val="none" w:sz="0" w:space="0" w:color="auto"/>
            <w:bottom w:val="none" w:sz="0" w:space="0" w:color="auto"/>
            <w:right w:val="none" w:sz="0" w:space="0" w:color="auto"/>
          </w:divBdr>
          <w:divsChild>
            <w:div w:id="2091191418">
              <w:marLeft w:val="0"/>
              <w:marRight w:val="0"/>
              <w:marTop w:val="0"/>
              <w:marBottom w:val="0"/>
              <w:divBdr>
                <w:top w:val="none" w:sz="0" w:space="0" w:color="auto"/>
                <w:left w:val="none" w:sz="0" w:space="0" w:color="auto"/>
                <w:bottom w:val="none" w:sz="0" w:space="0" w:color="auto"/>
                <w:right w:val="none" w:sz="0" w:space="0" w:color="auto"/>
              </w:divBdr>
              <w:divsChild>
                <w:div w:id="1419209068">
                  <w:marLeft w:val="0"/>
                  <w:marRight w:val="0"/>
                  <w:marTop w:val="0"/>
                  <w:marBottom w:val="0"/>
                  <w:divBdr>
                    <w:top w:val="none" w:sz="0" w:space="0" w:color="auto"/>
                    <w:left w:val="none" w:sz="0" w:space="0" w:color="auto"/>
                    <w:bottom w:val="none" w:sz="0" w:space="0" w:color="auto"/>
                    <w:right w:val="none" w:sz="0" w:space="0" w:color="auto"/>
                  </w:divBdr>
                  <w:divsChild>
                    <w:div w:id="716860703">
                      <w:marLeft w:val="0"/>
                      <w:marRight w:val="0"/>
                      <w:marTop w:val="0"/>
                      <w:marBottom w:val="0"/>
                      <w:divBdr>
                        <w:top w:val="none" w:sz="0" w:space="0" w:color="auto"/>
                        <w:left w:val="none" w:sz="0" w:space="0" w:color="auto"/>
                        <w:bottom w:val="none" w:sz="0" w:space="0" w:color="auto"/>
                        <w:right w:val="none" w:sz="0" w:space="0" w:color="auto"/>
                      </w:divBdr>
                      <w:divsChild>
                        <w:div w:id="1966539450">
                          <w:marLeft w:val="0"/>
                          <w:marRight w:val="0"/>
                          <w:marTop w:val="0"/>
                          <w:marBottom w:val="0"/>
                          <w:divBdr>
                            <w:top w:val="single" w:sz="6" w:space="0" w:color="828282"/>
                            <w:left w:val="single" w:sz="6" w:space="0" w:color="828282"/>
                            <w:bottom w:val="single" w:sz="6" w:space="0" w:color="828282"/>
                            <w:right w:val="single" w:sz="6" w:space="0" w:color="828282"/>
                          </w:divBdr>
                          <w:divsChild>
                            <w:div w:id="1044863065">
                              <w:marLeft w:val="0"/>
                              <w:marRight w:val="0"/>
                              <w:marTop w:val="0"/>
                              <w:marBottom w:val="0"/>
                              <w:divBdr>
                                <w:top w:val="none" w:sz="0" w:space="0" w:color="auto"/>
                                <w:left w:val="none" w:sz="0" w:space="0" w:color="auto"/>
                                <w:bottom w:val="none" w:sz="0" w:space="0" w:color="auto"/>
                                <w:right w:val="none" w:sz="0" w:space="0" w:color="auto"/>
                              </w:divBdr>
                              <w:divsChild>
                                <w:div w:id="279192840">
                                  <w:marLeft w:val="0"/>
                                  <w:marRight w:val="0"/>
                                  <w:marTop w:val="0"/>
                                  <w:marBottom w:val="0"/>
                                  <w:divBdr>
                                    <w:top w:val="none" w:sz="0" w:space="0" w:color="auto"/>
                                    <w:left w:val="none" w:sz="0" w:space="0" w:color="auto"/>
                                    <w:bottom w:val="none" w:sz="0" w:space="0" w:color="auto"/>
                                    <w:right w:val="none" w:sz="0" w:space="0" w:color="auto"/>
                                  </w:divBdr>
                                  <w:divsChild>
                                    <w:div w:id="153836931">
                                      <w:marLeft w:val="0"/>
                                      <w:marRight w:val="0"/>
                                      <w:marTop w:val="0"/>
                                      <w:marBottom w:val="0"/>
                                      <w:divBdr>
                                        <w:top w:val="none" w:sz="0" w:space="0" w:color="auto"/>
                                        <w:left w:val="none" w:sz="0" w:space="0" w:color="auto"/>
                                        <w:bottom w:val="none" w:sz="0" w:space="0" w:color="auto"/>
                                        <w:right w:val="none" w:sz="0" w:space="0" w:color="auto"/>
                                      </w:divBdr>
                                      <w:divsChild>
                                        <w:div w:id="1699358349">
                                          <w:marLeft w:val="0"/>
                                          <w:marRight w:val="0"/>
                                          <w:marTop w:val="0"/>
                                          <w:marBottom w:val="0"/>
                                          <w:divBdr>
                                            <w:top w:val="none" w:sz="0" w:space="0" w:color="auto"/>
                                            <w:left w:val="none" w:sz="0" w:space="0" w:color="auto"/>
                                            <w:bottom w:val="none" w:sz="0" w:space="0" w:color="auto"/>
                                            <w:right w:val="none" w:sz="0" w:space="0" w:color="auto"/>
                                          </w:divBdr>
                                          <w:divsChild>
                                            <w:div w:id="444469855">
                                              <w:marLeft w:val="0"/>
                                              <w:marRight w:val="0"/>
                                              <w:marTop w:val="0"/>
                                              <w:marBottom w:val="0"/>
                                              <w:divBdr>
                                                <w:top w:val="none" w:sz="0" w:space="0" w:color="auto"/>
                                                <w:left w:val="none" w:sz="0" w:space="0" w:color="auto"/>
                                                <w:bottom w:val="none" w:sz="0" w:space="0" w:color="auto"/>
                                                <w:right w:val="none" w:sz="0" w:space="0" w:color="auto"/>
                                              </w:divBdr>
                                              <w:divsChild>
                                                <w:div w:id="13321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ac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B87CF1831231499AB06102660F5006" ma:contentTypeVersion="0" ma:contentTypeDescription="Create a new document." ma:contentTypeScope="" ma:versionID="7c9fac8a034485a9a283bf1d2873c2a3">
  <xsd:schema xmlns:xsd="http://www.w3.org/2001/XMLSchema" xmlns:xs="http://www.w3.org/2001/XMLSchema" xmlns:p="http://schemas.microsoft.com/office/2006/metadata/properties" xmlns:ns2="6db8f3c6-01a1-4322-b043-a3b2a190f7a8" targetNamespace="http://schemas.microsoft.com/office/2006/metadata/properties" ma:root="true" ma:fieldsID="08fd8ed56bc4c63e248c838960af90a7" ns2:_="">
    <xsd:import namespace="6db8f3c6-01a1-4322-b043-a3b2a190f7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KNAH4PPFC442-1229-1621</_dlc_DocId>
    <_dlc_DocIdUrl xmlns="6db8f3c6-01a1-4322-b043-a3b2a190f7a8">
      <Url>http://collaboration/organisation/CID/RPB/RLPS/_layouts/DocIdRedir.aspx?ID=KNAH4PPFC442-1229-1621</Url>
      <Description>KNAH4PPFC442-1229-1621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773778-EC1C-421B-A157-E646B06D5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8f3c6-01a1-4322-b043-a3b2a190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62B042-0801-4D2F-8F7F-63DFB3ACFB3C}">
  <ds:schemaRefs>
    <ds:schemaRef ds:uri="http://schemas.microsoft.com/office/2006/metadata/properties"/>
    <ds:schemaRef ds:uri="http://schemas.microsoft.com/office/infopath/2007/PartnerControls"/>
    <ds:schemaRef ds:uri="6db8f3c6-01a1-4322-b043-a3b2a190f7a8"/>
  </ds:schemaRefs>
</ds:datastoreItem>
</file>

<file path=customXml/itemProps3.xml><?xml version="1.0" encoding="utf-8"?>
<ds:datastoreItem xmlns:ds="http://schemas.openxmlformats.org/officeDocument/2006/customXml" ds:itemID="{8D5BE6B4-45E1-44D8-9A1D-1F7175CD1CC3}">
  <ds:schemaRefs>
    <ds:schemaRef ds:uri="http://schemas.microsoft.com/sharepoint/events"/>
  </ds:schemaRefs>
</ds:datastoreItem>
</file>

<file path=customXml/itemProps4.xml><?xml version="1.0" encoding="utf-8"?>
<ds:datastoreItem xmlns:ds="http://schemas.openxmlformats.org/officeDocument/2006/customXml" ds:itemID="{5DD6C773-58C0-4D8E-A78F-423F6A65BC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1301</Words>
  <Characters>7422</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8706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 Lawler</dc:creator>
  <cp:lastModifiedBy>Helen Turnbull</cp:lastModifiedBy>
  <cp:revision>2</cp:revision>
  <cp:lastPrinted>2013-12-02T23:46:00Z</cp:lastPrinted>
  <dcterms:created xsi:type="dcterms:W3CDTF">2014-01-02T01:27:00Z</dcterms:created>
  <dcterms:modified xsi:type="dcterms:W3CDTF">2014-01-02T01:27:00Z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0x010100F3B87CF1831231499AB06102660F5006</vt:lpwstr>
  </property>
  <property fmtid="{D5CDD505-2E9C-101B-9397-08002B2CF9AE}" pid="3" name="_dlc_DocIdItemGuid">
    <vt:lpwstr>a8352e6a-3ca0-40ef-baed-942e12f867fc</vt:lpwstr>
  </property>
</Properties>
</file>