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DD" w:rsidRPr="001D18F5" w:rsidRDefault="00672BDD" w:rsidP="00672BDD">
      <w:pPr>
        <w:ind w:left="1440" w:firstLine="720"/>
        <w:rPr>
          <w:b/>
          <w:u w:val="single"/>
        </w:rPr>
      </w:pPr>
      <w:r w:rsidRPr="001D18F5">
        <w:rPr>
          <w:b/>
          <w:u w:val="single"/>
        </w:rPr>
        <w:t>EXPLANATORY STATEMENT</w:t>
      </w:r>
    </w:p>
    <w:p w:rsidR="00672BDD" w:rsidRPr="001D18F5" w:rsidRDefault="00672BDD" w:rsidP="00672BDD"/>
    <w:p w:rsidR="00672BDD" w:rsidRPr="001D18F5" w:rsidRDefault="00672BDD" w:rsidP="00672BDD">
      <w:r w:rsidRPr="001D18F5">
        <w:t xml:space="preserve">Subject:           </w:t>
      </w:r>
      <w:r w:rsidRPr="001D18F5">
        <w:rPr>
          <w:i/>
        </w:rPr>
        <w:t>Therapeutic Goods Act 1989</w:t>
      </w:r>
    </w:p>
    <w:p w:rsidR="00672BDD" w:rsidRPr="001D18F5" w:rsidRDefault="00672BDD" w:rsidP="00672BDD"/>
    <w:p w:rsidR="00672BDD" w:rsidRPr="001D18F5" w:rsidRDefault="00672BDD" w:rsidP="00672BDD">
      <w:pPr>
        <w:rPr>
          <w:i/>
        </w:rPr>
      </w:pPr>
      <w:r w:rsidRPr="001D18F5">
        <w:rPr>
          <w:i/>
        </w:rPr>
        <w:t>Poisons Standard Amendment No.</w:t>
      </w:r>
      <w:r w:rsidRPr="001D18F5">
        <w:t xml:space="preserve"> </w:t>
      </w:r>
      <w:r w:rsidR="00F527ED">
        <w:rPr>
          <w:i/>
        </w:rPr>
        <w:t>1</w:t>
      </w:r>
      <w:r w:rsidRPr="001D18F5">
        <w:rPr>
          <w:i/>
        </w:rPr>
        <w:t xml:space="preserve"> of 2014</w:t>
      </w:r>
    </w:p>
    <w:p w:rsidR="00672BDD" w:rsidRPr="001D18F5" w:rsidRDefault="00672BDD" w:rsidP="00672BDD">
      <w:pPr>
        <w:rPr>
          <w:lang w:val="en-AU"/>
        </w:rPr>
      </w:pPr>
    </w:p>
    <w:p w:rsidR="00672BDD" w:rsidRPr="001D18F5" w:rsidRDefault="00672BDD" w:rsidP="00672BDD">
      <w:r w:rsidRPr="001D18F5">
        <w:t xml:space="preserve">The </w:t>
      </w:r>
      <w:r w:rsidRPr="001D18F5">
        <w:rPr>
          <w:i/>
        </w:rPr>
        <w:t>Therapeutic Goods Act 1989</w:t>
      </w:r>
      <w:r w:rsidRPr="001D18F5">
        <w:t xml:space="preserve"> (the TG Act) provides for the establishment and maintenance of a system of controls for the quality, safety, efficacy and timely availability of therapeutic goods that are used in </w:t>
      </w:r>
      <w:smartTag w:uri="urn:schemas-microsoft-com:office:smarttags" w:element="country-region">
        <w:r w:rsidRPr="001D18F5">
          <w:t>Australia</w:t>
        </w:r>
      </w:smartTag>
      <w:r w:rsidRPr="001D18F5">
        <w:t xml:space="preserve"> or exported from </w:t>
      </w:r>
      <w:smartTag w:uri="urn:schemas-microsoft-com:office:smarttags" w:element="country-region">
        <w:smartTag w:uri="urn:schemas-microsoft-com:office:smarttags" w:element="place">
          <w:r w:rsidRPr="001D18F5">
            <w:t>Australia</w:t>
          </w:r>
        </w:smartTag>
      </w:smartTag>
      <w:r w:rsidRPr="001D18F5">
        <w:t xml:space="preserve">.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1D18F5">
            <w:t>Australia</w:t>
          </w:r>
        </w:smartTag>
      </w:smartTag>
      <w:r w:rsidRPr="001D18F5">
        <w:t>.  The Therapeutic Goods Administration (the TGA) is responsible for administering the TG Act.</w:t>
      </w:r>
    </w:p>
    <w:p w:rsidR="00672BDD" w:rsidRPr="001D18F5" w:rsidRDefault="00672BDD" w:rsidP="00672BDD">
      <w:pPr>
        <w:rPr>
          <w:lang w:val="en-AU"/>
        </w:rPr>
      </w:pPr>
    </w:p>
    <w:p w:rsidR="00672BDD" w:rsidRPr="001D18F5" w:rsidRDefault="00672BDD" w:rsidP="00672BDD">
      <w:r w:rsidRPr="001D18F5">
        <w:t>Subsection 52D(2) of the TG Act</w:t>
      </w:r>
      <w:r w:rsidRPr="001D18F5">
        <w:rPr>
          <w:lang w:val="en-AU"/>
        </w:rPr>
        <w:t xml:space="preserve"> authorises</w:t>
      </w:r>
      <w:r w:rsidRPr="001D18F5">
        <w:t xml:space="preserve"> the Secretary to the Department of Health, or a delegate of the Secretary,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672BDD" w:rsidRPr="001D18F5" w:rsidRDefault="00672BDD" w:rsidP="00672BDD">
      <w:pPr>
        <w:rPr>
          <w:lang w:val="en-AU"/>
        </w:rPr>
      </w:pPr>
    </w:p>
    <w:p w:rsidR="00895E3E" w:rsidRDefault="00672BDD" w:rsidP="00672BDD">
      <w:r w:rsidRPr="001D18F5">
        <w:t>Part 6-3 of the TG Act provides the basis for a uniform system of access controls for goods containing scheduled substances.  The scheduling of substances allows restrictions to be placed on their supply to the public, in the interests of public health and safety.  The scheduling of substances is aimed at</w:t>
      </w:r>
      <w:r w:rsidRPr="001D18F5">
        <w:rPr>
          <w:lang w:val="en-AU"/>
        </w:rPr>
        <w:t xml:space="preserve"> minimising</w:t>
      </w:r>
      <w:r w:rsidRPr="001D18F5">
        <w:t xml:space="preserve"> the risks of poisoning from, and the misuse or abuse of, scheduled substances.</w:t>
      </w:r>
    </w:p>
    <w:p w:rsidR="00895E3E" w:rsidRDefault="00895E3E" w:rsidP="00672BDD"/>
    <w:p w:rsidR="00672BDD" w:rsidRPr="001D18F5" w:rsidRDefault="00672BDD" w:rsidP="00672BDD">
      <w:r w:rsidRPr="001D18F5">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w:t>
      </w:r>
      <w:r w:rsidR="00895E3E">
        <w:t>s</w:t>
      </w:r>
      <w:r w:rsidRPr="001D18F5">
        <w:t>.</w:t>
      </w:r>
    </w:p>
    <w:p w:rsidR="00672BDD" w:rsidRPr="001D18F5" w:rsidRDefault="00672BDD" w:rsidP="00672BDD">
      <w:pPr>
        <w:rPr>
          <w:lang w:val="en-AU"/>
        </w:rPr>
      </w:pPr>
    </w:p>
    <w:p w:rsidR="00672BDD" w:rsidRPr="001D18F5" w:rsidRDefault="00672BDD" w:rsidP="00672BDD">
      <w:r w:rsidRPr="001D18F5">
        <w:t>The Poisons Standard consists of decisions of the Secretary, or a delegate of the Secretary, regarding the classification of poisons into nine different Schedules signifying the degree of control recommended to be exercised over their availability to the public.</w:t>
      </w:r>
    </w:p>
    <w:p w:rsidR="00672BDD" w:rsidRPr="001D18F5" w:rsidRDefault="00672BDD" w:rsidP="00672BDD">
      <w:pPr>
        <w:rPr>
          <w:lang w:val="en-AU"/>
        </w:rPr>
      </w:pPr>
    </w:p>
    <w:p w:rsidR="00672BDD" w:rsidRPr="001D18F5" w:rsidRDefault="00672BDD" w:rsidP="00672BDD">
      <w:r w:rsidRPr="001D18F5">
        <w:t>The purpose of this instrument is to amend the Poisons Standard 201</w:t>
      </w:r>
      <w:r w:rsidR="00895E3E">
        <w:t>3</w:t>
      </w:r>
      <w:r w:rsidRPr="001D18F5">
        <w:t xml:space="preserve">.  The amendments to the Poisons Standard </w:t>
      </w:r>
      <w:r w:rsidR="00BF6A3B" w:rsidRPr="001D18F5">
        <w:t>201</w:t>
      </w:r>
      <w:r w:rsidR="00895E3E">
        <w:t>3</w:t>
      </w:r>
      <w:r w:rsidRPr="001D18F5">
        <w:t xml:space="preserve"> </w:t>
      </w:r>
      <w:r w:rsidR="00C72B07">
        <w:t xml:space="preserve">set </w:t>
      </w:r>
      <w:r w:rsidRPr="001D18F5">
        <w:t xml:space="preserve">out in Schedule 1 of this instrument consist of decisions made by a delegate of the Secretary.  These amendments commence on </w:t>
      </w:r>
      <w:r w:rsidR="00F446B3" w:rsidRPr="001D18F5">
        <w:t>1 February</w:t>
      </w:r>
      <w:r w:rsidRPr="001D18F5">
        <w:t> 201</w:t>
      </w:r>
      <w:r w:rsidR="00F446B3" w:rsidRPr="001D18F5">
        <w:t>4</w:t>
      </w:r>
      <w:r w:rsidRPr="001D18F5">
        <w:t>.</w:t>
      </w:r>
    </w:p>
    <w:p w:rsidR="00672BDD" w:rsidRPr="001D18F5" w:rsidRDefault="00672BDD" w:rsidP="00672BDD">
      <w:pPr>
        <w:rPr>
          <w:lang w:val="en-AU"/>
        </w:rPr>
      </w:pPr>
    </w:p>
    <w:p w:rsidR="00895E3E" w:rsidRDefault="00672BDD" w:rsidP="00672BDD">
      <w:pPr>
        <w:rPr>
          <w:lang w:val="en-AU"/>
        </w:rPr>
      </w:pPr>
      <w:r w:rsidRPr="001D18F5">
        <w:rPr>
          <w:lang w:val="en-AU"/>
        </w:rPr>
        <w:t>The Schedules contained in the Poisons Standard are referred to under State and Territory legislation for regulatory purposes</w:t>
      </w:r>
      <w:r w:rsidR="00895E3E">
        <w:rPr>
          <w:lang w:val="en-AU"/>
        </w:rPr>
        <w:t>.</w:t>
      </w:r>
      <w:r w:rsidRPr="001D18F5">
        <w:rPr>
          <w:lang w:val="en-AU"/>
        </w:rPr>
        <w:t xml:space="preserve"> </w:t>
      </w:r>
      <w:r w:rsidR="00895E3E">
        <w:rPr>
          <w:lang w:val="en-AU"/>
        </w:rPr>
        <w:t xml:space="preserve"> This</w:t>
      </w:r>
      <w:r w:rsidRPr="001D18F5">
        <w:rPr>
          <w:lang w:val="en-AU"/>
        </w:rPr>
        <w:t xml:space="preserve"> enables restrictions to be placed on the supply of scheduled substances to the public, according to the degree of risk </w:t>
      </w:r>
      <w:r w:rsidR="00895E3E">
        <w:rPr>
          <w:lang w:val="en-AU"/>
        </w:rPr>
        <w:t xml:space="preserve">associated with them </w:t>
      </w:r>
      <w:r w:rsidRPr="001D18F5">
        <w:rPr>
          <w:lang w:val="en-AU"/>
        </w:rPr>
        <w:t>and the degree of control recommended to be exercised over their availability</w:t>
      </w:r>
      <w:r w:rsidR="00895E3E">
        <w:rPr>
          <w:lang w:val="en-AU"/>
        </w:rPr>
        <w:t>,</w:t>
      </w:r>
      <w:r w:rsidRPr="001D18F5">
        <w:rPr>
          <w:lang w:val="en-AU"/>
        </w:rPr>
        <w:t xml:space="preserve"> in the interest of public health and safety.</w:t>
      </w:r>
    </w:p>
    <w:p w:rsidR="00895E3E" w:rsidRDefault="00895E3E" w:rsidP="00672BDD">
      <w:pPr>
        <w:rPr>
          <w:lang w:val="en-AU"/>
        </w:rPr>
      </w:pPr>
    </w:p>
    <w:p w:rsidR="00672BDD" w:rsidRPr="001D18F5" w:rsidRDefault="00672BDD" w:rsidP="00672BDD">
      <w:pPr>
        <w:rPr>
          <w:lang w:val="en-AU"/>
        </w:rPr>
      </w:pPr>
      <w:r w:rsidRPr="001D18F5">
        <w:rPr>
          <w:lang w:val="en-AU"/>
        </w:rPr>
        <w:lastRenderedPageBreak/>
        <w:t>The Commonwealth also takes into account the scheduling and classification of substances in the Poisons Standard for regulatory and enforcement purposes under the TG Act.</w:t>
      </w:r>
    </w:p>
    <w:p w:rsidR="00672BDD" w:rsidRPr="001D18F5" w:rsidRDefault="00672BDD" w:rsidP="00672BDD">
      <w:pPr>
        <w:rPr>
          <w:lang w:val="en-AU"/>
        </w:rPr>
      </w:pPr>
    </w:p>
    <w:p w:rsidR="00672BDD" w:rsidRPr="001D18F5" w:rsidRDefault="00672BDD" w:rsidP="00672BDD">
      <w:pPr>
        <w:rPr>
          <w:lang w:val="en-AU"/>
        </w:rPr>
      </w:pPr>
      <w:r w:rsidRPr="001D18F5">
        <w:rPr>
          <w:lang w:val="en-AU"/>
        </w:rPr>
        <w:t xml:space="preserve">For example, the TG Act and </w:t>
      </w:r>
      <w:r w:rsidR="00BC5489">
        <w:rPr>
          <w:lang w:val="en-AU"/>
        </w:rPr>
        <w:t>r</w:t>
      </w:r>
      <w:r w:rsidRPr="001D18F5">
        <w:rPr>
          <w:lang w:val="en-AU"/>
        </w:rPr>
        <w:t>egulations prohibit the publication of advertisements to consumers about prescription medicines included in Schedule 4 or 8 of the Poisons Standard or over the counter medicines included in Schedule 3 and not included in Appendix H of the Poisons Standard. The advertising of substances included in Schedule 9 or Appendix C of the Poisons Standard is also prohibited.</w:t>
      </w:r>
    </w:p>
    <w:p w:rsidR="00672BDD" w:rsidRPr="001D18F5" w:rsidRDefault="00672BDD" w:rsidP="00672BDD">
      <w:pPr>
        <w:rPr>
          <w:lang w:val="en-AU"/>
        </w:rPr>
      </w:pPr>
    </w:p>
    <w:p w:rsidR="00672BDD" w:rsidRPr="001D18F5" w:rsidRDefault="00672BDD" w:rsidP="00672BDD">
      <w:pPr>
        <w:rPr>
          <w:lang w:val="en-AU"/>
        </w:rPr>
      </w:pPr>
      <w:r w:rsidRPr="001D18F5">
        <w:rPr>
          <w:lang w:val="en-AU"/>
        </w:rPr>
        <w:t xml:space="preserve">The amendments to the Poisons Standard </w:t>
      </w:r>
      <w:r w:rsidRPr="001D18F5">
        <w:t>201</w:t>
      </w:r>
      <w:r w:rsidR="00BC5489">
        <w:t>3</w:t>
      </w:r>
      <w:r w:rsidRPr="001D18F5">
        <w:t xml:space="preserve"> </w:t>
      </w:r>
      <w:r w:rsidRPr="001D18F5">
        <w:rPr>
          <w:lang w:val="en-AU"/>
        </w:rPr>
        <w:t xml:space="preserve">set out in this instrument consist of changes to existing entries and </w:t>
      </w:r>
      <w:r w:rsidR="00BC5489">
        <w:rPr>
          <w:lang w:val="en-AU"/>
        </w:rPr>
        <w:t>the</w:t>
      </w:r>
      <w:r w:rsidRPr="001D18F5">
        <w:rPr>
          <w:lang w:val="en-AU"/>
        </w:rPr>
        <w:t xml:space="preserve"> inclu</w:t>
      </w:r>
      <w:r w:rsidR="00BC5489">
        <w:rPr>
          <w:lang w:val="en-AU"/>
        </w:rPr>
        <w:t>sion</w:t>
      </w:r>
      <w:r w:rsidRPr="001D18F5">
        <w:rPr>
          <w:lang w:val="en-AU"/>
        </w:rPr>
        <w:t xml:space="preserve"> </w:t>
      </w:r>
      <w:r w:rsidR="00BC5489">
        <w:rPr>
          <w:lang w:val="en-AU"/>
        </w:rPr>
        <w:t xml:space="preserve">of a number of </w:t>
      </w:r>
      <w:r w:rsidRPr="001D18F5">
        <w:rPr>
          <w:lang w:val="en-AU"/>
        </w:rPr>
        <w:t>specified substances in the Poisons Standard for the first time.</w:t>
      </w:r>
    </w:p>
    <w:p w:rsidR="00AC5BD5" w:rsidRPr="001D18F5" w:rsidRDefault="00AC5BD5" w:rsidP="00672BDD"/>
    <w:p w:rsidR="00672BDD" w:rsidRPr="001D18F5" w:rsidRDefault="00672BDD" w:rsidP="00672BDD">
      <w:r w:rsidRPr="001D18F5">
        <w:t>A number of these changes were made following the provision of advice from the ACMS and the ACCS</w:t>
      </w:r>
      <w:r w:rsidR="00BC5489">
        <w:t>, in accordance with the procedures set out in Subdivision 3D.2 of Part 6 of the Therapeutic Goods Regulations 1990 for amending the Poisons Standard when a proposed amendment is referred to an expert advisory committee</w:t>
      </w:r>
      <w:r w:rsidRPr="001D18F5">
        <w:t xml:space="preserve">.  The Scheduling Policy Framework (SPF) provides guidance to assist delegates in making a decision on whether a matter would benefit from being referred to an </w:t>
      </w:r>
      <w:r w:rsidR="00BC5489">
        <w:t xml:space="preserve">expert </w:t>
      </w:r>
      <w:r w:rsidRPr="001D18F5">
        <w:t xml:space="preserve">advisory committee for advice.  A copy of the SPF is available from </w:t>
      </w:r>
      <w:hyperlink r:id="rId8" w:history="1">
        <w:r w:rsidRPr="001D18F5">
          <w:rPr>
            <w:rStyle w:val="Hyperlink"/>
          </w:rPr>
          <w:t>http://www.tga.gov.au/industry/scheduling-spf.htm</w:t>
        </w:r>
      </w:hyperlink>
      <w:r w:rsidRPr="001D18F5">
        <w:t>.</w:t>
      </w:r>
    </w:p>
    <w:p w:rsidR="00672BDD" w:rsidRPr="001D18F5" w:rsidRDefault="00672BDD" w:rsidP="00672BDD"/>
    <w:p w:rsidR="00672BDD" w:rsidRPr="001D18F5" w:rsidRDefault="00672BDD" w:rsidP="00672BDD">
      <w:r w:rsidRPr="001D18F5">
        <w:t xml:space="preserve">Public comment was invited on those </w:t>
      </w:r>
      <w:r w:rsidR="00962481" w:rsidRPr="001D18F5">
        <w:t>matters referred to the ACMS</w:t>
      </w:r>
      <w:r w:rsidR="00CC6FBC">
        <w:t>,</w:t>
      </w:r>
      <w:r w:rsidRPr="001D18F5">
        <w:t xml:space="preserve"> the ACCS</w:t>
      </w:r>
      <w:r w:rsidR="00CC6FBC">
        <w:t xml:space="preserve"> and </w:t>
      </w:r>
      <w:r w:rsidR="00D82733">
        <w:t>a</w:t>
      </w:r>
      <w:r w:rsidR="00CC6FBC">
        <w:t xml:space="preserve"> joint </w:t>
      </w:r>
      <w:r w:rsidR="00D82733">
        <w:t xml:space="preserve">meeting of the </w:t>
      </w:r>
      <w:r w:rsidR="00CC6FBC">
        <w:t xml:space="preserve">ACCS </w:t>
      </w:r>
      <w:r w:rsidR="00D82733">
        <w:t>and the</w:t>
      </w:r>
      <w:r w:rsidR="00CC6FBC">
        <w:t xml:space="preserve"> ACMS</w:t>
      </w:r>
      <w:bookmarkStart w:id="0" w:name="_GoBack"/>
      <w:bookmarkEnd w:id="0"/>
      <w:r w:rsidRPr="001D18F5">
        <w:t>, which related to proposals to amend the Poisons Standard in relation to the following substances:</w:t>
      </w:r>
    </w:p>
    <w:p w:rsidR="00672BDD" w:rsidRPr="001D18F5" w:rsidRDefault="00672BDD" w:rsidP="00672BDD">
      <w:pPr>
        <w:rPr>
          <w:lang w:val="en-AU"/>
        </w:rPr>
      </w:pPr>
    </w:p>
    <w:p w:rsidR="0075704B" w:rsidRPr="001D18F5" w:rsidRDefault="0075704B" w:rsidP="0075704B">
      <w:pPr>
        <w:pStyle w:val="ListParagraph"/>
        <w:numPr>
          <w:ilvl w:val="0"/>
          <w:numId w:val="2"/>
        </w:numPr>
        <w:ind w:left="426"/>
      </w:pPr>
      <w:r w:rsidRPr="0075704B">
        <w:t>Adrenaline, bupivacaine and lignocaine</w:t>
      </w:r>
      <w:r>
        <w:t xml:space="preserve"> - t</w:t>
      </w:r>
      <w:r w:rsidRPr="001D18F5">
        <w:t>he invitation to comment in relation to th</w:t>
      </w:r>
      <w:r w:rsidR="00611C36">
        <w:t>e</w:t>
      </w:r>
      <w:r w:rsidRPr="001D18F5">
        <w:t>s</w:t>
      </w:r>
      <w:r w:rsidR="00611C36">
        <w:t>e</w:t>
      </w:r>
      <w:r w:rsidRPr="001D18F5">
        <w:t xml:space="preserve"> substance</w:t>
      </w:r>
      <w:r w:rsidR="00611C36">
        <w:t>s</w:t>
      </w:r>
      <w:r w:rsidRPr="001D18F5">
        <w:t xml:space="preserve"> was advertised on the TGA website (</w:t>
      </w:r>
      <w:hyperlink r:id="rId9" w:history="1">
        <w:r w:rsidRPr="001D18F5">
          <w:rPr>
            <w:rStyle w:val="Hyperlink"/>
          </w:rPr>
          <w:t>www.tga.gov.au</w:t>
        </w:r>
      </w:hyperlink>
      <w:r>
        <w:t>) from 29</w:t>
      </w:r>
      <w:r w:rsidRPr="001D18F5">
        <w:t> </w:t>
      </w:r>
      <w:r>
        <w:t>November</w:t>
      </w:r>
      <w:r w:rsidRPr="001D18F5">
        <w:t> 201</w:t>
      </w:r>
      <w:r>
        <w:t>2</w:t>
      </w:r>
      <w:r w:rsidRPr="001D18F5">
        <w:t xml:space="preserve">, and closed on </w:t>
      </w:r>
      <w:r>
        <w:t>17</w:t>
      </w:r>
      <w:r w:rsidRPr="001D18F5">
        <w:t> </w:t>
      </w:r>
      <w:r>
        <w:t xml:space="preserve">January </w:t>
      </w:r>
      <w:r w:rsidRPr="001D18F5">
        <w:t>2013</w:t>
      </w:r>
      <w:r>
        <w:t>;</w:t>
      </w:r>
    </w:p>
    <w:p w:rsidR="009562DB" w:rsidRDefault="009562DB" w:rsidP="00CE3CD7"/>
    <w:p w:rsidR="003E0B91" w:rsidRPr="001D18F5" w:rsidRDefault="00232399" w:rsidP="00AC5BD5">
      <w:pPr>
        <w:pStyle w:val="ListParagraph"/>
        <w:numPr>
          <w:ilvl w:val="0"/>
          <w:numId w:val="2"/>
        </w:numPr>
        <w:ind w:left="426"/>
      </w:pPr>
      <w:r w:rsidRPr="001D18F5">
        <w:t>Lurasidone</w:t>
      </w:r>
      <w:r w:rsidR="00BC5489">
        <w:t xml:space="preserve"> -</w:t>
      </w:r>
      <w:r w:rsidR="00AC5BD5" w:rsidRPr="001D18F5">
        <w:t xml:space="preserve"> </w:t>
      </w:r>
      <w:r w:rsidR="00BC5489">
        <w:t>t</w:t>
      </w:r>
      <w:r w:rsidR="00AC5BD5" w:rsidRPr="001D18F5">
        <w:t>he invitation</w:t>
      </w:r>
      <w:r w:rsidR="000D3C23" w:rsidRPr="001D18F5">
        <w:t xml:space="preserve"> to comment in relation to this</w:t>
      </w:r>
      <w:r w:rsidR="00AC5BD5" w:rsidRPr="001D18F5">
        <w:t xml:space="preserve"> substance w</w:t>
      </w:r>
      <w:r w:rsidR="000D3C23" w:rsidRPr="001D18F5">
        <w:t>as</w:t>
      </w:r>
      <w:r w:rsidR="00AC5BD5" w:rsidRPr="001D18F5">
        <w:t xml:space="preserve"> advertised on the TGA website (</w:t>
      </w:r>
      <w:hyperlink r:id="rId10" w:history="1">
        <w:r w:rsidR="00AC5BD5" w:rsidRPr="001D18F5">
          <w:rPr>
            <w:rStyle w:val="Hyperlink"/>
          </w:rPr>
          <w:t>www.tga.gov.au</w:t>
        </w:r>
      </w:hyperlink>
      <w:r w:rsidR="001C5929" w:rsidRPr="001D18F5">
        <w:t>) from 24</w:t>
      </w:r>
      <w:r w:rsidR="00AC5BD5" w:rsidRPr="001D18F5">
        <w:t> </w:t>
      </w:r>
      <w:r w:rsidR="001C5929" w:rsidRPr="001D18F5">
        <w:t>April</w:t>
      </w:r>
      <w:r w:rsidR="00AC5BD5" w:rsidRPr="001D18F5">
        <w:t> 201</w:t>
      </w:r>
      <w:r w:rsidR="001C5929" w:rsidRPr="001D18F5">
        <w:t>3, and closed on 23</w:t>
      </w:r>
      <w:r w:rsidR="00AC5BD5" w:rsidRPr="001D18F5">
        <w:t> </w:t>
      </w:r>
      <w:r w:rsidR="00877FEC" w:rsidRPr="001D18F5">
        <w:t>May</w:t>
      </w:r>
      <w:r w:rsidR="00AC5BD5" w:rsidRPr="001D18F5">
        <w:t> 201</w:t>
      </w:r>
      <w:r w:rsidR="00877FEC" w:rsidRPr="001D18F5">
        <w:t>3</w:t>
      </w:r>
      <w:r w:rsidR="00BC5489">
        <w:t>; and</w:t>
      </w:r>
    </w:p>
    <w:p w:rsidR="00AC5BD5" w:rsidRPr="001D18F5" w:rsidRDefault="00AC5BD5" w:rsidP="00AD5865">
      <w:pPr>
        <w:ind w:left="66"/>
      </w:pPr>
    </w:p>
    <w:p w:rsidR="00AC5BD5" w:rsidRPr="001D18F5" w:rsidRDefault="00AC5BD5" w:rsidP="00AC5BD5">
      <w:pPr>
        <w:pStyle w:val="ListParagraph"/>
        <w:numPr>
          <w:ilvl w:val="0"/>
          <w:numId w:val="2"/>
        </w:numPr>
        <w:ind w:left="426"/>
      </w:pPr>
      <w:r w:rsidRPr="001D18F5">
        <w:t>1,2-benzenediol (catechol), 3-iodo-2-propynyl, butyl carbamate (iodocarb),  cocoyl glycinate, deltamethrin, hexyloxyethanol, hydroquinone, monobenzone and pradofloxacin</w:t>
      </w:r>
      <w:r w:rsidR="00BC5489">
        <w:t xml:space="preserve"> -</w:t>
      </w:r>
      <w:r w:rsidRPr="001D18F5">
        <w:t xml:space="preserve"> </w:t>
      </w:r>
      <w:r w:rsidR="00BC5489">
        <w:t>t</w:t>
      </w:r>
      <w:r w:rsidRPr="001D18F5">
        <w:t>he invitation to comment in relation to these substances w</w:t>
      </w:r>
      <w:r w:rsidR="00BC5489">
        <w:t>as</w:t>
      </w:r>
      <w:r w:rsidRPr="001D18F5">
        <w:t xml:space="preserve"> advertised on the TGA website (</w:t>
      </w:r>
      <w:hyperlink r:id="rId11" w:history="1">
        <w:r w:rsidRPr="001D18F5">
          <w:rPr>
            <w:rStyle w:val="Hyperlink"/>
          </w:rPr>
          <w:t>www.tga.gov.au</w:t>
        </w:r>
      </w:hyperlink>
      <w:r w:rsidR="00877FEC" w:rsidRPr="001D18F5">
        <w:t>) from 13</w:t>
      </w:r>
      <w:r w:rsidRPr="001D18F5">
        <w:t> </w:t>
      </w:r>
      <w:r w:rsidR="00877FEC" w:rsidRPr="001D18F5">
        <w:t>June</w:t>
      </w:r>
      <w:r w:rsidRPr="001D18F5">
        <w:t> 201</w:t>
      </w:r>
      <w:r w:rsidR="00877FEC" w:rsidRPr="001D18F5">
        <w:t>3, and closed on 11</w:t>
      </w:r>
      <w:r w:rsidRPr="001D18F5">
        <w:t> J</w:t>
      </w:r>
      <w:r w:rsidR="00877FEC" w:rsidRPr="001D18F5">
        <w:t>uly</w:t>
      </w:r>
      <w:r w:rsidRPr="001D18F5">
        <w:t> 201</w:t>
      </w:r>
      <w:r w:rsidR="00877FEC" w:rsidRPr="001D18F5">
        <w:t>3</w:t>
      </w:r>
      <w:r w:rsidRPr="001D18F5">
        <w:t>.</w:t>
      </w:r>
    </w:p>
    <w:p w:rsidR="00AC5BD5" w:rsidRPr="001D18F5" w:rsidRDefault="00AC5BD5" w:rsidP="00AC5BD5"/>
    <w:p w:rsidR="0075704B" w:rsidRDefault="0075704B" w:rsidP="0075704B">
      <w:r w:rsidRPr="001D18F5">
        <w:t xml:space="preserve">Public submissions </w:t>
      </w:r>
      <w:r>
        <w:t>in relation to a</w:t>
      </w:r>
      <w:r w:rsidRPr="0075704B">
        <w:t>drenaline, bupivacaine and lignocaine</w:t>
      </w:r>
      <w:r>
        <w:t xml:space="preserve"> </w:t>
      </w:r>
      <w:r w:rsidRPr="001D18F5">
        <w:t xml:space="preserve">were taken into consideration at the </w:t>
      </w:r>
      <w:r>
        <w:t xml:space="preserve">March 2013 joint meeting of the ACCS </w:t>
      </w:r>
      <w:r w:rsidR="00611C36">
        <w:t>and the</w:t>
      </w:r>
      <w:r>
        <w:t xml:space="preserve"> ACMS. </w:t>
      </w:r>
      <w:r w:rsidRPr="001D18F5">
        <w:t>Further public comment was subsequently invited on the delegate’s interim decisions on</w:t>
      </w:r>
      <w:r>
        <w:t xml:space="preserve"> 23</w:t>
      </w:r>
      <w:r w:rsidRPr="001D18F5">
        <w:t> </w:t>
      </w:r>
      <w:r>
        <w:t>May</w:t>
      </w:r>
      <w:r w:rsidRPr="001D18F5">
        <w:t xml:space="preserve"> 2013, with a closing date of </w:t>
      </w:r>
      <w:r>
        <w:t>6 June</w:t>
      </w:r>
      <w:r w:rsidRPr="001D18F5">
        <w:t> 2013.  The delegate’s final decision</w:t>
      </w:r>
      <w:r>
        <w:t>s</w:t>
      </w:r>
      <w:r w:rsidRPr="001D18F5">
        <w:t xml:space="preserve"> in relation to these matters </w:t>
      </w:r>
      <w:r>
        <w:t>were</w:t>
      </w:r>
      <w:r w:rsidRPr="001D18F5">
        <w:t xml:space="preserve"> published on the TGA website on </w:t>
      </w:r>
      <w:r>
        <w:t>27 June</w:t>
      </w:r>
      <w:r w:rsidRPr="001D18F5">
        <w:t> 2013.</w:t>
      </w:r>
    </w:p>
    <w:p w:rsidR="0075704B" w:rsidRDefault="0075704B" w:rsidP="0075704B"/>
    <w:p w:rsidR="0075704B" w:rsidRPr="001D18F5" w:rsidRDefault="0075704B" w:rsidP="0075704B">
      <w:r>
        <w:t>T</w:t>
      </w:r>
      <w:r w:rsidRPr="001D18F5">
        <w:t>he delegate</w:t>
      </w:r>
      <w:r>
        <w:t>s</w:t>
      </w:r>
      <w:r w:rsidRPr="001D18F5">
        <w:t xml:space="preserve"> decided that these decisions should be implemented from 1 February 2014.</w:t>
      </w:r>
    </w:p>
    <w:p w:rsidR="0075704B" w:rsidRDefault="0075704B" w:rsidP="00BC5489">
      <w:r>
        <w:t xml:space="preserve"> </w:t>
      </w:r>
    </w:p>
    <w:p w:rsidR="004F1647" w:rsidRDefault="00672BDD" w:rsidP="00BC5489">
      <w:r w:rsidRPr="001D18F5">
        <w:lastRenderedPageBreak/>
        <w:t xml:space="preserve">Public submissions </w:t>
      </w:r>
      <w:r w:rsidR="004F1647">
        <w:t xml:space="preserve">in relation to </w:t>
      </w:r>
      <w:r w:rsidR="0075704B">
        <w:t xml:space="preserve">other </w:t>
      </w:r>
      <w:r w:rsidR="004F1647">
        <w:t xml:space="preserve">substances </w:t>
      </w:r>
      <w:r w:rsidRPr="001D18F5">
        <w:t xml:space="preserve">were taken into consideration at the </w:t>
      </w:r>
      <w:r w:rsidR="00877FEC" w:rsidRPr="001D18F5">
        <w:t>July</w:t>
      </w:r>
      <w:r w:rsidRPr="001D18F5">
        <w:t xml:space="preserve"> 201</w:t>
      </w:r>
      <w:r w:rsidR="00877FEC" w:rsidRPr="001D18F5">
        <w:t>3</w:t>
      </w:r>
      <w:r w:rsidR="00A54171" w:rsidRPr="001D18F5">
        <w:t xml:space="preserve"> meetings of the ACCS, </w:t>
      </w:r>
      <w:r w:rsidRPr="001D18F5">
        <w:t>the ACMS</w:t>
      </w:r>
      <w:r w:rsidR="00A54171" w:rsidRPr="001D18F5">
        <w:t xml:space="preserve"> and </w:t>
      </w:r>
      <w:r w:rsidR="004F1647">
        <w:t>a</w:t>
      </w:r>
      <w:r w:rsidR="00A54171" w:rsidRPr="001D18F5">
        <w:t xml:space="preserve"> joint </w:t>
      </w:r>
      <w:r w:rsidR="004F1647">
        <w:t xml:space="preserve">meeting of the </w:t>
      </w:r>
      <w:r w:rsidR="00A54171" w:rsidRPr="001D18F5">
        <w:t xml:space="preserve">ACCS </w:t>
      </w:r>
      <w:r w:rsidR="00611C36">
        <w:t>and the</w:t>
      </w:r>
      <w:r w:rsidR="00A54171" w:rsidRPr="001D18F5">
        <w:t xml:space="preserve"> ACMS</w:t>
      </w:r>
      <w:r w:rsidRPr="001D18F5">
        <w:t>.  Further public comment was subsequently invited on the delegate’s interim decisions on 26 </w:t>
      </w:r>
      <w:r w:rsidR="00877FEC" w:rsidRPr="001D18F5">
        <w:t>September</w:t>
      </w:r>
      <w:r w:rsidRPr="001D18F5">
        <w:t> 201</w:t>
      </w:r>
      <w:r w:rsidR="00877FEC" w:rsidRPr="001D18F5">
        <w:t>3, with a closing date of 14</w:t>
      </w:r>
      <w:r w:rsidRPr="001D18F5">
        <w:t> </w:t>
      </w:r>
      <w:r w:rsidR="00877FEC" w:rsidRPr="001D18F5">
        <w:t>October</w:t>
      </w:r>
      <w:r w:rsidRPr="001D18F5">
        <w:t> 201</w:t>
      </w:r>
      <w:r w:rsidR="00877FEC" w:rsidRPr="001D18F5">
        <w:t>3</w:t>
      </w:r>
      <w:r w:rsidRPr="001D18F5">
        <w:t>.  The delegate’s final decision</w:t>
      </w:r>
      <w:r w:rsidR="004F1647">
        <w:t>s</w:t>
      </w:r>
      <w:r w:rsidRPr="001D18F5">
        <w:t xml:space="preserve"> in relation to these matters </w:t>
      </w:r>
      <w:r w:rsidR="004F1647">
        <w:t>were</w:t>
      </w:r>
      <w:r w:rsidRPr="001D18F5">
        <w:t xml:space="preserve"> pu</w:t>
      </w:r>
      <w:r w:rsidR="00877FEC" w:rsidRPr="001D18F5">
        <w:t>blished on the TGA website on 31</w:t>
      </w:r>
      <w:r w:rsidRPr="001D18F5">
        <w:t> </w:t>
      </w:r>
      <w:r w:rsidR="00877FEC" w:rsidRPr="001D18F5">
        <w:t>October</w:t>
      </w:r>
      <w:r w:rsidRPr="001D18F5">
        <w:t> 201</w:t>
      </w:r>
      <w:r w:rsidR="00877FEC" w:rsidRPr="001D18F5">
        <w:t>3</w:t>
      </w:r>
      <w:r w:rsidRPr="001D18F5">
        <w:t>.</w:t>
      </w:r>
    </w:p>
    <w:p w:rsidR="004F1647" w:rsidRDefault="004F1647" w:rsidP="00BC5489"/>
    <w:p w:rsidR="00672BDD" w:rsidRPr="001D18F5" w:rsidRDefault="004F1647" w:rsidP="00BC5489">
      <w:r>
        <w:t>In each case, t</w:t>
      </w:r>
      <w:r w:rsidR="00672BDD" w:rsidRPr="001D18F5">
        <w:t xml:space="preserve">he delegate decided that these decisions should be implemented from 1 </w:t>
      </w:r>
      <w:r w:rsidR="00877FEC" w:rsidRPr="001D18F5">
        <w:t>February</w:t>
      </w:r>
      <w:r w:rsidR="00672BDD" w:rsidRPr="001D18F5">
        <w:t xml:space="preserve"> 201</w:t>
      </w:r>
      <w:r w:rsidR="00877FEC" w:rsidRPr="001D18F5">
        <w:t>4</w:t>
      </w:r>
      <w:r w:rsidR="00672BDD" w:rsidRPr="001D18F5">
        <w:t>.</w:t>
      </w:r>
    </w:p>
    <w:p w:rsidR="00672BDD" w:rsidRPr="001D18F5" w:rsidRDefault="00672BDD" w:rsidP="00672BDD"/>
    <w:p w:rsidR="00D33C53" w:rsidRDefault="00672BDD" w:rsidP="00672BDD">
      <w:r w:rsidRPr="001D18F5">
        <w:t xml:space="preserve">Other amendments set out in this instrument added the new substances </w:t>
      </w:r>
      <w:r w:rsidR="00762D93" w:rsidRPr="001D18F5">
        <w:rPr>
          <w:lang w:val="en-AU"/>
        </w:rPr>
        <w:t>afatinib dimaleate, dabrafenib mesilate</w:t>
      </w:r>
      <w:r w:rsidR="00F97365" w:rsidRPr="001D18F5">
        <w:t>, dolutegravir</w:t>
      </w:r>
      <w:r w:rsidR="00762D93" w:rsidRPr="001D18F5">
        <w:rPr>
          <w:lang w:val="en-AU"/>
        </w:rPr>
        <w:t xml:space="preserve">, mirabegron, ocriplasmin, pradofloxacin, romidepsin, </w:t>
      </w:r>
      <w:r w:rsidR="00AC731E" w:rsidRPr="001D18F5">
        <w:rPr>
          <w:lang w:val="en-AU"/>
        </w:rPr>
        <w:t>trametinib dimethyl sulfoxide,</w:t>
      </w:r>
      <w:r w:rsidR="00762D93" w:rsidRPr="001D18F5">
        <w:rPr>
          <w:lang w:val="en-AU"/>
        </w:rPr>
        <w:t xml:space="preserve"> trastuzumab emtansine</w:t>
      </w:r>
      <w:r w:rsidR="00F97365" w:rsidRPr="001D18F5">
        <w:rPr>
          <w:lang w:val="en-AU"/>
        </w:rPr>
        <w:t>, tylosin</w:t>
      </w:r>
      <w:r w:rsidR="00ED6519" w:rsidRPr="001D18F5">
        <w:rPr>
          <w:lang w:val="en-AU"/>
        </w:rPr>
        <w:t>,</w:t>
      </w:r>
      <w:r w:rsidR="00762D93" w:rsidRPr="001D18F5">
        <w:rPr>
          <w:lang w:val="en-AU"/>
        </w:rPr>
        <w:t xml:space="preserve"> vedolizumab</w:t>
      </w:r>
      <w:r w:rsidR="003E0B91" w:rsidRPr="001D18F5">
        <w:rPr>
          <w:lang w:val="en-AU"/>
        </w:rPr>
        <w:t xml:space="preserve"> </w:t>
      </w:r>
      <w:r w:rsidR="00ED6519" w:rsidRPr="001D18F5">
        <w:rPr>
          <w:lang w:val="en-AU"/>
        </w:rPr>
        <w:t xml:space="preserve">and vortioxetine </w:t>
      </w:r>
      <w:r w:rsidRPr="001D18F5">
        <w:t>to the Poisons Standard for the first time</w:t>
      </w:r>
      <w:r w:rsidR="00D33C53">
        <w:t>,</w:t>
      </w:r>
      <w:r w:rsidR="00782A85" w:rsidRPr="001D18F5">
        <w:t xml:space="preserve"> and</w:t>
      </w:r>
      <w:r w:rsidR="00227309" w:rsidRPr="001D18F5">
        <w:t xml:space="preserve"> </w:t>
      </w:r>
      <w:r w:rsidR="00D33C53">
        <w:t xml:space="preserve">made </w:t>
      </w:r>
      <w:r w:rsidR="00AD1358" w:rsidRPr="001D18F5">
        <w:t xml:space="preserve">editorial </w:t>
      </w:r>
      <w:r w:rsidR="00D33C53">
        <w:t>changes to the entries in the Poisons Standard for</w:t>
      </w:r>
      <w:r w:rsidR="00227309" w:rsidRPr="001D18F5">
        <w:t xml:space="preserve"> </w:t>
      </w:r>
      <w:r w:rsidR="00FE5C73" w:rsidRPr="001D18F5">
        <w:t xml:space="preserve">besifloxacine, loteprednol, pasireotide, vilanterol and </w:t>
      </w:r>
      <w:r w:rsidR="00FE5C73" w:rsidRPr="001D18F5">
        <w:rPr>
          <w:lang w:val="en-AU"/>
        </w:rPr>
        <w:t>bistrifluron</w:t>
      </w:r>
      <w:r w:rsidR="00227309" w:rsidRPr="001D18F5">
        <w:t>.</w:t>
      </w:r>
    </w:p>
    <w:p w:rsidR="00D33C53" w:rsidRDefault="00D33C53" w:rsidP="00672BDD"/>
    <w:p w:rsidR="00672BDD" w:rsidRDefault="00672BDD" w:rsidP="00672BDD">
      <w:r w:rsidRPr="001D18F5">
        <w:t xml:space="preserve">These decisions were delegate-only decisions that were not open to public consultation, as they were considered </w:t>
      </w:r>
      <w:r w:rsidR="004D3A39">
        <w:t xml:space="preserve">(in accordance with the SPF) </w:t>
      </w:r>
      <w:r w:rsidRPr="001D18F5">
        <w:t>to be sufficiently straightforward as to not require public consultation.  For some of these previously unscheduled substances, consultation in relation to scheduling was undertaken with the sponsor of the substance.</w:t>
      </w:r>
    </w:p>
    <w:p w:rsidR="004D3A39" w:rsidRPr="001D18F5" w:rsidRDefault="004D3A39" w:rsidP="00672BDD">
      <w:pPr>
        <w:rPr>
          <w:lang w:val="en-AU"/>
        </w:rPr>
      </w:pPr>
    </w:p>
    <w:p w:rsidR="00672BDD" w:rsidRPr="001D18F5" w:rsidRDefault="00672BDD" w:rsidP="00672BDD">
      <w:r w:rsidRPr="001D18F5">
        <w:t xml:space="preserve">The Poisons Standard is a legislative instrument for the purposes of the </w:t>
      </w:r>
      <w:r w:rsidRPr="001D18F5">
        <w:rPr>
          <w:i/>
        </w:rPr>
        <w:t>Legislative Instruments Act 2003</w:t>
      </w:r>
      <w:r w:rsidRPr="001D18F5">
        <w:t xml:space="preserve"> (the LIA).  However, section 42 (disallowance) of the LIA does not apply (refer to subsection 52D(4A) of the TG Act).</w:t>
      </w:r>
    </w:p>
    <w:p w:rsidR="00672BDD" w:rsidRPr="001D18F5" w:rsidRDefault="00672BDD" w:rsidP="00672BDD">
      <w:pPr>
        <w:rPr>
          <w:lang w:val="en-AU"/>
        </w:rPr>
      </w:pPr>
    </w:p>
    <w:p w:rsidR="004D3A39" w:rsidRDefault="004D3A39" w:rsidP="001D18F5">
      <w:r>
        <w:t xml:space="preserve">As this instrument is not disallowable, subsection 9(1) of the </w:t>
      </w:r>
      <w:r w:rsidRPr="004D3A39">
        <w:rPr>
          <w:i/>
        </w:rPr>
        <w:t>Human Rights (Parliamentary Scrutiny) Act 2011</w:t>
      </w:r>
      <w:r>
        <w:t xml:space="preserve"> does not require that the instrument be accompanied by a statement of compatibility with the human rights recognised under that Act.</w:t>
      </w:r>
    </w:p>
    <w:p w:rsidR="007F4E20" w:rsidRDefault="007F4E20"/>
    <w:sectPr w:rsidR="007F4E20" w:rsidSect="0006176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33" w:rsidRDefault="00D82733">
      <w:r>
        <w:separator/>
      </w:r>
    </w:p>
  </w:endnote>
  <w:endnote w:type="continuationSeparator" w:id="0">
    <w:p w:rsidR="00D82733" w:rsidRDefault="00D82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33" w:rsidRDefault="00D82733">
      <w:r>
        <w:separator/>
      </w:r>
    </w:p>
  </w:footnote>
  <w:footnote w:type="continuationSeparator" w:id="0">
    <w:p w:rsidR="00D82733" w:rsidRDefault="00D82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584"/>
    <w:multiLevelType w:val="hybridMultilevel"/>
    <w:tmpl w:val="8BCCA1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footnotePr>
    <w:footnote w:id="-1"/>
    <w:footnote w:id="0"/>
  </w:footnotePr>
  <w:endnotePr>
    <w:endnote w:id="-1"/>
    <w:endnote w:id="0"/>
  </w:endnotePr>
  <w:compat/>
  <w:rsids>
    <w:rsidRoot w:val="00672BDD"/>
    <w:rsid w:val="00054E64"/>
    <w:rsid w:val="00061763"/>
    <w:rsid w:val="0007374A"/>
    <w:rsid w:val="000B1097"/>
    <w:rsid w:val="000B5294"/>
    <w:rsid w:val="000D3C23"/>
    <w:rsid w:val="000F6FB7"/>
    <w:rsid w:val="001148E2"/>
    <w:rsid w:val="00176B40"/>
    <w:rsid w:val="001B79E5"/>
    <w:rsid w:val="001C5929"/>
    <w:rsid w:val="001D18F5"/>
    <w:rsid w:val="00227309"/>
    <w:rsid w:val="00232399"/>
    <w:rsid w:val="002B186E"/>
    <w:rsid w:val="00325372"/>
    <w:rsid w:val="003774BE"/>
    <w:rsid w:val="003E0B91"/>
    <w:rsid w:val="00431E2D"/>
    <w:rsid w:val="00477889"/>
    <w:rsid w:val="0047792F"/>
    <w:rsid w:val="004D3A39"/>
    <w:rsid w:val="004F1647"/>
    <w:rsid w:val="004F7A58"/>
    <w:rsid w:val="0053765B"/>
    <w:rsid w:val="00611C36"/>
    <w:rsid w:val="00635708"/>
    <w:rsid w:val="00672BDD"/>
    <w:rsid w:val="0075704B"/>
    <w:rsid w:val="00762D93"/>
    <w:rsid w:val="00782A85"/>
    <w:rsid w:val="007F4E20"/>
    <w:rsid w:val="008068F0"/>
    <w:rsid w:val="0085108D"/>
    <w:rsid w:val="00877FEC"/>
    <w:rsid w:val="00895E3E"/>
    <w:rsid w:val="008A0C46"/>
    <w:rsid w:val="009562DB"/>
    <w:rsid w:val="00962481"/>
    <w:rsid w:val="00A11B76"/>
    <w:rsid w:val="00A54171"/>
    <w:rsid w:val="00AC5BD5"/>
    <w:rsid w:val="00AC731E"/>
    <w:rsid w:val="00AD1358"/>
    <w:rsid w:val="00AD5865"/>
    <w:rsid w:val="00B33A7B"/>
    <w:rsid w:val="00BB2A8F"/>
    <w:rsid w:val="00BB6CE0"/>
    <w:rsid w:val="00BC5489"/>
    <w:rsid w:val="00BE1D60"/>
    <w:rsid w:val="00BE4750"/>
    <w:rsid w:val="00BF02F7"/>
    <w:rsid w:val="00BF6A3B"/>
    <w:rsid w:val="00C03D2F"/>
    <w:rsid w:val="00C72B07"/>
    <w:rsid w:val="00CC6FBC"/>
    <w:rsid w:val="00CD1EAE"/>
    <w:rsid w:val="00CE3CD7"/>
    <w:rsid w:val="00D33C53"/>
    <w:rsid w:val="00D37177"/>
    <w:rsid w:val="00D82733"/>
    <w:rsid w:val="00DA44CD"/>
    <w:rsid w:val="00DD31D3"/>
    <w:rsid w:val="00E116B8"/>
    <w:rsid w:val="00ED6519"/>
    <w:rsid w:val="00F446B3"/>
    <w:rsid w:val="00F527ED"/>
    <w:rsid w:val="00F85BF1"/>
    <w:rsid w:val="00F97365"/>
    <w:rsid w:val="00FE5C73"/>
    <w:rsid w:val="00FF1E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D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5C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672BDD"/>
    <w:rPr>
      <w:color w:val="0000FF"/>
      <w:u w:val="single"/>
    </w:rPr>
  </w:style>
  <w:style w:type="paragraph" w:styleId="Header">
    <w:name w:val="header"/>
    <w:basedOn w:val="Normal"/>
    <w:link w:val="HeaderChar"/>
    <w:rsid w:val="00672BDD"/>
    <w:pPr>
      <w:tabs>
        <w:tab w:val="center" w:pos="4153"/>
        <w:tab w:val="right" w:pos="8306"/>
      </w:tabs>
    </w:pPr>
  </w:style>
  <w:style w:type="character" w:customStyle="1" w:styleId="HeaderChar">
    <w:name w:val="Header Char"/>
    <w:basedOn w:val="DefaultParagraphFont"/>
    <w:link w:val="Header"/>
    <w:rsid w:val="00672BDD"/>
    <w:rPr>
      <w:rFonts w:eastAsia="Times New Roman" w:cs="Times New Roman"/>
      <w:szCs w:val="24"/>
      <w:lang w:val="en-US"/>
    </w:rPr>
  </w:style>
  <w:style w:type="paragraph" w:styleId="Footer">
    <w:name w:val="footer"/>
    <w:basedOn w:val="Normal"/>
    <w:link w:val="FooterChar"/>
    <w:rsid w:val="00672BDD"/>
    <w:pPr>
      <w:tabs>
        <w:tab w:val="center" w:pos="4153"/>
        <w:tab w:val="right" w:pos="8306"/>
      </w:tabs>
    </w:pPr>
  </w:style>
  <w:style w:type="character" w:customStyle="1" w:styleId="FooterChar">
    <w:name w:val="Footer Char"/>
    <w:basedOn w:val="DefaultParagraphFont"/>
    <w:link w:val="Footer"/>
    <w:rsid w:val="00672BDD"/>
    <w:rPr>
      <w:rFonts w:eastAsia="Times New Roman" w:cs="Times New Roman"/>
      <w:szCs w:val="24"/>
      <w:lang w:val="en-US"/>
    </w:rPr>
  </w:style>
  <w:style w:type="paragraph" w:styleId="ListParagraph">
    <w:name w:val="List Paragraph"/>
    <w:basedOn w:val="Normal"/>
    <w:uiPriority w:val="34"/>
    <w:qFormat/>
    <w:rsid w:val="00AC5BD5"/>
    <w:pPr>
      <w:ind w:left="720"/>
      <w:contextualSpacing/>
    </w:pPr>
  </w:style>
  <w:style w:type="character" w:customStyle="1" w:styleId="Heading2Char">
    <w:name w:val="Heading 2 Char"/>
    <w:basedOn w:val="DefaultParagraphFont"/>
    <w:link w:val="Heading2"/>
    <w:uiPriority w:val="9"/>
    <w:semiHidden/>
    <w:rsid w:val="00FE5C73"/>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1D18F5"/>
    <w:rPr>
      <w:rFonts w:ascii="Tahoma" w:hAnsi="Tahoma" w:cs="Tahoma"/>
      <w:sz w:val="16"/>
      <w:szCs w:val="16"/>
    </w:rPr>
  </w:style>
  <w:style w:type="character" w:customStyle="1" w:styleId="BalloonTextChar">
    <w:name w:val="Balloon Text Char"/>
    <w:basedOn w:val="DefaultParagraphFont"/>
    <w:link w:val="BalloonText"/>
    <w:uiPriority w:val="99"/>
    <w:semiHidden/>
    <w:rsid w:val="001D18F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D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5C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672BDD"/>
    <w:rPr>
      <w:color w:val="0000FF"/>
      <w:u w:val="single"/>
    </w:rPr>
  </w:style>
  <w:style w:type="paragraph" w:styleId="Header">
    <w:name w:val="header"/>
    <w:basedOn w:val="Normal"/>
    <w:link w:val="HeaderChar"/>
    <w:rsid w:val="00672BDD"/>
    <w:pPr>
      <w:tabs>
        <w:tab w:val="center" w:pos="4153"/>
        <w:tab w:val="right" w:pos="8306"/>
      </w:tabs>
    </w:pPr>
  </w:style>
  <w:style w:type="character" w:customStyle="1" w:styleId="HeaderChar">
    <w:name w:val="Header Char"/>
    <w:basedOn w:val="DefaultParagraphFont"/>
    <w:link w:val="Header"/>
    <w:rsid w:val="00672BDD"/>
    <w:rPr>
      <w:rFonts w:eastAsia="Times New Roman" w:cs="Times New Roman"/>
      <w:szCs w:val="24"/>
      <w:lang w:val="en-US"/>
    </w:rPr>
  </w:style>
  <w:style w:type="paragraph" w:styleId="Footer">
    <w:name w:val="footer"/>
    <w:basedOn w:val="Normal"/>
    <w:link w:val="FooterChar"/>
    <w:rsid w:val="00672BDD"/>
    <w:pPr>
      <w:tabs>
        <w:tab w:val="center" w:pos="4153"/>
        <w:tab w:val="right" w:pos="8306"/>
      </w:tabs>
    </w:pPr>
  </w:style>
  <w:style w:type="character" w:customStyle="1" w:styleId="FooterChar">
    <w:name w:val="Footer Char"/>
    <w:basedOn w:val="DefaultParagraphFont"/>
    <w:link w:val="Footer"/>
    <w:rsid w:val="00672BDD"/>
    <w:rPr>
      <w:rFonts w:eastAsia="Times New Roman" w:cs="Times New Roman"/>
      <w:szCs w:val="24"/>
      <w:lang w:val="en-US"/>
    </w:rPr>
  </w:style>
  <w:style w:type="paragraph" w:styleId="ListParagraph">
    <w:name w:val="List Paragraph"/>
    <w:basedOn w:val="Normal"/>
    <w:uiPriority w:val="34"/>
    <w:qFormat/>
    <w:rsid w:val="00AC5BD5"/>
    <w:pPr>
      <w:ind w:left="720"/>
      <w:contextualSpacing/>
    </w:pPr>
  </w:style>
  <w:style w:type="character" w:customStyle="1" w:styleId="Heading2Char">
    <w:name w:val="Heading 2 Char"/>
    <w:basedOn w:val="DefaultParagraphFont"/>
    <w:link w:val="Heading2"/>
    <w:uiPriority w:val="9"/>
    <w:semiHidden/>
    <w:rsid w:val="00FE5C73"/>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1D18F5"/>
    <w:rPr>
      <w:rFonts w:ascii="Tahoma" w:hAnsi="Tahoma" w:cs="Tahoma"/>
      <w:sz w:val="16"/>
      <w:szCs w:val="16"/>
    </w:rPr>
  </w:style>
  <w:style w:type="character" w:customStyle="1" w:styleId="BalloonTextChar">
    <w:name w:val="Balloon Text Char"/>
    <w:basedOn w:val="DefaultParagraphFont"/>
    <w:link w:val="BalloonText"/>
    <w:uiPriority w:val="99"/>
    <w:semiHidden/>
    <w:rsid w:val="001D18F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86777618">
      <w:bodyDiv w:val="1"/>
      <w:marLeft w:val="0"/>
      <w:marRight w:val="0"/>
      <w:marTop w:val="0"/>
      <w:marBottom w:val="0"/>
      <w:divBdr>
        <w:top w:val="none" w:sz="0" w:space="0" w:color="auto"/>
        <w:left w:val="none" w:sz="0" w:space="0" w:color="auto"/>
        <w:bottom w:val="none" w:sz="0" w:space="0" w:color="auto"/>
        <w:right w:val="none" w:sz="0" w:space="0" w:color="auto"/>
      </w:divBdr>
      <w:divsChild>
        <w:div w:id="1376663957">
          <w:marLeft w:val="0"/>
          <w:marRight w:val="0"/>
          <w:marTop w:val="0"/>
          <w:marBottom w:val="0"/>
          <w:divBdr>
            <w:top w:val="none" w:sz="0" w:space="0" w:color="auto"/>
            <w:left w:val="none" w:sz="0" w:space="0" w:color="auto"/>
            <w:bottom w:val="none" w:sz="0" w:space="0" w:color="auto"/>
            <w:right w:val="none" w:sz="0" w:space="0" w:color="auto"/>
          </w:divBdr>
          <w:divsChild>
            <w:div w:id="12972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1157">
      <w:bodyDiv w:val="1"/>
      <w:marLeft w:val="0"/>
      <w:marRight w:val="0"/>
      <w:marTop w:val="0"/>
      <w:marBottom w:val="0"/>
      <w:divBdr>
        <w:top w:val="none" w:sz="0" w:space="0" w:color="auto"/>
        <w:left w:val="none" w:sz="0" w:space="0" w:color="auto"/>
        <w:bottom w:val="none" w:sz="0" w:space="0" w:color="auto"/>
        <w:right w:val="none" w:sz="0" w:space="0" w:color="auto"/>
      </w:divBdr>
      <w:divsChild>
        <w:div w:id="2089812257">
          <w:marLeft w:val="0"/>
          <w:marRight w:val="0"/>
          <w:marTop w:val="0"/>
          <w:marBottom w:val="0"/>
          <w:divBdr>
            <w:top w:val="none" w:sz="0" w:space="0" w:color="auto"/>
            <w:left w:val="none" w:sz="0" w:space="0" w:color="auto"/>
            <w:bottom w:val="none" w:sz="0" w:space="0" w:color="auto"/>
            <w:right w:val="none" w:sz="0" w:space="0" w:color="auto"/>
          </w:divBdr>
          <w:divsChild>
            <w:div w:id="14337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industry/scheduling-spf.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 TargetMode="External"/><Relationship Id="rId5" Type="http://schemas.openxmlformats.org/officeDocument/2006/relationships/webSettings" Target="webSettings.xml"/><Relationship Id="rId10" Type="http://schemas.openxmlformats.org/officeDocument/2006/relationships/hyperlink" Target="http://www.tga.gov.au" TargetMode="External"/><Relationship Id="rId4" Type="http://schemas.openxmlformats.org/officeDocument/2006/relationships/settings" Target="settings.xml"/><Relationship Id="rId9" Type="http://schemas.openxmlformats.org/officeDocument/2006/relationships/hyperlink" Target="http://www.tga.gov.a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DD8B-4A63-496D-88D4-6C4B909D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4</cp:revision>
  <cp:lastPrinted>2013-12-16T22:26:00Z</cp:lastPrinted>
  <dcterms:created xsi:type="dcterms:W3CDTF">2013-12-18T03:50:00Z</dcterms:created>
  <dcterms:modified xsi:type="dcterms:W3CDTF">2013-12-23T00:48:00Z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