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6F" w:rsidRDefault="00CC0514" w:rsidP="007E7031">
      <w:pPr>
        <w:contextualSpacing/>
        <w:jc w:val="center"/>
        <w:rPr>
          <w:rFonts w:ascii="Times New Roman" w:eastAsia="Times New Roman" w:hAnsi="Times New Roman" w:cs="Times New Roman"/>
          <w:b/>
          <w:sz w:val="24"/>
          <w:u w:val="single"/>
          <w:lang w:eastAsia="en-AU"/>
        </w:rPr>
      </w:pPr>
      <w:r>
        <w:rPr>
          <w:rFonts w:ascii="Times New Roman" w:eastAsia="Times New Roman" w:hAnsi="Times New Roman" w:cs="Times New Roman"/>
          <w:b/>
          <w:sz w:val="24"/>
          <w:u w:val="single"/>
          <w:lang w:eastAsia="en-AU"/>
        </w:rPr>
        <w:t>EXPLANATORY STATEMENT</w:t>
      </w:r>
    </w:p>
    <w:p w:rsidR="0023296F" w:rsidRDefault="0023296F" w:rsidP="007E7031">
      <w:pPr>
        <w:contextualSpacing/>
        <w:rPr>
          <w:rFonts w:ascii="Times New Roman" w:eastAsia="Times New Roman" w:hAnsi="Times New Roman" w:cs="Times New Roman"/>
          <w:sz w:val="24"/>
          <w:lang w:eastAsia="en-AU"/>
        </w:rPr>
      </w:pPr>
    </w:p>
    <w:p w:rsidR="0023296F" w:rsidRDefault="00CC0514" w:rsidP="007E7031">
      <w:pPr>
        <w:jc w:val="center"/>
        <w:rPr>
          <w:rFonts w:ascii="Times New Roman" w:eastAsia="Times New Roman" w:hAnsi="Times New Roman" w:cs="Times New Roman"/>
          <w:sz w:val="24"/>
          <w:lang w:eastAsia="en-AU"/>
        </w:rPr>
      </w:pPr>
      <w:r>
        <w:rPr>
          <w:rFonts w:ascii="Times New Roman" w:eastAsia="Times New Roman" w:hAnsi="Times New Roman" w:cs="Times New Roman"/>
          <w:sz w:val="24"/>
          <w:lang w:eastAsia="en-AU"/>
        </w:rPr>
        <w:t>Issued by Authority of the Minister for Agriculture</w:t>
      </w:r>
    </w:p>
    <w:p w:rsidR="0023296F" w:rsidRDefault="0023296F" w:rsidP="007E7031">
      <w:pPr>
        <w:rPr>
          <w:rFonts w:ascii="Times New Roman" w:eastAsia="Times New Roman" w:hAnsi="Times New Roman" w:cs="Times New Roman"/>
          <w:sz w:val="24"/>
          <w:lang w:eastAsia="en-AU"/>
        </w:rPr>
      </w:pPr>
    </w:p>
    <w:p w:rsidR="0023296F" w:rsidRDefault="00CC0514" w:rsidP="007E7031">
      <w:pPr>
        <w:jc w:val="center"/>
        <w:rPr>
          <w:rFonts w:ascii="Times New Roman" w:eastAsia="Times New Roman" w:hAnsi="Times New Roman" w:cs="Times New Roman"/>
          <w:i/>
          <w:sz w:val="24"/>
          <w:lang w:eastAsia="en-AU"/>
        </w:rPr>
      </w:pPr>
      <w:r>
        <w:rPr>
          <w:rFonts w:ascii="Times New Roman" w:eastAsia="Times New Roman" w:hAnsi="Times New Roman" w:cs="Times New Roman"/>
          <w:i/>
          <w:sz w:val="24"/>
          <w:lang w:eastAsia="en-AU"/>
        </w:rPr>
        <w:t>Primary Industries (Excise) Levies Act 1999</w:t>
      </w:r>
    </w:p>
    <w:p w:rsidR="0023296F" w:rsidRDefault="0023296F" w:rsidP="007E7031">
      <w:pPr>
        <w:jc w:val="center"/>
        <w:rPr>
          <w:rFonts w:ascii="Times New Roman" w:eastAsia="Times New Roman" w:hAnsi="Times New Roman" w:cs="Times New Roman"/>
          <w:i/>
          <w:sz w:val="24"/>
          <w:lang w:eastAsia="en-AU"/>
        </w:rPr>
      </w:pPr>
    </w:p>
    <w:p w:rsidR="0023296F" w:rsidRDefault="00CC0514" w:rsidP="007E7031">
      <w:pPr>
        <w:jc w:val="center"/>
        <w:rPr>
          <w:rFonts w:ascii="Times New Roman" w:eastAsia="Times New Roman" w:hAnsi="Times New Roman" w:cs="Times New Roman"/>
          <w:i/>
          <w:sz w:val="24"/>
          <w:lang w:eastAsia="en-AU"/>
        </w:rPr>
      </w:pPr>
      <w:r>
        <w:rPr>
          <w:rFonts w:ascii="Times New Roman" w:eastAsia="Times New Roman" w:hAnsi="Times New Roman" w:cs="Times New Roman"/>
          <w:i/>
          <w:sz w:val="24"/>
          <w:lang w:eastAsia="en-AU"/>
        </w:rPr>
        <w:t>Primary Industries (Excise) Levies (Designated Bodies) Declaration 2013</w:t>
      </w:r>
    </w:p>
    <w:p w:rsidR="0023296F" w:rsidRDefault="0023296F">
      <w:pPr>
        <w:jc w:val="center"/>
        <w:rPr>
          <w:rFonts w:ascii="Times New Roman" w:eastAsia="Times New Roman" w:hAnsi="Times New Roman" w:cs="Times New Roman"/>
          <w:i/>
          <w:sz w:val="24"/>
          <w:lang w:eastAsia="en-AU"/>
        </w:rPr>
      </w:pPr>
    </w:p>
    <w:p w:rsidR="0023296F" w:rsidRDefault="00CC0514">
      <w:pPr>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Legislative Authority</w:t>
      </w:r>
    </w:p>
    <w:p w:rsidR="0023296F" w:rsidRDefault="0023296F">
      <w:pPr>
        <w:rPr>
          <w:rFonts w:ascii="Times New Roman" w:eastAsia="Times New Roman" w:hAnsi="Times New Roman" w:cs="Times New Roman"/>
          <w:b/>
          <w:bCs/>
          <w:sz w:val="24"/>
          <w:lang w:eastAsia="en-AU"/>
        </w:rPr>
      </w:pPr>
    </w:p>
    <w:p w:rsidR="0023296F" w:rsidRDefault="00CC0514">
      <w:pPr>
        <w:rPr>
          <w:rFonts w:ascii="Times New Roman" w:eastAsia="Times New Roman" w:hAnsi="Times New Roman" w:cs="Times New Roman"/>
          <w:spacing w:val="1"/>
          <w:sz w:val="24"/>
          <w:lang w:val="en-US" w:eastAsia="en-AU"/>
        </w:rPr>
      </w:pPr>
      <w:r>
        <w:rPr>
          <w:rFonts w:ascii="Times New Roman" w:eastAsia="Times New Roman" w:hAnsi="Times New Roman" w:cs="Times New Roman"/>
          <w:bCs/>
          <w:sz w:val="24"/>
          <w:lang w:eastAsia="en-AU"/>
        </w:rPr>
        <w:t xml:space="preserve">The </w:t>
      </w:r>
      <w:r>
        <w:rPr>
          <w:rFonts w:ascii="Times New Roman" w:eastAsia="Times New Roman" w:hAnsi="Times New Roman" w:cs="Times New Roman"/>
          <w:bCs/>
          <w:i/>
          <w:sz w:val="24"/>
          <w:lang w:eastAsia="en-AU"/>
        </w:rPr>
        <w:t xml:space="preserve">Primary Industries (Excise) Levies Act 1999 </w:t>
      </w:r>
      <w:r w:rsidR="007E7031">
        <w:rPr>
          <w:rFonts w:ascii="Times New Roman" w:eastAsia="Times New Roman" w:hAnsi="Times New Roman" w:cs="Times New Roman"/>
          <w:bCs/>
          <w:sz w:val="24"/>
          <w:lang w:eastAsia="en-AU"/>
        </w:rPr>
        <w:t xml:space="preserve">(the Act) </w:t>
      </w:r>
      <w:r>
        <w:rPr>
          <w:rFonts w:ascii="Times New Roman" w:eastAsia="Times New Roman" w:hAnsi="Times New Roman" w:cs="Times New Roman"/>
          <w:bCs/>
          <w:sz w:val="24"/>
          <w:lang w:eastAsia="en-AU"/>
        </w:rPr>
        <w:t xml:space="preserve">provides for the imposition of </w:t>
      </w:r>
      <w:r>
        <w:rPr>
          <w:rFonts w:ascii="Times New Roman" w:eastAsia="Times New Roman" w:hAnsi="Times New Roman" w:cs="Times New Roman"/>
          <w:spacing w:val="1"/>
          <w:sz w:val="24"/>
          <w:lang w:val="en-US" w:eastAsia="en-AU"/>
        </w:rPr>
        <w:t xml:space="preserve">Plant Health Australia (PHA) levies and charges imposed on plant products. </w:t>
      </w:r>
    </w:p>
    <w:p w:rsidR="0023296F" w:rsidRDefault="0023296F">
      <w:pPr>
        <w:rPr>
          <w:rFonts w:ascii="Times New Roman" w:eastAsia="Times New Roman" w:hAnsi="Times New Roman" w:cs="Times New Roman"/>
          <w:spacing w:val="1"/>
          <w:sz w:val="24"/>
          <w:lang w:val="en-US" w:eastAsia="en-AU"/>
        </w:rPr>
      </w:pPr>
    </w:p>
    <w:p w:rsidR="0023296F" w:rsidRDefault="00CC0514">
      <w:pPr>
        <w:rPr>
          <w:rFonts w:ascii="Times New Roman" w:eastAsia="Times New Roman" w:hAnsi="Times New Roman" w:cs="Times New Roman"/>
          <w:spacing w:val="1"/>
          <w:sz w:val="24"/>
          <w:lang w:val="en-US" w:eastAsia="en-AU"/>
        </w:rPr>
      </w:pPr>
      <w:r>
        <w:rPr>
          <w:rFonts w:ascii="Times New Roman" w:eastAsia="Times New Roman" w:hAnsi="Times New Roman" w:cs="Times New Roman"/>
          <w:spacing w:val="1"/>
          <w:sz w:val="24"/>
          <w:lang w:val="en-US" w:eastAsia="en-AU"/>
        </w:rPr>
        <w:t xml:space="preserve">Clause 13 of Schedule 27 to the Act provides that the Minister may declare a specified body to be a designated body for one or more specified products. </w:t>
      </w:r>
    </w:p>
    <w:p w:rsidR="0023296F" w:rsidRDefault="0023296F">
      <w:pPr>
        <w:rPr>
          <w:rFonts w:ascii="Times New Roman" w:eastAsia="Times New Roman" w:hAnsi="Times New Roman" w:cs="Times New Roman"/>
          <w:spacing w:val="1"/>
          <w:sz w:val="24"/>
          <w:lang w:val="en-US" w:eastAsia="en-AU"/>
        </w:rPr>
      </w:pPr>
    </w:p>
    <w:p w:rsidR="0023296F" w:rsidRDefault="00CC0514">
      <w:pPr>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Purpose</w:t>
      </w:r>
    </w:p>
    <w:p w:rsidR="0023296F" w:rsidRDefault="0023296F">
      <w:pPr>
        <w:rPr>
          <w:rFonts w:ascii="Times New Roman" w:eastAsia="Times New Roman" w:hAnsi="Times New Roman" w:cs="Times New Roman"/>
          <w:b/>
          <w:bCs/>
          <w:sz w:val="24"/>
          <w:lang w:eastAsia="en-AU"/>
        </w:rPr>
      </w:pPr>
    </w:p>
    <w:p w:rsidR="0023296F" w:rsidRDefault="00CC0514">
      <w:p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 xml:space="preserve">The purpose of the </w:t>
      </w:r>
      <w:r>
        <w:rPr>
          <w:rFonts w:ascii="Times New Roman" w:eastAsia="Times New Roman" w:hAnsi="Times New Roman" w:cs="Times New Roman"/>
          <w:bCs/>
          <w:i/>
          <w:sz w:val="24"/>
          <w:lang w:eastAsia="en-AU"/>
        </w:rPr>
        <w:t xml:space="preserve">Primary Industries (Excise) Levies (Designated Bodies) Declaration 2013 </w:t>
      </w:r>
      <w:r>
        <w:rPr>
          <w:rFonts w:ascii="Times New Roman" w:eastAsia="Times New Roman" w:hAnsi="Times New Roman" w:cs="Times New Roman"/>
          <w:bCs/>
          <w:sz w:val="24"/>
          <w:lang w:eastAsia="en-AU"/>
        </w:rPr>
        <w:t>(the Declaration) is to declare Grain Producers Australia Limited and AUSVEG Limited as designated bodies for relevant leviable PHA plant products.</w:t>
      </w:r>
    </w:p>
    <w:p w:rsidR="0023296F" w:rsidRDefault="0023296F">
      <w:pPr>
        <w:rPr>
          <w:rFonts w:ascii="Times New Roman" w:eastAsia="Times New Roman" w:hAnsi="Times New Roman" w:cs="Times New Roman"/>
          <w:bCs/>
          <w:i/>
          <w:sz w:val="24"/>
          <w:lang w:eastAsia="en-AU"/>
        </w:rPr>
      </w:pPr>
    </w:p>
    <w:p w:rsidR="0023296F" w:rsidRDefault="00CC0514">
      <w:pPr>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Background</w:t>
      </w:r>
    </w:p>
    <w:p w:rsidR="0023296F" w:rsidRDefault="0023296F">
      <w:pPr>
        <w:rPr>
          <w:rFonts w:ascii="Times New Roman" w:eastAsia="Times New Roman" w:hAnsi="Times New Roman" w:cs="Times New Roman"/>
          <w:bCs/>
          <w:sz w:val="24"/>
          <w:lang w:eastAsia="en-AU"/>
        </w:rPr>
      </w:pPr>
    </w:p>
    <w:p w:rsidR="0023296F" w:rsidRDefault="00CC0514">
      <w:pPr>
        <w:rPr>
          <w:sz w:val="23"/>
          <w:szCs w:val="23"/>
        </w:rPr>
      </w:pPr>
      <w:r>
        <w:rPr>
          <w:rFonts w:ascii="Times New Roman" w:eastAsia="Times New Roman" w:hAnsi="Times New Roman" w:cs="Times New Roman"/>
          <w:bCs/>
          <w:sz w:val="24"/>
          <w:lang w:eastAsia="en-AU"/>
        </w:rPr>
        <w:t xml:space="preserve">The Act </w:t>
      </w:r>
      <w:r w:rsidR="00531B20">
        <w:rPr>
          <w:rFonts w:ascii="Times New Roman" w:eastAsia="Times New Roman" w:hAnsi="Times New Roman" w:cs="Times New Roman"/>
          <w:bCs/>
          <w:sz w:val="24"/>
          <w:lang w:eastAsia="en-AU"/>
        </w:rPr>
        <w:t>provides</w:t>
      </w:r>
      <w:r>
        <w:rPr>
          <w:rFonts w:ascii="Times New Roman" w:eastAsia="Times New Roman" w:hAnsi="Times New Roman" w:cs="Times New Roman"/>
          <w:bCs/>
          <w:sz w:val="24"/>
          <w:lang w:eastAsia="en-AU"/>
        </w:rPr>
        <w:t xml:space="preserve"> for the collection of duties of excise from a number of primary industries</w:t>
      </w:r>
      <w:r w:rsidR="00531B20">
        <w:rPr>
          <w:rFonts w:ascii="Times New Roman" w:eastAsia="Times New Roman" w:hAnsi="Times New Roman" w:cs="Times New Roman"/>
          <w:bCs/>
          <w:sz w:val="24"/>
          <w:lang w:eastAsia="en-AU"/>
        </w:rPr>
        <w:t xml:space="preserve"> and</w:t>
      </w:r>
      <w:r>
        <w:rPr>
          <w:rFonts w:ascii="Times New Roman" w:eastAsia="Times New Roman" w:hAnsi="Times New Roman" w:cs="Times New Roman"/>
          <w:bCs/>
          <w:sz w:val="24"/>
          <w:lang w:eastAsia="en-AU"/>
        </w:rPr>
        <w:t xml:space="preserve"> allows for the operative levy rates to be increased or decreased by the Governor-General by regulation on the advice of the Minister. The Minister must consider the recommendations on rates of levy made by the relevant organisation for each industry.</w:t>
      </w:r>
    </w:p>
    <w:p w:rsidR="0023296F" w:rsidRDefault="0023296F">
      <w:pPr>
        <w:rPr>
          <w:sz w:val="23"/>
          <w:szCs w:val="23"/>
        </w:rPr>
      </w:pPr>
    </w:p>
    <w:p w:rsidR="0023296F" w:rsidRDefault="00CC0514">
      <w:p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 xml:space="preserve">Clause 13 of Schedule 27 </w:t>
      </w:r>
      <w:r w:rsidR="007E7031">
        <w:rPr>
          <w:rFonts w:ascii="Times New Roman" w:eastAsia="Times New Roman" w:hAnsi="Times New Roman" w:cs="Times New Roman"/>
          <w:bCs/>
          <w:sz w:val="24"/>
          <w:lang w:eastAsia="en-AU"/>
        </w:rPr>
        <w:t>to</w:t>
      </w:r>
      <w:r>
        <w:rPr>
          <w:rFonts w:ascii="Times New Roman" w:eastAsia="Times New Roman" w:hAnsi="Times New Roman" w:cs="Times New Roman"/>
          <w:bCs/>
          <w:sz w:val="24"/>
          <w:lang w:eastAsia="en-AU"/>
        </w:rPr>
        <w:t xml:space="preserve"> the Act allows the Minister to recognise a particular industry organisation as being the representative of that industry for the purpose of consultation with government. In this case, Grain Producers Australia Limited (GPA) and AUSVEG Limited (AUSVEG) are recognised as the representatives of a number of plant products and, as such, will be declared the designated bodies for the grains and vegetable industries as a whole.</w:t>
      </w:r>
    </w:p>
    <w:p w:rsidR="0023296F" w:rsidRDefault="0023296F">
      <w:pPr>
        <w:rPr>
          <w:rFonts w:ascii="Times New Roman" w:eastAsia="Times New Roman" w:hAnsi="Times New Roman" w:cs="Times New Roman"/>
          <w:b/>
          <w:bCs/>
          <w:sz w:val="24"/>
          <w:lang w:eastAsia="en-AU"/>
        </w:rPr>
      </w:pPr>
    </w:p>
    <w:p w:rsidR="0023296F" w:rsidRDefault="00CC0514">
      <w:pPr>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Impact and Effect</w:t>
      </w:r>
    </w:p>
    <w:p w:rsidR="0023296F" w:rsidRDefault="0023296F">
      <w:pPr>
        <w:rPr>
          <w:rFonts w:ascii="Times New Roman" w:eastAsia="Times New Roman" w:hAnsi="Times New Roman" w:cs="Times New Roman"/>
          <w:bCs/>
          <w:sz w:val="24"/>
          <w:lang w:eastAsia="en-AU"/>
        </w:rPr>
      </w:pPr>
    </w:p>
    <w:p w:rsidR="0023296F" w:rsidRDefault="00CC0514">
      <w:pPr>
        <w:rPr>
          <w:rFonts w:ascii="Times New Roman" w:eastAsia="Times New Roman" w:hAnsi="Times New Roman" w:cs="Times New Roman"/>
          <w:bCs/>
          <w:i/>
          <w:sz w:val="24"/>
          <w:lang w:eastAsia="en-AU"/>
        </w:rPr>
      </w:pPr>
      <w:r>
        <w:rPr>
          <w:rFonts w:ascii="Times New Roman" w:eastAsia="Times New Roman" w:hAnsi="Times New Roman" w:cs="Times New Roman"/>
          <w:bCs/>
          <w:sz w:val="24"/>
          <w:lang w:eastAsia="en-AU"/>
        </w:rPr>
        <w:t xml:space="preserve">The Declaration will ensure the government can receive information from and consult with </w:t>
      </w:r>
      <w:r w:rsidR="00370C90">
        <w:rPr>
          <w:rFonts w:ascii="Times New Roman" w:eastAsia="Times New Roman" w:hAnsi="Times New Roman" w:cs="Times New Roman"/>
          <w:bCs/>
          <w:sz w:val="24"/>
          <w:lang w:eastAsia="en-AU"/>
        </w:rPr>
        <w:t xml:space="preserve">GPA and AUSVEG (as </w:t>
      </w:r>
      <w:r w:rsidR="00A66C4E">
        <w:rPr>
          <w:rFonts w:ascii="Times New Roman" w:eastAsia="Times New Roman" w:hAnsi="Times New Roman" w:cs="Times New Roman"/>
          <w:bCs/>
          <w:sz w:val="24"/>
          <w:lang w:eastAsia="en-AU"/>
        </w:rPr>
        <w:t>PHA’s designated bodies</w:t>
      </w:r>
      <w:r w:rsidR="00370C90">
        <w:rPr>
          <w:rFonts w:ascii="Times New Roman" w:eastAsia="Times New Roman" w:hAnsi="Times New Roman" w:cs="Times New Roman"/>
          <w:bCs/>
          <w:sz w:val="24"/>
          <w:lang w:eastAsia="en-AU"/>
        </w:rPr>
        <w:t>)</w:t>
      </w:r>
      <w:r w:rsidR="00A66C4E">
        <w:rPr>
          <w:rFonts w:ascii="Times New Roman" w:eastAsia="Times New Roman" w:hAnsi="Times New Roman" w:cs="Times New Roman"/>
          <w:bCs/>
          <w:sz w:val="24"/>
          <w:lang w:eastAsia="en-AU"/>
        </w:rPr>
        <w:t xml:space="preserve"> </w:t>
      </w:r>
      <w:r>
        <w:rPr>
          <w:rFonts w:ascii="Times New Roman" w:eastAsia="Times New Roman" w:hAnsi="Times New Roman" w:cs="Times New Roman"/>
          <w:bCs/>
          <w:sz w:val="24"/>
          <w:lang w:eastAsia="en-AU"/>
        </w:rPr>
        <w:t>about the Act and levy issues</w:t>
      </w:r>
      <w:r>
        <w:rPr>
          <w:rFonts w:ascii="Times New Roman" w:eastAsia="Times New Roman" w:hAnsi="Times New Roman" w:cs="Times New Roman"/>
          <w:bCs/>
          <w:i/>
          <w:sz w:val="24"/>
          <w:lang w:eastAsia="en-AU"/>
        </w:rPr>
        <w:t>.</w:t>
      </w:r>
    </w:p>
    <w:p w:rsidR="0023296F" w:rsidRDefault="0023296F">
      <w:pPr>
        <w:rPr>
          <w:rFonts w:ascii="Times New Roman" w:eastAsia="Times New Roman" w:hAnsi="Times New Roman" w:cs="Times New Roman"/>
          <w:b/>
          <w:bCs/>
          <w:sz w:val="24"/>
          <w:lang w:eastAsia="en-AU"/>
        </w:rPr>
      </w:pPr>
    </w:p>
    <w:p w:rsidR="0023296F" w:rsidRDefault="00CC0514">
      <w:pPr>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Consultation</w:t>
      </w:r>
    </w:p>
    <w:p w:rsidR="007E7031" w:rsidRDefault="007E7031">
      <w:pPr>
        <w:rPr>
          <w:rFonts w:ascii="Times New Roman" w:eastAsia="Times New Roman" w:hAnsi="Times New Roman" w:cs="Times New Roman"/>
          <w:bCs/>
          <w:sz w:val="24"/>
          <w:lang w:eastAsia="en-AU"/>
        </w:rPr>
      </w:pPr>
    </w:p>
    <w:p w:rsidR="0023296F" w:rsidRDefault="00CC0514">
      <w:p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GPA (the national representative body for grain producers) and AUSVEG (the national peak industry body for vegetable and potato producers) were consulted by the Department of Agriculture and have agreed to the making of the declaration.</w:t>
      </w:r>
    </w:p>
    <w:p w:rsidR="0023296F" w:rsidRDefault="0023296F">
      <w:pPr>
        <w:rPr>
          <w:rFonts w:ascii="Times New Roman" w:eastAsia="Times New Roman" w:hAnsi="Times New Roman" w:cs="Times New Roman"/>
          <w:bCs/>
          <w:sz w:val="24"/>
          <w:lang w:eastAsia="en-AU"/>
        </w:rPr>
      </w:pPr>
    </w:p>
    <w:p w:rsidR="0023296F" w:rsidRDefault="00CC0514">
      <w:pPr>
        <w:rPr>
          <w:rFonts w:ascii="Times New Roman" w:eastAsia="Times New Roman" w:hAnsi="Times New Roman" w:cs="Times New Roman"/>
          <w:bCs/>
          <w:sz w:val="24"/>
          <w:lang w:eastAsia="en-AU"/>
        </w:rPr>
      </w:pPr>
      <w:r w:rsidRPr="005304AC">
        <w:rPr>
          <w:rFonts w:ascii="Times New Roman" w:eastAsia="Times New Roman" w:hAnsi="Times New Roman" w:cs="Times New Roman"/>
          <w:bCs/>
          <w:sz w:val="24"/>
          <w:lang w:eastAsia="en-AU"/>
        </w:rPr>
        <w:t>The Office of Best Practice Regulation (OBPR) has advised that the declaration will have minor impacts and a Regulation Impact Statement is not required</w:t>
      </w:r>
      <w:r>
        <w:rPr>
          <w:rFonts w:ascii="Times New Roman" w:eastAsia="Times New Roman" w:hAnsi="Times New Roman" w:cs="Times New Roman"/>
          <w:bCs/>
          <w:sz w:val="24"/>
          <w:lang w:eastAsia="en-AU"/>
        </w:rPr>
        <w:t xml:space="preserve"> (OBPR ref</w:t>
      </w:r>
      <w:r w:rsidR="007E7031">
        <w:rPr>
          <w:rFonts w:ascii="Times New Roman" w:eastAsia="Times New Roman" w:hAnsi="Times New Roman" w:cs="Times New Roman"/>
          <w:bCs/>
          <w:sz w:val="24"/>
          <w:lang w:eastAsia="en-AU"/>
        </w:rPr>
        <w:t>erence</w:t>
      </w:r>
      <w:r>
        <w:rPr>
          <w:rFonts w:ascii="Times New Roman" w:eastAsia="Times New Roman" w:hAnsi="Times New Roman" w:cs="Times New Roman"/>
          <w:bCs/>
          <w:sz w:val="24"/>
          <w:lang w:eastAsia="en-AU"/>
        </w:rPr>
        <w:t xml:space="preserve"> 15250).</w:t>
      </w:r>
    </w:p>
    <w:p w:rsidR="007E7031" w:rsidRDefault="007E7031">
      <w:pPr>
        <w:rPr>
          <w:rFonts w:ascii="Times New Roman" w:eastAsia="Times New Roman" w:hAnsi="Times New Roman" w:cs="Times New Roman"/>
          <w:bCs/>
          <w:sz w:val="24"/>
          <w:lang w:eastAsia="en-AU"/>
        </w:rPr>
      </w:pPr>
    </w:p>
    <w:p w:rsidR="00070967" w:rsidRDefault="00CC0514">
      <w:p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lastRenderedPageBreak/>
        <w:t>The Office of Parliamentary Counsel was consulted in the development of this instrument.</w:t>
      </w:r>
    </w:p>
    <w:p w:rsidR="0023296F" w:rsidRDefault="00CC0514">
      <w:pPr>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Details/Operation</w:t>
      </w:r>
    </w:p>
    <w:p w:rsidR="0023296F" w:rsidRDefault="0023296F">
      <w:pPr>
        <w:rPr>
          <w:rFonts w:ascii="Times New Roman" w:eastAsia="Times New Roman" w:hAnsi="Times New Roman" w:cs="Times New Roman"/>
          <w:b/>
          <w:bCs/>
          <w:sz w:val="24"/>
          <w:lang w:eastAsia="en-AU"/>
        </w:rPr>
      </w:pPr>
    </w:p>
    <w:p w:rsidR="0023296F" w:rsidRDefault="00CC0514">
      <w:p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Details of the</w:t>
      </w:r>
      <w:r w:rsidR="00070967">
        <w:rPr>
          <w:rFonts w:ascii="Times New Roman" w:eastAsia="Times New Roman" w:hAnsi="Times New Roman" w:cs="Times New Roman"/>
          <w:bCs/>
          <w:i/>
          <w:sz w:val="24"/>
          <w:lang w:eastAsia="en-AU"/>
        </w:rPr>
        <w:t xml:space="preserve"> </w:t>
      </w:r>
      <w:r w:rsidR="00070967">
        <w:rPr>
          <w:rFonts w:ascii="Times New Roman" w:eastAsia="Times New Roman" w:hAnsi="Times New Roman" w:cs="Times New Roman"/>
          <w:bCs/>
          <w:sz w:val="24"/>
          <w:lang w:eastAsia="en-AU"/>
        </w:rPr>
        <w:t xml:space="preserve">Declaration </w:t>
      </w:r>
      <w:r>
        <w:rPr>
          <w:rFonts w:ascii="Times New Roman" w:eastAsia="Times New Roman" w:hAnsi="Times New Roman" w:cs="Times New Roman"/>
          <w:bCs/>
          <w:sz w:val="24"/>
          <w:lang w:eastAsia="en-AU"/>
        </w:rPr>
        <w:t>are set out below.</w:t>
      </w:r>
    </w:p>
    <w:p w:rsidR="0023296F" w:rsidRDefault="0023296F">
      <w:pPr>
        <w:rPr>
          <w:rFonts w:ascii="Times New Roman" w:eastAsia="Times New Roman" w:hAnsi="Times New Roman" w:cs="Times New Roman"/>
          <w:bCs/>
          <w:sz w:val="24"/>
          <w:lang w:eastAsia="en-AU"/>
        </w:rPr>
      </w:pPr>
    </w:p>
    <w:p w:rsidR="0023296F" w:rsidRDefault="00CC0514">
      <w:pPr>
        <w:rPr>
          <w:rFonts w:ascii="Times New Roman" w:eastAsia="Times New Roman" w:hAnsi="Times New Roman" w:cs="Times New Roman"/>
          <w:bCs/>
          <w:sz w:val="24"/>
          <w:u w:val="single"/>
          <w:lang w:eastAsia="en-AU"/>
        </w:rPr>
      </w:pPr>
      <w:r>
        <w:rPr>
          <w:rFonts w:ascii="Times New Roman" w:eastAsia="Times New Roman" w:hAnsi="Times New Roman" w:cs="Times New Roman"/>
          <w:bCs/>
          <w:sz w:val="24"/>
          <w:u w:val="single"/>
          <w:lang w:eastAsia="en-AU"/>
        </w:rPr>
        <w:t>Section 1 – Name of Declaration</w:t>
      </w:r>
    </w:p>
    <w:p w:rsidR="0023296F" w:rsidRDefault="0023296F">
      <w:pPr>
        <w:rPr>
          <w:rFonts w:ascii="Times New Roman" w:eastAsia="Times New Roman" w:hAnsi="Times New Roman" w:cs="Times New Roman"/>
          <w:bCs/>
          <w:sz w:val="24"/>
          <w:u w:val="single"/>
          <w:lang w:eastAsia="en-AU"/>
        </w:rPr>
      </w:pPr>
    </w:p>
    <w:p w:rsidR="0023296F" w:rsidRDefault="00CC0514">
      <w:pPr>
        <w:rPr>
          <w:rFonts w:ascii="Times New Roman" w:eastAsia="Times New Roman" w:hAnsi="Times New Roman" w:cs="Times New Roman"/>
          <w:bCs/>
          <w:i/>
          <w:sz w:val="24"/>
          <w:lang w:eastAsia="en-AU"/>
        </w:rPr>
      </w:pPr>
      <w:r>
        <w:rPr>
          <w:rFonts w:ascii="Times New Roman" w:eastAsia="Times New Roman" w:hAnsi="Times New Roman" w:cs="Times New Roman"/>
          <w:bCs/>
          <w:sz w:val="24"/>
          <w:lang w:eastAsia="en-AU"/>
        </w:rPr>
        <w:t xml:space="preserve">This section provides for the name of the Declaration to be the </w:t>
      </w:r>
      <w:r>
        <w:rPr>
          <w:rFonts w:ascii="Times New Roman" w:eastAsia="Times New Roman" w:hAnsi="Times New Roman" w:cs="Times New Roman"/>
          <w:bCs/>
          <w:i/>
          <w:sz w:val="24"/>
          <w:lang w:eastAsia="en-AU"/>
        </w:rPr>
        <w:t>Primary Industries (Excise) Levies (Designated Bodies) Declaration 2013.</w:t>
      </w:r>
    </w:p>
    <w:p w:rsidR="0023296F" w:rsidRDefault="0023296F">
      <w:pPr>
        <w:rPr>
          <w:rFonts w:ascii="Times New Roman" w:eastAsia="Times New Roman" w:hAnsi="Times New Roman" w:cs="Times New Roman"/>
          <w:bCs/>
          <w:i/>
          <w:sz w:val="24"/>
          <w:lang w:eastAsia="en-AU"/>
        </w:rPr>
      </w:pPr>
    </w:p>
    <w:p w:rsidR="0023296F" w:rsidRDefault="00CC0514">
      <w:pPr>
        <w:rPr>
          <w:rFonts w:ascii="Times New Roman" w:eastAsia="Times New Roman" w:hAnsi="Times New Roman" w:cs="Times New Roman"/>
          <w:bCs/>
          <w:sz w:val="24"/>
          <w:u w:val="single"/>
          <w:lang w:eastAsia="en-AU"/>
        </w:rPr>
      </w:pPr>
      <w:r>
        <w:rPr>
          <w:rFonts w:ascii="Times New Roman" w:eastAsia="Times New Roman" w:hAnsi="Times New Roman" w:cs="Times New Roman"/>
          <w:bCs/>
          <w:sz w:val="24"/>
          <w:u w:val="single"/>
          <w:lang w:eastAsia="en-AU"/>
        </w:rPr>
        <w:t>Section 2 – Commencement</w:t>
      </w:r>
    </w:p>
    <w:p w:rsidR="0023296F" w:rsidRDefault="0023296F">
      <w:pPr>
        <w:rPr>
          <w:rFonts w:ascii="Times New Roman" w:eastAsia="Times New Roman" w:hAnsi="Times New Roman" w:cs="Times New Roman"/>
          <w:bCs/>
          <w:sz w:val="24"/>
          <w:lang w:eastAsia="en-AU"/>
        </w:rPr>
      </w:pPr>
    </w:p>
    <w:p w:rsidR="0023296F" w:rsidRDefault="00CC0514">
      <w:p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This section provides for the Declaration to commence on the day after it is registered on the Federal Register of Legislative Instruments.</w:t>
      </w:r>
    </w:p>
    <w:p w:rsidR="0023296F" w:rsidRDefault="0023296F">
      <w:pPr>
        <w:rPr>
          <w:rFonts w:ascii="Times New Roman" w:eastAsia="Times New Roman" w:hAnsi="Times New Roman" w:cs="Times New Roman"/>
          <w:bCs/>
          <w:sz w:val="24"/>
          <w:lang w:eastAsia="en-AU"/>
        </w:rPr>
      </w:pPr>
    </w:p>
    <w:p w:rsidR="0023296F" w:rsidRDefault="00CC0514">
      <w:pPr>
        <w:rPr>
          <w:rFonts w:ascii="Times New Roman" w:eastAsia="Times New Roman" w:hAnsi="Times New Roman" w:cs="Times New Roman"/>
          <w:bCs/>
          <w:sz w:val="24"/>
          <w:u w:val="single"/>
          <w:lang w:eastAsia="en-AU"/>
        </w:rPr>
      </w:pPr>
      <w:r>
        <w:rPr>
          <w:rFonts w:ascii="Times New Roman" w:eastAsia="Times New Roman" w:hAnsi="Times New Roman" w:cs="Times New Roman"/>
          <w:bCs/>
          <w:sz w:val="24"/>
          <w:u w:val="single"/>
          <w:lang w:eastAsia="en-AU"/>
        </w:rPr>
        <w:t>Section 3 – Definition</w:t>
      </w:r>
    </w:p>
    <w:p w:rsidR="0023296F" w:rsidRDefault="0023296F">
      <w:pPr>
        <w:rPr>
          <w:rFonts w:ascii="Times New Roman" w:eastAsia="Times New Roman" w:hAnsi="Times New Roman" w:cs="Times New Roman"/>
          <w:bCs/>
          <w:sz w:val="24"/>
          <w:lang w:eastAsia="en-AU"/>
        </w:rPr>
      </w:pPr>
    </w:p>
    <w:p w:rsidR="0023296F" w:rsidRDefault="00CC0514">
      <w:pPr>
        <w:rPr>
          <w:rFonts w:ascii="Times New Roman" w:hAnsi="Times New Roman" w:cs="Times New Roman"/>
          <w:i/>
          <w:sz w:val="24"/>
        </w:rPr>
      </w:pPr>
      <w:r>
        <w:rPr>
          <w:rFonts w:ascii="Times New Roman" w:hAnsi="Times New Roman" w:cs="Times New Roman"/>
          <w:sz w:val="24"/>
        </w:rPr>
        <w:t xml:space="preserve">This section provides that the meaning of the ‘Act’ as referred to in the Declaration is the </w:t>
      </w:r>
      <w:r>
        <w:rPr>
          <w:rFonts w:ascii="Times New Roman" w:hAnsi="Times New Roman" w:cs="Times New Roman"/>
          <w:i/>
          <w:sz w:val="24"/>
        </w:rPr>
        <w:t>Primary Industries (Excise) Levies Act 1999.</w:t>
      </w:r>
    </w:p>
    <w:p w:rsidR="0023296F" w:rsidRDefault="0023296F">
      <w:pPr>
        <w:rPr>
          <w:rFonts w:ascii="Times New Roman" w:eastAsia="Times New Roman" w:hAnsi="Times New Roman" w:cs="Times New Roman"/>
          <w:bCs/>
          <w:i/>
          <w:sz w:val="24"/>
          <w:lang w:eastAsia="en-AU"/>
        </w:rPr>
      </w:pPr>
    </w:p>
    <w:p w:rsidR="0023296F" w:rsidRDefault="00CC0514">
      <w:pPr>
        <w:rPr>
          <w:rFonts w:ascii="Times New Roman" w:eastAsia="Times New Roman" w:hAnsi="Times New Roman" w:cs="Times New Roman"/>
          <w:bCs/>
          <w:sz w:val="24"/>
          <w:u w:val="single"/>
          <w:lang w:eastAsia="en-AU"/>
        </w:rPr>
      </w:pPr>
      <w:r>
        <w:rPr>
          <w:rFonts w:ascii="Times New Roman" w:eastAsia="Times New Roman" w:hAnsi="Times New Roman" w:cs="Times New Roman"/>
          <w:bCs/>
          <w:sz w:val="24"/>
          <w:u w:val="single"/>
          <w:lang w:eastAsia="en-AU"/>
        </w:rPr>
        <w:t>Section 4 – Declaration of designated bodies</w:t>
      </w:r>
    </w:p>
    <w:p w:rsidR="00CC0514" w:rsidRDefault="00CC0514">
      <w:pPr>
        <w:rPr>
          <w:rFonts w:ascii="Times New Roman" w:eastAsia="Times New Roman" w:hAnsi="Times New Roman" w:cs="Times New Roman"/>
          <w:bCs/>
          <w:sz w:val="24"/>
          <w:lang w:eastAsia="en-AU"/>
        </w:rPr>
      </w:pPr>
    </w:p>
    <w:p w:rsidR="00CC0514" w:rsidRDefault="00CC0514">
      <w:p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 xml:space="preserve">This section declares </w:t>
      </w:r>
      <w:r w:rsidR="00C373D3">
        <w:rPr>
          <w:rFonts w:ascii="Times New Roman" w:eastAsia="Times New Roman" w:hAnsi="Times New Roman" w:cs="Times New Roman"/>
          <w:bCs/>
          <w:sz w:val="24"/>
          <w:lang w:eastAsia="en-AU"/>
        </w:rPr>
        <w:t xml:space="preserve">GPA and AUSVEG as </w:t>
      </w:r>
      <w:r>
        <w:rPr>
          <w:rFonts w:ascii="Times New Roman" w:eastAsia="Times New Roman" w:hAnsi="Times New Roman" w:cs="Times New Roman"/>
          <w:bCs/>
          <w:sz w:val="24"/>
          <w:lang w:eastAsia="en-AU"/>
        </w:rPr>
        <w:t xml:space="preserve">the designated bodies for </w:t>
      </w:r>
      <w:r w:rsidR="00C373D3">
        <w:rPr>
          <w:rFonts w:ascii="Times New Roman" w:eastAsia="Times New Roman" w:hAnsi="Times New Roman" w:cs="Times New Roman"/>
          <w:bCs/>
          <w:sz w:val="24"/>
          <w:lang w:eastAsia="en-AU"/>
        </w:rPr>
        <w:t>two or more</w:t>
      </w:r>
      <w:r>
        <w:rPr>
          <w:rFonts w:ascii="Times New Roman" w:eastAsia="Times New Roman" w:hAnsi="Times New Roman" w:cs="Times New Roman"/>
          <w:bCs/>
          <w:sz w:val="24"/>
          <w:lang w:eastAsia="en-AU"/>
        </w:rPr>
        <w:t xml:space="preserve"> PHA plant products and lists </w:t>
      </w:r>
      <w:r w:rsidR="00C373D3">
        <w:rPr>
          <w:rFonts w:ascii="Times New Roman" w:eastAsia="Times New Roman" w:hAnsi="Times New Roman" w:cs="Times New Roman"/>
          <w:bCs/>
          <w:sz w:val="24"/>
          <w:lang w:eastAsia="en-AU"/>
        </w:rPr>
        <w:t xml:space="preserve">the </w:t>
      </w:r>
      <w:r w:rsidR="005304AC">
        <w:rPr>
          <w:rFonts w:ascii="Times New Roman" w:eastAsia="Times New Roman" w:hAnsi="Times New Roman" w:cs="Times New Roman"/>
          <w:bCs/>
          <w:sz w:val="24"/>
          <w:lang w:eastAsia="en-AU"/>
        </w:rPr>
        <w:t xml:space="preserve">plant </w:t>
      </w:r>
      <w:r w:rsidR="00C373D3">
        <w:rPr>
          <w:rFonts w:ascii="Times New Roman" w:eastAsia="Times New Roman" w:hAnsi="Times New Roman" w:cs="Times New Roman"/>
          <w:bCs/>
          <w:sz w:val="24"/>
          <w:lang w:eastAsia="en-AU"/>
        </w:rPr>
        <w:t xml:space="preserve">products </w:t>
      </w:r>
      <w:r w:rsidR="005304AC">
        <w:rPr>
          <w:rFonts w:ascii="Times New Roman" w:eastAsia="Times New Roman" w:hAnsi="Times New Roman" w:cs="Times New Roman"/>
          <w:bCs/>
          <w:sz w:val="24"/>
          <w:lang w:eastAsia="en-AU"/>
        </w:rPr>
        <w:t>they represent</w:t>
      </w:r>
      <w:r w:rsidR="00C373D3">
        <w:rPr>
          <w:rFonts w:ascii="Times New Roman" w:eastAsia="Times New Roman" w:hAnsi="Times New Roman" w:cs="Times New Roman"/>
          <w:bCs/>
          <w:sz w:val="24"/>
          <w:lang w:eastAsia="en-AU"/>
        </w:rPr>
        <w:t>.</w:t>
      </w:r>
    </w:p>
    <w:p w:rsidR="00CC0514" w:rsidRDefault="00CC0514">
      <w:pPr>
        <w:rPr>
          <w:rFonts w:ascii="Times New Roman" w:eastAsia="Times New Roman" w:hAnsi="Times New Roman" w:cs="Times New Roman"/>
          <w:bCs/>
          <w:sz w:val="24"/>
          <w:lang w:eastAsia="en-AU"/>
        </w:rPr>
      </w:pPr>
    </w:p>
    <w:p w:rsidR="0023296F" w:rsidRDefault="00CC0514">
      <w:p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Subsection 4(1) declares that GPA is the designated body for the following relevant plant products:</w:t>
      </w:r>
    </w:p>
    <w:p w:rsidR="0023296F" w:rsidRDefault="00CC0514">
      <w:pPr>
        <w:pStyle w:val="ListParagraph"/>
        <w:numPr>
          <w:ilvl w:val="0"/>
          <w:numId w:val="2"/>
        </w:num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wheat; and</w:t>
      </w:r>
    </w:p>
    <w:p w:rsidR="0023296F" w:rsidRDefault="00CC0514">
      <w:pPr>
        <w:pStyle w:val="ListParagraph"/>
        <w:numPr>
          <w:ilvl w:val="0"/>
          <w:numId w:val="2"/>
        </w:num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 xml:space="preserve">the products included in the definition of </w:t>
      </w:r>
      <w:r>
        <w:rPr>
          <w:rFonts w:ascii="Times New Roman" w:eastAsia="Times New Roman" w:hAnsi="Times New Roman" w:cs="Times New Roman"/>
          <w:b/>
          <w:bCs/>
          <w:i/>
          <w:sz w:val="24"/>
          <w:lang w:eastAsia="en-AU"/>
        </w:rPr>
        <w:t>leviable coarse grains</w:t>
      </w:r>
      <w:r>
        <w:rPr>
          <w:rFonts w:ascii="Times New Roman" w:eastAsia="Times New Roman" w:hAnsi="Times New Roman" w:cs="Times New Roman"/>
          <w:bCs/>
          <w:sz w:val="24"/>
          <w:lang w:eastAsia="en-AU"/>
        </w:rPr>
        <w:t xml:space="preserve"> (such as barley, triticale, oats and cereal rye) in clause 1 of Schedule 4 to the Act; and</w:t>
      </w:r>
    </w:p>
    <w:p w:rsidR="0023296F" w:rsidRDefault="00CC0514">
      <w:pPr>
        <w:pStyle w:val="ListParagraph"/>
        <w:numPr>
          <w:ilvl w:val="0"/>
          <w:numId w:val="2"/>
        </w:num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 xml:space="preserve">the products included in the definition of </w:t>
      </w:r>
      <w:r>
        <w:rPr>
          <w:rFonts w:ascii="Times New Roman" w:eastAsia="Times New Roman" w:hAnsi="Times New Roman" w:cs="Times New Roman"/>
          <w:b/>
          <w:bCs/>
          <w:i/>
          <w:sz w:val="24"/>
          <w:lang w:eastAsia="en-AU"/>
        </w:rPr>
        <w:t>leviable grain legumes</w:t>
      </w:r>
      <w:r>
        <w:rPr>
          <w:rFonts w:ascii="Times New Roman" w:eastAsia="Times New Roman" w:hAnsi="Times New Roman" w:cs="Times New Roman"/>
          <w:bCs/>
          <w:sz w:val="24"/>
          <w:lang w:eastAsia="en-AU"/>
        </w:rPr>
        <w:t xml:space="preserve"> (such as the seeds of lupins, field peas or peanuts) in clause 1 of Schedule 12 to the Act; and</w:t>
      </w:r>
    </w:p>
    <w:p w:rsidR="0023296F" w:rsidRDefault="00CC0514">
      <w:pPr>
        <w:pStyle w:val="ListParagraph"/>
        <w:numPr>
          <w:ilvl w:val="0"/>
          <w:numId w:val="2"/>
        </w:numPr>
        <w:rPr>
          <w:rFonts w:ascii="Times New Roman" w:eastAsia="Times New Roman" w:hAnsi="Times New Roman" w:cs="Times New Roman"/>
          <w:bCs/>
          <w:sz w:val="24"/>
          <w:lang w:eastAsia="en-AU"/>
        </w:rPr>
      </w:pPr>
      <w:proofErr w:type="gramStart"/>
      <w:r>
        <w:rPr>
          <w:rFonts w:ascii="Times New Roman" w:eastAsia="Times New Roman" w:hAnsi="Times New Roman" w:cs="Times New Roman"/>
          <w:bCs/>
          <w:sz w:val="24"/>
          <w:lang w:eastAsia="en-AU"/>
        </w:rPr>
        <w:t>the</w:t>
      </w:r>
      <w:proofErr w:type="gramEnd"/>
      <w:r>
        <w:rPr>
          <w:rFonts w:ascii="Times New Roman" w:eastAsia="Times New Roman" w:hAnsi="Times New Roman" w:cs="Times New Roman"/>
          <w:bCs/>
          <w:sz w:val="24"/>
          <w:lang w:eastAsia="en-AU"/>
        </w:rPr>
        <w:t xml:space="preserve"> products included in the definition of </w:t>
      </w:r>
      <w:r>
        <w:rPr>
          <w:rFonts w:ascii="Times New Roman" w:eastAsia="Times New Roman" w:hAnsi="Times New Roman" w:cs="Times New Roman"/>
          <w:b/>
          <w:bCs/>
          <w:i/>
          <w:sz w:val="24"/>
          <w:lang w:eastAsia="en-AU"/>
        </w:rPr>
        <w:t>leviable oilseeds</w:t>
      </w:r>
      <w:r>
        <w:rPr>
          <w:rFonts w:ascii="Times New Roman" w:eastAsia="Times New Roman" w:hAnsi="Times New Roman" w:cs="Times New Roman"/>
          <w:bCs/>
          <w:sz w:val="24"/>
          <w:lang w:eastAsia="en-AU"/>
        </w:rPr>
        <w:t xml:space="preserve"> (such as sunflower seed, linseed, soy bean, safflower seed or rapeseed) in clause 1 of Schedule 20 to the Act.</w:t>
      </w:r>
    </w:p>
    <w:p w:rsidR="0023296F" w:rsidRDefault="0023296F">
      <w:pPr>
        <w:rPr>
          <w:rFonts w:ascii="Times New Roman" w:eastAsia="Times New Roman" w:hAnsi="Times New Roman" w:cs="Times New Roman"/>
          <w:bCs/>
          <w:sz w:val="24"/>
          <w:lang w:eastAsia="en-AU"/>
        </w:rPr>
      </w:pPr>
    </w:p>
    <w:p w:rsidR="0023296F" w:rsidRDefault="00531B20">
      <w:p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Subsection 4(2) declares</w:t>
      </w:r>
      <w:r w:rsidR="00CC0514">
        <w:rPr>
          <w:rFonts w:ascii="Times New Roman" w:eastAsia="Times New Roman" w:hAnsi="Times New Roman" w:cs="Times New Roman"/>
          <w:bCs/>
          <w:sz w:val="24"/>
          <w:lang w:eastAsia="en-AU"/>
        </w:rPr>
        <w:t xml:space="preserve"> that AUSVEG is the designated body for the following relevant plant products:</w:t>
      </w:r>
    </w:p>
    <w:p w:rsidR="0023296F" w:rsidRDefault="00CC0514">
      <w:pPr>
        <w:pStyle w:val="ListParagraph"/>
        <w:numPr>
          <w:ilvl w:val="0"/>
          <w:numId w:val="3"/>
        </w:num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unprocessed potatoes; and</w:t>
      </w:r>
    </w:p>
    <w:p w:rsidR="0023296F" w:rsidRDefault="00CC0514">
      <w:pPr>
        <w:pStyle w:val="ListParagraph"/>
        <w:numPr>
          <w:ilvl w:val="0"/>
          <w:numId w:val="3"/>
        </w:num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processing potatoes; and</w:t>
      </w:r>
    </w:p>
    <w:p w:rsidR="0023296F" w:rsidRDefault="00CC0514">
      <w:pPr>
        <w:pStyle w:val="ListParagraph"/>
        <w:numPr>
          <w:ilvl w:val="0"/>
          <w:numId w:val="3"/>
        </w:num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 xml:space="preserve">vegetables (such as asparagus, garlic, hard onions, melons, mushrooms, </w:t>
      </w:r>
      <w:r w:rsidR="00531B20">
        <w:rPr>
          <w:rFonts w:ascii="Times New Roman" w:eastAsia="Times New Roman" w:hAnsi="Times New Roman" w:cs="Times New Roman"/>
          <w:bCs/>
          <w:sz w:val="24"/>
          <w:lang w:eastAsia="en-AU"/>
        </w:rPr>
        <w:t xml:space="preserve">potatoes, </w:t>
      </w:r>
      <w:r>
        <w:rPr>
          <w:rFonts w:ascii="Times New Roman" w:eastAsia="Times New Roman" w:hAnsi="Times New Roman" w:cs="Times New Roman"/>
          <w:bCs/>
          <w:sz w:val="24"/>
          <w:lang w:eastAsia="en-AU"/>
        </w:rPr>
        <w:t xml:space="preserve">seed sprouts or tomatoes), other than the products mentioned in paragraphs (a) to (j) of clause 17.1 of Part 17 of Schedule 15 to the </w:t>
      </w:r>
      <w:r>
        <w:rPr>
          <w:rFonts w:ascii="Times New Roman" w:eastAsia="Times New Roman" w:hAnsi="Times New Roman" w:cs="Times New Roman"/>
          <w:bCs/>
          <w:i/>
          <w:sz w:val="24"/>
          <w:lang w:eastAsia="en-AU"/>
        </w:rPr>
        <w:t>Primary Industries (Excise) Levies Regulations 1999</w:t>
      </w:r>
      <w:r>
        <w:rPr>
          <w:rFonts w:ascii="Times New Roman" w:eastAsia="Times New Roman" w:hAnsi="Times New Roman" w:cs="Times New Roman"/>
          <w:bCs/>
          <w:sz w:val="24"/>
          <w:lang w:eastAsia="en-AU"/>
        </w:rPr>
        <w:t>.</w:t>
      </w:r>
    </w:p>
    <w:p w:rsidR="0023296F" w:rsidRDefault="00CC0514">
      <w:p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br w:type="page"/>
      </w:r>
    </w:p>
    <w:p w:rsidR="0023296F" w:rsidRDefault="00CC0514">
      <w:pPr>
        <w:spacing w:before="360" w:after="120"/>
        <w:contextualSpacing/>
        <w:jc w:val="right"/>
        <w:rPr>
          <w:rFonts w:ascii="Times New Roman" w:eastAsia="Times New Roman" w:hAnsi="Times New Roman" w:cs="Times New Roman"/>
          <w:b/>
          <w:bCs/>
          <w:sz w:val="24"/>
          <w:u w:val="single"/>
          <w:lang w:eastAsia="en-AU"/>
        </w:rPr>
      </w:pPr>
      <w:r>
        <w:rPr>
          <w:rFonts w:ascii="Times New Roman" w:eastAsia="Times New Roman" w:hAnsi="Times New Roman" w:cs="Times New Roman"/>
          <w:b/>
          <w:bCs/>
          <w:sz w:val="24"/>
          <w:u w:val="single"/>
          <w:lang w:eastAsia="en-AU"/>
        </w:rPr>
        <w:lastRenderedPageBreak/>
        <w:t>ATTACHMENT</w:t>
      </w:r>
    </w:p>
    <w:p w:rsidR="0023296F" w:rsidRDefault="0023296F">
      <w:pPr>
        <w:spacing w:before="360" w:after="120"/>
        <w:contextualSpacing/>
        <w:rPr>
          <w:rFonts w:ascii="Times New Roman" w:eastAsia="Times New Roman" w:hAnsi="Times New Roman" w:cs="Times New Roman"/>
          <w:bCs/>
          <w:sz w:val="24"/>
          <w:lang w:eastAsia="en-AU"/>
        </w:rPr>
      </w:pPr>
    </w:p>
    <w:p w:rsidR="0023296F" w:rsidRDefault="00CC0514">
      <w:pPr>
        <w:spacing w:before="360" w:after="120"/>
        <w:contextualSpacing/>
        <w:jc w:val="center"/>
        <w:rPr>
          <w:rFonts w:ascii="Times New Roman" w:eastAsia="Times New Roman" w:hAnsi="Times New Roman" w:cs="Times New Roman"/>
          <w:b/>
          <w:bCs/>
          <w:sz w:val="24"/>
          <w:szCs w:val="28"/>
          <w:lang w:eastAsia="en-AU"/>
        </w:rPr>
      </w:pPr>
      <w:r>
        <w:rPr>
          <w:rFonts w:ascii="Times New Roman" w:eastAsia="Times New Roman" w:hAnsi="Times New Roman" w:cs="Times New Roman"/>
          <w:b/>
          <w:bCs/>
          <w:sz w:val="24"/>
          <w:szCs w:val="28"/>
          <w:lang w:eastAsia="en-AU"/>
        </w:rPr>
        <w:t>Statement of Compatibility with Human Rights</w:t>
      </w:r>
    </w:p>
    <w:p w:rsidR="0023296F" w:rsidRDefault="0023296F">
      <w:pPr>
        <w:spacing w:before="360" w:after="120"/>
        <w:contextualSpacing/>
        <w:jc w:val="center"/>
        <w:rPr>
          <w:rFonts w:ascii="Times New Roman" w:eastAsia="Times New Roman" w:hAnsi="Times New Roman" w:cs="Times New Roman"/>
          <w:b/>
          <w:bCs/>
          <w:sz w:val="24"/>
          <w:lang w:eastAsia="en-AU"/>
        </w:rPr>
      </w:pPr>
    </w:p>
    <w:p w:rsidR="0023296F" w:rsidRDefault="00CC0514">
      <w:pPr>
        <w:spacing w:before="120" w:after="120"/>
        <w:contextualSpacing/>
        <w:jc w:val="center"/>
        <w:rPr>
          <w:rFonts w:ascii="Times New Roman" w:eastAsia="Times New Roman" w:hAnsi="Times New Roman" w:cs="Times New Roman"/>
          <w:bCs/>
          <w:i/>
          <w:sz w:val="24"/>
          <w:lang w:eastAsia="en-AU"/>
        </w:rPr>
      </w:pPr>
      <w:r>
        <w:rPr>
          <w:rFonts w:ascii="Times New Roman" w:eastAsia="Times New Roman" w:hAnsi="Times New Roman" w:cs="Times New Roman"/>
          <w:bCs/>
          <w:i/>
          <w:sz w:val="24"/>
          <w:lang w:eastAsia="en-AU"/>
        </w:rPr>
        <w:t>Prepared in accordance with Part 3 of the Human Rights (Parliamentary Scrutiny) Act 2011</w:t>
      </w:r>
    </w:p>
    <w:p w:rsidR="0023296F" w:rsidRDefault="0023296F">
      <w:pPr>
        <w:contextualSpacing/>
        <w:rPr>
          <w:rFonts w:ascii="Times New Roman" w:eastAsia="Times New Roman" w:hAnsi="Times New Roman" w:cs="Times New Roman"/>
          <w:bCs/>
          <w:i/>
          <w:sz w:val="24"/>
          <w:lang w:eastAsia="en-AU"/>
        </w:rPr>
      </w:pPr>
    </w:p>
    <w:p w:rsidR="0023296F" w:rsidRDefault="00CC0514">
      <w:pPr>
        <w:spacing w:before="100" w:beforeAutospacing="1" w:after="100" w:afterAutospacing="1"/>
        <w:contextualSpacing/>
        <w:jc w:val="center"/>
        <w:rPr>
          <w:rFonts w:ascii="Times New Roman" w:eastAsia="Times New Roman" w:hAnsi="Times New Roman" w:cs="Times New Roman"/>
          <w:b/>
          <w:bCs/>
          <w:iCs/>
          <w:sz w:val="24"/>
          <w:lang w:eastAsia="en-AU"/>
        </w:rPr>
      </w:pPr>
      <w:r w:rsidRPr="005F7958">
        <w:rPr>
          <w:rFonts w:ascii="Times New Roman" w:eastAsia="Times New Roman" w:hAnsi="Times New Roman" w:cs="Times New Roman"/>
          <w:b/>
          <w:bCs/>
          <w:spacing w:val="1"/>
          <w:sz w:val="24"/>
          <w:lang w:val="en-US" w:eastAsia="en-AU"/>
        </w:rPr>
        <w:t>Primary Industries</w:t>
      </w:r>
      <w:r>
        <w:rPr>
          <w:rFonts w:ascii="Times New Roman" w:eastAsia="Times New Roman" w:hAnsi="Times New Roman" w:cs="Times New Roman"/>
          <w:b/>
          <w:bCs/>
          <w:i/>
          <w:spacing w:val="1"/>
          <w:sz w:val="24"/>
          <w:lang w:val="en-US" w:eastAsia="en-AU"/>
        </w:rPr>
        <w:t xml:space="preserve"> (</w:t>
      </w:r>
      <w:r>
        <w:rPr>
          <w:rFonts w:ascii="Times New Roman" w:eastAsia="Times New Roman" w:hAnsi="Times New Roman" w:cs="Times New Roman"/>
          <w:b/>
          <w:bCs/>
          <w:spacing w:val="1"/>
          <w:sz w:val="24"/>
          <w:lang w:val="en-US" w:eastAsia="en-AU"/>
        </w:rPr>
        <w:t>Excise) Levies (Designated Bodies) Declaration</w:t>
      </w:r>
      <w:r>
        <w:rPr>
          <w:rFonts w:ascii="Times New Roman" w:eastAsia="Times New Roman" w:hAnsi="Times New Roman" w:cs="Times New Roman"/>
          <w:b/>
          <w:bCs/>
          <w:sz w:val="24"/>
          <w:lang w:val="en-US" w:eastAsia="en-AU"/>
        </w:rPr>
        <w:t xml:space="preserve"> </w:t>
      </w:r>
      <w:r>
        <w:rPr>
          <w:rFonts w:ascii="Times New Roman" w:eastAsia="Times New Roman" w:hAnsi="Times New Roman" w:cs="Times New Roman"/>
          <w:b/>
          <w:bCs/>
          <w:iCs/>
          <w:sz w:val="24"/>
          <w:lang w:eastAsia="en-AU"/>
        </w:rPr>
        <w:t>2013</w:t>
      </w:r>
    </w:p>
    <w:p w:rsidR="0023296F" w:rsidRDefault="0023296F">
      <w:pPr>
        <w:spacing w:before="120" w:after="120"/>
        <w:contextualSpacing/>
        <w:jc w:val="center"/>
        <w:rPr>
          <w:rFonts w:ascii="Times New Roman" w:eastAsia="Times New Roman" w:hAnsi="Times New Roman" w:cs="Times New Roman"/>
          <w:b/>
          <w:bCs/>
          <w:i/>
          <w:iCs/>
          <w:sz w:val="24"/>
          <w:lang w:eastAsia="en-AU"/>
        </w:rPr>
      </w:pPr>
    </w:p>
    <w:p w:rsidR="0023296F" w:rsidRDefault="00CC0514">
      <w:pPr>
        <w:spacing w:before="120" w:after="120"/>
        <w:contextualSpacing/>
        <w:jc w:val="cente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This Legislative</w:t>
      </w:r>
      <w:r>
        <w:rPr>
          <w:rFonts w:ascii="Times New Roman" w:eastAsia="Times New Roman" w:hAnsi="Times New Roman" w:cs="Times New Roman"/>
          <w:bCs/>
          <w:i/>
          <w:sz w:val="24"/>
          <w:lang w:eastAsia="en-AU"/>
        </w:rPr>
        <w:t xml:space="preserve"> </w:t>
      </w:r>
      <w:r>
        <w:rPr>
          <w:rFonts w:ascii="Times New Roman" w:eastAsia="Times New Roman" w:hAnsi="Times New Roman" w:cs="Times New Roman"/>
          <w:bCs/>
          <w:sz w:val="24"/>
          <w:lang w:eastAsia="en-AU"/>
        </w:rPr>
        <w:t xml:space="preserve">Instrument is compatible with the human rights and freedoms recognised or declared in the international instruments listed in section 3 of the </w:t>
      </w:r>
      <w:r>
        <w:rPr>
          <w:rFonts w:ascii="Times New Roman" w:eastAsia="Times New Roman" w:hAnsi="Times New Roman" w:cs="Times New Roman"/>
          <w:bCs/>
          <w:i/>
          <w:sz w:val="24"/>
          <w:lang w:eastAsia="en-AU"/>
        </w:rPr>
        <w:t>Human Rights (Parliamentary Scrutiny) Act 2011</w:t>
      </w:r>
      <w:r>
        <w:rPr>
          <w:rFonts w:ascii="Times New Roman" w:eastAsia="Times New Roman" w:hAnsi="Times New Roman" w:cs="Times New Roman"/>
          <w:bCs/>
          <w:sz w:val="24"/>
          <w:lang w:eastAsia="en-AU"/>
        </w:rPr>
        <w:t>.</w:t>
      </w:r>
    </w:p>
    <w:p w:rsidR="0023296F" w:rsidRDefault="0023296F">
      <w:pPr>
        <w:contextualSpacing/>
        <w:rPr>
          <w:rFonts w:ascii="Times New Roman" w:eastAsia="Times New Roman" w:hAnsi="Times New Roman" w:cs="Times New Roman"/>
          <w:bCs/>
          <w:sz w:val="24"/>
          <w:lang w:eastAsia="en-AU"/>
        </w:rPr>
      </w:pPr>
    </w:p>
    <w:p w:rsidR="0023296F" w:rsidRDefault="00CC0514">
      <w:pPr>
        <w:spacing w:before="120" w:after="120"/>
        <w:contextualSpacing/>
        <w:rPr>
          <w:rFonts w:ascii="Times New Roman" w:eastAsia="Times New Roman" w:hAnsi="Times New Roman" w:cs="Times New Roman"/>
          <w:b/>
          <w:bCs/>
          <w:sz w:val="24"/>
          <w:lang w:eastAsia="en-AU"/>
        </w:rPr>
      </w:pPr>
      <w:r>
        <w:rPr>
          <w:rFonts w:ascii="Times New Roman" w:eastAsia="Times New Roman" w:hAnsi="Times New Roman" w:cs="Times New Roman"/>
          <w:b/>
          <w:bCs/>
          <w:sz w:val="24"/>
          <w:lang w:eastAsia="en-AU"/>
        </w:rPr>
        <w:t>Overview of the Legislative Instrument</w:t>
      </w:r>
    </w:p>
    <w:p w:rsidR="0023296F" w:rsidRDefault="0023296F">
      <w:pPr>
        <w:spacing w:before="120" w:after="120"/>
        <w:contextualSpacing/>
        <w:rPr>
          <w:rFonts w:ascii="Times New Roman" w:eastAsia="Times New Roman" w:hAnsi="Times New Roman" w:cs="Times New Roman"/>
          <w:b/>
          <w:bCs/>
          <w:sz w:val="24"/>
          <w:lang w:eastAsia="en-AU"/>
        </w:rPr>
      </w:pPr>
    </w:p>
    <w:p w:rsidR="0023296F" w:rsidRDefault="00CC0514">
      <w:pPr>
        <w:rPr>
          <w:rFonts w:ascii="Times New Roman" w:eastAsia="Times New Roman" w:hAnsi="Times New Roman" w:cs="Times New Roman"/>
          <w:bCs/>
          <w:sz w:val="24"/>
          <w:lang w:eastAsia="en-AU"/>
        </w:rPr>
      </w:pPr>
      <w:r>
        <w:rPr>
          <w:rFonts w:ascii="Times New Roman" w:eastAsia="Times New Roman" w:hAnsi="Times New Roman" w:cs="Times New Roman"/>
          <w:bCs/>
          <w:sz w:val="24"/>
          <w:lang w:eastAsia="en-AU"/>
        </w:rPr>
        <w:t>This Legislative Instrument declares Grain Producers Australia Limited and AUSVEG Limited as designated bodies for relevant leviable Plant Health Australia plant products.</w:t>
      </w:r>
    </w:p>
    <w:p w:rsidR="0023296F" w:rsidRDefault="0023296F">
      <w:pPr>
        <w:contextualSpacing/>
        <w:rPr>
          <w:rFonts w:ascii="Times New Roman" w:hAnsi="Times New Roman" w:cs="Times New Roman"/>
          <w:sz w:val="24"/>
        </w:rPr>
      </w:pPr>
    </w:p>
    <w:p w:rsidR="0023296F" w:rsidRDefault="00CC0514">
      <w:pPr>
        <w:spacing w:before="120" w:after="120"/>
        <w:contextualSpacing/>
        <w:rPr>
          <w:rFonts w:ascii="Times New Roman" w:hAnsi="Times New Roman" w:cs="Times New Roman"/>
          <w:b/>
          <w:sz w:val="24"/>
        </w:rPr>
      </w:pPr>
      <w:r>
        <w:rPr>
          <w:rFonts w:ascii="Times New Roman" w:hAnsi="Times New Roman" w:cs="Times New Roman"/>
          <w:b/>
          <w:sz w:val="24"/>
        </w:rPr>
        <w:t>Human rights implications</w:t>
      </w:r>
    </w:p>
    <w:p w:rsidR="0023296F" w:rsidRDefault="0023296F">
      <w:pPr>
        <w:spacing w:before="120" w:after="120"/>
        <w:contextualSpacing/>
        <w:rPr>
          <w:rFonts w:ascii="Times New Roman" w:hAnsi="Times New Roman" w:cs="Times New Roman"/>
          <w:b/>
          <w:sz w:val="24"/>
        </w:rPr>
      </w:pPr>
    </w:p>
    <w:p w:rsidR="0023296F" w:rsidRDefault="00CC0514">
      <w:pPr>
        <w:spacing w:before="120" w:after="120"/>
        <w:contextualSpacing/>
        <w:rPr>
          <w:rFonts w:ascii="Times New Roman" w:hAnsi="Times New Roman" w:cs="Times New Roman"/>
          <w:sz w:val="24"/>
        </w:rPr>
      </w:pPr>
      <w:r>
        <w:rPr>
          <w:rFonts w:ascii="Times New Roman" w:hAnsi="Times New Roman" w:cs="Times New Roman"/>
          <w:sz w:val="24"/>
        </w:rPr>
        <w:t>This Legislative Instrument does not engage any of the applicable rights or freedoms.</w:t>
      </w:r>
    </w:p>
    <w:p w:rsidR="0023296F" w:rsidRDefault="0023296F">
      <w:pPr>
        <w:contextualSpacing/>
        <w:rPr>
          <w:rFonts w:ascii="Times New Roman" w:hAnsi="Times New Roman" w:cs="Times New Roman"/>
          <w:sz w:val="24"/>
        </w:rPr>
      </w:pPr>
    </w:p>
    <w:p w:rsidR="0023296F" w:rsidRDefault="00CC0514">
      <w:pPr>
        <w:spacing w:before="120" w:after="120"/>
        <w:contextualSpacing/>
        <w:rPr>
          <w:rFonts w:ascii="Times New Roman" w:hAnsi="Times New Roman" w:cs="Times New Roman"/>
          <w:b/>
          <w:sz w:val="24"/>
        </w:rPr>
      </w:pPr>
      <w:r>
        <w:rPr>
          <w:rFonts w:ascii="Times New Roman" w:hAnsi="Times New Roman" w:cs="Times New Roman"/>
          <w:b/>
          <w:sz w:val="24"/>
        </w:rPr>
        <w:t>Conclusion</w:t>
      </w:r>
    </w:p>
    <w:p w:rsidR="0023296F" w:rsidRDefault="0023296F">
      <w:pPr>
        <w:spacing w:before="120" w:after="120"/>
        <w:contextualSpacing/>
        <w:rPr>
          <w:rFonts w:ascii="Times New Roman" w:hAnsi="Times New Roman" w:cs="Times New Roman"/>
          <w:b/>
          <w:sz w:val="24"/>
        </w:rPr>
      </w:pPr>
    </w:p>
    <w:p w:rsidR="0023296F" w:rsidRDefault="00CC0514">
      <w:pPr>
        <w:spacing w:before="120" w:after="120"/>
        <w:contextualSpacing/>
        <w:rPr>
          <w:rFonts w:ascii="Times New Roman" w:hAnsi="Times New Roman" w:cs="Times New Roman"/>
          <w:sz w:val="24"/>
        </w:rPr>
      </w:pPr>
      <w:r>
        <w:rPr>
          <w:rFonts w:ascii="Times New Roman" w:hAnsi="Times New Roman" w:cs="Times New Roman"/>
          <w:sz w:val="24"/>
        </w:rPr>
        <w:t>This Legislative Instrument is compatible with human rights as it does not raise any human rights issues.</w:t>
      </w:r>
    </w:p>
    <w:p w:rsidR="0023296F" w:rsidRDefault="0023296F">
      <w:pPr>
        <w:spacing w:before="120" w:after="120"/>
        <w:contextualSpacing/>
        <w:rPr>
          <w:rFonts w:ascii="Times New Roman" w:hAnsi="Times New Roman" w:cs="Times New Roman"/>
          <w:sz w:val="24"/>
        </w:rPr>
      </w:pPr>
    </w:p>
    <w:p w:rsidR="0023296F" w:rsidRDefault="0023296F">
      <w:pPr>
        <w:spacing w:before="120" w:after="120"/>
        <w:contextualSpacing/>
        <w:rPr>
          <w:rFonts w:ascii="Times New Roman" w:hAnsi="Times New Roman" w:cs="Times New Roman"/>
          <w:sz w:val="24"/>
        </w:rPr>
      </w:pPr>
    </w:p>
    <w:p w:rsidR="0023296F" w:rsidRDefault="00CC0514">
      <w:pPr>
        <w:contextualSpacing/>
        <w:jc w:val="center"/>
        <w:rPr>
          <w:rFonts w:ascii="Times New Roman" w:hAnsi="Times New Roman" w:cs="Times New Roman"/>
          <w:b/>
          <w:sz w:val="24"/>
        </w:rPr>
      </w:pPr>
      <w:r>
        <w:rPr>
          <w:rFonts w:ascii="Times New Roman" w:hAnsi="Times New Roman" w:cs="Times New Roman"/>
          <w:b/>
          <w:sz w:val="24"/>
        </w:rPr>
        <w:t>The Hon. Barnaby Joyce MP</w:t>
      </w:r>
    </w:p>
    <w:p w:rsidR="0023296F" w:rsidRDefault="00CC0514">
      <w:pPr>
        <w:jc w:val="center"/>
        <w:rPr>
          <w:rFonts w:ascii="Times New Roman" w:hAnsi="Times New Roman"/>
          <w:b/>
          <w:bCs/>
          <w:sz w:val="24"/>
        </w:rPr>
      </w:pPr>
      <w:r>
        <w:rPr>
          <w:rFonts w:ascii="Times New Roman" w:hAnsi="Times New Roman"/>
          <w:b/>
          <w:bCs/>
          <w:sz w:val="24"/>
        </w:rPr>
        <w:t>Minister for Agriculture</w:t>
      </w:r>
    </w:p>
    <w:p w:rsidR="0023296F" w:rsidRDefault="0023296F">
      <w:pPr>
        <w:rPr>
          <w:rFonts w:ascii="Times New Roman" w:eastAsia="Times New Roman" w:hAnsi="Times New Roman" w:cs="Times New Roman"/>
          <w:bCs/>
          <w:sz w:val="24"/>
          <w:lang w:eastAsia="en-AU"/>
        </w:rPr>
      </w:pPr>
    </w:p>
    <w:sectPr w:rsidR="0023296F" w:rsidSect="0023296F">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031" w:rsidRDefault="007E7031">
      <w:r>
        <w:separator/>
      </w:r>
    </w:p>
  </w:endnote>
  <w:endnote w:type="continuationSeparator" w:id="0">
    <w:p w:rsidR="007E7031" w:rsidRDefault="007E7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7296"/>
      <w:docPartObj>
        <w:docPartGallery w:val="Page Numbers (Bottom of Page)"/>
        <w:docPartUnique/>
      </w:docPartObj>
    </w:sdtPr>
    <w:sdtContent>
      <w:p w:rsidR="007E7031" w:rsidRDefault="001E6955">
        <w:pPr>
          <w:pStyle w:val="Footer"/>
          <w:jc w:val="center"/>
        </w:pPr>
        <w:r>
          <w:rPr>
            <w:rFonts w:ascii="Times New Roman" w:hAnsi="Times New Roman" w:cs="Times New Roman"/>
          </w:rPr>
          <w:fldChar w:fldCharType="begin"/>
        </w:r>
        <w:r w:rsidR="007E7031">
          <w:rPr>
            <w:rFonts w:ascii="Times New Roman" w:hAnsi="Times New Roman" w:cs="Times New Roman"/>
          </w:rPr>
          <w:instrText xml:space="preserve"> PAGE   \* MERGEFORMAT </w:instrText>
        </w:r>
        <w:r>
          <w:rPr>
            <w:rFonts w:ascii="Times New Roman" w:hAnsi="Times New Roman" w:cs="Times New Roman"/>
          </w:rPr>
          <w:fldChar w:fldCharType="separate"/>
        </w:r>
        <w:r w:rsidR="00D8244D">
          <w:rPr>
            <w:rFonts w:ascii="Times New Roman" w:hAnsi="Times New Roman" w:cs="Times New Roman"/>
            <w:noProof/>
          </w:rPr>
          <w:t>3</w:t>
        </w:r>
        <w:r>
          <w:rPr>
            <w:rFonts w:ascii="Times New Roman" w:hAnsi="Times New Roman" w:cs="Times New Roman"/>
          </w:rPr>
          <w:fldChar w:fldCharType="end"/>
        </w:r>
      </w:p>
    </w:sdtContent>
  </w:sdt>
  <w:p w:rsidR="007E7031" w:rsidRDefault="007E70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031" w:rsidRDefault="007E7031">
      <w:r>
        <w:separator/>
      </w:r>
    </w:p>
  </w:footnote>
  <w:footnote w:type="continuationSeparator" w:id="0">
    <w:p w:rsidR="007E7031" w:rsidRDefault="007E70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B0101"/>
    <w:multiLevelType w:val="hybridMultilevel"/>
    <w:tmpl w:val="5ECE61D6"/>
    <w:lvl w:ilvl="0" w:tplc="F496D2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5960BC6"/>
    <w:multiLevelType w:val="hybridMultilevel"/>
    <w:tmpl w:val="9F1A3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6D348DE"/>
    <w:multiLevelType w:val="hybridMultilevel"/>
    <w:tmpl w:val="4BAC52CA"/>
    <w:lvl w:ilvl="0" w:tplc="53D8FB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3296F"/>
    <w:rsid w:val="00070967"/>
    <w:rsid w:val="0011170E"/>
    <w:rsid w:val="00131977"/>
    <w:rsid w:val="00191007"/>
    <w:rsid w:val="001E6955"/>
    <w:rsid w:val="0023296F"/>
    <w:rsid w:val="00370C90"/>
    <w:rsid w:val="005304AC"/>
    <w:rsid w:val="00531B20"/>
    <w:rsid w:val="005F4827"/>
    <w:rsid w:val="005F7958"/>
    <w:rsid w:val="006E38DF"/>
    <w:rsid w:val="007E7031"/>
    <w:rsid w:val="00814FC1"/>
    <w:rsid w:val="00900F25"/>
    <w:rsid w:val="009533A1"/>
    <w:rsid w:val="00957906"/>
    <w:rsid w:val="009F4A72"/>
    <w:rsid w:val="00A66C4E"/>
    <w:rsid w:val="00A82269"/>
    <w:rsid w:val="00B215BB"/>
    <w:rsid w:val="00C1371B"/>
    <w:rsid w:val="00C373D3"/>
    <w:rsid w:val="00C7381C"/>
    <w:rsid w:val="00CC0514"/>
    <w:rsid w:val="00D74DA5"/>
    <w:rsid w:val="00D8244D"/>
    <w:rsid w:val="00EA192A"/>
    <w:rsid w:val="00FA12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296F"/>
    <w:rPr>
      <w:rFonts w:asciiTheme="minorHAnsi" w:eastAsiaTheme="minorEastAsia" w:hAnsiTheme="minorHAnsi" w:cstheme="minorBid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96F"/>
    <w:pPr>
      <w:ind w:left="720"/>
      <w:contextualSpacing/>
    </w:pPr>
  </w:style>
  <w:style w:type="paragraph" w:styleId="Header">
    <w:name w:val="header"/>
    <w:basedOn w:val="Normal"/>
    <w:link w:val="HeaderChar"/>
    <w:rsid w:val="0023296F"/>
    <w:pPr>
      <w:tabs>
        <w:tab w:val="center" w:pos="4513"/>
        <w:tab w:val="right" w:pos="9026"/>
      </w:tabs>
    </w:pPr>
  </w:style>
  <w:style w:type="character" w:customStyle="1" w:styleId="HeaderChar">
    <w:name w:val="Header Char"/>
    <w:basedOn w:val="DefaultParagraphFont"/>
    <w:link w:val="Header"/>
    <w:rsid w:val="0023296F"/>
    <w:rPr>
      <w:rFonts w:asciiTheme="minorHAnsi" w:eastAsiaTheme="minorEastAsia" w:hAnsiTheme="minorHAnsi" w:cstheme="minorBidi"/>
      <w:sz w:val="22"/>
      <w:szCs w:val="24"/>
      <w:lang w:eastAsia="en-US"/>
    </w:rPr>
  </w:style>
  <w:style w:type="paragraph" w:styleId="Footer">
    <w:name w:val="footer"/>
    <w:basedOn w:val="Normal"/>
    <w:link w:val="FooterChar"/>
    <w:uiPriority w:val="99"/>
    <w:rsid w:val="0023296F"/>
    <w:pPr>
      <w:tabs>
        <w:tab w:val="center" w:pos="4513"/>
        <w:tab w:val="right" w:pos="9026"/>
      </w:tabs>
    </w:pPr>
  </w:style>
  <w:style w:type="character" w:customStyle="1" w:styleId="FooterChar">
    <w:name w:val="Footer Char"/>
    <w:basedOn w:val="DefaultParagraphFont"/>
    <w:link w:val="Footer"/>
    <w:uiPriority w:val="99"/>
    <w:rsid w:val="0023296F"/>
    <w:rPr>
      <w:rFonts w:asciiTheme="minorHAnsi" w:eastAsiaTheme="minorEastAsia" w:hAnsiTheme="minorHAnsi" w:cstheme="minorBidi"/>
      <w:sz w:val="22"/>
      <w:szCs w:val="24"/>
      <w:lang w:eastAsia="en-US"/>
    </w:rPr>
  </w:style>
  <w:style w:type="character" w:styleId="CommentReference">
    <w:name w:val="annotation reference"/>
    <w:basedOn w:val="DefaultParagraphFont"/>
    <w:rsid w:val="0023296F"/>
    <w:rPr>
      <w:sz w:val="16"/>
      <w:szCs w:val="16"/>
    </w:rPr>
  </w:style>
  <w:style w:type="paragraph" w:styleId="CommentText">
    <w:name w:val="annotation text"/>
    <w:basedOn w:val="Normal"/>
    <w:link w:val="CommentTextChar"/>
    <w:rsid w:val="0023296F"/>
    <w:rPr>
      <w:sz w:val="20"/>
      <w:szCs w:val="20"/>
    </w:rPr>
  </w:style>
  <w:style w:type="character" w:customStyle="1" w:styleId="CommentTextChar">
    <w:name w:val="Comment Text Char"/>
    <w:basedOn w:val="DefaultParagraphFont"/>
    <w:link w:val="CommentText"/>
    <w:rsid w:val="0023296F"/>
    <w:rPr>
      <w:rFonts w:asciiTheme="minorHAnsi" w:eastAsiaTheme="minorEastAsia" w:hAnsiTheme="minorHAnsi" w:cstheme="minorBidi"/>
      <w:lang w:eastAsia="en-US"/>
    </w:rPr>
  </w:style>
  <w:style w:type="paragraph" w:styleId="CommentSubject">
    <w:name w:val="annotation subject"/>
    <w:basedOn w:val="CommentText"/>
    <w:next w:val="CommentText"/>
    <w:link w:val="CommentSubjectChar"/>
    <w:rsid w:val="0023296F"/>
    <w:rPr>
      <w:b/>
      <w:bCs/>
    </w:rPr>
  </w:style>
  <w:style w:type="character" w:customStyle="1" w:styleId="CommentSubjectChar">
    <w:name w:val="Comment Subject Char"/>
    <w:basedOn w:val="CommentTextChar"/>
    <w:link w:val="CommentSubject"/>
    <w:rsid w:val="0023296F"/>
    <w:rPr>
      <w:b/>
      <w:bCs/>
    </w:rPr>
  </w:style>
  <w:style w:type="paragraph" w:styleId="BalloonText">
    <w:name w:val="Balloon Text"/>
    <w:basedOn w:val="Normal"/>
    <w:link w:val="BalloonTextChar"/>
    <w:rsid w:val="0023296F"/>
    <w:rPr>
      <w:rFonts w:ascii="Tahoma" w:hAnsi="Tahoma" w:cs="Tahoma"/>
      <w:sz w:val="16"/>
      <w:szCs w:val="16"/>
    </w:rPr>
  </w:style>
  <w:style w:type="character" w:customStyle="1" w:styleId="BalloonTextChar">
    <w:name w:val="Balloon Text Char"/>
    <w:basedOn w:val="DefaultParagraphFont"/>
    <w:link w:val="BalloonText"/>
    <w:rsid w:val="0023296F"/>
    <w:rPr>
      <w:rFonts w:ascii="Tahoma" w:eastAsiaTheme="minorEastAsi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865A0-BFAF-4717-9A21-B79AD09B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766</Words>
  <Characters>4249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Lockley</dc:creator>
  <cp:lastModifiedBy>Nigel Pinto</cp:lastModifiedBy>
  <cp:revision>8</cp:revision>
  <cp:lastPrinted>2013-12-04T01:08:00Z</cp:lastPrinted>
  <dcterms:created xsi:type="dcterms:W3CDTF">2013-11-01T04:34:00Z</dcterms:created>
  <dcterms:modified xsi:type="dcterms:W3CDTF">2013-12-04T01:10:00Z</dcterms:modified>
</cp:coreProperties>
</file>