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F48" w:rsidRPr="00A27335" w:rsidRDefault="00BA4F48" w:rsidP="00BA4F48">
      <w:pPr>
        <w:tabs>
          <w:tab w:val="left" w:pos="900"/>
        </w:tabs>
      </w:pPr>
    </w:p>
    <w:p w:rsidR="00BA4F48" w:rsidRPr="00A27335" w:rsidRDefault="00BA4F48" w:rsidP="00BA4F48">
      <w:pPr>
        <w:tabs>
          <w:tab w:val="left" w:pos="900"/>
        </w:tabs>
        <w:jc w:val="center"/>
      </w:pPr>
    </w:p>
    <w:p w:rsidR="00BA4F48" w:rsidRPr="00A27335" w:rsidRDefault="00BA4F48" w:rsidP="00BA4F48">
      <w:pPr>
        <w:tabs>
          <w:tab w:val="left" w:pos="900"/>
        </w:tabs>
        <w:jc w:val="center"/>
      </w:pPr>
    </w:p>
    <w:p w:rsidR="00BA4F48" w:rsidRPr="00370FED" w:rsidRDefault="00BA4F48" w:rsidP="00BA4F48">
      <w:pPr>
        <w:pStyle w:val="ADRTitle"/>
        <w:tabs>
          <w:tab w:val="left" w:pos="900"/>
        </w:tabs>
        <w:jc w:val="center"/>
        <w:rPr>
          <w:szCs w:val="40"/>
        </w:rPr>
      </w:pPr>
      <w:r w:rsidRPr="00370FED">
        <w:rPr>
          <w:szCs w:val="40"/>
        </w:rPr>
        <w:t>Vehicle Standard (</w:t>
      </w:r>
      <w:r w:rsidR="00F74E8C" w:rsidRPr="00370FED">
        <w:rPr>
          <w:szCs w:val="40"/>
        </w:rPr>
        <w:t>Australian Design Rule </w:t>
      </w:r>
      <w:r w:rsidR="00174399" w:rsidRPr="00370FED">
        <w:rPr>
          <w:szCs w:val="40"/>
        </w:rPr>
        <w:t>38</w:t>
      </w:r>
      <w:r w:rsidR="00F74E8C" w:rsidRPr="00370FED">
        <w:rPr>
          <w:szCs w:val="40"/>
        </w:rPr>
        <w:t xml:space="preserve">/04 – </w:t>
      </w:r>
      <w:r w:rsidR="00174399" w:rsidRPr="00370FED">
        <w:rPr>
          <w:szCs w:val="40"/>
        </w:rPr>
        <w:t>Trailer</w:t>
      </w:r>
      <w:r w:rsidR="00F74E8C" w:rsidRPr="00370FED">
        <w:rPr>
          <w:szCs w:val="40"/>
        </w:rPr>
        <w:t xml:space="preserve"> Brake Systems</w:t>
      </w:r>
      <w:r w:rsidR="00EC6915" w:rsidRPr="00370FED">
        <w:rPr>
          <w:szCs w:val="40"/>
        </w:rPr>
        <w:t xml:space="preserve">) </w:t>
      </w:r>
      <w:r w:rsidR="009E6091" w:rsidRPr="00370FED">
        <w:rPr>
          <w:szCs w:val="40"/>
        </w:rPr>
        <w:t>2013</w:t>
      </w:r>
    </w:p>
    <w:p w:rsidR="00BA4F48" w:rsidRPr="00CA7971" w:rsidRDefault="00BA4F48" w:rsidP="00BA4F48">
      <w:pPr>
        <w:tabs>
          <w:tab w:val="left" w:pos="900"/>
        </w:tabs>
      </w:pPr>
    </w:p>
    <w:p w:rsidR="00485E16" w:rsidRPr="00CA7971" w:rsidRDefault="00485E16"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jc w:val="center"/>
      </w:pPr>
      <w:r w:rsidRPr="00CA7971">
        <w:t xml:space="preserve">Made under section 7 of the </w:t>
      </w:r>
      <w:r w:rsidRPr="00B97E32">
        <w:rPr>
          <w:i/>
        </w:rPr>
        <w:t>Motor Vehicle Standards Act 1989</w:t>
      </w: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pStyle w:val="ADRTitle"/>
        <w:tabs>
          <w:tab w:val="left" w:pos="900"/>
        </w:tabs>
        <w:jc w:val="center"/>
      </w:pPr>
      <w:r w:rsidRPr="00CA7971">
        <w:t>Explanatory Statement</w:t>
      </w:r>
    </w:p>
    <w:p w:rsidR="00BA4F48" w:rsidRPr="00CA7971" w:rsidRDefault="00BA4F48" w:rsidP="00BA4F48">
      <w:pPr>
        <w:tabs>
          <w:tab w:val="left" w:pos="900"/>
        </w:tabs>
      </w:pPr>
      <w:bookmarkStart w:id="0" w:name="_GoBack"/>
      <w:bookmarkEnd w:id="0"/>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jc w:val="center"/>
      </w:pPr>
      <w:r w:rsidRPr="00CA7971">
        <w:t xml:space="preserve">Issued by the authority of the </w:t>
      </w:r>
      <w:r w:rsidR="00E8388B">
        <w:t xml:space="preserve">Assistant </w:t>
      </w:r>
      <w:r w:rsidR="008C0815" w:rsidRPr="00CA7971">
        <w:t xml:space="preserve">Minister for </w:t>
      </w:r>
      <w:r w:rsidR="00174399">
        <w:t>Infrastructure and Regional Development</w:t>
      </w: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E8388B" w:rsidP="00BA4F48">
      <w:pPr>
        <w:pStyle w:val="ADRTitle"/>
        <w:tabs>
          <w:tab w:val="left" w:pos="900"/>
        </w:tabs>
        <w:jc w:val="center"/>
      </w:pPr>
      <w:r>
        <w:t>December</w:t>
      </w:r>
      <w:r w:rsidR="00BA233E" w:rsidRPr="00CA7971">
        <w:t xml:space="preserve"> </w:t>
      </w:r>
      <w:r w:rsidR="0028346B" w:rsidRPr="00CA7971">
        <w:t>2013</w:t>
      </w:r>
    </w:p>
    <w:p w:rsidR="00BA4F48" w:rsidRPr="00CA7971" w:rsidRDefault="00BA4F48" w:rsidP="00BA4F48">
      <w:pPr>
        <w:tabs>
          <w:tab w:val="left" w:pos="900"/>
        </w:tabs>
      </w:pPr>
    </w:p>
    <w:p w:rsidR="00BA4F48" w:rsidRPr="00CA7971" w:rsidRDefault="00BA4F48" w:rsidP="0028346B">
      <w:pPr>
        <w:tabs>
          <w:tab w:val="left" w:pos="900"/>
        </w:tabs>
      </w:pPr>
    </w:p>
    <w:p w:rsidR="00BA4F48" w:rsidRPr="00CA7971" w:rsidRDefault="00A27335" w:rsidP="00BA4F48">
      <w:pPr>
        <w:tabs>
          <w:tab w:val="left" w:pos="900"/>
        </w:tabs>
        <w:jc w:val="center"/>
        <w:rPr>
          <w:b/>
        </w:rPr>
      </w:pPr>
      <w:r w:rsidRPr="00CA7971">
        <w:rPr>
          <w:b/>
        </w:rPr>
        <w:br w:type="page"/>
      </w:r>
      <w:r w:rsidR="00BA4F48" w:rsidRPr="00CA7971">
        <w:rPr>
          <w:b/>
        </w:rPr>
        <w:lastRenderedPageBreak/>
        <w:t>CONTENTS</w:t>
      </w:r>
    </w:p>
    <w:p w:rsidR="00BA4F48" w:rsidRPr="00CA7971" w:rsidRDefault="00BA4F48" w:rsidP="00BA4F48">
      <w:pPr>
        <w:tabs>
          <w:tab w:val="left" w:pos="900"/>
        </w:tabs>
        <w:rPr>
          <w:b/>
        </w:rPr>
      </w:pPr>
    </w:p>
    <w:p w:rsidR="003A3373" w:rsidRPr="00CA7971" w:rsidRDefault="003A3373" w:rsidP="003E56E7">
      <w:pPr>
        <w:pStyle w:val="TOC1"/>
        <w:rPr>
          <w:caps w:val="0"/>
          <w:noProof/>
        </w:rPr>
      </w:pPr>
      <w:r w:rsidRPr="00CA7971">
        <w:rPr>
          <w:noProof/>
        </w:rPr>
        <w:t>1.</w:t>
      </w:r>
      <w:r w:rsidRPr="00CA7971">
        <w:rPr>
          <w:caps w:val="0"/>
          <w:noProof/>
        </w:rPr>
        <w:tab/>
      </w:r>
      <w:r w:rsidRPr="00CA7971">
        <w:rPr>
          <w:noProof/>
        </w:rPr>
        <w:t>legislative context</w:t>
      </w:r>
      <w:r w:rsidRPr="00CA7971">
        <w:rPr>
          <w:noProof/>
        </w:rPr>
        <w:tab/>
      </w:r>
      <w:r w:rsidR="00D160C9" w:rsidRPr="00CA7971">
        <w:rPr>
          <w:noProof/>
        </w:rPr>
        <w:t>3</w:t>
      </w:r>
    </w:p>
    <w:p w:rsidR="003A3373" w:rsidRPr="00CA7971" w:rsidRDefault="003A3373" w:rsidP="003E56E7">
      <w:pPr>
        <w:pStyle w:val="TOC1"/>
        <w:rPr>
          <w:caps w:val="0"/>
          <w:noProof/>
        </w:rPr>
      </w:pPr>
      <w:r w:rsidRPr="00CA7971">
        <w:rPr>
          <w:rFonts w:cs="Arial"/>
          <w:noProof/>
        </w:rPr>
        <w:t>2.</w:t>
      </w:r>
      <w:r w:rsidRPr="00CA7971">
        <w:rPr>
          <w:caps w:val="0"/>
          <w:noProof/>
        </w:rPr>
        <w:tab/>
      </w:r>
      <w:r w:rsidR="008A4638" w:rsidRPr="00CA7971">
        <w:rPr>
          <w:noProof/>
        </w:rPr>
        <w:t xml:space="preserve">content and effect of ADR </w:t>
      </w:r>
      <w:r w:rsidR="00174399">
        <w:rPr>
          <w:noProof/>
        </w:rPr>
        <w:t>38/04</w:t>
      </w:r>
      <w:r w:rsidRPr="00CA7971">
        <w:rPr>
          <w:noProof/>
        </w:rPr>
        <w:tab/>
      </w:r>
      <w:r w:rsidR="00D160C9" w:rsidRPr="00CA7971">
        <w:rPr>
          <w:noProof/>
        </w:rPr>
        <w:t>3</w:t>
      </w:r>
    </w:p>
    <w:p w:rsidR="003A3373" w:rsidRPr="00CA7971" w:rsidRDefault="003A3373" w:rsidP="003E56E7">
      <w:pPr>
        <w:pStyle w:val="TOC2"/>
        <w:tabs>
          <w:tab w:val="left" w:pos="851"/>
          <w:tab w:val="right" w:leader="dot" w:pos="8494"/>
        </w:tabs>
        <w:spacing w:before="120" w:after="120"/>
        <w:rPr>
          <w:noProof/>
        </w:rPr>
      </w:pPr>
      <w:r w:rsidRPr="00CA7971">
        <w:rPr>
          <w:noProof/>
        </w:rPr>
        <w:t>2.1.</w:t>
      </w:r>
      <w:r w:rsidRPr="00CA7971">
        <w:rPr>
          <w:noProof/>
        </w:rPr>
        <w:tab/>
        <w:t>Overview of the ADR</w:t>
      </w:r>
      <w:r w:rsidRPr="00CA7971">
        <w:rPr>
          <w:noProof/>
        </w:rPr>
        <w:tab/>
      </w:r>
      <w:r w:rsidR="00D160C9" w:rsidRPr="00CA7971">
        <w:rPr>
          <w:noProof/>
        </w:rPr>
        <w:t>3</w:t>
      </w:r>
    </w:p>
    <w:p w:rsidR="003A3373" w:rsidRPr="00CA7971" w:rsidRDefault="003A3373" w:rsidP="003E56E7">
      <w:pPr>
        <w:pStyle w:val="TOC2"/>
        <w:tabs>
          <w:tab w:val="left" w:pos="851"/>
          <w:tab w:val="right" w:leader="dot" w:pos="8494"/>
        </w:tabs>
        <w:spacing w:before="120" w:after="120"/>
        <w:rPr>
          <w:noProof/>
        </w:rPr>
      </w:pPr>
      <w:r w:rsidRPr="00CA7971">
        <w:rPr>
          <w:noProof/>
        </w:rPr>
        <w:t>2.2.</w:t>
      </w:r>
      <w:r w:rsidRPr="00CA7971">
        <w:rPr>
          <w:noProof/>
        </w:rPr>
        <w:tab/>
      </w:r>
      <w:r w:rsidR="00785C95" w:rsidRPr="00CA7971">
        <w:rPr>
          <w:noProof/>
        </w:rPr>
        <w:t>Effect of</w:t>
      </w:r>
      <w:r w:rsidRPr="00CA7971">
        <w:rPr>
          <w:noProof/>
        </w:rPr>
        <w:t xml:space="preserve"> the ADR</w:t>
      </w:r>
      <w:r w:rsidRPr="00CA7971">
        <w:rPr>
          <w:noProof/>
        </w:rPr>
        <w:tab/>
      </w:r>
      <w:r w:rsidR="00D160C9" w:rsidRPr="00CA7971">
        <w:rPr>
          <w:noProof/>
        </w:rPr>
        <w:t>3</w:t>
      </w:r>
    </w:p>
    <w:p w:rsidR="003A3373" w:rsidRPr="00CA7971" w:rsidRDefault="003A3373" w:rsidP="003E56E7">
      <w:pPr>
        <w:pStyle w:val="TOC1"/>
        <w:rPr>
          <w:caps w:val="0"/>
          <w:noProof/>
        </w:rPr>
      </w:pPr>
      <w:r w:rsidRPr="00CA7971">
        <w:rPr>
          <w:noProof/>
        </w:rPr>
        <w:t>3.</w:t>
      </w:r>
      <w:r w:rsidRPr="00CA7971">
        <w:rPr>
          <w:caps w:val="0"/>
          <w:noProof/>
        </w:rPr>
        <w:tab/>
      </w:r>
      <w:r w:rsidRPr="00CA7971">
        <w:rPr>
          <w:noProof/>
        </w:rPr>
        <w:t>best practice regulation</w:t>
      </w:r>
      <w:r w:rsidRPr="00CA7971">
        <w:rPr>
          <w:noProof/>
        </w:rPr>
        <w:tab/>
      </w:r>
      <w:r w:rsidR="002F3EEF" w:rsidRPr="00CA7971">
        <w:rPr>
          <w:noProof/>
        </w:rPr>
        <w:t>4</w:t>
      </w:r>
    </w:p>
    <w:p w:rsidR="003A3373" w:rsidRPr="00CA7971" w:rsidRDefault="003A3373" w:rsidP="003E56E7">
      <w:pPr>
        <w:pStyle w:val="TOC2"/>
        <w:tabs>
          <w:tab w:val="left" w:pos="851"/>
          <w:tab w:val="right" w:leader="dot" w:pos="8494"/>
        </w:tabs>
        <w:spacing w:before="120" w:after="120"/>
        <w:rPr>
          <w:noProof/>
        </w:rPr>
      </w:pPr>
      <w:r w:rsidRPr="00CA7971">
        <w:rPr>
          <w:noProof/>
        </w:rPr>
        <w:t>3.1.</w:t>
      </w:r>
      <w:r w:rsidRPr="00CA7971">
        <w:rPr>
          <w:noProof/>
        </w:rPr>
        <w:tab/>
        <w:t>Business Cost Calculator</w:t>
      </w:r>
      <w:r w:rsidRPr="00CA7971">
        <w:rPr>
          <w:noProof/>
        </w:rPr>
        <w:tab/>
      </w:r>
      <w:r w:rsidR="002F3EEF" w:rsidRPr="00CA7971">
        <w:rPr>
          <w:noProof/>
        </w:rPr>
        <w:t>4</w:t>
      </w:r>
    </w:p>
    <w:p w:rsidR="003A3373" w:rsidRPr="00CA7971" w:rsidRDefault="003A3373" w:rsidP="003E56E7">
      <w:pPr>
        <w:pStyle w:val="TOC2"/>
        <w:tabs>
          <w:tab w:val="left" w:pos="851"/>
          <w:tab w:val="right" w:leader="dot" w:pos="8494"/>
        </w:tabs>
        <w:spacing w:before="120" w:after="120"/>
        <w:rPr>
          <w:noProof/>
        </w:rPr>
      </w:pPr>
      <w:r w:rsidRPr="00CA7971">
        <w:rPr>
          <w:noProof/>
        </w:rPr>
        <w:t>3.2.</w:t>
      </w:r>
      <w:r w:rsidRPr="00CA7971">
        <w:rPr>
          <w:noProof/>
        </w:rPr>
        <w:tab/>
        <w:t>General Consultation Arrangements</w:t>
      </w:r>
      <w:r w:rsidRPr="00CA7971">
        <w:rPr>
          <w:noProof/>
        </w:rPr>
        <w:tab/>
      </w:r>
      <w:r w:rsidR="002F3EEF" w:rsidRPr="00CA7971">
        <w:rPr>
          <w:noProof/>
        </w:rPr>
        <w:t>4</w:t>
      </w:r>
    </w:p>
    <w:p w:rsidR="003A3373" w:rsidRPr="00CA7971" w:rsidRDefault="003A3373" w:rsidP="003E56E7">
      <w:pPr>
        <w:pStyle w:val="TOC2"/>
        <w:tabs>
          <w:tab w:val="left" w:pos="851"/>
          <w:tab w:val="right" w:leader="dot" w:pos="8494"/>
        </w:tabs>
        <w:spacing w:before="120" w:after="120"/>
        <w:rPr>
          <w:noProof/>
        </w:rPr>
      </w:pPr>
      <w:r w:rsidRPr="00CA7971">
        <w:rPr>
          <w:noProof/>
        </w:rPr>
        <w:t>3.3.</w:t>
      </w:r>
      <w:r w:rsidRPr="00CA7971">
        <w:rPr>
          <w:noProof/>
        </w:rPr>
        <w:tab/>
        <w:t>Specific Consultation Arrangements for this Vehicle Standard</w:t>
      </w:r>
      <w:r w:rsidRPr="00CA7971">
        <w:rPr>
          <w:noProof/>
        </w:rPr>
        <w:tab/>
      </w:r>
      <w:r w:rsidR="002F3EEF" w:rsidRPr="00CA7971">
        <w:rPr>
          <w:noProof/>
        </w:rPr>
        <w:t>5</w:t>
      </w:r>
    </w:p>
    <w:p w:rsidR="003E56E7" w:rsidRPr="00CA7971" w:rsidRDefault="003E56E7" w:rsidP="003E56E7">
      <w:pPr>
        <w:pStyle w:val="TOC1"/>
        <w:rPr>
          <w:rFonts w:ascii="Calibri" w:hAnsi="Calibri"/>
          <w:caps w:val="0"/>
          <w:noProof/>
          <w:sz w:val="22"/>
          <w:szCs w:val="22"/>
        </w:rPr>
      </w:pPr>
      <w:r w:rsidRPr="00CA7971">
        <w:rPr>
          <w:rStyle w:val="Hyperlink"/>
          <w:noProof/>
          <w:color w:val="auto"/>
          <w:u w:val="none"/>
        </w:rPr>
        <w:t>4.</w:t>
      </w:r>
      <w:r w:rsidRPr="00CA7971">
        <w:rPr>
          <w:rFonts w:ascii="Calibri" w:hAnsi="Calibri"/>
          <w:caps w:val="0"/>
          <w:noProof/>
          <w:sz w:val="22"/>
          <w:szCs w:val="22"/>
        </w:rPr>
        <w:tab/>
      </w:r>
      <w:r w:rsidRPr="00CA7971">
        <w:rPr>
          <w:rStyle w:val="Hyperlink"/>
          <w:noProof/>
          <w:color w:val="auto"/>
          <w:u w:val="none"/>
        </w:rPr>
        <w:t>STATEMENT OF COMPATIBILITY WITH HUMAN RIGHTS</w:t>
      </w:r>
      <w:r w:rsidRPr="00CA7971">
        <w:rPr>
          <w:noProof/>
          <w:webHidden/>
        </w:rPr>
        <w:tab/>
        <w:t>5</w:t>
      </w:r>
    </w:p>
    <w:p w:rsidR="003E56E7" w:rsidRPr="00CA7971" w:rsidRDefault="003E56E7" w:rsidP="003E56E7">
      <w:pPr>
        <w:pStyle w:val="TOC2"/>
        <w:tabs>
          <w:tab w:val="left" w:pos="851"/>
          <w:tab w:val="right" w:leader="dot" w:pos="8494"/>
        </w:tabs>
        <w:spacing w:before="120" w:after="120"/>
        <w:rPr>
          <w:rFonts w:ascii="Calibri" w:hAnsi="Calibri"/>
          <w:noProof/>
          <w:sz w:val="22"/>
          <w:szCs w:val="22"/>
        </w:rPr>
      </w:pPr>
      <w:r w:rsidRPr="00CA7971">
        <w:rPr>
          <w:rStyle w:val="Hyperlink"/>
          <w:noProof/>
          <w:color w:val="auto"/>
          <w:u w:val="none"/>
        </w:rPr>
        <w:t>4.1.</w:t>
      </w:r>
      <w:r w:rsidRPr="00CA7971">
        <w:rPr>
          <w:rFonts w:ascii="Calibri" w:hAnsi="Calibri"/>
          <w:noProof/>
          <w:sz w:val="22"/>
          <w:szCs w:val="22"/>
        </w:rPr>
        <w:tab/>
      </w:r>
      <w:r w:rsidRPr="00CA7971">
        <w:rPr>
          <w:rStyle w:val="Hyperlink"/>
          <w:noProof/>
          <w:color w:val="auto"/>
          <w:u w:val="none"/>
        </w:rPr>
        <w:t>Overview of the Legislative Instrument</w:t>
      </w:r>
      <w:r w:rsidRPr="00CA7971">
        <w:rPr>
          <w:noProof/>
          <w:webHidden/>
        </w:rPr>
        <w:tab/>
        <w:t>5</w:t>
      </w:r>
    </w:p>
    <w:p w:rsidR="003E56E7" w:rsidRPr="00CA7971" w:rsidRDefault="003E56E7" w:rsidP="003E56E7">
      <w:pPr>
        <w:pStyle w:val="TOC2"/>
        <w:tabs>
          <w:tab w:val="left" w:pos="851"/>
          <w:tab w:val="right" w:leader="dot" w:pos="8494"/>
        </w:tabs>
        <w:spacing w:before="120" w:after="120"/>
        <w:rPr>
          <w:rFonts w:ascii="Calibri" w:hAnsi="Calibri"/>
          <w:noProof/>
          <w:sz w:val="22"/>
          <w:szCs w:val="22"/>
        </w:rPr>
      </w:pPr>
      <w:r w:rsidRPr="00CA7971">
        <w:rPr>
          <w:rStyle w:val="Hyperlink"/>
          <w:noProof/>
          <w:color w:val="auto"/>
          <w:u w:val="none"/>
        </w:rPr>
        <w:t>4.2.</w:t>
      </w:r>
      <w:r w:rsidRPr="00CA7971">
        <w:rPr>
          <w:rFonts w:ascii="Calibri" w:hAnsi="Calibri"/>
          <w:noProof/>
          <w:sz w:val="22"/>
          <w:szCs w:val="22"/>
        </w:rPr>
        <w:tab/>
      </w:r>
      <w:r w:rsidRPr="00CA7971">
        <w:rPr>
          <w:rStyle w:val="Hyperlink"/>
          <w:noProof/>
          <w:color w:val="auto"/>
          <w:u w:val="none"/>
        </w:rPr>
        <w:t>Human Rights Implications</w:t>
      </w:r>
      <w:r w:rsidRPr="00CA7971">
        <w:rPr>
          <w:noProof/>
          <w:webHidden/>
        </w:rPr>
        <w:tab/>
        <w:t>5</w:t>
      </w:r>
    </w:p>
    <w:p w:rsidR="003E56E7" w:rsidRPr="00CA7971" w:rsidRDefault="003E56E7" w:rsidP="003E56E7">
      <w:pPr>
        <w:pStyle w:val="TOC2"/>
        <w:tabs>
          <w:tab w:val="left" w:pos="851"/>
          <w:tab w:val="right" w:leader="dot" w:pos="8494"/>
        </w:tabs>
        <w:spacing w:before="120" w:after="120"/>
        <w:rPr>
          <w:rFonts w:ascii="Calibri" w:hAnsi="Calibri"/>
          <w:noProof/>
          <w:sz w:val="22"/>
          <w:szCs w:val="22"/>
        </w:rPr>
      </w:pPr>
      <w:r w:rsidRPr="00CA7971">
        <w:rPr>
          <w:rStyle w:val="Hyperlink"/>
          <w:noProof/>
          <w:color w:val="auto"/>
          <w:u w:val="none"/>
        </w:rPr>
        <w:t>4.3.</w:t>
      </w:r>
      <w:r w:rsidRPr="00CA7971">
        <w:rPr>
          <w:rFonts w:ascii="Calibri" w:hAnsi="Calibri"/>
          <w:noProof/>
          <w:sz w:val="22"/>
          <w:szCs w:val="22"/>
        </w:rPr>
        <w:tab/>
      </w:r>
      <w:r w:rsidRPr="00CA7971">
        <w:rPr>
          <w:rStyle w:val="Hyperlink"/>
          <w:noProof/>
          <w:color w:val="auto"/>
          <w:u w:val="none"/>
        </w:rPr>
        <w:t>Conclusion</w:t>
      </w:r>
      <w:r w:rsidRPr="00CA7971">
        <w:rPr>
          <w:noProof/>
          <w:webHidden/>
        </w:rPr>
        <w:tab/>
        <w:t>5</w:t>
      </w:r>
    </w:p>
    <w:p w:rsidR="003E56E7" w:rsidRPr="00CA7971" w:rsidRDefault="003E56E7" w:rsidP="003E56E7"/>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C56213">
      <w:pPr>
        <w:tabs>
          <w:tab w:val="left" w:pos="222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tabs>
          <w:tab w:val="left" w:pos="900"/>
        </w:tabs>
      </w:pPr>
    </w:p>
    <w:p w:rsidR="00BA4F48" w:rsidRPr="00CA7971" w:rsidRDefault="00BA4F48" w:rsidP="00BA4F48">
      <w:pPr>
        <w:pStyle w:val="MainHeadding"/>
        <w:tabs>
          <w:tab w:val="left" w:pos="900"/>
        </w:tabs>
      </w:pPr>
      <w:r w:rsidRPr="00CA7971">
        <w:rPr>
          <w:color w:val="3366FF"/>
        </w:rPr>
        <w:br w:type="page"/>
      </w:r>
      <w:bookmarkStart w:id="1" w:name="_Toc167864611"/>
      <w:r w:rsidRPr="00CA7971">
        <w:lastRenderedPageBreak/>
        <w:t>legislative context</w:t>
      </w:r>
      <w:bookmarkEnd w:id="1"/>
    </w:p>
    <w:p w:rsidR="003F01D5" w:rsidRPr="00CA7971" w:rsidRDefault="00EC6915" w:rsidP="003F01D5">
      <w:pPr>
        <w:spacing w:after="240"/>
        <w:rPr>
          <w:rFonts w:cs="Arial"/>
          <w:i/>
        </w:rPr>
      </w:pPr>
      <w:r w:rsidRPr="00B97E32">
        <w:rPr>
          <w:rFonts w:cs="Arial"/>
        </w:rPr>
        <w:t>Vehicle Standard (</w:t>
      </w:r>
      <w:r w:rsidR="00F74E8C" w:rsidRPr="00B97E32">
        <w:rPr>
          <w:rFonts w:cs="Arial"/>
        </w:rPr>
        <w:t>Australian Design Rule </w:t>
      </w:r>
      <w:r w:rsidR="00174399" w:rsidRPr="00B97E32">
        <w:rPr>
          <w:rFonts w:cs="Arial"/>
        </w:rPr>
        <w:t>38/04</w:t>
      </w:r>
      <w:r w:rsidRPr="00B97E32">
        <w:rPr>
          <w:rFonts w:cs="Arial"/>
        </w:rPr>
        <w:t xml:space="preserve"> – </w:t>
      </w:r>
      <w:r w:rsidR="00174399" w:rsidRPr="00B97E32">
        <w:rPr>
          <w:rFonts w:cs="Arial"/>
        </w:rPr>
        <w:t>Trailer Brake Systems</w:t>
      </w:r>
      <w:r w:rsidRPr="00B97E32">
        <w:rPr>
          <w:rFonts w:cs="Arial"/>
        </w:rPr>
        <w:t>) 20</w:t>
      </w:r>
      <w:r w:rsidR="007D671C" w:rsidRPr="00B97E32">
        <w:rPr>
          <w:rFonts w:cs="Arial"/>
        </w:rPr>
        <w:t>13</w:t>
      </w:r>
      <w:r w:rsidRPr="00B97E32">
        <w:rPr>
          <w:rFonts w:cs="Arial"/>
        </w:rPr>
        <w:t xml:space="preserve"> </w:t>
      </w:r>
      <w:r w:rsidR="003F01D5" w:rsidRPr="00B97E32">
        <w:rPr>
          <w:rFonts w:cs="Arial"/>
        </w:rPr>
        <w:t>is</w:t>
      </w:r>
      <w:r w:rsidR="003F01D5" w:rsidRPr="00CA7971">
        <w:rPr>
          <w:rFonts w:cs="Arial"/>
        </w:rPr>
        <w:t xml:space="preserve"> made under the </w:t>
      </w:r>
      <w:r w:rsidR="003F01D5" w:rsidRPr="00CA7971">
        <w:rPr>
          <w:rFonts w:cs="Arial"/>
          <w:i/>
        </w:rPr>
        <w:t>Motor Vehicle Standards Act 1989</w:t>
      </w:r>
      <w:r w:rsidR="003F01D5" w:rsidRPr="00CA7971">
        <w:rPr>
          <w:rFonts w:cs="Arial"/>
        </w:rPr>
        <w:t xml:space="preserve"> (the Act).  </w:t>
      </w:r>
      <w:r w:rsidR="00373A7D" w:rsidRPr="00CA7971">
        <w:rPr>
          <w:rFonts w:cs="Arial"/>
        </w:rPr>
        <w:t>The Act enables the Australian Government to establish nationally uniform standards that apply to new road vehicles when they are first supplied to the market in Australia.  The Act applies to such vehicles whether they are manufactured in Australia or imported.</w:t>
      </w:r>
    </w:p>
    <w:p w:rsidR="003F01D5" w:rsidRPr="00CA7971" w:rsidRDefault="003F01D5" w:rsidP="003F01D5">
      <w:pPr>
        <w:pStyle w:val="StyledotArialLeft0cmFirstline0cmAfter12pt"/>
      </w:pPr>
      <w:r w:rsidRPr="00CA7971">
        <w:t>The making of the vehicle standards necessary for the Act's effective operation is provided for in section 7 which empowers the Minister to "determine vehicle standards for road vehicles or vehicle components".</w:t>
      </w:r>
    </w:p>
    <w:p w:rsidR="003F01D5" w:rsidRDefault="00EC6915" w:rsidP="00BA233E">
      <w:pPr>
        <w:spacing w:after="240"/>
        <w:rPr>
          <w:rFonts w:cs="Arial"/>
        </w:rPr>
      </w:pPr>
      <w:r w:rsidRPr="00CA7971">
        <w:t>Vehicle Standa</w:t>
      </w:r>
      <w:r w:rsidR="00F14473" w:rsidRPr="00CA7971">
        <w:t>rd (Australian Design Rule </w:t>
      </w:r>
      <w:r w:rsidR="00174399">
        <w:t>38/04</w:t>
      </w:r>
      <w:r w:rsidRPr="00CA7971">
        <w:t xml:space="preserve"> – </w:t>
      </w:r>
      <w:r w:rsidR="00174399">
        <w:t>Trailer Brake Systems</w:t>
      </w:r>
      <w:r w:rsidR="00F14473" w:rsidRPr="00CA7971">
        <w:t>) 2013</w:t>
      </w:r>
      <w:r w:rsidRPr="00CA7971">
        <w:t xml:space="preserve"> </w:t>
      </w:r>
      <w:r w:rsidR="003F01D5" w:rsidRPr="00CA7971">
        <w:t>(</w:t>
      </w:r>
      <w:r w:rsidRPr="00CA7971">
        <w:t xml:space="preserve">ADR </w:t>
      </w:r>
      <w:r w:rsidR="00174399">
        <w:t>38/04</w:t>
      </w:r>
      <w:r w:rsidR="003F01D5" w:rsidRPr="00CA7971">
        <w:t>) is being made to replace</w:t>
      </w:r>
      <w:r w:rsidR="003F01D5" w:rsidRPr="00CA7971">
        <w:rPr>
          <w:rFonts w:cs="Arial"/>
        </w:rPr>
        <w:t xml:space="preserve"> </w:t>
      </w:r>
      <w:r w:rsidRPr="00CA7971">
        <w:t>Vehicle Standard (Australian Design Rule 3</w:t>
      </w:r>
      <w:r w:rsidR="00174399">
        <w:t>8</w:t>
      </w:r>
      <w:r w:rsidRPr="00CA7971">
        <w:t>/0</w:t>
      </w:r>
      <w:r w:rsidR="0017428B" w:rsidRPr="00CA7971">
        <w:t>3</w:t>
      </w:r>
      <w:r w:rsidRPr="00CA7971">
        <w:t xml:space="preserve"> – </w:t>
      </w:r>
      <w:r w:rsidR="00174399">
        <w:t>Trailer Brake Systems</w:t>
      </w:r>
      <w:r w:rsidRPr="00CA7971">
        <w:t xml:space="preserve">) </w:t>
      </w:r>
      <w:r w:rsidR="0020737C">
        <w:t>2007</w:t>
      </w:r>
      <w:r w:rsidRPr="00CA7971">
        <w:t xml:space="preserve"> </w:t>
      </w:r>
      <w:r w:rsidR="00F14473" w:rsidRPr="00CA7971">
        <w:t>(ADR 3</w:t>
      </w:r>
      <w:r w:rsidR="00174399">
        <w:t>8</w:t>
      </w:r>
      <w:r w:rsidR="00F14473" w:rsidRPr="00CA7971">
        <w:t>/0</w:t>
      </w:r>
      <w:r w:rsidR="00F175EF" w:rsidRPr="00CA7971">
        <w:t>3</w:t>
      </w:r>
      <w:r w:rsidR="003F01D5" w:rsidRPr="00CA7971">
        <w:t>), which w</w:t>
      </w:r>
      <w:r w:rsidR="005753E3" w:rsidRPr="00CA7971">
        <w:t xml:space="preserve">as originally determined in </w:t>
      </w:r>
      <w:r w:rsidR="0020737C">
        <w:t>2007</w:t>
      </w:r>
      <w:r w:rsidR="003F01D5" w:rsidRPr="00CA7971">
        <w:t>.</w:t>
      </w:r>
      <w:r w:rsidR="003F01D5" w:rsidRPr="00CA7971">
        <w:rPr>
          <w:rFonts w:cs="Arial"/>
        </w:rPr>
        <w:t xml:space="preserve">  It is necessary to make a new standard rather than an amendment as the requirements have increased in stringency and the text as last determined has been substantially altered.</w:t>
      </w:r>
    </w:p>
    <w:p w:rsidR="0020737C" w:rsidRPr="00CA7971" w:rsidRDefault="0020737C" w:rsidP="00BA233E">
      <w:pPr>
        <w:spacing w:after="240"/>
        <w:rPr>
          <w:rFonts w:cs="Arial"/>
        </w:rPr>
      </w:pPr>
      <w:r>
        <w:rPr>
          <w:rFonts w:cs="Arial"/>
        </w:rPr>
        <w:t xml:space="preserve">ADR 38/04 complements the new standard </w:t>
      </w:r>
      <w:r w:rsidR="002C066A">
        <w:t>ADR 35/05</w:t>
      </w:r>
      <w:r>
        <w:t xml:space="preserve"> – Commercial Vehicle Braking Systems.  This was made in </w:t>
      </w:r>
      <w:r w:rsidR="002C066A">
        <w:t>October</w:t>
      </w:r>
      <w:r>
        <w:t xml:space="preserve"> 2013 and contains similar technical requirements</w:t>
      </w:r>
      <w:r w:rsidR="00F37EEF">
        <w:t xml:space="preserve"> to ADR 38/04</w:t>
      </w:r>
      <w:r>
        <w:t xml:space="preserve">, thus ensuring the </w:t>
      </w:r>
      <w:r w:rsidR="00F37EEF">
        <w:t xml:space="preserve">ongoing </w:t>
      </w:r>
      <w:r>
        <w:t>compatibility of braking systems between truck and trailer.</w:t>
      </w:r>
    </w:p>
    <w:p w:rsidR="00BA4F48" w:rsidRPr="00CA7971" w:rsidRDefault="00BA4F48" w:rsidP="00BA4F48">
      <w:pPr>
        <w:pStyle w:val="MainHeadding"/>
        <w:rPr>
          <w:rFonts w:cs="Arial"/>
        </w:rPr>
      </w:pPr>
      <w:bookmarkStart w:id="2" w:name="_Toc167864612"/>
      <w:r w:rsidRPr="00CA7971">
        <w:t xml:space="preserve">content and effect of ADR </w:t>
      </w:r>
      <w:bookmarkEnd w:id="2"/>
      <w:r w:rsidR="00174399">
        <w:t>38/04</w:t>
      </w:r>
      <w:r w:rsidR="003F01D5" w:rsidRPr="00CA7971">
        <w:t xml:space="preserve"> –</w:t>
      </w:r>
      <w:r w:rsidR="005B114C" w:rsidRPr="00CA7971">
        <w:t xml:space="preserve"> </w:t>
      </w:r>
      <w:r w:rsidR="00174399">
        <w:t>Trailer brake systems</w:t>
      </w:r>
    </w:p>
    <w:p w:rsidR="00BA4F48" w:rsidRPr="00CA7971" w:rsidRDefault="00BA4F48" w:rsidP="00BA4F48">
      <w:pPr>
        <w:pStyle w:val="Subsection"/>
      </w:pPr>
      <w:bookmarkStart w:id="3" w:name="_Toc167864613"/>
      <w:r w:rsidRPr="00CA7971">
        <w:t>Overview of the ADR</w:t>
      </w:r>
      <w:bookmarkEnd w:id="3"/>
    </w:p>
    <w:p w:rsidR="003F01D5" w:rsidRPr="00CA7971" w:rsidRDefault="00AA319A" w:rsidP="003F01D5">
      <w:r w:rsidRPr="00CA7971">
        <w:t xml:space="preserve">The function of this vehicle standard is to ensure safe braking for </w:t>
      </w:r>
      <w:r w:rsidR="0020737C">
        <w:t>heavy trailers</w:t>
      </w:r>
      <w:r w:rsidRPr="00CA7971">
        <w:t xml:space="preserve"> under no</w:t>
      </w:r>
      <w:r w:rsidR="008C5907">
        <w:t>rmal and emergency conditions.</w:t>
      </w:r>
    </w:p>
    <w:p w:rsidR="003F01D5" w:rsidRPr="00CA7971" w:rsidRDefault="003F01D5" w:rsidP="009231EC">
      <w:pPr>
        <w:pStyle w:val="Subsection"/>
      </w:pPr>
      <w:bookmarkStart w:id="4" w:name="_Toc167864614"/>
      <w:r w:rsidRPr="00CA7971">
        <w:t>Effect of</w:t>
      </w:r>
      <w:r w:rsidR="00BA4F48" w:rsidRPr="00CA7971">
        <w:t xml:space="preserve"> the ADR</w:t>
      </w:r>
      <w:bookmarkEnd w:id="4"/>
    </w:p>
    <w:p w:rsidR="00CA7971" w:rsidRDefault="00CA7971" w:rsidP="00CA7971">
      <w:pPr>
        <w:pStyle w:val="StyledotArialLeft0cmFirstline0cmAfter12pt"/>
      </w:pPr>
      <w:r w:rsidRPr="00CA7971">
        <w:t xml:space="preserve">This vehicle standard is being made to implement </w:t>
      </w:r>
      <w:r w:rsidR="00135B6F">
        <w:t xml:space="preserve">part of </w:t>
      </w:r>
      <w:r w:rsidRPr="00CA7971">
        <w:t>Phase I of the National Heavy Vehicle Braking Strategy (NHV</w:t>
      </w:r>
      <w:r w:rsidR="00D07716">
        <w:t>BS).  It mandates Antilock Braking</w:t>
      </w:r>
      <w:r w:rsidRPr="00CA7971">
        <w:t xml:space="preserve"> Systems </w:t>
      </w:r>
      <w:r w:rsidR="0020737C" w:rsidRPr="00CA7971">
        <w:t>(ABS)</w:t>
      </w:r>
      <w:r w:rsidR="0020737C">
        <w:t xml:space="preserve"> or </w:t>
      </w:r>
      <w:r w:rsidR="0020737C" w:rsidRPr="0020737C">
        <w:t>Varia</w:t>
      </w:r>
      <w:r w:rsidR="0020737C">
        <w:t xml:space="preserve">ble Proportioning Brake Systems </w:t>
      </w:r>
      <w:r w:rsidR="00135B6F">
        <w:t xml:space="preserve">for new heavy </w:t>
      </w:r>
      <w:r w:rsidR="0020737C">
        <w:t>trailers</w:t>
      </w:r>
      <w:r w:rsidR="00135B6F">
        <w:t>.</w:t>
      </w:r>
    </w:p>
    <w:p w:rsidR="00160C84" w:rsidRPr="00CA7971" w:rsidRDefault="00CA7971" w:rsidP="00DD5EA6">
      <w:pPr>
        <w:pStyle w:val="StyledotArialLeft0cmFirstline0cmAfter12pt"/>
      </w:pPr>
      <w:r w:rsidRPr="00AB5889">
        <w:t xml:space="preserve">ABS is a driver assistance system designed to prevent wheels from locking when the vehicle is </w:t>
      </w:r>
      <w:proofErr w:type="gramStart"/>
      <w:r w:rsidRPr="00AB5889">
        <w:t>braked</w:t>
      </w:r>
      <w:proofErr w:type="gramEnd"/>
      <w:r w:rsidRPr="00AB5889">
        <w:t xml:space="preserve"> in an emergency situation.  Research has shown that ABS increases the directional stability of heavy vehicles under braking and so reduces crash related fatalities and injuries, with an estimated effectiveness of between 3 and 8 per cent.</w:t>
      </w:r>
      <w:r w:rsidR="0020737C">
        <w:t xml:space="preserve">  </w:t>
      </w:r>
      <w:r w:rsidR="008C5907" w:rsidRPr="0020737C">
        <w:t>Varia</w:t>
      </w:r>
      <w:r w:rsidR="008C5907">
        <w:t>ble Proportioning Brake Systems (also known as Load P</w:t>
      </w:r>
      <w:r w:rsidR="008C5907" w:rsidRPr="001C6DCE">
        <w:t>roportioning</w:t>
      </w:r>
      <w:r w:rsidR="008C5907">
        <w:t>)</w:t>
      </w:r>
      <w:r w:rsidR="008C5907" w:rsidRPr="001C6DCE">
        <w:t xml:space="preserve"> is a simpler, (usually) non-electrical means of adjusting braking to the loaded condition of a truck, trailer or bus.</w:t>
      </w:r>
    </w:p>
    <w:p w:rsidR="009327EF" w:rsidRPr="00CA7971" w:rsidRDefault="00DD5EA6" w:rsidP="006132B9">
      <w:r w:rsidRPr="00917571">
        <w:t>Under the ADR</w:t>
      </w:r>
      <w:r w:rsidR="00536F80" w:rsidRPr="00917571">
        <w:t xml:space="preserve">, </w:t>
      </w:r>
      <w:r w:rsidR="00A35B99" w:rsidRPr="00917571">
        <w:t xml:space="preserve">ABS </w:t>
      </w:r>
      <w:r w:rsidR="00370FED" w:rsidRPr="00917571">
        <w:t xml:space="preserve">or Variable Proportioning Brake Systems </w:t>
      </w:r>
      <w:r w:rsidR="00A35B99" w:rsidRPr="00917571">
        <w:t>will be mandated</w:t>
      </w:r>
      <w:r w:rsidR="00442D5E" w:rsidRPr="00917571">
        <w:t xml:space="preserve"> for </w:t>
      </w:r>
      <w:r w:rsidR="008C5907" w:rsidRPr="00917571">
        <w:t>heavy trailers of greater than 4.5 tonnes Aggregate Trailer Mass</w:t>
      </w:r>
      <w:r w:rsidR="00442D5E" w:rsidRPr="00917571">
        <w:t xml:space="preserve"> </w:t>
      </w:r>
      <w:r w:rsidRPr="00917571">
        <w:t>(Australian v</w:t>
      </w:r>
      <w:r w:rsidR="00442D5E" w:rsidRPr="00917571">
        <w:t xml:space="preserve">ehicle categories </w:t>
      </w:r>
      <w:r w:rsidR="008C5907" w:rsidRPr="00917571">
        <w:t>TC and TD</w:t>
      </w:r>
      <w:r w:rsidR="00442D5E" w:rsidRPr="00917571">
        <w:t xml:space="preserve">).  </w:t>
      </w:r>
      <w:r w:rsidR="00EF3239" w:rsidRPr="00917571">
        <w:t xml:space="preserve">This </w:t>
      </w:r>
      <w:r w:rsidR="00370FED">
        <w:t>requirement</w:t>
      </w:r>
      <w:r w:rsidR="00EF3239" w:rsidRPr="00917571">
        <w:t xml:space="preserve"> will </w:t>
      </w:r>
      <w:r w:rsidR="00370FED">
        <w:t>start</w:t>
      </w:r>
      <w:r w:rsidR="00EF3239" w:rsidRPr="00917571">
        <w:t xml:space="preserve"> from 1 July 2014 for new vehicle models and 1 January 2015 for all vehicle models.</w:t>
      </w:r>
    </w:p>
    <w:p w:rsidR="004D6CC1" w:rsidRPr="00CA7971" w:rsidRDefault="004D6CC1" w:rsidP="004D6CC1">
      <w:pPr>
        <w:widowControl w:val="0"/>
        <w:rPr>
          <w:b/>
        </w:rPr>
      </w:pPr>
    </w:p>
    <w:p w:rsidR="00E708DE" w:rsidRPr="00CA7971" w:rsidRDefault="00E708DE" w:rsidP="00E708DE">
      <w:r w:rsidRPr="00CA7971">
        <w:lastRenderedPageBreak/>
        <w:t xml:space="preserve">Overall, this new standard is expected to reduce road trauma and associated costs from crashes involving </w:t>
      </w:r>
      <w:r w:rsidR="00442D5E">
        <w:t xml:space="preserve">heavy </w:t>
      </w:r>
      <w:r w:rsidRPr="00CA7971">
        <w:t>commercial vehicles</w:t>
      </w:r>
      <w:r w:rsidR="0020737C">
        <w:t xml:space="preserve"> and their trailers</w:t>
      </w:r>
      <w:r w:rsidR="00442D5E">
        <w:t>.</w:t>
      </w:r>
    </w:p>
    <w:p w:rsidR="00BA4F48" w:rsidRPr="00CA7971" w:rsidRDefault="00BA4F48" w:rsidP="00F83987">
      <w:pPr>
        <w:pStyle w:val="MainHeadding"/>
        <w:tabs>
          <w:tab w:val="left" w:pos="900"/>
        </w:tabs>
      </w:pPr>
      <w:bookmarkStart w:id="5" w:name="_Toc167864615"/>
      <w:r w:rsidRPr="00CA7971">
        <w:t>best practice regulation</w:t>
      </w:r>
      <w:bookmarkEnd w:id="5"/>
    </w:p>
    <w:p w:rsidR="00BA4F48" w:rsidRPr="00CA7971" w:rsidRDefault="00BA4F48" w:rsidP="00BA4F48">
      <w:pPr>
        <w:pStyle w:val="Subsection"/>
      </w:pPr>
      <w:bookmarkStart w:id="6" w:name="_Toc167864616"/>
      <w:r w:rsidRPr="00CA7971">
        <w:t>Business Cost Calculator</w:t>
      </w:r>
      <w:bookmarkEnd w:id="6"/>
    </w:p>
    <w:p w:rsidR="000E36A9" w:rsidRPr="00CA7971" w:rsidRDefault="006B2A4B" w:rsidP="006B2A4B">
      <w:r w:rsidRPr="00CA7971">
        <w:t xml:space="preserve">There </w:t>
      </w:r>
      <w:r w:rsidR="00F57937" w:rsidRPr="00CA7971">
        <w:t>are</w:t>
      </w:r>
      <w:r w:rsidRPr="00CA7971">
        <w:t xml:space="preserve"> cost</w:t>
      </w:r>
      <w:r w:rsidR="00F57937" w:rsidRPr="00CA7971">
        <w:t>s</w:t>
      </w:r>
      <w:r w:rsidRPr="00CA7971">
        <w:t xml:space="preserve"> associated with mandating </w:t>
      </w:r>
      <w:r w:rsidR="000E36A9">
        <w:t>ABS</w:t>
      </w:r>
      <w:r w:rsidR="00D07716">
        <w:t xml:space="preserve"> for heavy trailers</w:t>
      </w:r>
      <w:r w:rsidR="000E36A9">
        <w:t xml:space="preserve"> </w:t>
      </w:r>
      <w:r w:rsidR="00453027" w:rsidRPr="00CA7971">
        <w:t xml:space="preserve">but the </w:t>
      </w:r>
      <w:r w:rsidR="00F57937" w:rsidRPr="00CA7971">
        <w:t>related</w:t>
      </w:r>
      <w:r w:rsidRPr="00CA7971">
        <w:t xml:space="preserve"> Regulation Impact Statement (RIS</w:t>
      </w:r>
      <w:r w:rsidR="00135B6F">
        <w:t xml:space="preserve">), which </w:t>
      </w:r>
      <w:r w:rsidR="0020737C">
        <w:t xml:space="preserve">considers changes </w:t>
      </w:r>
      <w:r w:rsidR="00D07716">
        <w:t>for</w:t>
      </w:r>
      <w:r w:rsidR="0020737C">
        <w:t xml:space="preserve"> both </w:t>
      </w:r>
      <w:r w:rsidR="00D07716">
        <w:t xml:space="preserve">truck and buses under </w:t>
      </w:r>
      <w:r w:rsidR="0020737C">
        <w:t>ADR 3</w:t>
      </w:r>
      <w:r w:rsidR="00F37EEF">
        <w:t>5</w:t>
      </w:r>
      <w:r w:rsidR="0020737C">
        <w:t xml:space="preserve"> and </w:t>
      </w:r>
      <w:r w:rsidR="00D07716">
        <w:t xml:space="preserve">trailers under </w:t>
      </w:r>
      <w:r w:rsidR="0020737C">
        <w:t>ADR 3</w:t>
      </w:r>
      <w:r w:rsidR="00F37EEF">
        <w:t>8</w:t>
      </w:r>
      <w:r w:rsidR="00135B6F">
        <w:t xml:space="preserve">, </w:t>
      </w:r>
      <w:r w:rsidR="00453027" w:rsidRPr="00CA7971">
        <w:t>show</w:t>
      </w:r>
      <w:r w:rsidR="000E36A9">
        <w:t>s</w:t>
      </w:r>
      <w:r w:rsidRPr="00CA7971">
        <w:t xml:space="preserve"> that </w:t>
      </w:r>
      <w:r w:rsidR="000E36A9">
        <w:t>there will be</w:t>
      </w:r>
      <w:r w:rsidRPr="00CA7971">
        <w:t xml:space="preserve"> positive net benefit</w:t>
      </w:r>
      <w:r w:rsidR="003B6992" w:rsidRPr="00CA7971">
        <w:t>s.</w:t>
      </w:r>
      <w:r w:rsidR="000E36A9">
        <w:t xml:space="preserve">  Overall, t</w:t>
      </w:r>
      <w:r w:rsidR="000E36A9" w:rsidRPr="00AB5889">
        <w:t xml:space="preserve">he </w:t>
      </w:r>
      <w:r w:rsidR="000E36A9">
        <w:t>standard</w:t>
      </w:r>
      <w:r w:rsidR="000E36A9" w:rsidRPr="00AB5889">
        <w:t xml:space="preserve"> </w:t>
      </w:r>
      <w:r w:rsidR="000E36A9">
        <w:t>will</w:t>
      </w:r>
      <w:r w:rsidR="000E36A9" w:rsidRPr="00AB5889">
        <w:t xml:space="preserve"> pro</w:t>
      </w:r>
      <w:r w:rsidR="000E36A9">
        <w:t xml:space="preserve">vide </w:t>
      </w:r>
      <w:r w:rsidR="00135B6F">
        <w:t xml:space="preserve">towards </w:t>
      </w:r>
      <w:r w:rsidR="000E36A9">
        <w:t xml:space="preserve">a reduction in road trauma, </w:t>
      </w:r>
      <w:r w:rsidR="000E36A9" w:rsidRPr="00AB5889">
        <w:t xml:space="preserve">estimated at </w:t>
      </w:r>
      <w:r w:rsidR="00135B6F">
        <w:t xml:space="preserve">a total of </w:t>
      </w:r>
      <w:r w:rsidR="000E36A9" w:rsidRPr="00AB5889">
        <w:t xml:space="preserve">36-57 </w:t>
      </w:r>
      <w:r w:rsidR="000E36A9">
        <w:t xml:space="preserve">lives </w:t>
      </w:r>
      <w:r w:rsidR="000E36A9" w:rsidRPr="00AB5889">
        <w:t>over a period of 30 years</w:t>
      </w:r>
      <w:r w:rsidR="00135B6F">
        <w:t xml:space="preserve"> for ADR 35 and ADR 38 combined</w:t>
      </w:r>
      <w:r w:rsidR="000E36A9">
        <w:t>.  This</w:t>
      </w:r>
      <w:r w:rsidR="000E36A9" w:rsidRPr="00AB5889">
        <w:t xml:space="preserve"> include</w:t>
      </w:r>
      <w:r w:rsidR="000E36A9">
        <w:t>s</w:t>
      </w:r>
      <w:r w:rsidR="000E36A9" w:rsidRPr="00AB5889">
        <w:t xml:space="preserve"> 4 years</w:t>
      </w:r>
      <w:r w:rsidR="000E36A9">
        <w:t xml:space="preserve"> </w:t>
      </w:r>
      <w:r w:rsidR="006132B9">
        <w:t xml:space="preserve">of operation of the </w:t>
      </w:r>
      <w:r w:rsidR="00135B6F">
        <w:t>standards</w:t>
      </w:r>
      <w:r w:rsidR="006132B9">
        <w:t xml:space="preserve"> </w:t>
      </w:r>
      <w:r w:rsidR="000E36A9" w:rsidRPr="00AB5889">
        <w:t xml:space="preserve">before the </w:t>
      </w:r>
      <w:r w:rsidR="000E36A9">
        <w:t>next Phase</w:t>
      </w:r>
      <w:r w:rsidR="000E36A9" w:rsidRPr="00AB5889">
        <w:t xml:space="preserve"> of the NHVBS</w:t>
      </w:r>
      <w:r w:rsidR="000E36A9">
        <w:t xml:space="preserve">, </w:t>
      </w:r>
      <w:r w:rsidR="000E36A9" w:rsidRPr="00AB5889">
        <w:t>with around $46-73 million in net benefits.</w:t>
      </w:r>
      <w:r w:rsidR="00370FED">
        <w:t xml:space="preserve">  </w:t>
      </w:r>
      <w:r w:rsidR="00D07716">
        <w:t xml:space="preserve">ABS for trucks and buses under </w:t>
      </w:r>
      <w:r w:rsidR="00370FED">
        <w:t>ADR</w:t>
      </w:r>
      <w:r w:rsidR="00D07716">
        <w:t xml:space="preserve"> 35/04 was mandated in August 2013</w:t>
      </w:r>
      <w:r w:rsidR="002C066A">
        <w:t xml:space="preserve"> and subsequently incorporated into ADR 35/05 in October 2013.</w:t>
      </w:r>
    </w:p>
    <w:p w:rsidR="00626DBC" w:rsidRPr="00CA7971" w:rsidRDefault="00626DBC" w:rsidP="00BA4F48">
      <w:pPr>
        <w:pStyle w:val="Subsection"/>
      </w:pPr>
      <w:bookmarkStart w:id="7" w:name="_Toc167864617"/>
      <w:r w:rsidRPr="00CA7971">
        <w:t>General Consultation Arrangements</w:t>
      </w:r>
      <w:bookmarkEnd w:id="7"/>
    </w:p>
    <w:p w:rsidR="00CB5A16" w:rsidRPr="00CA7971" w:rsidRDefault="00CB5A16" w:rsidP="00CB5A16">
      <w:pPr>
        <w:tabs>
          <w:tab w:val="right" w:pos="8222"/>
        </w:tabs>
        <w:spacing w:after="240"/>
        <w:rPr>
          <w:rFonts w:cs="Arial"/>
        </w:rPr>
      </w:pPr>
      <w:bookmarkStart w:id="8" w:name="_Toc167864618"/>
      <w:r w:rsidRPr="00CA7971">
        <w:rPr>
          <w:rFonts w:cs="Arial"/>
        </w:rPr>
        <w:t>It has been longstanding practice to consult widely on proposed new or amended vehicle standards.  For many years there has been active collaboration between the Federal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rsidR="00CB5A16" w:rsidRPr="00CA7971" w:rsidRDefault="00CB5A16" w:rsidP="00CB5A16">
      <w:pPr>
        <w:tabs>
          <w:tab w:val="right" w:pos="8222"/>
        </w:tabs>
        <w:spacing w:after="240"/>
        <w:rPr>
          <w:rFonts w:cs="Arial"/>
        </w:rPr>
      </w:pPr>
      <w:r w:rsidRPr="00CA7971">
        <w:rPr>
          <w:rFonts w:cs="Arial"/>
        </w:rPr>
        <w:t xml:space="preserve">Depending on the nature of the proposed changes, consultation could involve the Strategic Vehicle Safety and Environment Group (SVSEG), </w:t>
      </w:r>
      <w:r w:rsidR="00B97E32">
        <w:rPr>
          <w:rFonts w:cs="Arial"/>
        </w:rPr>
        <w:t xml:space="preserve">Australian Motor Vehicle Certification Board (AMVCB), </w:t>
      </w:r>
      <w:r w:rsidRPr="00CA7971">
        <w:rPr>
          <w:rFonts w:cs="Arial"/>
        </w:rPr>
        <w:t>Technical Liaison Group (TLG), Transport and Infrastructure Senior Officials’ Committee (TISOC) and the Standing Council on Transport and Infrastructure (SCOTI).</w:t>
      </w:r>
    </w:p>
    <w:p w:rsidR="00CB5A16" w:rsidRPr="00CA7971" w:rsidRDefault="00CB5A16" w:rsidP="00CB5A16">
      <w:pPr>
        <w:pStyle w:val="BodyText"/>
        <w:numPr>
          <w:ilvl w:val="0"/>
          <w:numId w:val="2"/>
        </w:numPr>
        <w:spacing w:after="240"/>
        <w:rPr>
          <w:rFonts w:cs="Arial"/>
        </w:rPr>
      </w:pPr>
      <w:r w:rsidRPr="00CA7971">
        <w:t>SVSEG</w:t>
      </w:r>
      <w:r w:rsidRPr="00CA7971">
        <w:rPr>
          <w:rFonts w:cs="Arial"/>
        </w:rPr>
        <w:t xml:space="preserve"> consists of senior representatives of government</w:t>
      </w:r>
      <w:r w:rsidR="00B97E32">
        <w:rPr>
          <w:rFonts w:cs="Arial"/>
        </w:rPr>
        <w:t xml:space="preserve"> agencies</w:t>
      </w:r>
      <w:r w:rsidRPr="00CA7971">
        <w:rPr>
          <w:rFonts w:cs="Arial"/>
        </w:rPr>
        <w:t xml:space="preserve"> (Australian and state/territory), </w:t>
      </w:r>
      <w:r w:rsidR="00B97E32">
        <w:rPr>
          <w:rFonts w:cs="Arial"/>
        </w:rPr>
        <w:t xml:space="preserve">the National Transport Commission and the National Heavy Vehicle Regulator, </w:t>
      </w:r>
      <w:r w:rsidRPr="00CA7971">
        <w:rPr>
          <w:rFonts w:cs="Arial"/>
        </w:rPr>
        <w:t>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rsidR="00B97E32" w:rsidRPr="006538E0" w:rsidRDefault="00B97E32" w:rsidP="00B97E32">
      <w:pPr>
        <w:pStyle w:val="BodyBulleted"/>
        <w:numPr>
          <w:ilvl w:val="0"/>
          <w:numId w:val="2"/>
        </w:numPr>
      </w:pPr>
      <w:r w:rsidRPr="006538E0">
        <w:t xml:space="preserve">AMVCB consists of </w:t>
      </w:r>
      <w:r>
        <w:t xml:space="preserve">technical </w:t>
      </w:r>
      <w:r w:rsidRPr="006538E0">
        <w:t>representatives of government regulatory authorities (Australian and state/territory) that deal with ADR and other general vehicle issues</w:t>
      </w:r>
      <w:r>
        <w:t>, and the National Transport Commission and the National Heavy Vehicle Regulator</w:t>
      </w:r>
      <w:r w:rsidRPr="006538E0">
        <w:t>.</w:t>
      </w:r>
    </w:p>
    <w:p w:rsidR="00B97E32" w:rsidRDefault="00B97E32" w:rsidP="00B97E32">
      <w:pPr>
        <w:pStyle w:val="BodyBulleted"/>
        <w:numPr>
          <w:ilvl w:val="0"/>
          <w:numId w:val="2"/>
        </w:numPr>
      </w:pPr>
      <w:r w:rsidRPr="00DE22B0">
        <w:t xml:space="preserve">TLG consists of technical representatives of government </w:t>
      </w:r>
      <w:r>
        <w:t xml:space="preserve">agencies </w:t>
      </w:r>
      <w:r w:rsidRPr="00DE22B0">
        <w:t xml:space="preserve">(Australian and state/territory), </w:t>
      </w:r>
      <w:r>
        <w:t xml:space="preserve">the National Transport Commission and the National Heavy Vehicle </w:t>
      </w:r>
      <w:proofErr w:type="gramStart"/>
      <w:r>
        <w:t>Regulator</w:t>
      </w:r>
      <w:r w:rsidRPr="00DE22B0">
        <w:t xml:space="preserve"> </w:t>
      </w:r>
      <w:r>
        <w:t>,</w:t>
      </w:r>
      <w:proofErr w:type="gramEnd"/>
      <w:r>
        <w:t xml:space="preserve"> </w:t>
      </w:r>
      <w:r w:rsidRPr="00DE22B0">
        <w:t>the manufacturing and operational arms of the industry and of representative organisations of consumers and road users (the same organisations as represented in SVSEG).</w:t>
      </w:r>
    </w:p>
    <w:p w:rsidR="00CB5A16" w:rsidRPr="00CA7971" w:rsidRDefault="00CB5A16" w:rsidP="00CB5A16">
      <w:pPr>
        <w:numPr>
          <w:ilvl w:val="0"/>
          <w:numId w:val="2"/>
        </w:numPr>
        <w:tabs>
          <w:tab w:val="right" w:pos="8222"/>
        </w:tabs>
        <w:spacing w:after="240"/>
        <w:rPr>
          <w:rFonts w:cs="Arial"/>
        </w:rPr>
      </w:pPr>
      <w:r w:rsidRPr="00CA7971">
        <w:rPr>
          <w:rFonts w:cs="Arial"/>
        </w:rPr>
        <w:lastRenderedPageBreak/>
        <w:t>TISOC consists of state and territory transport and/or infrastructure Chief Executive Officers (CEO) (or equivalents), the CEO of the National Transport Commission, New Zealand and the Australian Local Government Association.</w:t>
      </w:r>
    </w:p>
    <w:p w:rsidR="00CB5A16" w:rsidRPr="00CA7971" w:rsidRDefault="00CB5A16" w:rsidP="00CB5A16">
      <w:pPr>
        <w:numPr>
          <w:ilvl w:val="0"/>
          <w:numId w:val="2"/>
        </w:numPr>
        <w:tabs>
          <w:tab w:val="right" w:pos="8222"/>
        </w:tabs>
        <w:spacing w:after="240"/>
        <w:rPr>
          <w:rFonts w:cs="Arial"/>
        </w:rPr>
      </w:pPr>
      <w:r w:rsidRPr="00CA7971">
        <w:rPr>
          <w:rFonts w:cs="Arial"/>
        </w:rPr>
        <w:t>SCOTI consists of the Australian, state/territory and New Zealand Ministers with responsibility for transport and infrastructure issues.</w:t>
      </w:r>
    </w:p>
    <w:p w:rsidR="00CB5A16" w:rsidRPr="00CA7971" w:rsidRDefault="00CB5A16" w:rsidP="00CB5A16">
      <w:pPr>
        <w:tabs>
          <w:tab w:val="left" w:pos="900"/>
        </w:tabs>
        <w:rPr>
          <w:rFonts w:cs="Arial"/>
        </w:rPr>
      </w:pPr>
      <w:r w:rsidRPr="00CA7971">
        <w:rPr>
          <w:rFonts w:cs="Arial"/>
        </w:rPr>
        <w:t xml:space="preserve">Editorial changes and changes to correct errors are processed by the Department of </w:t>
      </w:r>
      <w:r w:rsidRPr="00CA7971">
        <w:t xml:space="preserve">Infrastructure and </w:t>
      </w:r>
      <w:r w:rsidR="00D07716">
        <w:t>Regional Development</w:t>
      </w:r>
      <w:r w:rsidRPr="00CA7971">
        <w:rPr>
          <w:rFonts w:cs="Arial"/>
        </w:rPr>
        <w:t>.  This approach is only used where the amendments do not vary the intent of the vehicle standard.</w:t>
      </w:r>
    </w:p>
    <w:p w:rsidR="00CB5A16" w:rsidRPr="00CA7971" w:rsidRDefault="00CB5A16" w:rsidP="00CB5A16">
      <w:pPr>
        <w:tabs>
          <w:tab w:val="left" w:pos="900"/>
        </w:tabs>
        <w:rPr>
          <w:rFonts w:cs="Arial"/>
        </w:rPr>
      </w:pPr>
    </w:p>
    <w:p w:rsidR="00CB5A16" w:rsidRPr="00CA7971" w:rsidRDefault="00CB5A16" w:rsidP="00CB5A16">
      <w:pPr>
        <w:tabs>
          <w:tab w:val="right" w:pos="8222"/>
        </w:tabs>
        <w:spacing w:after="240"/>
        <w:rPr>
          <w:rFonts w:cs="Arial"/>
        </w:rPr>
      </w:pPr>
      <w:r w:rsidRPr="00CA7971">
        <w:rPr>
          <w:rFonts w:cs="Arial"/>
        </w:rPr>
        <w:t xml:space="preserve">Proposals that are regarded as significant need to be supported by a </w:t>
      </w:r>
      <w:r w:rsidR="00A65A2C" w:rsidRPr="00CA7971">
        <w:rPr>
          <w:rFonts w:cs="Arial"/>
        </w:rPr>
        <w:t>RIS</w:t>
      </w:r>
      <w:r w:rsidRPr="00CA7971">
        <w:rPr>
          <w:rFonts w:cs="Arial"/>
        </w:rPr>
        <w:t xml:space="preserve"> meeting the requirements of the Office of Best Practice Regulation (OBPR) as published in </w:t>
      </w:r>
      <w:r w:rsidRPr="00CA7971">
        <w:rPr>
          <w:rFonts w:cs="Arial"/>
          <w:i/>
        </w:rPr>
        <w:t>Best Practice Regulation Handbook</w:t>
      </w:r>
      <w:r w:rsidRPr="00CA7971">
        <w:rPr>
          <w:rFonts w:cs="Arial"/>
        </w:rPr>
        <w:t xml:space="preserve"> and the Council of Australian Governments </w:t>
      </w:r>
      <w:r w:rsidRPr="00CA7971">
        <w:rPr>
          <w:rFonts w:cs="Arial"/>
          <w:i/>
        </w:rPr>
        <w:t>Principles and Guidelines for National Standard Setting and Regulatory Action for Ministerial Councils and Standard-Setting Bodies.</w:t>
      </w:r>
    </w:p>
    <w:p w:rsidR="00066F93" w:rsidRPr="00CA7971" w:rsidRDefault="00BA4F48" w:rsidP="00FA6A12">
      <w:pPr>
        <w:pStyle w:val="Subsection"/>
      </w:pPr>
      <w:r w:rsidRPr="00CA7971">
        <w:t>Specific Consultation Arrangements for this Vehicle Standard</w:t>
      </w:r>
      <w:bookmarkEnd w:id="8"/>
    </w:p>
    <w:p w:rsidR="00B84E3B" w:rsidRDefault="00B84E3B" w:rsidP="00B84E3B">
      <w:r>
        <w:t>The consultation process has been ongoing in nature.  It has followed on from a full review of ADRs</w:t>
      </w:r>
      <w:r w:rsidR="00DD5EA6">
        <w:t xml:space="preserve"> 35 and 38</w:t>
      </w:r>
      <w:r>
        <w:t xml:space="preserve"> </w:t>
      </w:r>
      <w:r w:rsidR="00DD5EA6">
        <w:t>beginning</w:t>
      </w:r>
      <w:r w:rsidRPr="0013664A">
        <w:t xml:space="preserve"> </w:t>
      </w:r>
      <w:r>
        <w:t xml:space="preserve">in </w:t>
      </w:r>
      <w:r w:rsidR="00DD5EA6">
        <w:t xml:space="preserve">2006, </w:t>
      </w:r>
      <w:r w:rsidRPr="0013664A">
        <w:t xml:space="preserve">with one of the outcomes being the NHVBS.  A detailed public consultation process was carried out initially in forming the NHVBS and this was subsequently supported through the public comment process for the </w:t>
      </w:r>
      <w:r w:rsidR="00FB46FD">
        <w:t>National Road Safety Strategy 2011-20</w:t>
      </w:r>
      <w:r w:rsidRPr="0013664A">
        <w:t>.</w:t>
      </w:r>
      <w:r w:rsidR="00C7224A">
        <w:t xml:space="preserve"> </w:t>
      </w:r>
      <w:r w:rsidR="003B3887">
        <w:t xml:space="preserve"> </w:t>
      </w:r>
      <w:r w:rsidR="00C7224A">
        <w:t>The proposal has been discussed a number of times at SVSEG and TLG meetings and no objecti</w:t>
      </w:r>
      <w:r w:rsidR="00FC003D">
        <w:t>ons were raised regarding ADR 38</w:t>
      </w:r>
      <w:r w:rsidR="00C7224A">
        <w:t>.</w:t>
      </w:r>
    </w:p>
    <w:p w:rsidR="00B84E3B" w:rsidRDefault="00B84E3B" w:rsidP="00EC7758"/>
    <w:p w:rsidR="00510E74" w:rsidRPr="00B84E3B" w:rsidRDefault="000D44AB" w:rsidP="0012110B">
      <w:r>
        <w:t>A c</w:t>
      </w:r>
      <w:r w:rsidR="00EA57A3" w:rsidRPr="00CA7971">
        <w:t>onsultation RIS</w:t>
      </w:r>
      <w:r w:rsidR="00FC003D">
        <w:t xml:space="preserve"> and draft ADR was</w:t>
      </w:r>
      <w:r>
        <w:t xml:space="preserve"> released </w:t>
      </w:r>
      <w:r w:rsidR="00C319F9" w:rsidRPr="00CA7971">
        <w:t>for industry comment</w:t>
      </w:r>
      <w:r>
        <w:t xml:space="preserve"> in </w:t>
      </w:r>
      <w:r w:rsidR="00FC003D">
        <w:t>April</w:t>
      </w:r>
      <w:r>
        <w:t xml:space="preserve"> 2013</w:t>
      </w:r>
      <w:r w:rsidR="00C319F9" w:rsidRPr="00CA7971">
        <w:t>.</w:t>
      </w:r>
      <w:r w:rsidR="00B84E3B">
        <w:t xml:space="preserve">  </w:t>
      </w:r>
      <w:r w:rsidR="00E82B1F">
        <w:t>Where appropriate, c</w:t>
      </w:r>
      <w:r w:rsidR="00FC003D">
        <w:t>omments from this process were incorporated into revision of the proposal</w:t>
      </w:r>
      <w:r w:rsidR="003B3887">
        <w:t xml:space="preserve"> and</w:t>
      </w:r>
      <w:r w:rsidR="00E82B1F">
        <w:t xml:space="preserve"> the</w:t>
      </w:r>
      <w:r w:rsidR="003B3887">
        <w:t xml:space="preserve"> final RIS.  </w:t>
      </w:r>
      <w:r w:rsidR="00A62388" w:rsidRPr="00CA7971">
        <w:t xml:space="preserve">The RIS </w:t>
      </w:r>
      <w:r w:rsidR="0085194A" w:rsidRPr="00CA7971">
        <w:t>conform</w:t>
      </w:r>
      <w:r w:rsidR="00DD5EA6">
        <w:t>s</w:t>
      </w:r>
      <w:r w:rsidR="00B07906" w:rsidRPr="00CA7971">
        <w:t xml:space="preserve"> to the requirements established by the </w:t>
      </w:r>
      <w:r w:rsidR="0085194A" w:rsidRPr="00CA7971">
        <w:t>OBPR</w:t>
      </w:r>
      <w:r w:rsidR="00B07906" w:rsidRPr="00CA7971">
        <w:t xml:space="preserve"> in relation to regulatory proposals where the decision maker is the Australian Government’s Cabinet, the Prime Minister, minister, statutory auth</w:t>
      </w:r>
      <w:r w:rsidR="00B84E3B">
        <w:t>ority, board or other regulator</w:t>
      </w:r>
      <w:r w:rsidR="007A3BB4" w:rsidRPr="00CA7971">
        <w:t xml:space="preserve">.  </w:t>
      </w:r>
      <w:r w:rsidR="00845ABF" w:rsidRPr="00CA7971">
        <w:t>The OBPR reference number</w:t>
      </w:r>
      <w:r w:rsidR="00476B93" w:rsidRPr="00CA7971">
        <w:t xml:space="preserve"> </w:t>
      </w:r>
      <w:r w:rsidR="00561BCD" w:rsidRPr="00CA7971">
        <w:t xml:space="preserve">for the </w:t>
      </w:r>
      <w:r w:rsidR="00B84E3B">
        <w:t>RIS is</w:t>
      </w:r>
      <w:r w:rsidR="00845ABF" w:rsidRPr="00CA7971">
        <w:t xml:space="preserve"> </w:t>
      </w:r>
      <w:r w:rsidR="00B84E3B">
        <w:t>14546</w:t>
      </w:r>
      <w:r w:rsidR="00845ABF" w:rsidRPr="00CA7971">
        <w:t>.</w:t>
      </w:r>
    </w:p>
    <w:p w:rsidR="00586887" w:rsidRPr="00CA7971" w:rsidRDefault="00586887" w:rsidP="00586887">
      <w:pPr>
        <w:pStyle w:val="MainHeadding"/>
        <w:tabs>
          <w:tab w:val="left" w:pos="900"/>
        </w:tabs>
      </w:pPr>
      <w:bookmarkStart w:id="9" w:name="_Toc318271645"/>
      <w:bookmarkStart w:id="10" w:name="_Toc317171517"/>
      <w:bookmarkStart w:id="11" w:name="_Toc317171391"/>
      <w:bookmarkStart w:id="12" w:name="_Toc317158948"/>
      <w:bookmarkStart w:id="13" w:name="_Toc318272904"/>
      <w:bookmarkStart w:id="14" w:name="_Toc319402529"/>
      <w:r w:rsidRPr="00CA7971">
        <w:t>STATEMENT OF COMPATIBILITY WITH HUMAN RIGHTS</w:t>
      </w:r>
      <w:bookmarkEnd w:id="9"/>
      <w:bookmarkEnd w:id="10"/>
      <w:bookmarkEnd w:id="11"/>
      <w:bookmarkEnd w:id="12"/>
      <w:bookmarkEnd w:id="13"/>
      <w:bookmarkEnd w:id="14"/>
    </w:p>
    <w:p w:rsidR="00586887" w:rsidRPr="00CA7971" w:rsidRDefault="00586887" w:rsidP="00586887">
      <w:r w:rsidRPr="00CA7971">
        <w:t xml:space="preserve">The following Statement is prepared in accordance with Part 3 of the </w:t>
      </w:r>
      <w:r w:rsidRPr="00CA7971">
        <w:rPr>
          <w:i/>
          <w:iCs/>
        </w:rPr>
        <w:t>Human Rights (Parliamentary Scrutiny) Act 2011.</w:t>
      </w:r>
      <w:r w:rsidRPr="00CA7971">
        <w:t xml:space="preserve"> </w:t>
      </w:r>
    </w:p>
    <w:p w:rsidR="00586887" w:rsidRPr="00CA7971" w:rsidRDefault="00586887" w:rsidP="00586887">
      <w:pPr>
        <w:pStyle w:val="Subsection"/>
      </w:pPr>
      <w:bookmarkStart w:id="15" w:name="_Toc318271646"/>
      <w:bookmarkStart w:id="16" w:name="_Toc317171518"/>
      <w:bookmarkStart w:id="17" w:name="_Toc317171392"/>
      <w:bookmarkStart w:id="18" w:name="_Toc318272905"/>
      <w:bookmarkStart w:id="19" w:name="_Toc319402530"/>
      <w:r w:rsidRPr="00CA7971">
        <w:t>Overview of the Legislative Instrument</w:t>
      </w:r>
      <w:bookmarkEnd w:id="15"/>
      <w:bookmarkEnd w:id="16"/>
      <w:bookmarkEnd w:id="17"/>
      <w:bookmarkEnd w:id="18"/>
      <w:bookmarkEnd w:id="19"/>
    </w:p>
    <w:p w:rsidR="00586887" w:rsidRPr="00CA7971" w:rsidRDefault="00586887" w:rsidP="00586887">
      <w:r w:rsidRPr="00CA7971">
        <w:t xml:space="preserve">ADR </w:t>
      </w:r>
      <w:r w:rsidR="00174399">
        <w:t>38/04</w:t>
      </w:r>
      <w:r w:rsidRPr="00CA7971">
        <w:t xml:space="preserve"> is being made to replace ADR </w:t>
      </w:r>
      <w:r w:rsidR="00D647E7" w:rsidRPr="00CA7971">
        <w:t>3</w:t>
      </w:r>
      <w:r w:rsidR="00174399">
        <w:t>8</w:t>
      </w:r>
      <w:r w:rsidRPr="00CA7971">
        <w:t>/</w:t>
      </w:r>
      <w:r w:rsidR="00EB5F9C" w:rsidRPr="00CA7971">
        <w:t>03</w:t>
      </w:r>
      <w:r w:rsidRPr="00CA7971">
        <w:t xml:space="preserve">.  </w:t>
      </w:r>
      <w:r w:rsidR="00BE5C7D" w:rsidRPr="00CA7971">
        <w:t xml:space="preserve">It introduces requirements for </w:t>
      </w:r>
      <w:r w:rsidR="00FB46FD">
        <w:t>ABS</w:t>
      </w:r>
      <w:r w:rsidR="00E82B1F" w:rsidRPr="00E82B1F">
        <w:t xml:space="preserve"> </w:t>
      </w:r>
      <w:r w:rsidR="00E82B1F">
        <w:t xml:space="preserve">or </w:t>
      </w:r>
      <w:r w:rsidR="00E82B1F" w:rsidRPr="0020737C">
        <w:t>Varia</w:t>
      </w:r>
      <w:r w:rsidR="00E82B1F">
        <w:t>ble Proportioning Brake Systems</w:t>
      </w:r>
      <w:r w:rsidR="00FB46FD">
        <w:t xml:space="preserve"> </w:t>
      </w:r>
      <w:r w:rsidR="00BE5C7D" w:rsidRPr="00CA7971">
        <w:t xml:space="preserve">to be fitted to </w:t>
      </w:r>
      <w:r w:rsidR="00DD5EA6">
        <w:t xml:space="preserve">heavy </w:t>
      </w:r>
      <w:r w:rsidR="0020737C">
        <w:t>trailers</w:t>
      </w:r>
      <w:r w:rsidR="00DD5EA6">
        <w:t>.</w:t>
      </w:r>
    </w:p>
    <w:p w:rsidR="00586887" w:rsidRPr="00CA7971" w:rsidRDefault="00586887" w:rsidP="00586887">
      <w:pPr>
        <w:pStyle w:val="Subsection"/>
      </w:pPr>
      <w:bookmarkStart w:id="20" w:name="_Toc318271647"/>
      <w:bookmarkStart w:id="21" w:name="_Toc317171519"/>
      <w:bookmarkStart w:id="22" w:name="_Toc317171393"/>
      <w:bookmarkStart w:id="23" w:name="_Toc318272906"/>
      <w:bookmarkStart w:id="24" w:name="_Toc319402531"/>
      <w:r w:rsidRPr="00CA7971">
        <w:t>Human Rights Implications</w:t>
      </w:r>
      <w:bookmarkEnd w:id="20"/>
      <w:bookmarkEnd w:id="21"/>
      <w:bookmarkEnd w:id="22"/>
      <w:bookmarkEnd w:id="23"/>
      <w:bookmarkEnd w:id="24"/>
    </w:p>
    <w:p w:rsidR="00586887" w:rsidRPr="00CA7971" w:rsidRDefault="00586887" w:rsidP="00586887">
      <w:r w:rsidRPr="00CA7971">
        <w:t xml:space="preserve">ADR </w:t>
      </w:r>
      <w:r w:rsidR="00174399">
        <w:t>38/04</w:t>
      </w:r>
      <w:r w:rsidRPr="00CA7971">
        <w:t xml:space="preserve"> does not engage any of the human rights and freedoms recognised or declared in the international instruments listed in section 3 of the </w:t>
      </w:r>
      <w:r w:rsidRPr="00CA7971">
        <w:rPr>
          <w:i/>
          <w:iCs/>
        </w:rPr>
        <w:t>Human Rights (Parliamentary Scrutiny) Act 2011</w:t>
      </w:r>
      <w:r w:rsidRPr="00CA7971">
        <w:t xml:space="preserve">. </w:t>
      </w:r>
    </w:p>
    <w:p w:rsidR="00586887" w:rsidRPr="00CA7971" w:rsidRDefault="00586887" w:rsidP="00586887">
      <w:pPr>
        <w:pStyle w:val="Subsection"/>
      </w:pPr>
      <w:bookmarkStart w:id="25" w:name="_Toc319402532"/>
      <w:r w:rsidRPr="00CA7971">
        <w:t>Conclusion</w:t>
      </w:r>
      <w:bookmarkEnd w:id="25"/>
    </w:p>
    <w:p w:rsidR="002D7277" w:rsidRPr="007A3BB4" w:rsidRDefault="00586887" w:rsidP="0012110B">
      <w:r w:rsidRPr="00CA7971">
        <w:t xml:space="preserve">ADR </w:t>
      </w:r>
      <w:r w:rsidR="00174399">
        <w:t>38/04</w:t>
      </w:r>
      <w:r w:rsidRPr="00CA7971">
        <w:t xml:space="preserve"> is compatible with human rights as it does not raise any human rights issues.</w:t>
      </w:r>
    </w:p>
    <w:sectPr w:rsidR="002D7277" w:rsidRPr="007A3BB4" w:rsidSect="0012110B">
      <w:headerReference w:type="default" r:id="rId9"/>
      <w:footerReference w:type="default" r:id="rId10"/>
      <w:pgSz w:w="11906" w:h="16838"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1A0" w:rsidRDefault="00CA51A0">
      <w:r>
        <w:separator/>
      </w:r>
    </w:p>
  </w:endnote>
  <w:endnote w:type="continuationSeparator" w:id="0">
    <w:p w:rsidR="00CA51A0" w:rsidRDefault="00CA5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A4B" w:rsidRDefault="006B2A4B" w:rsidP="00C12E27">
    <w:pPr>
      <w:pStyle w:val="Footer"/>
      <w:pBdr>
        <w:top w:val="sing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1A0" w:rsidRDefault="00CA51A0">
      <w:r>
        <w:separator/>
      </w:r>
    </w:p>
  </w:footnote>
  <w:footnote w:type="continuationSeparator" w:id="0">
    <w:p w:rsidR="00CA51A0" w:rsidRDefault="00CA5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A4B" w:rsidRDefault="00C72F93">
    <w:pPr>
      <w:pStyle w:val="Header"/>
      <w:jc w:val="right"/>
    </w:pPr>
    <w:r>
      <w:fldChar w:fldCharType="begin"/>
    </w:r>
    <w:r w:rsidR="008142FF">
      <w:instrText xml:space="preserve"> PAGE   \* MERGEFORMAT </w:instrText>
    </w:r>
    <w:r>
      <w:fldChar w:fldCharType="separate"/>
    </w:r>
    <w:r w:rsidR="00A13488">
      <w:rPr>
        <w:noProof/>
      </w:rPr>
      <w:t>2</w:t>
    </w:r>
    <w:r>
      <w:rPr>
        <w:noProof/>
      </w:rPr>
      <w:fldChar w:fldCharType="end"/>
    </w:r>
  </w:p>
  <w:p w:rsidR="006B2A4B" w:rsidRPr="003234FA" w:rsidRDefault="006B2A4B" w:rsidP="0012110B">
    <w:pPr>
      <w:pStyle w:val="Header"/>
      <w:rPr>
        <w:szCs w:val="20"/>
      </w:rPr>
    </w:pPr>
    <w:r w:rsidRPr="003234FA">
      <w:rPr>
        <w:szCs w:val="20"/>
      </w:rPr>
      <w:t>Explanatory Statement</w:t>
    </w:r>
  </w:p>
  <w:p w:rsidR="006B2A4B" w:rsidRDefault="00D5709E" w:rsidP="0012110B">
    <w:pPr>
      <w:pStyle w:val="Header"/>
      <w:pBdr>
        <w:bottom w:val="single" w:sz="4" w:space="1" w:color="auto"/>
      </w:pBdr>
      <w:tabs>
        <w:tab w:val="clear" w:pos="4153"/>
        <w:tab w:val="left" w:pos="7740"/>
      </w:tabs>
      <w:rPr>
        <w:szCs w:val="20"/>
      </w:rPr>
    </w:pPr>
    <w:r w:rsidRPr="00DC33CF">
      <w:rPr>
        <w:szCs w:val="20"/>
      </w:rPr>
      <w:t>Vehicle Standard (</w:t>
    </w:r>
    <w:r w:rsidR="006B2A4B" w:rsidRPr="003234FA">
      <w:rPr>
        <w:szCs w:val="20"/>
      </w:rPr>
      <w:t xml:space="preserve">Australian </w:t>
    </w:r>
    <w:r w:rsidR="006B2A4B" w:rsidRPr="006132B9">
      <w:rPr>
        <w:szCs w:val="20"/>
      </w:rPr>
      <w:t xml:space="preserve">Design Rule </w:t>
    </w:r>
    <w:r w:rsidRPr="006132B9">
      <w:rPr>
        <w:szCs w:val="20"/>
      </w:rPr>
      <w:t>3</w:t>
    </w:r>
    <w:r w:rsidR="00174399">
      <w:rPr>
        <w:szCs w:val="20"/>
      </w:rPr>
      <w:t>8</w:t>
    </w:r>
    <w:r w:rsidRPr="006132B9">
      <w:rPr>
        <w:szCs w:val="20"/>
      </w:rPr>
      <w:t>/</w:t>
    </w:r>
    <w:r w:rsidR="00D20CAA" w:rsidRPr="006132B9">
      <w:rPr>
        <w:szCs w:val="20"/>
      </w:rPr>
      <w:t>04</w:t>
    </w:r>
    <w:r w:rsidR="006B2A4B" w:rsidRPr="006132B9">
      <w:rPr>
        <w:szCs w:val="20"/>
      </w:rPr>
      <w:t xml:space="preserve"> </w:t>
    </w:r>
    <w:r w:rsidRPr="006132B9">
      <w:rPr>
        <w:szCs w:val="20"/>
      </w:rPr>
      <w:t xml:space="preserve">– </w:t>
    </w:r>
    <w:r w:rsidR="00174399">
      <w:rPr>
        <w:szCs w:val="20"/>
      </w:rPr>
      <w:t>Trailer</w:t>
    </w:r>
    <w:r w:rsidR="00D20CAA">
      <w:rPr>
        <w:szCs w:val="20"/>
      </w:rPr>
      <w:t xml:space="preserve"> </w:t>
    </w:r>
    <w:r w:rsidR="006B2A4B">
      <w:t>Brake Systems</w:t>
    </w:r>
    <w:r>
      <w:t>) 2013</w:t>
    </w:r>
  </w:p>
  <w:p w:rsidR="006B2A4B" w:rsidRDefault="006B2A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5">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7">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58F7506F"/>
    <w:multiLevelType w:val="multilevel"/>
    <w:tmpl w:val="EC306A54"/>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0">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1">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3">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3"/>
  </w:num>
  <w:num w:numId="3">
    <w:abstractNumId w:val="1"/>
  </w:num>
  <w:num w:numId="4">
    <w:abstractNumId w:val="12"/>
  </w:num>
  <w:num w:numId="5">
    <w:abstractNumId w:val="0"/>
  </w:num>
  <w:num w:numId="6">
    <w:abstractNumId w:val="11"/>
  </w:num>
  <w:num w:numId="7">
    <w:abstractNumId w:val="2"/>
  </w:num>
  <w:num w:numId="8">
    <w:abstractNumId w:val="8"/>
  </w:num>
  <w:num w:numId="9">
    <w:abstractNumId w:val="5"/>
  </w:num>
  <w:num w:numId="10">
    <w:abstractNumId w:val="10"/>
  </w:num>
  <w:num w:numId="11">
    <w:abstractNumId w:val="4"/>
  </w:num>
  <w:num w:numId="12">
    <w:abstractNumId w:val="7"/>
  </w:num>
  <w:num w:numId="13">
    <w:abstractNumId w:val="3"/>
  </w:num>
  <w:num w:numId="14">
    <w:abstractNumId w:val="6"/>
  </w:num>
  <w:num w:numId="15">
    <w:abstractNumId w:val="9"/>
  </w:num>
  <w:num w:numId="16">
    <w:abstractNumId w:val="9"/>
  </w:num>
  <w:num w:numId="17">
    <w:abstractNumId w:val="9"/>
  </w:num>
  <w:num w:numId="18">
    <w:abstractNumId w:val="9"/>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F48"/>
    <w:rsid w:val="000157B0"/>
    <w:rsid w:val="000220C0"/>
    <w:rsid w:val="00022CA1"/>
    <w:rsid w:val="000245BE"/>
    <w:rsid w:val="0003223D"/>
    <w:rsid w:val="000335E2"/>
    <w:rsid w:val="000562F1"/>
    <w:rsid w:val="00066F93"/>
    <w:rsid w:val="000713D8"/>
    <w:rsid w:val="000740DE"/>
    <w:rsid w:val="00074D90"/>
    <w:rsid w:val="00075396"/>
    <w:rsid w:val="0008418F"/>
    <w:rsid w:val="0008652F"/>
    <w:rsid w:val="000B1C73"/>
    <w:rsid w:val="000B3DBE"/>
    <w:rsid w:val="000C0E62"/>
    <w:rsid w:val="000C14D3"/>
    <w:rsid w:val="000C171E"/>
    <w:rsid w:val="000C57AC"/>
    <w:rsid w:val="000C7A88"/>
    <w:rsid w:val="000D3459"/>
    <w:rsid w:val="000D44AB"/>
    <w:rsid w:val="000D6331"/>
    <w:rsid w:val="000E3161"/>
    <w:rsid w:val="000E36A9"/>
    <w:rsid w:val="000E3CB6"/>
    <w:rsid w:val="000E46B1"/>
    <w:rsid w:val="000E6F99"/>
    <w:rsid w:val="000E7A76"/>
    <w:rsid w:val="000F4182"/>
    <w:rsid w:val="000F534E"/>
    <w:rsid w:val="000F793B"/>
    <w:rsid w:val="00101E42"/>
    <w:rsid w:val="00102EE7"/>
    <w:rsid w:val="00105209"/>
    <w:rsid w:val="00106C75"/>
    <w:rsid w:val="001143B9"/>
    <w:rsid w:val="0012110B"/>
    <w:rsid w:val="00135B6F"/>
    <w:rsid w:val="00141FF9"/>
    <w:rsid w:val="00152636"/>
    <w:rsid w:val="00155FE4"/>
    <w:rsid w:val="00160C84"/>
    <w:rsid w:val="00170AE8"/>
    <w:rsid w:val="001717FC"/>
    <w:rsid w:val="00171B84"/>
    <w:rsid w:val="0017428B"/>
    <w:rsid w:val="00174399"/>
    <w:rsid w:val="00177ADF"/>
    <w:rsid w:val="00187070"/>
    <w:rsid w:val="00187D37"/>
    <w:rsid w:val="00197EE4"/>
    <w:rsid w:val="001B0EFB"/>
    <w:rsid w:val="001B38AA"/>
    <w:rsid w:val="001D17F3"/>
    <w:rsid w:val="001E1A19"/>
    <w:rsid w:val="001E6F6F"/>
    <w:rsid w:val="001E7240"/>
    <w:rsid w:val="00200879"/>
    <w:rsid w:val="002019EC"/>
    <w:rsid w:val="0020737C"/>
    <w:rsid w:val="00212153"/>
    <w:rsid w:val="00216DD3"/>
    <w:rsid w:val="00225589"/>
    <w:rsid w:val="0022575C"/>
    <w:rsid w:val="00226CB6"/>
    <w:rsid w:val="0022719C"/>
    <w:rsid w:val="00227A72"/>
    <w:rsid w:val="0023125C"/>
    <w:rsid w:val="00233F4B"/>
    <w:rsid w:val="00237831"/>
    <w:rsid w:val="002425A0"/>
    <w:rsid w:val="00242D6F"/>
    <w:rsid w:val="002449FF"/>
    <w:rsid w:val="00246F06"/>
    <w:rsid w:val="002550C2"/>
    <w:rsid w:val="002640E7"/>
    <w:rsid w:val="00266FE7"/>
    <w:rsid w:val="00267FAC"/>
    <w:rsid w:val="00270FAD"/>
    <w:rsid w:val="002714C6"/>
    <w:rsid w:val="00282AAC"/>
    <w:rsid w:val="00283230"/>
    <w:rsid w:val="0028346B"/>
    <w:rsid w:val="002904A2"/>
    <w:rsid w:val="00292D0D"/>
    <w:rsid w:val="002968C5"/>
    <w:rsid w:val="002975C7"/>
    <w:rsid w:val="002A063C"/>
    <w:rsid w:val="002B1FE3"/>
    <w:rsid w:val="002B20F4"/>
    <w:rsid w:val="002B459D"/>
    <w:rsid w:val="002B574B"/>
    <w:rsid w:val="002B7491"/>
    <w:rsid w:val="002B7CA5"/>
    <w:rsid w:val="002C066A"/>
    <w:rsid w:val="002D070C"/>
    <w:rsid w:val="002D3608"/>
    <w:rsid w:val="002D508E"/>
    <w:rsid w:val="002D5997"/>
    <w:rsid w:val="002D7277"/>
    <w:rsid w:val="002E1691"/>
    <w:rsid w:val="002E1BBE"/>
    <w:rsid w:val="002E37E2"/>
    <w:rsid w:val="002E5035"/>
    <w:rsid w:val="002E5D10"/>
    <w:rsid w:val="002E6D99"/>
    <w:rsid w:val="002F17FE"/>
    <w:rsid w:val="002F3EEF"/>
    <w:rsid w:val="0030081B"/>
    <w:rsid w:val="003039C0"/>
    <w:rsid w:val="00304422"/>
    <w:rsid w:val="00310E9F"/>
    <w:rsid w:val="003119C5"/>
    <w:rsid w:val="003157F6"/>
    <w:rsid w:val="003210C8"/>
    <w:rsid w:val="00341EF6"/>
    <w:rsid w:val="003443C2"/>
    <w:rsid w:val="003447E5"/>
    <w:rsid w:val="00344A42"/>
    <w:rsid w:val="00347408"/>
    <w:rsid w:val="00347940"/>
    <w:rsid w:val="0035037C"/>
    <w:rsid w:val="00353C97"/>
    <w:rsid w:val="00353DBD"/>
    <w:rsid w:val="003567BF"/>
    <w:rsid w:val="0036261D"/>
    <w:rsid w:val="00365500"/>
    <w:rsid w:val="00370FED"/>
    <w:rsid w:val="00373116"/>
    <w:rsid w:val="003736E6"/>
    <w:rsid w:val="003737A4"/>
    <w:rsid w:val="00373A7D"/>
    <w:rsid w:val="003778A3"/>
    <w:rsid w:val="0039439E"/>
    <w:rsid w:val="00395DAB"/>
    <w:rsid w:val="00396C92"/>
    <w:rsid w:val="003A3373"/>
    <w:rsid w:val="003A45FB"/>
    <w:rsid w:val="003A4F94"/>
    <w:rsid w:val="003B08C9"/>
    <w:rsid w:val="003B220C"/>
    <w:rsid w:val="003B2EB6"/>
    <w:rsid w:val="003B3887"/>
    <w:rsid w:val="003B4057"/>
    <w:rsid w:val="003B4482"/>
    <w:rsid w:val="003B6992"/>
    <w:rsid w:val="003D1AB8"/>
    <w:rsid w:val="003D3D19"/>
    <w:rsid w:val="003E2522"/>
    <w:rsid w:val="003E2ACE"/>
    <w:rsid w:val="003E5643"/>
    <w:rsid w:val="003E56E7"/>
    <w:rsid w:val="003F01D5"/>
    <w:rsid w:val="003F25A8"/>
    <w:rsid w:val="003F51E5"/>
    <w:rsid w:val="003F6981"/>
    <w:rsid w:val="00402B28"/>
    <w:rsid w:val="00404CC7"/>
    <w:rsid w:val="00410063"/>
    <w:rsid w:val="00412A94"/>
    <w:rsid w:val="004161CF"/>
    <w:rsid w:val="004174F7"/>
    <w:rsid w:val="00422A41"/>
    <w:rsid w:val="00426BF7"/>
    <w:rsid w:val="00431883"/>
    <w:rsid w:val="00433473"/>
    <w:rsid w:val="00436451"/>
    <w:rsid w:val="00437142"/>
    <w:rsid w:val="00441D7B"/>
    <w:rsid w:val="00442D5E"/>
    <w:rsid w:val="004433E1"/>
    <w:rsid w:val="004454CA"/>
    <w:rsid w:val="00450F3A"/>
    <w:rsid w:val="00453027"/>
    <w:rsid w:val="004619D3"/>
    <w:rsid w:val="00464026"/>
    <w:rsid w:val="00476B93"/>
    <w:rsid w:val="00477592"/>
    <w:rsid w:val="00485D93"/>
    <w:rsid w:val="00485E16"/>
    <w:rsid w:val="004A7D83"/>
    <w:rsid w:val="004B17C6"/>
    <w:rsid w:val="004C52F0"/>
    <w:rsid w:val="004C68B7"/>
    <w:rsid w:val="004C77FE"/>
    <w:rsid w:val="004D6CC1"/>
    <w:rsid w:val="004D785B"/>
    <w:rsid w:val="004E3903"/>
    <w:rsid w:val="004E7515"/>
    <w:rsid w:val="004F747E"/>
    <w:rsid w:val="005022F7"/>
    <w:rsid w:val="00510E74"/>
    <w:rsid w:val="0051368F"/>
    <w:rsid w:val="00525905"/>
    <w:rsid w:val="005338E3"/>
    <w:rsid w:val="00536F80"/>
    <w:rsid w:val="0054701F"/>
    <w:rsid w:val="0055053C"/>
    <w:rsid w:val="00550A6B"/>
    <w:rsid w:val="00560C37"/>
    <w:rsid w:val="00561BCD"/>
    <w:rsid w:val="00564479"/>
    <w:rsid w:val="0056701E"/>
    <w:rsid w:val="005725C2"/>
    <w:rsid w:val="005753E3"/>
    <w:rsid w:val="00581C0B"/>
    <w:rsid w:val="00586887"/>
    <w:rsid w:val="0059095D"/>
    <w:rsid w:val="00594765"/>
    <w:rsid w:val="00595B2F"/>
    <w:rsid w:val="005963A1"/>
    <w:rsid w:val="00596853"/>
    <w:rsid w:val="005B114C"/>
    <w:rsid w:val="005B1D19"/>
    <w:rsid w:val="005C46E4"/>
    <w:rsid w:val="005C48D4"/>
    <w:rsid w:val="005C65A4"/>
    <w:rsid w:val="005D100B"/>
    <w:rsid w:val="005D21F5"/>
    <w:rsid w:val="005D79C8"/>
    <w:rsid w:val="005E2B4C"/>
    <w:rsid w:val="005F0774"/>
    <w:rsid w:val="005F26EF"/>
    <w:rsid w:val="005F7F32"/>
    <w:rsid w:val="00606506"/>
    <w:rsid w:val="006132B9"/>
    <w:rsid w:val="006136AA"/>
    <w:rsid w:val="00614AE7"/>
    <w:rsid w:val="00626DBC"/>
    <w:rsid w:val="00630795"/>
    <w:rsid w:val="006334AE"/>
    <w:rsid w:val="00633730"/>
    <w:rsid w:val="00633A06"/>
    <w:rsid w:val="00635090"/>
    <w:rsid w:val="006434F1"/>
    <w:rsid w:val="006438BB"/>
    <w:rsid w:val="006440AF"/>
    <w:rsid w:val="00645C09"/>
    <w:rsid w:val="00654C03"/>
    <w:rsid w:val="00662397"/>
    <w:rsid w:val="00663810"/>
    <w:rsid w:val="00672700"/>
    <w:rsid w:val="00680C49"/>
    <w:rsid w:val="006815B3"/>
    <w:rsid w:val="00681FF3"/>
    <w:rsid w:val="0069365C"/>
    <w:rsid w:val="00694C9C"/>
    <w:rsid w:val="00696758"/>
    <w:rsid w:val="006A0D9E"/>
    <w:rsid w:val="006A3C57"/>
    <w:rsid w:val="006A5E2A"/>
    <w:rsid w:val="006A6CDC"/>
    <w:rsid w:val="006B2A4B"/>
    <w:rsid w:val="006B55BE"/>
    <w:rsid w:val="006B7D5F"/>
    <w:rsid w:val="006C1E06"/>
    <w:rsid w:val="006C4478"/>
    <w:rsid w:val="006C69D9"/>
    <w:rsid w:val="006D3E64"/>
    <w:rsid w:val="006D5556"/>
    <w:rsid w:val="006D6283"/>
    <w:rsid w:val="006F2BF5"/>
    <w:rsid w:val="006F6F26"/>
    <w:rsid w:val="007011DC"/>
    <w:rsid w:val="00707003"/>
    <w:rsid w:val="007136C2"/>
    <w:rsid w:val="0071541C"/>
    <w:rsid w:val="007243F0"/>
    <w:rsid w:val="0073109B"/>
    <w:rsid w:val="00733478"/>
    <w:rsid w:val="007358A7"/>
    <w:rsid w:val="00743AC9"/>
    <w:rsid w:val="00743B9A"/>
    <w:rsid w:val="00747F6A"/>
    <w:rsid w:val="00760342"/>
    <w:rsid w:val="00760426"/>
    <w:rsid w:val="00762957"/>
    <w:rsid w:val="007653BB"/>
    <w:rsid w:val="007668B6"/>
    <w:rsid w:val="007753E7"/>
    <w:rsid w:val="0078303D"/>
    <w:rsid w:val="00785BEC"/>
    <w:rsid w:val="00785C95"/>
    <w:rsid w:val="00792C5E"/>
    <w:rsid w:val="00796570"/>
    <w:rsid w:val="007A1E1A"/>
    <w:rsid w:val="007A36C3"/>
    <w:rsid w:val="007A3BB4"/>
    <w:rsid w:val="007A576D"/>
    <w:rsid w:val="007B14D6"/>
    <w:rsid w:val="007B247C"/>
    <w:rsid w:val="007B6B17"/>
    <w:rsid w:val="007C337C"/>
    <w:rsid w:val="007C454A"/>
    <w:rsid w:val="007D28E4"/>
    <w:rsid w:val="007D65A6"/>
    <w:rsid w:val="007D671C"/>
    <w:rsid w:val="007E69D0"/>
    <w:rsid w:val="007F1CA7"/>
    <w:rsid w:val="007F3A3C"/>
    <w:rsid w:val="00811BFA"/>
    <w:rsid w:val="008142FF"/>
    <w:rsid w:val="00816F99"/>
    <w:rsid w:val="0082139D"/>
    <w:rsid w:val="008235EB"/>
    <w:rsid w:val="00827FAE"/>
    <w:rsid w:val="008353AD"/>
    <w:rsid w:val="008356AB"/>
    <w:rsid w:val="00845ABF"/>
    <w:rsid w:val="00846B0F"/>
    <w:rsid w:val="008470F8"/>
    <w:rsid w:val="0085194A"/>
    <w:rsid w:val="00854C95"/>
    <w:rsid w:val="008553C3"/>
    <w:rsid w:val="0085695A"/>
    <w:rsid w:val="0085751C"/>
    <w:rsid w:val="00862803"/>
    <w:rsid w:val="00863EF3"/>
    <w:rsid w:val="00863F76"/>
    <w:rsid w:val="00872B7C"/>
    <w:rsid w:val="00875846"/>
    <w:rsid w:val="00880D9C"/>
    <w:rsid w:val="0088281D"/>
    <w:rsid w:val="00887FC8"/>
    <w:rsid w:val="008933EB"/>
    <w:rsid w:val="00896B15"/>
    <w:rsid w:val="008A1EBB"/>
    <w:rsid w:val="008A4638"/>
    <w:rsid w:val="008A51A2"/>
    <w:rsid w:val="008A5F73"/>
    <w:rsid w:val="008B457B"/>
    <w:rsid w:val="008C0815"/>
    <w:rsid w:val="008C185F"/>
    <w:rsid w:val="008C1BC3"/>
    <w:rsid w:val="008C3DED"/>
    <w:rsid w:val="008C5907"/>
    <w:rsid w:val="008C605A"/>
    <w:rsid w:val="008C7693"/>
    <w:rsid w:val="008D374F"/>
    <w:rsid w:val="008F2C8A"/>
    <w:rsid w:val="008F6DCD"/>
    <w:rsid w:val="008F74E6"/>
    <w:rsid w:val="0090191B"/>
    <w:rsid w:val="009043D9"/>
    <w:rsid w:val="009074B5"/>
    <w:rsid w:val="0091237F"/>
    <w:rsid w:val="00917571"/>
    <w:rsid w:val="00921439"/>
    <w:rsid w:val="009231EC"/>
    <w:rsid w:val="00927FBE"/>
    <w:rsid w:val="009327EF"/>
    <w:rsid w:val="0093299E"/>
    <w:rsid w:val="00933218"/>
    <w:rsid w:val="00934F06"/>
    <w:rsid w:val="00935B60"/>
    <w:rsid w:val="00937B65"/>
    <w:rsid w:val="00940B32"/>
    <w:rsid w:val="00944396"/>
    <w:rsid w:val="00946AE0"/>
    <w:rsid w:val="00950BD1"/>
    <w:rsid w:val="00950F8F"/>
    <w:rsid w:val="0095143D"/>
    <w:rsid w:val="0095255D"/>
    <w:rsid w:val="00952B82"/>
    <w:rsid w:val="0095554F"/>
    <w:rsid w:val="00956D94"/>
    <w:rsid w:val="00957B66"/>
    <w:rsid w:val="00961F3B"/>
    <w:rsid w:val="00963ABC"/>
    <w:rsid w:val="00971128"/>
    <w:rsid w:val="00976110"/>
    <w:rsid w:val="009846F3"/>
    <w:rsid w:val="00985846"/>
    <w:rsid w:val="009860B3"/>
    <w:rsid w:val="00997893"/>
    <w:rsid w:val="009A1670"/>
    <w:rsid w:val="009A38D2"/>
    <w:rsid w:val="009A3B5E"/>
    <w:rsid w:val="009A40C7"/>
    <w:rsid w:val="009C0B8F"/>
    <w:rsid w:val="009C1BA6"/>
    <w:rsid w:val="009C1F80"/>
    <w:rsid w:val="009C3304"/>
    <w:rsid w:val="009C407C"/>
    <w:rsid w:val="009C69B1"/>
    <w:rsid w:val="009C6FCA"/>
    <w:rsid w:val="009D2E35"/>
    <w:rsid w:val="009D6FB6"/>
    <w:rsid w:val="009E6091"/>
    <w:rsid w:val="009E67A7"/>
    <w:rsid w:val="009E7D0B"/>
    <w:rsid w:val="009F04AC"/>
    <w:rsid w:val="009F5065"/>
    <w:rsid w:val="009F5254"/>
    <w:rsid w:val="009F6964"/>
    <w:rsid w:val="009F75E4"/>
    <w:rsid w:val="00A01B43"/>
    <w:rsid w:val="00A065ED"/>
    <w:rsid w:val="00A06839"/>
    <w:rsid w:val="00A1063D"/>
    <w:rsid w:val="00A10F22"/>
    <w:rsid w:val="00A13488"/>
    <w:rsid w:val="00A27335"/>
    <w:rsid w:val="00A30666"/>
    <w:rsid w:val="00A30939"/>
    <w:rsid w:val="00A30DC9"/>
    <w:rsid w:val="00A321D7"/>
    <w:rsid w:val="00A34A31"/>
    <w:rsid w:val="00A35B99"/>
    <w:rsid w:val="00A362A2"/>
    <w:rsid w:val="00A36FAB"/>
    <w:rsid w:val="00A43237"/>
    <w:rsid w:val="00A501A3"/>
    <w:rsid w:val="00A50768"/>
    <w:rsid w:val="00A51E84"/>
    <w:rsid w:val="00A53C3C"/>
    <w:rsid w:val="00A54A7E"/>
    <w:rsid w:val="00A62388"/>
    <w:rsid w:val="00A63852"/>
    <w:rsid w:val="00A63A1A"/>
    <w:rsid w:val="00A63FE4"/>
    <w:rsid w:val="00A65A2C"/>
    <w:rsid w:val="00A65E15"/>
    <w:rsid w:val="00A66D92"/>
    <w:rsid w:val="00A67D0C"/>
    <w:rsid w:val="00A71585"/>
    <w:rsid w:val="00A82B4B"/>
    <w:rsid w:val="00A8398A"/>
    <w:rsid w:val="00A8675A"/>
    <w:rsid w:val="00AA319A"/>
    <w:rsid w:val="00AB119D"/>
    <w:rsid w:val="00AB42B4"/>
    <w:rsid w:val="00AC74A7"/>
    <w:rsid w:val="00AE5123"/>
    <w:rsid w:val="00AE52FE"/>
    <w:rsid w:val="00AE5AB2"/>
    <w:rsid w:val="00AE6EF0"/>
    <w:rsid w:val="00AE7E33"/>
    <w:rsid w:val="00AF5477"/>
    <w:rsid w:val="00B03FF8"/>
    <w:rsid w:val="00B07906"/>
    <w:rsid w:val="00B07B3F"/>
    <w:rsid w:val="00B129D9"/>
    <w:rsid w:val="00B1441E"/>
    <w:rsid w:val="00B14F33"/>
    <w:rsid w:val="00B25A3B"/>
    <w:rsid w:val="00B27156"/>
    <w:rsid w:val="00B31E5C"/>
    <w:rsid w:val="00B36270"/>
    <w:rsid w:val="00B45F4C"/>
    <w:rsid w:val="00B468E6"/>
    <w:rsid w:val="00B50379"/>
    <w:rsid w:val="00B50DFD"/>
    <w:rsid w:val="00B5379B"/>
    <w:rsid w:val="00B559A6"/>
    <w:rsid w:val="00B56230"/>
    <w:rsid w:val="00B633CD"/>
    <w:rsid w:val="00B64155"/>
    <w:rsid w:val="00B779DB"/>
    <w:rsid w:val="00B83C7F"/>
    <w:rsid w:val="00B84E3B"/>
    <w:rsid w:val="00B97E32"/>
    <w:rsid w:val="00BA0190"/>
    <w:rsid w:val="00BA233E"/>
    <w:rsid w:val="00BA4F48"/>
    <w:rsid w:val="00BA7601"/>
    <w:rsid w:val="00BB05C3"/>
    <w:rsid w:val="00BB5D41"/>
    <w:rsid w:val="00BC1371"/>
    <w:rsid w:val="00BC2B83"/>
    <w:rsid w:val="00BC77EA"/>
    <w:rsid w:val="00BE4399"/>
    <w:rsid w:val="00BE44C6"/>
    <w:rsid w:val="00BE51BB"/>
    <w:rsid w:val="00BE5C7D"/>
    <w:rsid w:val="00C02832"/>
    <w:rsid w:val="00C030D6"/>
    <w:rsid w:val="00C03DAD"/>
    <w:rsid w:val="00C04554"/>
    <w:rsid w:val="00C11D56"/>
    <w:rsid w:val="00C12E27"/>
    <w:rsid w:val="00C15408"/>
    <w:rsid w:val="00C16AC9"/>
    <w:rsid w:val="00C17636"/>
    <w:rsid w:val="00C20AA8"/>
    <w:rsid w:val="00C271D6"/>
    <w:rsid w:val="00C319A8"/>
    <w:rsid w:val="00C319F9"/>
    <w:rsid w:val="00C35C89"/>
    <w:rsid w:val="00C45889"/>
    <w:rsid w:val="00C476BC"/>
    <w:rsid w:val="00C52421"/>
    <w:rsid w:val="00C52AD3"/>
    <w:rsid w:val="00C56213"/>
    <w:rsid w:val="00C6582D"/>
    <w:rsid w:val="00C667DD"/>
    <w:rsid w:val="00C7166F"/>
    <w:rsid w:val="00C7224A"/>
    <w:rsid w:val="00C72F93"/>
    <w:rsid w:val="00C74150"/>
    <w:rsid w:val="00C7636C"/>
    <w:rsid w:val="00C80926"/>
    <w:rsid w:val="00C818D7"/>
    <w:rsid w:val="00C847AA"/>
    <w:rsid w:val="00C87C30"/>
    <w:rsid w:val="00C92559"/>
    <w:rsid w:val="00CA25DB"/>
    <w:rsid w:val="00CA46B8"/>
    <w:rsid w:val="00CA51A0"/>
    <w:rsid w:val="00CA6875"/>
    <w:rsid w:val="00CA7778"/>
    <w:rsid w:val="00CA7971"/>
    <w:rsid w:val="00CA7F62"/>
    <w:rsid w:val="00CA7FA6"/>
    <w:rsid w:val="00CB0314"/>
    <w:rsid w:val="00CB2CAE"/>
    <w:rsid w:val="00CB3A64"/>
    <w:rsid w:val="00CB5631"/>
    <w:rsid w:val="00CB5A16"/>
    <w:rsid w:val="00CC28A7"/>
    <w:rsid w:val="00CD02EB"/>
    <w:rsid w:val="00CD21F7"/>
    <w:rsid w:val="00CD3BF9"/>
    <w:rsid w:val="00CD7B08"/>
    <w:rsid w:val="00CE7CEC"/>
    <w:rsid w:val="00CF0DE5"/>
    <w:rsid w:val="00CF6DAA"/>
    <w:rsid w:val="00CF7B2E"/>
    <w:rsid w:val="00D0611E"/>
    <w:rsid w:val="00D07716"/>
    <w:rsid w:val="00D160C9"/>
    <w:rsid w:val="00D20CAA"/>
    <w:rsid w:val="00D2209E"/>
    <w:rsid w:val="00D36368"/>
    <w:rsid w:val="00D42718"/>
    <w:rsid w:val="00D43A16"/>
    <w:rsid w:val="00D47605"/>
    <w:rsid w:val="00D50541"/>
    <w:rsid w:val="00D514DB"/>
    <w:rsid w:val="00D5709E"/>
    <w:rsid w:val="00D60FA3"/>
    <w:rsid w:val="00D647E7"/>
    <w:rsid w:val="00D6618A"/>
    <w:rsid w:val="00D7635A"/>
    <w:rsid w:val="00D81A4E"/>
    <w:rsid w:val="00D850AF"/>
    <w:rsid w:val="00D86FF6"/>
    <w:rsid w:val="00D8777D"/>
    <w:rsid w:val="00D914B4"/>
    <w:rsid w:val="00D91886"/>
    <w:rsid w:val="00D92FE3"/>
    <w:rsid w:val="00D952C5"/>
    <w:rsid w:val="00D96789"/>
    <w:rsid w:val="00DA4154"/>
    <w:rsid w:val="00DA45D5"/>
    <w:rsid w:val="00DB3101"/>
    <w:rsid w:val="00DC4200"/>
    <w:rsid w:val="00DC7027"/>
    <w:rsid w:val="00DD375E"/>
    <w:rsid w:val="00DD3D05"/>
    <w:rsid w:val="00DD51BB"/>
    <w:rsid w:val="00DD5EA6"/>
    <w:rsid w:val="00DD6F4A"/>
    <w:rsid w:val="00DE0385"/>
    <w:rsid w:val="00DE1C49"/>
    <w:rsid w:val="00DF4F8A"/>
    <w:rsid w:val="00DF536E"/>
    <w:rsid w:val="00E03457"/>
    <w:rsid w:val="00E0625B"/>
    <w:rsid w:val="00E069A2"/>
    <w:rsid w:val="00E13FD9"/>
    <w:rsid w:val="00E32662"/>
    <w:rsid w:val="00E3785E"/>
    <w:rsid w:val="00E43E64"/>
    <w:rsid w:val="00E44BDA"/>
    <w:rsid w:val="00E4695D"/>
    <w:rsid w:val="00E4712A"/>
    <w:rsid w:val="00E55368"/>
    <w:rsid w:val="00E5721E"/>
    <w:rsid w:val="00E61E45"/>
    <w:rsid w:val="00E708DE"/>
    <w:rsid w:val="00E72475"/>
    <w:rsid w:val="00E82B1F"/>
    <w:rsid w:val="00E82C94"/>
    <w:rsid w:val="00E8388B"/>
    <w:rsid w:val="00E86850"/>
    <w:rsid w:val="00E919FA"/>
    <w:rsid w:val="00E91E6B"/>
    <w:rsid w:val="00E9460A"/>
    <w:rsid w:val="00E952CB"/>
    <w:rsid w:val="00EA1477"/>
    <w:rsid w:val="00EA57A3"/>
    <w:rsid w:val="00EB037C"/>
    <w:rsid w:val="00EB07AF"/>
    <w:rsid w:val="00EB0B49"/>
    <w:rsid w:val="00EB1C77"/>
    <w:rsid w:val="00EB3DE0"/>
    <w:rsid w:val="00EB5F9C"/>
    <w:rsid w:val="00EB7D96"/>
    <w:rsid w:val="00EC6915"/>
    <w:rsid w:val="00EC7758"/>
    <w:rsid w:val="00ED3152"/>
    <w:rsid w:val="00ED3E7E"/>
    <w:rsid w:val="00EE32E7"/>
    <w:rsid w:val="00EF3239"/>
    <w:rsid w:val="00EF414D"/>
    <w:rsid w:val="00F10914"/>
    <w:rsid w:val="00F10C86"/>
    <w:rsid w:val="00F122DA"/>
    <w:rsid w:val="00F12511"/>
    <w:rsid w:val="00F14473"/>
    <w:rsid w:val="00F175EF"/>
    <w:rsid w:val="00F24B9A"/>
    <w:rsid w:val="00F37EEF"/>
    <w:rsid w:val="00F425AC"/>
    <w:rsid w:val="00F45D54"/>
    <w:rsid w:val="00F4754C"/>
    <w:rsid w:val="00F47E5E"/>
    <w:rsid w:val="00F51B92"/>
    <w:rsid w:val="00F553C0"/>
    <w:rsid w:val="00F56EDC"/>
    <w:rsid w:val="00F57937"/>
    <w:rsid w:val="00F6085C"/>
    <w:rsid w:val="00F648B2"/>
    <w:rsid w:val="00F65091"/>
    <w:rsid w:val="00F74E8C"/>
    <w:rsid w:val="00F7536E"/>
    <w:rsid w:val="00F80A33"/>
    <w:rsid w:val="00F82B48"/>
    <w:rsid w:val="00F8343B"/>
    <w:rsid w:val="00F83987"/>
    <w:rsid w:val="00F8665A"/>
    <w:rsid w:val="00F90262"/>
    <w:rsid w:val="00F92159"/>
    <w:rsid w:val="00FA622B"/>
    <w:rsid w:val="00FA6A12"/>
    <w:rsid w:val="00FB46FD"/>
    <w:rsid w:val="00FC003D"/>
    <w:rsid w:val="00FC6B80"/>
    <w:rsid w:val="00FC7C4B"/>
    <w:rsid w:val="00FD59BF"/>
    <w:rsid w:val="00FE05F0"/>
    <w:rsid w:val="00FE36E8"/>
    <w:rsid w:val="00FE666D"/>
    <w:rsid w:val="00FF14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3F0"/>
    <w:rPr>
      <w:sz w:val="24"/>
      <w:szCs w:val="24"/>
    </w:rPr>
  </w:style>
  <w:style w:type="paragraph" w:styleId="Heading1">
    <w:name w:val="heading 1"/>
    <w:basedOn w:val="Normal"/>
    <w:next w:val="Normal"/>
    <w:qFormat/>
    <w:rsid w:val="00CD3BF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D3BF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rsid w:val="00BA4F48"/>
    <w:pPr>
      <w:numPr>
        <w:numId w:val="1"/>
      </w:numPr>
      <w:spacing w:before="240" w:after="120"/>
    </w:pPr>
    <w:rPr>
      <w:b/>
      <w:caps/>
    </w:rPr>
  </w:style>
  <w:style w:type="paragraph" w:customStyle="1" w:styleId="Subsection">
    <w:name w:val="Sub section"/>
    <w:basedOn w:val="Normal"/>
    <w:next w:val="Normal"/>
    <w:rsid w:val="00BA4F48"/>
    <w:pPr>
      <w:numPr>
        <w:ilvl w:val="1"/>
        <w:numId w:val="1"/>
      </w:numPr>
      <w:spacing w:before="120" w:after="120"/>
    </w:pPr>
  </w:style>
  <w:style w:type="paragraph" w:customStyle="1" w:styleId="Subsubsection">
    <w:name w:val="Subsub section"/>
    <w:basedOn w:val="Normal"/>
    <w:next w:val="Normal"/>
    <w:rsid w:val="00BA4F48"/>
    <w:pPr>
      <w:numPr>
        <w:ilvl w:val="2"/>
        <w:numId w:val="1"/>
      </w:numPr>
      <w:spacing w:before="120" w:after="120"/>
    </w:pPr>
  </w:style>
  <w:style w:type="paragraph" w:customStyle="1" w:styleId="Subsubsubsection">
    <w:name w:val="Subsubsub section"/>
    <w:basedOn w:val="Normal"/>
    <w:next w:val="Normal"/>
    <w:rsid w:val="00BA4F48"/>
    <w:pPr>
      <w:numPr>
        <w:ilvl w:val="3"/>
        <w:numId w:val="1"/>
      </w:numPr>
      <w:spacing w:before="120" w:after="120"/>
    </w:pPr>
  </w:style>
  <w:style w:type="paragraph" w:styleId="TOC1">
    <w:name w:val="toc 1"/>
    <w:basedOn w:val="Normal"/>
    <w:next w:val="Normal"/>
    <w:autoRedefine/>
    <w:uiPriority w:val="39"/>
    <w:rsid w:val="00BA4F48"/>
    <w:pPr>
      <w:tabs>
        <w:tab w:val="left" w:pos="851"/>
        <w:tab w:val="right" w:leader="dot" w:pos="8494"/>
      </w:tabs>
      <w:spacing w:before="120" w:after="120"/>
      <w:ind w:left="851" w:hanging="851"/>
    </w:pPr>
    <w:rPr>
      <w:caps/>
    </w:r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pPr>
      <w:spacing w:after="120"/>
    </w:pPr>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CD3BF9"/>
    <w:pPr>
      <w:ind w:left="240"/>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spacing w:after="120"/>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after="12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spacing w:before="120" w:after="120"/>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spacing w:after="120"/>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BodyBulleted">
    <w:name w:val="Body Bulleted"/>
    <w:basedOn w:val="BodyText"/>
    <w:link w:val="BodyBulletedChar"/>
    <w:qFormat/>
    <w:rsid w:val="00B97E32"/>
    <w:pPr>
      <w:tabs>
        <w:tab w:val="num" w:pos="720"/>
      </w:tabs>
      <w:spacing w:after="240"/>
      <w:ind w:left="720" w:hanging="360"/>
    </w:pPr>
  </w:style>
  <w:style w:type="character" w:customStyle="1" w:styleId="BodyBulletedChar">
    <w:name w:val="Body Bulleted Char"/>
    <w:link w:val="BodyBulleted"/>
    <w:rsid w:val="00B97E3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3F0"/>
    <w:rPr>
      <w:sz w:val="24"/>
      <w:szCs w:val="24"/>
    </w:rPr>
  </w:style>
  <w:style w:type="paragraph" w:styleId="Heading1">
    <w:name w:val="heading 1"/>
    <w:basedOn w:val="Normal"/>
    <w:next w:val="Normal"/>
    <w:qFormat/>
    <w:rsid w:val="00CD3BF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D3BF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rsid w:val="00BA4F48"/>
    <w:pPr>
      <w:numPr>
        <w:numId w:val="1"/>
      </w:numPr>
      <w:spacing w:before="240" w:after="120"/>
    </w:pPr>
    <w:rPr>
      <w:b/>
      <w:caps/>
    </w:rPr>
  </w:style>
  <w:style w:type="paragraph" w:customStyle="1" w:styleId="Subsection">
    <w:name w:val="Sub section"/>
    <w:basedOn w:val="Normal"/>
    <w:next w:val="Normal"/>
    <w:rsid w:val="00BA4F48"/>
    <w:pPr>
      <w:numPr>
        <w:ilvl w:val="1"/>
        <w:numId w:val="1"/>
      </w:numPr>
      <w:spacing w:before="120" w:after="120"/>
    </w:pPr>
  </w:style>
  <w:style w:type="paragraph" w:customStyle="1" w:styleId="Subsubsection">
    <w:name w:val="Subsub section"/>
    <w:basedOn w:val="Normal"/>
    <w:next w:val="Normal"/>
    <w:rsid w:val="00BA4F48"/>
    <w:pPr>
      <w:numPr>
        <w:ilvl w:val="2"/>
        <w:numId w:val="1"/>
      </w:numPr>
      <w:spacing w:before="120" w:after="120"/>
    </w:pPr>
  </w:style>
  <w:style w:type="paragraph" w:customStyle="1" w:styleId="Subsubsubsection">
    <w:name w:val="Subsubsub section"/>
    <w:basedOn w:val="Normal"/>
    <w:next w:val="Normal"/>
    <w:rsid w:val="00BA4F48"/>
    <w:pPr>
      <w:numPr>
        <w:ilvl w:val="3"/>
        <w:numId w:val="1"/>
      </w:numPr>
      <w:spacing w:before="120" w:after="120"/>
    </w:pPr>
  </w:style>
  <w:style w:type="paragraph" w:styleId="TOC1">
    <w:name w:val="toc 1"/>
    <w:basedOn w:val="Normal"/>
    <w:next w:val="Normal"/>
    <w:autoRedefine/>
    <w:uiPriority w:val="39"/>
    <w:rsid w:val="00BA4F48"/>
    <w:pPr>
      <w:tabs>
        <w:tab w:val="left" w:pos="851"/>
        <w:tab w:val="right" w:leader="dot" w:pos="8494"/>
      </w:tabs>
      <w:spacing w:before="120" w:after="120"/>
      <w:ind w:left="851" w:hanging="851"/>
    </w:pPr>
    <w:rPr>
      <w:caps/>
    </w:r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pPr>
      <w:spacing w:after="120"/>
    </w:pPr>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CD3BF9"/>
    <w:pPr>
      <w:ind w:left="240"/>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spacing w:after="120"/>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after="12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spacing w:before="120" w:after="120"/>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spacing w:after="120"/>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BodyBulleted">
    <w:name w:val="Body Bulleted"/>
    <w:basedOn w:val="BodyText"/>
    <w:link w:val="BodyBulletedChar"/>
    <w:qFormat/>
    <w:rsid w:val="00B97E32"/>
    <w:pPr>
      <w:tabs>
        <w:tab w:val="num" w:pos="720"/>
      </w:tabs>
      <w:spacing w:after="240"/>
      <w:ind w:left="720" w:hanging="360"/>
    </w:pPr>
  </w:style>
  <w:style w:type="character" w:customStyle="1" w:styleId="BodyBulletedChar">
    <w:name w:val="Body Bulleted Char"/>
    <w:link w:val="BodyBulleted"/>
    <w:rsid w:val="00B97E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C96A5-21DF-4449-BEA0-DB4A4484D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1332</Words>
  <Characters>7595</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LinksUpToDate>false</LinksUpToDate>
  <CharactersWithSpaces>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creator/>
  <cp:lastModifiedBy/>
  <cp:revision>1</cp:revision>
  <cp:lastPrinted>2009-02-16T01:57:00Z</cp:lastPrinted>
  <dcterms:created xsi:type="dcterms:W3CDTF">2013-12-20T00:18:00Z</dcterms:created>
  <dcterms:modified xsi:type="dcterms:W3CDTF">2013-12-20T00:18:00Z</dcterms:modified>
</cp:coreProperties>
</file>